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920" w:leftChars="0" w:firstLine="0" w:firstLineChars="0"/>
        <w:jc w:val="center"/>
        <w:rPr>
          <w:rFonts w:hint="default"/>
          <w:color w:val="000000" w:themeColor="text1"/>
          <w:sz w:val="24"/>
          <w14:textFill>
            <w14:solidFill>
              <w14:schemeClr w14:val="tx1"/>
            </w14:solidFill>
          </w14:textFill>
        </w:rPr>
      </w:pPr>
    </w:p>
    <w:p>
      <w:pPr>
        <w:spacing w:before="120" w:beforeLines="50" w:line="360" w:lineRule="auto"/>
        <w:jc w:val="center"/>
        <w:rPr>
          <w:rFonts w:hint="default"/>
          <w:b/>
          <w:color w:val="000000" w:themeColor="text1"/>
          <w:sz w:val="52"/>
          <w:szCs w:val="52"/>
          <w14:textFill>
            <w14:solidFill>
              <w14:schemeClr w14:val="tx1"/>
            </w14:solidFill>
          </w14:textFill>
        </w:rPr>
      </w:pPr>
    </w:p>
    <w:p>
      <w:pPr>
        <w:spacing w:before="120" w:beforeLines="50" w:line="360" w:lineRule="auto"/>
        <w:jc w:val="center"/>
        <w:rPr>
          <w:rFonts w:hint="eastAsia" w:eastAsia="宋体"/>
          <w:b/>
          <w:color w:val="000000" w:themeColor="text1"/>
          <w:sz w:val="52"/>
          <w:szCs w:val="52"/>
          <w:lang w:eastAsia="zh-CN"/>
          <w14:textFill>
            <w14:solidFill>
              <w14:schemeClr w14:val="tx1"/>
            </w14:solidFill>
          </w14:textFill>
        </w:rPr>
      </w:pPr>
      <w:r>
        <w:rPr>
          <w:rFonts w:hint="eastAsia"/>
          <w:b/>
          <w:color w:val="000000" w:themeColor="text1"/>
          <w:sz w:val="52"/>
          <w:szCs w:val="52"/>
          <w:lang w:eastAsia="zh-CN"/>
          <w14:textFill>
            <w14:solidFill>
              <w14:schemeClr w14:val="tx1"/>
            </w14:solidFill>
          </w14:textFill>
        </w:rPr>
        <w:t>龙游县横山镇数字赋能农村生活垃圾分类设备采购项目</w:t>
      </w:r>
    </w:p>
    <w:p>
      <w:pPr>
        <w:spacing w:before="120" w:beforeLines="50" w:line="360" w:lineRule="auto"/>
        <w:jc w:val="center"/>
        <w:rPr>
          <w:rFonts w:hint="default"/>
          <w:b/>
          <w:color w:val="000000" w:themeColor="text1"/>
          <w:sz w:val="36"/>
          <w:szCs w:val="36"/>
          <w14:textFill>
            <w14:solidFill>
              <w14:schemeClr w14:val="tx1"/>
            </w14:solidFill>
          </w14:textFill>
        </w:rPr>
      </w:pPr>
    </w:p>
    <w:p>
      <w:pPr>
        <w:pStyle w:val="17"/>
        <w:rPr>
          <w:rFonts w:hint="default"/>
          <w:color w:val="000000" w:themeColor="text1"/>
          <w14:textFill>
            <w14:solidFill>
              <w14:schemeClr w14:val="tx1"/>
            </w14:solidFill>
          </w14:textFill>
        </w:rPr>
      </w:pPr>
    </w:p>
    <w:p>
      <w:pPr>
        <w:pStyle w:val="17"/>
        <w:rPr>
          <w:rFonts w:hint="default"/>
          <w:color w:val="000000" w:themeColor="text1"/>
          <w14:textFill>
            <w14:solidFill>
              <w14:schemeClr w14:val="tx1"/>
            </w14:solidFill>
          </w14:textFill>
        </w:rPr>
      </w:pPr>
    </w:p>
    <w:p>
      <w:pPr>
        <w:spacing w:before="120" w:beforeLines="50" w:line="360" w:lineRule="auto"/>
        <w:jc w:val="center"/>
        <w:rPr>
          <w:rFonts w:hint="default"/>
          <w:b/>
          <w:color w:val="000000" w:themeColor="text1"/>
          <w:szCs w:val="21"/>
          <w14:textFill>
            <w14:solidFill>
              <w14:schemeClr w14:val="tx1"/>
            </w14:solidFill>
          </w14:textFill>
        </w:rPr>
      </w:pPr>
    </w:p>
    <w:p>
      <w:pPr>
        <w:spacing w:before="120" w:beforeLines="50" w:line="360" w:lineRule="auto"/>
        <w:jc w:val="center"/>
        <w:rPr>
          <w:rFonts w:hint="default"/>
          <w:b/>
          <w:color w:val="000000" w:themeColor="text1"/>
          <w:sz w:val="72"/>
          <w:szCs w:val="72"/>
          <w14:textFill>
            <w14:solidFill>
              <w14:schemeClr w14:val="tx1"/>
            </w14:solidFill>
          </w14:textFill>
        </w:rPr>
      </w:pPr>
      <w:r>
        <w:rPr>
          <w:rFonts w:hint="default"/>
          <w:b/>
          <w:color w:val="000000" w:themeColor="text1"/>
          <w:sz w:val="84"/>
          <w:szCs w:val="84"/>
          <w14:textFill>
            <w14:solidFill>
              <w14:schemeClr w14:val="tx1"/>
            </w14:solidFill>
          </w14:textFill>
        </w:rPr>
        <w:t>公开招标文件</w:t>
      </w:r>
    </w:p>
    <w:p>
      <w:pPr>
        <w:snapToGrid w:val="0"/>
        <w:spacing w:before="120" w:beforeLines="50" w:line="360" w:lineRule="auto"/>
        <w:jc w:val="center"/>
        <w:rPr>
          <w:rFonts w:hint="eastAsia" w:eastAsia="宋体"/>
          <w:color w:val="000000" w:themeColor="text1"/>
          <w:sz w:val="32"/>
          <w:szCs w:val="32"/>
          <w:lang w:eastAsia="zh-CN"/>
          <w14:textFill>
            <w14:solidFill>
              <w14:schemeClr w14:val="tx1"/>
            </w14:solidFill>
          </w14:textFill>
        </w:rPr>
      </w:pPr>
      <w:r>
        <w:rPr>
          <w:rFonts w:hint="default"/>
          <w:b/>
          <w:bCs/>
          <w:color w:val="000000" w:themeColor="text1"/>
          <w:sz w:val="32"/>
          <w:szCs w:val="32"/>
          <w14:textFill>
            <w14:solidFill>
              <w14:schemeClr w14:val="tx1"/>
            </w14:solidFill>
          </w14:textFill>
        </w:rPr>
        <w:t>项目编号：</w:t>
      </w:r>
      <w:r>
        <w:rPr>
          <w:rFonts w:hint="eastAsia"/>
          <w:b/>
          <w:bCs/>
          <w:color w:val="000000" w:themeColor="text1"/>
          <w:sz w:val="32"/>
          <w:szCs w:val="32"/>
          <w:lang w:eastAsia="zh-CN"/>
          <w14:textFill>
            <w14:solidFill>
              <w14:schemeClr w14:val="tx1"/>
            </w14:solidFill>
          </w14:textFill>
        </w:rPr>
        <w:t>LYCG2024TY-044</w:t>
      </w:r>
    </w:p>
    <w:p>
      <w:pPr>
        <w:pStyle w:val="6"/>
        <w:snapToGrid w:val="0"/>
        <w:spacing w:before="120" w:after="120" w:line="360" w:lineRule="auto"/>
        <w:rPr>
          <w:rFonts w:hint="default" w:ascii="Times New Roman" w:hAnsi="Times New Roman"/>
          <w:b/>
          <w:bCs/>
          <w:color w:val="000000" w:themeColor="text1"/>
          <w:sz w:val="30"/>
          <w:szCs w:val="30"/>
          <w14:textFill>
            <w14:solidFill>
              <w14:schemeClr w14:val="tx1"/>
            </w14:solidFill>
          </w14:textFill>
        </w:rPr>
      </w:pPr>
    </w:p>
    <w:p>
      <w:pPr>
        <w:pStyle w:val="6"/>
        <w:snapToGrid w:val="0"/>
        <w:spacing w:before="120" w:after="120" w:line="360" w:lineRule="auto"/>
        <w:rPr>
          <w:rFonts w:hint="default" w:ascii="Times New Roman" w:hAnsi="Times New Roman"/>
          <w:b/>
          <w:bCs/>
          <w:color w:val="000000" w:themeColor="text1"/>
          <w:sz w:val="30"/>
          <w:szCs w:val="30"/>
          <w14:textFill>
            <w14:solidFill>
              <w14:schemeClr w14:val="tx1"/>
            </w14:solidFill>
          </w14:textFill>
        </w:rPr>
      </w:pPr>
    </w:p>
    <w:p>
      <w:pPr>
        <w:pStyle w:val="6"/>
        <w:snapToGrid w:val="0"/>
        <w:spacing w:before="240" w:beforeLines="100" w:after="120" w:line="240" w:lineRule="auto"/>
        <w:rPr>
          <w:rFonts w:hint="default" w:ascii="Times New Roman" w:hAnsi="Times New Roman"/>
          <w:b/>
          <w:bCs/>
          <w:color w:val="000000" w:themeColor="text1"/>
          <w:sz w:val="32"/>
          <w:szCs w:val="32"/>
          <w14:textFill>
            <w14:solidFill>
              <w14:schemeClr w14:val="tx1"/>
            </w14:solidFill>
          </w14:textFill>
        </w:rPr>
      </w:pPr>
    </w:p>
    <w:p>
      <w:pPr>
        <w:pStyle w:val="6"/>
        <w:snapToGrid w:val="0"/>
        <w:spacing w:before="120" w:after="120" w:line="360" w:lineRule="auto"/>
        <w:ind w:left="3283" w:leftChars="760" w:hanging="1687" w:hangingChars="525"/>
        <w:rPr>
          <w:rFonts w:hint="eastAsia" w:ascii="Times New Roman" w:hAnsi="Times New Roman" w:eastAsia="宋体"/>
          <w:b/>
          <w:color w:val="000000" w:themeColor="text1"/>
          <w:sz w:val="32"/>
          <w:szCs w:val="32"/>
          <w:lang w:eastAsia="zh-CN"/>
          <w14:textFill>
            <w14:solidFill>
              <w14:schemeClr w14:val="tx1"/>
            </w14:solidFill>
          </w14:textFill>
        </w:rPr>
      </w:pPr>
      <w:r>
        <w:rPr>
          <w:rFonts w:hint="default" w:ascii="Times New Roman" w:hAnsi="Times New Roman"/>
          <w:b/>
          <w:color w:val="000000" w:themeColor="text1"/>
          <w:sz w:val="32"/>
          <w:szCs w:val="32"/>
          <w14:textFill>
            <w14:solidFill>
              <w14:schemeClr w14:val="tx1"/>
            </w14:solidFill>
          </w14:textFill>
        </w:rPr>
        <w:t>采购单位：</w:t>
      </w:r>
      <w:r>
        <w:rPr>
          <w:rFonts w:hint="eastAsia" w:ascii="Times New Roman" w:hAnsi="Times New Roman"/>
          <w:b/>
          <w:color w:val="000000" w:themeColor="text1"/>
          <w:sz w:val="32"/>
          <w:szCs w:val="32"/>
          <w:lang w:eastAsia="zh-CN"/>
          <w14:textFill>
            <w14:solidFill>
              <w14:schemeClr w14:val="tx1"/>
            </w14:solidFill>
          </w14:textFill>
        </w:rPr>
        <w:t>龙游县横山镇人民政府</w:t>
      </w:r>
    </w:p>
    <w:p>
      <w:pPr>
        <w:pStyle w:val="6"/>
        <w:snapToGrid w:val="0"/>
        <w:spacing w:before="120" w:after="120" w:line="360" w:lineRule="auto"/>
        <w:ind w:firstLine="1536" w:firstLineChars="478"/>
        <w:rPr>
          <w:rFonts w:hint="eastAsia" w:ascii="Times New Roman" w:hAnsi="Times New Roman" w:eastAsia="宋体"/>
          <w:b/>
          <w:color w:val="000000" w:themeColor="text1"/>
          <w:sz w:val="32"/>
          <w:szCs w:val="32"/>
          <w:lang w:eastAsia="zh-CN"/>
          <w14:textFill>
            <w14:solidFill>
              <w14:schemeClr w14:val="tx1"/>
            </w14:solidFill>
          </w14:textFill>
        </w:rPr>
      </w:pPr>
      <w:r>
        <w:rPr>
          <w:rFonts w:hint="default" w:ascii="Times New Roman" w:hAnsi="Times New Roman"/>
          <w:b/>
          <w:color w:val="000000" w:themeColor="text1"/>
          <w:sz w:val="32"/>
          <w:szCs w:val="32"/>
          <w14:textFill>
            <w14:solidFill>
              <w14:schemeClr w14:val="tx1"/>
            </w14:solidFill>
          </w14:textFill>
        </w:rPr>
        <w:t>代理机构：</w:t>
      </w:r>
      <w:r>
        <w:rPr>
          <w:rFonts w:hint="eastAsia" w:ascii="Times New Roman" w:hAnsi="Times New Roman"/>
          <w:b/>
          <w:color w:val="000000" w:themeColor="text1"/>
          <w:sz w:val="32"/>
          <w:szCs w:val="32"/>
          <w:lang w:eastAsia="zh-CN"/>
          <w14:textFill>
            <w14:solidFill>
              <w14:schemeClr w14:val="tx1"/>
            </w14:solidFill>
          </w14:textFill>
        </w:rPr>
        <w:t>泰宇建筑工程技术咨询有限公司</w:t>
      </w:r>
    </w:p>
    <w:p>
      <w:pPr>
        <w:snapToGrid w:val="0"/>
        <w:spacing w:before="120" w:beforeLines="50" w:after="50" w:line="360" w:lineRule="auto"/>
        <w:jc w:val="center"/>
        <w:rPr>
          <w:rFonts w:hint="default"/>
          <w:b/>
          <w:bCs/>
          <w:color w:val="000000" w:themeColor="text1"/>
          <w:w w:val="95"/>
          <w:sz w:val="30"/>
          <w:szCs w:val="30"/>
          <w14:textFill>
            <w14:solidFill>
              <w14:schemeClr w14:val="tx1"/>
            </w14:solidFill>
          </w14:textFill>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b/>
          <w:bCs/>
          <w:color w:val="000000" w:themeColor="text1"/>
          <w:w w:val="95"/>
          <w:sz w:val="32"/>
          <w:szCs w:val="32"/>
          <w14:textFill>
            <w14:solidFill>
              <w14:schemeClr w14:val="tx1"/>
            </w14:solidFill>
          </w14:textFill>
        </w:rPr>
        <w:t>202</w:t>
      </w:r>
      <w:r>
        <w:rPr>
          <w:rFonts w:hint="eastAsia"/>
          <w:b/>
          <w:bCs/>
          <w:color w:val="000000" w:themeColor="text1"/>
          <w:w w:val="95"/>
          <w:sz w:val="32"/>
          <w:szCs w:val="32"/>
          <w:lang w:val="en-US" w:eastAsia="zh-CN"/>
          <w14:textFill>
            <w14:solidFill>
              <w14:schemeClr w14:val="tx1"/>
            </w14:solidFill>
          </w14:textFill>
        </w:rPr>
        <w:t>4</w:t>
      </w:r>
      <w:r>
        <w:rPr>
          <w:rFonts w:hint="default"/>
          <w:b/>
          <w:bCs/>
          <w:color w:val="000000" w:themeColor="text1"/>
          <w:w w:val="95"/>
          <w:sz w:val="32"/>
          <w:szCs w:val="32"/>
          <w14:textFill>
            <w14:solidFill>
              <w14:schemeClr w14:val="tx1"/>
            </w14:solidFill>
          </w14:textFill>
        </w:rPr>
        <w:t>年</w:t>
      </w:r>
      <w:r>
        <w:rPr>
          <w:rFonts w:hint="eastAsia"/>
          <w:b/>
          <w:bCs/>
          <w:color w:val="000000" w:themeColor="text1"/>
          <w:w w:val="95"/>
          <w:sz w:val="32"/>
          <w:szCs w:val="32"/>
          <w:lang w:val="en-US" w:eastAsia="zh-CN"/>
          <w14:textFill>
            <w14:solidFill>
              <w14:schemeClr w14:val="tx1"/>
            </w14:solidFill>
          </w14:textFill>
        </w:rPr>
        <w:t>06</w:t>
      </w:r>
      <w:r>
        <w:rPr>
          <w:rFonts w:hint="default"/>
          <w:b/>
          <w:bCs/>
          <w:color w:val="000000" w:themeColor="text1"/>
          <w:w w:val="95"/>
          <w:sz w:val="32"/>
          <w:szCs w:val="32"/>
          <w14:textFill>
            <w14:solidFill>
              <w14:schemeClr w14:val="tx1"/>
            </w14:solidFill>
          </w14:textFill>
        </w:rPr>
        <w:t>月</w:t>
      </w:r>
    </w:p>
    <w:p>
      <w:pPr>
        <w:pStyle w:val="6"/>
        <w:spacing w:before="120" w:after="120" w:line="360" w:lineRule="auto"/>
        <w:jc w:val="center"/>
        <w:rPr>
          <w:rFonts w:hint="default" w:ascii="Times New Roman" w:hAnsi="Times New Roman"/>
          <w:color w:val="000000" w:themeColor="text1"/>
          <w:sz w:val="36"/>
          <w:szCs w:val="36"/>
          <w14:textFill>
            <w14:solidFill>
              <w14:schemeClr w14:val="tx1"/>
            </w14:solidFill>
          </w14:textFill>
        </w:rPr>
      </w:pPr>
    </w:p>
    <w:p>
      <w:pPr>
        <w:pStyle w:val="6"/>
        <w:spacing w:before="120" w:after="120" w:line="360" w:lineRule="auto"/>
        <w:jc w:val="center"/>
        <w:rPr>
          <w:rFonts w:hint="default" w:ascii="Times New Roman" w:hAnsi="Times New Roman"/>
          <w:b/>
          <w:color w:val="000000" w:themeColor="text1"/>
          <w:sz w:val="36"/>
          <w:szCs w:val="36"/>
          <w14:textFill>
            <w14:solidFill>
              <w14:schemeClr w14:val="tx1"/>
            </w14:solidFill>
          </w14:textFill>
        </w:rPr>
      </w:pPr>
      <w:r>
        <w:rPr>
          <w:rFonts w:hint="default" w:ascii="Times New Roman" w:hAnsi="Times New Roman"/>
          <w:b/>
          <w:color w:val="000000" w:themeColor="text1"/>
          <w:sz w:val="36"/>
          <w:szCs w:val="36"/>
          <w14:textFill>
            <w14:solidFill>
              <w14:schemeClr w14:val="tx1"/>
            </w14:solidFill>
          </w14:textFill>
        </w:rPr>
        <w:t>目  录</w:t>
      </w:r>
    </w:p>
    <w:p>
      <w:pPr>
        <w:pStyle w:val="28"/>
        <w:tabs>
          <w:tab w:val="right" w:leader="dot" w:pos="9355"/>
        </w:tabs>
        <w:rPr>
          <w:color w:val="000000" w:themeColor="text1"/>
          <w14:textFill>
            <w14:solidFill>
              <w14:schemeClr w14:val="tx1"/>
            </w14:solidFill>
          </w14:textFill>
        </w:rPr>
      </w:pPr>
      <w:r>
        <w:rPr>
          <w:rFonts w:hint="default"/>
          <w:color w:val="000000" w:themeColor="text1"/>
          <w:sz w:val="28"/>
          <w:szCs w:val="28"/>
          <w14:textFill>
            <w14:solidFill>
              <w14:schemeClr w14:val="tx1"/>
            </w14:solidFill>
          </w14:textFill>
        </w:rPr>
        <w:fldChar w:fldCharType="begin"/>
      </w:r>
      <w:r>
        <w:rPr>
          <w:rFonts w:hint="default"/>
          <w:color w:val="000000" w:themeColor="text1"/>
          <w:sz w:val="28"/>
          <w:szCs w:val="28"/>
          <w14:textFill>
            <w14:solidFill>
              <w14:schemeClr w14:val="tx1"/>
            </w14:solidFill>
          </w14:textFill>
        </w:rPr>
        <w:instrText xml:space="preserve">TOC \o "1-1" \h \u </w:instrText>
      </w:r>
      <w:r>
        <w:rPr>
          <w:rFonts w:hint="default"/>
          <w:color w:val="000000" w:themeColor="text1"/>
          <w:sz w:val="28"/>
          <w:szCs w:val="28"/>
          <w14:textFill>
            <w14:solidFill>
              <w14:schemeClr w14:val="tx1"/>
            </w14:solidFill>
          </w14:textFill>
        </w:rPr>
        <w:fldChar w:fldCharType="separate"/>
      </w:r>
    </w:p>
    <w:p>
      <w:pPr>
        <w:pStyle w:val="2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fldChar w:fldCharType="begin"/>
      </w:r>
      <w:r>
        <w:rPr>
          <w:rFonts w:hint="default" w:ascii="Times New Roman" w:hAnsi="Times New Roman"/>
          <w:color w:val="000000" w:themeColor="text1"/>
          <w:szCs w:val="28"/>
          <w14:textFill>
            <w14:solidFill>
              <w14:schemeClr w14:val="tx1"/>
            </w14:solidFill>
          </w14:textFill>
        </w:rPr>
        <w:instrText xml:space="preserve"> HYPERLINK \l _Toc28934 </w:instrText>
      </w:r>
      <w:r>
        <w:rPr>
          <w:rFonts w:hint="default" w:ascii="Times New Roman" w:hAnsi="Times New Roman"/>
          <w:color w:val="000000" w:themeColor="text1"/>
          <w:szCs w:val="28"/>
          <w14:textFill>
            <w14:solidFill>
              <w14:schemeClr w14:val="tx1"/>
            </w14:solidFill>
          </w14:textFill>
        </w:rPr>
        <w:fldChar w:fldCharType="separate"/>
      </w:r>
      <w:r>
        <w:rPr>
          <w:rFonts w:hint="default" w:ascii="Times New Roman" w:hAnsi="Times New Roman"/>
          <w:color w:val="000000" w:themeColor="text1"/>
          <w:spacing w:val="-4"/>
          <w:szCs w:val="32"/>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default" w:ascii="Times New Roman" w:hAnsi="Times New Roman"/>
          <w:color w:val="000000" w:themeColor="text1"/>
          <w:szCs w:val="28"/>
          <w14:textFill>
            <w14:solidFill>
              <w14:schemeClr w14:val="tx1"/>
            </w14:solidFill>
          </w14:textFill>
        </w:rPr>
        <w:fldChar w:fldCharType="end"/>
      </w:r>
    </w:p>
    <w:p>
      <w:pPr>
        <w:pStyle w:val="2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fldChar w:fldCharType="begin"/>
      </w:r>
      <w:r>
        <w:rPr>
          <w:rFonts w:hint="default" w:ascii="Times New Roman" w:hAnsi="Times New Roman"/>
          <w:color w:val="000000" w:themeColor="text1"/>
          <w:szCs w:val="28"/>
          <w14:textFill>
            <w14:solidFill>
              <w14:schemeClr w14:val="tx1"/>
            </w14:solidFill>
          </w14:textFill>
        </w:rPr>
        <w:instrText xml:space="preserve"> HYPERLINK \l _Toc17163 </w:instrText>
      </w:r>
      <w:r>
        <w:rPr>
          <w:rFonts w:hint="default" w:ascii="Times New Roman" w:hAnsi="Times New Roman"/>
          <w:color w:val="000000" w:themeColor="text1"/>
          <w:szCs w:val="28"/>
          <w14:textFill>
            <w14:solidFill>
              <w14:schemeClr w14:val="tx1"/>
            </w14:solidFill>
          </w14:textFill>
        </w:rPr>
        <w:fldChar w:fldCharType="separate"/>
      </w:r>
      <w:r>
        <w:rPr>
          <w:rFonts w:hint="default"/>
          <w:color w:val="000000" w:themeColor="text1"/>
          <w:szCs w:val="32"/>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default" w:ascii="Times New Roman" w:hAnsi="Times New Roman"/>
          <w:color w:val="000000" w:themeColor="text1"/>
          <w:szCs w:val="28"/>
          <w14:textFill>
            <w14:solidFill>
              <w14:schemeClr w14:val="tx1"/>
            </w14:solidFill>
          </w14:textFill>
        </w:rPr>
        <w:fldChar w:fldCharType="end"/>
      </w:r>
    </w:p>
    <w:p>
      <w:pPr>
        <w:pStyle w:val="2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fldChar w:fldCharType="begin"/>
      </w:r>
      <w:r>
        <w:rPr>
          <w:rFonts w:hint="default" w:ascii="Times New Roman" w:hAnsi="Times New Roman"/>
          <w:color w:val="000000" w:themeColor="text1"/>
          <w:szCs w:val="28"/>
          <w14:textFill>
            <w14:solidFill>
              <w14:schemeClr w14:val="tx1"/>
            </w14:solidFill>
          </w14:textFill>
        </w:rPr>
        <w:instrText xml:space="preserve"> HYPERLINK \l _Toc14784 </w:instrText>
      </w:r>
      <w:r>
        <w:rPr>
          <w:rFonts w:hint="default" w:ascii="Times New Roman" w:hAnsi="Times New Roman"/>
          <w:color w:val="000000" w:themeColor="text1"/>
          <w:szCs w:val="28"/>
          <w14:textFill>
            <w14:solidFill>
              <w14:schemeClr w14:val="tx1"/>
            </w14:solidFill>
          </w14:textFill>
        </w:rPr>
        <w:fldChar w:fldCharType="separate"/>
      </w:r>
      <w:r>
        <w:rPr>
          <w:rFonts w:hint="default"/>
          <w:color w:val="000000" w:themeColor="text1"/>
          <w:spacing w:val="-4"/>
          <w:szCs w:val="32"/>
          <w14:textFill>
            <w14:solidFill>
              <w14:schemeClr w14:val="tx1"/>
            </w14:solidFill>
          </w14:textFill>
        </w:rPr>
        <w:t>第三章  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default" w:ascii="Times New Roman" w:hAnsi="Times New Roman"/>
          <w:color w:val="000000" w:themeColor="text1"/>
          <w:szCs w:val="28"/>
          <w14:textFill>
            <w14:solidFill>
              <w14:schemeClr w14:val="tx1"/>
            </w14:solidFill>
          </w14:textFill>
        </w:rPr>
        <w:fldChar w:fldCharType="end"/>
      </w:r>
    </w:p>
    <w:p>
      <w:pPr>
        <w:pStyle w:val="2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fldChar w:fldCharType="begin"/>
      </w:r>
      <w:r>
        <w:rPr>
          <w:rFonts w:hint="default" w:ascii="Times New Roman" w:hAnsi="Times New Roman"/>
          <w:color w:val="000000" w:themeColor="text1"/>
          <w:szCs w:val="28"/>
          <w14:textFill>
            <w14:solidFill>
              <w14:schemeClr w14:val="tx1"/>
            </w14:solidFill>
          </w14:textFill>
        </w:rPr>
        <w:instrText xml:space="preserve"> HYPERLINK \l _Toc21892 </w:instrText>
      </w:r>
      <w:r>
        <w:rPr>
          <w:rFonts w:hint="default" w:ascii="Times New Roman" w:hAnsi="Times New Roman"/>
          <w:color w:val="000000" w:themeColor="text1"/>
          <w:szCs w:val="28"/>
          <w14:textFill>
            <w14:solidFill>
              <w14:schemeClr w14:val="tx1"/>
            </w14:solidFill>
          </w14:textFill>
        </w:rPr>
        <w:fldChar w:fldCharType="separate"/>
      </w:r>
      <w:r>
        <w:rPr>
          <w:rFonts w:hint="default" w:ascii="Times New Roman" w:hAnsi="Times New Roman"/>
          <w:color w:val="000000" w:themeColor="text1"/>
          <w:szCs w:val="36"/>
          <w14:textFill>
            <w14:solidFill>
              <w14:schemeClr w14:val="tx1"/>
            </w14:solidFill>
          </w14:textFill>
        </w:rPr>
        <w:t>第四章  采购内容及需求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default" w:ascii="Times New Roman" w:hAnsi="Times New Roman"/>
          <w:color w:val="000000" w:themeColor="text1"/>
          <w:szCs w:val="28"/>
          <w14:textFill>
            <w14:solidFill>
              <w14:schemeClr w14:val="tx1"/>
            </w14:solidFill>
          </w14:textFill>
        </w:rPr>
        <w:fldChar w:fldCharType="end"/>
      </w:r>
    </w:p>
    <w:p>
      <w:pPr>
        <w:pStyle w:val="2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fldChar w:fldCharType="begin"/>
      </w:r>
      <w:r>
        <w:rPr>
          <w:rFonts w:hint="default" w:ascii="Times New Roman" w:hAnsi="Times New Roman"/>
          <w:color w:val="000000" w:themeColor="text1"/>
          <w:szCs w:val="28"/>
          <w14:textFill>
            <w14:solidFill>
              <w14:schemeClr w14:val="tx1"/>
            </w14:solidFill>
          </w14:textFill>
        </w:rPr>
        <w:instrText xml:space="preserve"> HYPERLINK \l _Toc15694 </w:instrText>
      </w:r>
      <w:r>
        <w:rPr>
          <w:rFonts w:hint="default" w:ascii="Times New Roman" w:hAnsi="Times New Roman"/>
          <w:color w:val="000000" w:themeColor="text1"/>
          <w:szCs w:val="28"/>
          <w14:textFill>
            <w14:solidFill>
              <w14:schemeClr w14:val="tx1"/>
            </w14:solidFill>
          </w14:textFill>
        </w:rPr>
        <w:fldChar w:fldCharType="separate"/>
      </w:r>
      <w:r>
        <w:rPr>
          <w:rFonts w:ascii="Times New Roman" w:hAnsi="Times New Roman"/>
          <w:color w:val="000000" w:themeColor="text1"/>
          <w:szCs w:val="36"/>
          <w14:textFill>
            <w14:solidFill>
              <w14:schemeClr w14:val="tx1"/>
            </w14:solidFill>
          </w14:textFill>
        </w:rPr>
        <w:t>第五章</w:t>
      </w:r>
      <w:r>
        <w:rPr>
          <w:rFonts w:hint="default" w:ascii="Times New Roman" w:hAnsi="Times New Roman"/>
          <w:color w:val="000000" w:themeColor="text1"/>
          <w:szCs w:val="36"/>
          <w14:textFill>
            <w14:solidFill>
              <w14:schemeClr w14:val="tx1"/>
            </w14:solidFill>
          </w14:textFill>
        </w:rPr>
        <w:t xml:space="preserve"> 合同主要条款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default" w:ascii="Times New Roman" w:hAnsi="Times New Roman"/>
          <w:color w:val="000000" w:themeColor="text1"/>
          <w:szCs w:val="28"/>
          <w14:textFill>
            <w14:solidFill>
              <w14:schemeClr w14:val="tx1"/>
            </w14:solidFill>
          </w14:textFill>
        </w:rPr>
        <w:fldChar w:fldCharType="end"/>
      </w:r>
    </w:p>
    <w:p>
      <w:pPr>
        <w:pStyle w:val="28"/>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fldChar w:fldCharType="begin"/>
      </w:r>
      <w:r>
        <w:rPr>
          <w:rFonts w:hint="default" w:ascii="Times New Roman" w:hAnsi="Times New Roman"/>
          <w:color w:val="000000" w:themeColor="text1"/>
          <w:szCs w:val="28"/>
          <w14:textFill>
            <w14:solidFill>
              <w14:schemeClr w14:val="tx1"/>
            </w14:solidFill>
          </w14:textFill>
        </w:rPr>
        <w:instrText xml:space="preserve"> HYPERLINK \l _Toc8794 </w:instrText>
      </w:r>
      <w:r>
        <w:rPr>
          <w:rFonts w:hint="default" w:ascii="Times New Roman" w:hAnsi="Times New Roman"/>
          <w:color w:val="000000" w:themeColor="text1"/>
          <w:szCs w:val="28"/>
          <w14:textFill>
            <w14:solidFill>
              <w14:schemeClr w14:val="tx1"/>
            </w14:solidFill>
          </w14:textFill>
        </w:rPr>
        <w:fldChar w:fldCharType="separate"/>
      </w:r>
      <w:r>
        <w:rPr>
          <w:rFonts w:hint="default" w:ascii="Times New Roman" w:hAnsi="Times New Roman"/>
          <w:color w:val="000000" w:themeColor="text1"/>
          <w:szCs w:val="36"/>
          <w14:textFill>
            <w14:solidFill>
              <w14:schemeClr w14:val="tx1"/>
            </w14:solidFill>
          </w14:textFill>
        </w:rPr>
        <w:t>第六章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rFonts w:hint="default" w:ascii="Times New Roman" w:hAnsi="Times New Roman"/>
          <w:color w:val="000000" w:themeColor="text1"/>
          <w:szCs w:val="28"/>
          <w14:textFill>
            <w14:solidFill>
              <w14:schemeClr w14:val="tx1"/>
            </w14:solidFill>
          </w14:textFill>
        </w:rPr>
        <w:fldChar w:fldCharType="end"/>
      </w:r>
    </w:p>
    <w:p>
      <w:pPr>
        <w:pStyle w:val="28"/>
        <w:tabs>
          <w:tab w:val="right" w:leader="dot" w:pos="9355"/>
        </w:tabs>
        <w:rPr>
          <w:color w:val="000000" w:themeColor="text1"/>
          <w14:textFill>
            <w14:solidFill>
              <w14:schemeClr w14:val="tx1"/>
            </w14:solidFill>
          </w14:textFill>
        </w:rPr>
      </w:pPr>
    </w:p>
    <w:p>
      <w:pPr>
        <w:pStyle w:val="6"/>
        <w:spacing w:before="120" w:after="120" w:line="360" w:lineRule="auto"/>
        <w:jc w:val="center"/>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Cs w:val="28"/>
          <w14:textFill>
            <w14:solidFill>
              <w14:schemeClr w14:val="tx1"/>
            </w14:solidFill>
          </w14:textFill>
        </w:rPr>
        <w:fldChar w:fldCharType="end"/>
      </w:r>
    </w:p>
    <w:p>
      <w:pPr>
        <w:pStyle w:val="6"/>
        <w:snapToGrid w:val="0"/>
        <w:spacing w:before="120" w:after="120" w:line="360" w:lineRule="auto"/>
        <w:jc w:val="center"/>
        <w:rPr>
          <w:rFonts w:hint="default" w:ascii="Times New Roman" w:hAnsi="Times New Roman"/>
          <w:color w:val="000000" w:themeColor="text1"/>
          <w14:textFill>
            <w14:solidFill>
              <w14:schemeClr w14:val="tx1"/>
            </w14:solidFill>
          </w14:textFill>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pPr>
        <w:snapToGrid w:val="0"/>
        <w:spacing w:line="360" w:lineRule="auto"/>
        <w:ind w:left="238"/>
        <w:jc w:val="center"/>
        <w:rPr>
          <w:rFonts w:hint="default"/>
          <w:color w:val="000000" w:themeColor="text1"/>
          <w:sz w:val="24"/>
          <w14:textFill>
            <w14:solidFill>
              <w14:schemeClr w14:val="tx1"/>
            </w14:solidFill>
          </w14:textFill>
        </w:rPr>
      </w:pPr>
    </w:p>
    <w:p>
      <w:pPr>
        <w:pStyle w:val="6"/>
        <w:spacing w:before="120" w:after="120" w:line="360" w:lineRule="auto"/>
        <w:jc w:val="center"/>
        <w:outlineLvl w:val="0"/>
        <w:rPr>
          <w:rFonts w:hint="default" w:ascii="Times New Roman" w:hAnsi="Times New Roman" w:eastAsia="黑体"/>
          <w:b/>
          <w:color w:val="000000" w:themeColor="text1"/>
          <w:sz w:val="36"/>
          <w:szCs w:val="36"/>
          <w14:textFill>
            <w14:solidFill>
              <w14:schemeClr w14:val="tx1"/>
            </w14:solidFill>
          </w14:textFill>
        </w:rPr>
      </w:pPr>
      <w:bookmarkStart w:id="0" w:name="_Toc11256"/>
      <w:bookmarkStart w:id="1" w:name="_Toc32703"/>
      <w:bookmarkStart w:id="2" w:name="_Toc9198"/>
      <w:bookmarkStart w:id="3" w:name="_Toc21716"/>
      <w:bookmarkStart w:id="4" w:name="_Toc10970"/>
      <w:r>
        <w:rPr>
          <w:rFonts w:hint="default" w:ascii="Times New Roman" w:hAnsi="Times New Roman" w:eastAsia="黑体"/>
          <w:b/>
          <w:color w:val="000000" w:themeColor="text1"/>
          <w:sz w:val="36"/>
          <w:szCs w:val="36"/>
          <w14:textFill>
            <w14:solidFill>
              <w14:schemeClr w14:val="tx1"/>
            </w14:solidFill>
          </w14:textFill>
        </w:rPr>
        <w:t>电子交易须知</w:t>
      </w:r>
      <w:bookmarkEnd w:id="0"/>
      <w:bookmarkEnd w:id="1"/>
      <w:bookmarkEnd w:id="2"/>
      <w:bookmarkEnd w:id="3"/>
      <w:bookmarkEnd w:id="4"/>
    </w:p>
    <w:p>
      <w:pPr>
        <w:pStyle w:val="6"/>
        <w:spacing w:before="120" w:after="120" w:line="360" w:lineRule="auto"/>
        <w:jc w:val="center"/>
        <w:rPr>
          <w:rFonts w:hint="default" w:ascii="Times New Roman" w:hAnsi="Times New Roman" w:eastAsia="黑体"/>
          <w:b/>
          <w:color w:val="000000" w:themeColor="text1"/>
          <w14:textFill>
            <w14:solidFill>
              <w14:schemeClr w14:val="tx1"/>
            </w14:solidFill>
          </w14:textFill>
        </w:rPr>
      </w:pPr>
    </w:p>
    <w:p>
      <w:pPr>
        <w:pStyle w:val="6"/>
        <w:spacing w:before="120" w:after="120" w:line="360" w:lineRule="auto"/>
        <w:ind w:firstLine="472" w:firstLineChars="196"/>
        <w:jc w:val="left"/>
        <w:rPr>
          <w:rFonts w:hint="default" w:ascii="Times New Roman" w:hAnsi="Times New Roman" w:eastAsia="黑体"/>
          <w:b/>
          <w:color w:val="000000" w:themeColor="text1"/>
          <w14:textFill>
            <w14:solidFill>
              <w14:schemeClr w14:val="tx1"/>
            </w14:solidFill>
          </w14:textFill>
        </w:rPr>
      </w:pPr>
      <w:r>
        <w:rPr>
          <w:rFonts w:hint="default" w:ascii="Times New Roman" w:hAnsi="Times New Roman" w:eastAsia="黑体"/>
          <w:b/>
          <w:color w:val="000000" w:themeColor="text1"/>
          <w14:textFill>
            <w14:solidFill>
              <w14:schemeClr w14:val="tx1"/>
            </w14:solidFill>
          </w14:textFill>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pStyle w:val="6"/>
        <w:spacing w:before="120" w:after="120" w:line="360" w:lineRule="auto"/>
        <w:ind w:firstLine="472" w:firstLineChars="196"/>
        <w:jc w:val="left"/>
        <w:rPr>
          <w:rFonts w:hint="default" w:ascii="Times New Roman" w:hAnsi="Times New Roman" w:eastAsia="黑体"/>
          <w:b/>
          <w:color w:val="000000" w:themeColor="text1"/>
          <w14:textFill>
            <w14:solidFill>
              <w14:schemeClr w14:val="tx1"/>
            </w14:solidFill>
          </w14:textFill>
        </w:rPr>
      </w:pPr>
      <w:r>
        <w:rPr>
          <w:rFonts w:hint="default" w:ascii="Times New Roman" w:hAnsi="Times New Roman" w:eastAsia="黑体"/>
          <w:b/>
          <w:color w:val="000000" w:themeColor="text1"/>
          <w14:textFill>
            <w14:solidFill>
              <w14:schemeClr w14:val="tx1"/>
            </w14:solidFill>
          </w14:textFill>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6"/>
        <w:spacing w:before="120" w:after="120" w:line="360" w:lineRule="auto"/>
        <w:ind w:firstLine="472" w:firstLineChars="196"/>
        <w:jc w:val="left"/>
        <w:rPr>
          <w:rFonts w:hint="default" w:ascii="Times New Roman" w:hAnsi="Times New Roman" w:eastAsia="黑体"/>
          <w:b/>
          <w:color w:val="000000" w:themeColor="text1"/>
          <w14:textFill>
            <w14:solidFill>
              <w14:schemeClr w14:val="tx1"/>
            </w14:solidFill>
          </w14:textFill>
        </w:rPr>
      </w:pPr>
      <w:r>
        <w:rPr>
          <w:rFonts w:hint="default" w:ascii="Times New Roman" w:hAnsi="Times New Roman" w:eastAsia="黑体"/>
          <w:b/>
          <w:color w:val="000000" w:themeColor="text1"/>
          <w14:textFill>
            <w14:solidFill>
              <w14:schemeClr w14:val="tx1"/>
            </w14:solidFill>
          </w14:textFill>
        </w:rPr>
        <w:t>3、供应商应当在递交响应文件截止时间前，将“电子交易客户端”生成的“电子加密响应文件”上传电子交易平台。</w:t>
      </w:r>
    </w:p>
    <w:p>
      <w:pPr>
        <w:pStyle w:val="6"/>
        <w:spacing w:before="120" w:after="120" w:line="360" w:lineRule="auto"/>
        <w:ind w:firstLine="472" w:firstLineChars="196"/>
        <w:jc w:val="left"/>
        <w:rPr>
          <w:rFonts w:hint="default" w:ascii="Times New Roman" w:hAnsi="Times New Roman" w:eastAsia="黑体"/>
          <w:b/>
          <w:color w:val="000000" w:themeColor="text1"/>
          <w14:textFill>
            <w14:solidFill>
              <w14:schemeClr w14:val="tx1"/>
            </w14:solidFill>
          </w14:textFill>
        </w:rPr>
      </w:pPr>
      <w:r>
        <w:rPr>
          <w:rFonts w:hint="default" w:ascii="Times New Roman" w:hAnsi="Times New Roman" w:eastAsia="黑体"/>
          <w:b/>
          <w:color w:val="000000" w:themeColor="text1"/>
          <w14:textFill>
            <w14:solidFill>
              <w14:schemeClr w14:val="tx1"/>
            </w14:solidFill>
          </w14:textFill>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6"/>
        <w:spacing w:before="120" w:after="120" w:line="360" w:lineRule="auto"/>
        <w:ind w:firstLine="472" w:firstLineChars="196"/>
        <w:jc w:val="left"/>
        <w:rPr>
          <w:rFonts w:hint="default" w:ascii="Times New Roman" w:hAnsi="Times New Roman" w:eastAsia="黑体"/>
          <w:b/>
          <w:color w:val="000000" w:themeColor="text1"/>
          <w14:textFill>
            <w14:solidFill>
              <w14:schemeClr w14:val="tx1"/>
            </w14:solidFill>
          </w14:textFill>
        </w:rPr>
      </w:pPr>
      <w:r>
        <w:rPr>
          <w:rFonts w:hint="default" w:ascii="Times New Roman" w:hAnsi="Times New Roman" w:eastAsia="黑体"/>
          <w:b/>
          <w:color w:val="000000" w:themeColor="text1"/>
          <w14:textFill>
            <w14:solidFill>
              <w14:schemeClr w14:val="tx1"/>
            </w14:solidFill>
          </w14:textFill>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pStyle w:val="6"/>
        <w:snapToGrid w:val="0"/>
        <w:spacing w:before="120" w:after="120" w:line="360" w:lineRule="auto"/>
        <w:jc w:val="left"/>
        <w:outlineLvl w:val="0"/>
        <w:rPr>
          <w:rFonts w:hint="default" w:ascii="Times New Roman" w:hAnsi="Times New Roman"/>
          <w:b/>
          <w:color w:val="000000" w:themeColor="text1"/>
          <w:sz w:val="36"/>
          <w:szCs w:val="36"/>
          <w14:textFill>
            <w14:solidFill>
              <w14:schemeClr w14:val="tx1"/>
            </w14:solidFill>
          </w14:textFill>
        </w:rPr>
      </w:pPr>
      <w:bookmarkStart w:id="5" w:name="_Toc8609"/>
      <w:bookmarkStart w:id="6" w:name="_Toc30331"/>
      <w:bookmarkStart w:id="7" w:name="_Toc20790"/>
      <w:bookmarkStart w:id="8" w:name="_Toc20707"/>
      <w:bookmarkStart w:id="9" w:name="_Toc30692"/>
      <w:bookmarkStart w:id="10" w:name="_Toc9586"/>
      <w:bookmarkStart w:id="11" w:name="_Toc17724"/>
      <w:r>
        <w:rPr>
          <w:rFonts w:hint="default" w:ascii="Times New Roman" w:hAnsi="Times New Roman" w:eastAsia="黑体"/>
          <w:b/>
          <w:color w:val="000000" w:themeColor="text1"/>
          <w14:textFill>
            <w14:solidFill>
              <w14:schemeClr w14:val="tx1"/>
            </w14:solidFill>
          </w14:textFill>
        </w:rPr>
        <w:t>6、供应商在参加电子交易过程中，可登录电子交易平台“帮助文档”版面获取《电子交易管理操作指南》，或致电平台</w:t>
      </w:r>
      <w:r>
        <w:rPr>
          <w:rFonts w:hint="eastAsia" w:ascii="Times New Roman" w:hAnsi="Times New Roman" w:eastAsia="黑体"/>
          <w:b/>
          <w:color w:val="000000" w:themeColor="text1"/>
          <w:lang w:val="en-US" w:eastAsia="zh-CN"/>
          <w14:textFill>
            <w14:solidFill>
              <w14:schemeClr w14:val="tx1"/>
            </w14:solidFill>
          </w14:textFill>
        </w:rPr>
        <w:t>95763</w:t>
      </w:r>
      <w:r>
        <w:rPr>
          <w:rFonts w:hint="default" w:ascii="Times New Roman" w:hAnsi="Times New Roman" w:eastAsia="黑体"/>
          <w:b/>
          <w:color w:val="000000" w:themeColor="text1"/>
          <w14:textFill>
            <w14:solidFill>
              <w14:schemeClr w14:val="tx1"/>
            </w14:solidFill>
          </w14:textFill>
        </w:rPr>
        <w:t>获取相关服务支持。</w:t>
      </w:r>
      <w:bookmarkEnd w:id="5"/>
      <w:bookmarkEnd w:id="6"/>
      <w:bookmarkEnd w:id="7"/>
      <w:bookmarkEnd w:id="8"/>
      <w:bookmarkEnd w:id="9"/>
      <w:bookmarkEnd w:id="10"/>
      <w:bookmarkEnd w:id="11"/>
    </w:p>
    <w:p>
      <w:pPr>
        <w:pStyle w:val="6"/>
        <w:snapToGrid w:val="0"/>
        <w:spacing w:before="120" w:after="120" w:line="360" w:lineRule="auto"/>
        <w:jc w:val="center"/>
        <w:outlineLvl w:val="0"/>
        <w:rPr>
          <w:rFonts w:hint="default" w:ascii="Times New Roman" w:hAnsi="Times New Roman"/>
          <w:b/>
          <w:color w:val="000000" w:themeColor="text1"/>
          <w:sz w:val="36"/>
          <w:szCs w:val="36"/>
          <w14:textFill>
            <w14:solidFill>
              <w14:schemeClr w14:val="tx1"/>
            </w14:solidFill>
          </w14:textFill>
        </w:rPr>
      </w:pPr>
    </w:p>
    <w:p>
      <w:pPr>
        <w:pStyle w:val="6"/>
        <w:snapToGrid w:val="0"/>
        <w:spacing w:before="120" w:after="120" w:line="360" w:lineRule="auto"/>
        <w:jc w:val="center"/>
        <w:outlineLvl w:val="0"/>
        <w:rPr>
          <w:rStyle w:val="142"/>
          <w:rFonts w:hint="default" w:ascii="Times New Roman" w:hAnsi="Times New Roman"/>
          <w:color w:val="000000" w:themeColor="text1"/>
          <w:spacing w:val="-4"/>
          <w:sz w:val="32"/>
          <w:szCs w:val="32"/>
          <w14:textFill>
            <w14:solidFill>
              <w14:schemeClr w14:val="tx1"/>
            </w14:solidFill>
          </w14:textFill>
        </w:rPr>
        <w:sectPr>
          <w:headerReference r:id="rId8" w:type="default"/>
          <w:footerReference r:id="rId9" w:type="default"/>
          <w:pgSz w:w="11906" w:h="16838"/>
          <w:pgMar w:top="1134" w:right="1247" w:bottom="1247" w:left="1304" w:header="794" w:footer="794" w:gutter="0"/>
          <w:cols w:space="720" w:num="1"/>
          <w:docGrid w:linePitch="312" w:charSpace="0"/>
        </w:sectPr>
      </w:pPr>
    </w:p>
    <w:p>
      <w:pPr>
        <w:pStyle w:val="6"/>
        <w:snapToGrid w:val="0"/>
        <w:spacing w:before="120" w:after="120" w:line="360" w:lineRule="auto"/>
        <w:jc w:val="center"/>
        <w:outlineLvl w:val="0"/>
        <w:rPr>
          <w:rStyle w:val="142"/>
          <w:rFonts w:hint="default" w:ascii="Times New Roman" w:hAnsi="Times New Roman"/>
          <w:color w:val="000000" w:themeColor="text1"/>
          <w:spacing w:val="-4"/>
          <w:sz w:val="32"/>
          <w:szCs w:val="32"/>
          <w14:textFill>
            <w14:solidFill>
              <w14:schemeClr w14:val="tx1"/>
            </w14:solidFill>
          </w14:textFill>
        </w:rPr>
      </w:pPr>
      <w:bookmarkStart w:id="12" w:name="_Toc28934"/>
      <w:r>
        <w:rPr>
          <w:rStyle w:val="142"/>
          <w:rFonts w:hint="default" w:ascii="Times New Roman" w:hAnsi="Times New Roman"/>
          <w:color w:val="000000" w:themeColor="text1"/>
          <w:spacing w:val="-4"/>
          <w:sz w:val="32"/>
          <w:szCs w:val="32"/>
          <w14:textFill>
            <w14:solidFill>
              <w14:schemeClr w14:val="tx1"/>
            </w14:solidFill>
          </w14:textFill>
        </w:rPr>
        <w:t>第一章  招标公告</w:t>
      </w:r>
      <w:bookmarkEnd w:id="12"/>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color w:val="000000" w:themeColor="text1"/>
          <w:sz w:val="24"/>
          <w14:textFill>
            <w14:solidFill>
              <w14:schemeClr w14:val="tx1"/>
            </w14:solidFill>
          </w14:textFill>
        </w:rPr>
      </w:pPr>
      <w:r>
        <w:rPr>
          <w:rFonts w:hint="eastAsia"/>
          <w:color w:val="000000" w:themeColor="text1"/>
          <w:sz w:val="24"/>
          <w:u w:val="single"/>
          <w:lang w:eastAsia="zh-CN"/>
          <w14:textFill>
            <w14:solidFill>
              <w14:schemeClr w14:val="tx1"/>
            </w14:solidFill>
          </w14:textFill>
        </w:rPr>
        <w:t>龙游县横山镇数字赋能农村生活垃圾分类设备采购项目</w:t>
      </w:r>
      <w:r>
        <w:rPr>
          <w:rFonts w:hint="default"/>
          <w:color w:val="000000" w:themeColor="text1"/>
          <w:sz w:val="24"/>
          <w14:textFill>
            <w14:solidFill>
              <w14:schemeClr w14:val="tx1"/>
            </w14:solidFill>
          </w14:textFill>
        </w:rPr>
        <w:t>的潜在投标人在</w:t>
      </w:r>
      <w:r>
        <w:rPr>
          <w:rFonts w:hint="default"/>
          <w:color w:val="000000" w:themeColor="text1"/>
          <w:sz w:val="24"/>
          <w:u w:val="single"/>
          <w14:textFill>
            <w14:solidFill>
              <w14:schemeClr w14:val="tx1"/>
            </w14:solidFill>
          </w14:textFill>
        </w:rPr>
        <w:t>https://www.zcygov.cn</w:t>
      </w:r>
      <w:r>
        <w:rPr>
          <w:rFonts w:hint="default"/>
          <w:color w:val="000000" w:themeColor="text1"/>
          <w:sz w:val="24"/>
          <w14:textFill>
            <w14:solidFill>
              <w14:schemeClr w14:val="tx1"/>
            </w14:solidFill>
          </w14:textFill>
        </w:rPr>
        <w:t>获取（下载）招标文件，并于</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06</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26</w:t>
      </w:r>
      <w:r>
        <w:rPr>
          <w:color w:val="000000" w:themeColor="text1"/>
          <w:sz w:val="24"/>
          <w14:textFill>
            <w14:solidFill>
              <w14:schemeClr w14:val="tx1"/>
            </w14:solidFill>
          </w14:textFill>
        </w:rPr>
        <w:t>日09:</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0</w:t>
      </w:r>
      <w:r>
        <w:rPr>
          <w:rFonts w:hint="default"/>
          <w:bCs/>
          <w:color w:val="000000" w:themeColor="text1"/>
          <w:sz w:val="24"/>
          <w14:textFill>
            <w14:solidFill>
              <w14:schemeClr w14:val="tx1"/>
            </w14:solidFill>
          </w14:textFill>
        </w:rPr>
        <w:t>（北京时间）前提交（上传）投标文件</w:t>
      </w:r>
      <w:r>
        <w:rPr>
          <w:rFonts w:hint="default"/>
          <w:color w:val="000000" w:themeColor="text1"/>
          <w:sz w:val="24"/>
          <w14:textFill>
            <w14:solidFill>
              <w14:schemeClr w14:val="tx1"/>
            </w14:solidFill>
          </w14:textFill>
        </w:rPr>
        <w:t>。</w:t>
      </w:r>
    </w:p>
    <w:p>
      <w:pPr>
        <w:pStyle w:val="18"/>
        <w:spacing w:line="360" w:lineRule="auto"/>
        <w:ind w:firstLine="0"/>
        <w:rPr>
          <w:rFonts w:hint="default" w:ascii="Times New Roman" w:hAnsi="Times New Roman"/>
          <w:color w:val="000000" w:themeColor="text1"/>
          <w:spacing w:val="0"/>
          <w:sz w:val="24"/>
          <w:szCs w:val="22"/>
          <w14:textFill>
            <w14:solidFill>
              <w14:schemeClr w14:val="tx1"/>
            </w14:solidFill>
          </w14:textFill>
        </w:rPr>
      </w:pPr>
      <w:bookmarkStart w:id="13" w:name="_Toc35393621"/>
      <w:bookmarkStart w:id="14" w:name="_Toc35393790"/>
      <w:bookmarkStart w:id="15" w:name="_Toc28359079"/>
      <w:bookmarkStart w:id="16" w:name="_Toc28359002"/>
      <w:r>
        <w:rPr>
          <w:rFonts w:hint="default" w:ascii="Times New Roman" w:hAnsi="Times New Roman"/>
          <w:color w:val="000000" w:themeColor="text1"/>
          <w:spacing w:val="0"/>
          <w:sz w:val="24"/>
          <w:szCs w:val="22"/>
          <w14:textFill>
            <w14:solidFill>
              <w14:schemeClr w14:val="tx1"/>
            </w14:solidFill>
          </w14:textFill>
        </w:rPr>
        <w:t>一、项目基本情况</w:t>
      </w:r>
      <w:bookmarkEnd w:id="13"/>
      <w:bookmarkEnd w:id="14"/>
      <w:bookmarkEnd w:id="15"/>
      <w:bookmarkEnd w:id="16"/>
    </w:p>
    <w:p>
      <w:pPr>
        <w:pStyle w:val="38"/>
        <w:spacing w:before="0" w:beforeAutospacing="0" w:after="0" w:afterAutospacing="0" w:line="360" w:lineRule="auto"/>
        <w:ind w:firstLine="480" w:firstLineChars="200"/>
        <w:rPr>
          <w:rFonts w:hint="eastAsia" w:ascii="Times New Roman" w:hAnsi="Times New Roman" w:eastAsia="宋体"/>
          <w:color w:val="000000" w:themeColor="text1"/>
          <w:kern w:val="2"/>
          <w:szCs w:val="22"/>
          <w:lang w:eastAsia="zh-CN"/>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项目编号：</w:t>
      </w:r>
      <w:r>
        <w:rPr>
          <w:rFonts w:hint="eastAsia" w:ascii="Times New Roman" w:hAnsi="Times New Roman"/>
          <w:color w:val="000000" w:themeColor="text1"/>
          <w:kern w:val="2"/>
          <w:szCs w:val="22"/>
          <w:lang w:eastAsia="zh-CN"/>
          <w14:textFill>
            <w14:solidFill>
              <w14:schemeClr w14:val="tx1"/>
            </w14:solidFill>
          </w14:textFill>
        </w:rPr>
        <w:t>LYCG2024TY-044</w:t>
      </w:r>
    </w:p>
    <w:p>
      <w:pPr>
        <w:pStyle w:val="38"/>
        <w:spacing w:before="0" w:beforeAutospacing="0" w:after="0" w:afterAutospacing="0" w:line="360" w:lineRule="auto"/>
        <w:ind w:firstLine="480" w:firstLineChars="200"/>
        <w:rPr>
          <w:rFonts w:hint="eastAsia" w:ascii="Times New Roman" w:hAnsi="Times New Roman" w:eastAsia="宋体"/>
          <w:color w:val="000000" w:themeColor="text1"/>
          <w:kern w:val="2"/>
          <w:szCs w:val="22"/>
          <w:lang w:eastAsia="zh-CN"/>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项目名称：</w:t>
      </w:r>
      <w:r>
        <w:rPr>
          <w:rFonts w:hint="eastAsia" w:ascii="Times New Roman" w:hAnsi="Times New Roman"/>
          <w:color w:val="000000" w:themeColor="text1"/>
          <w:kern w:val="2"/>
          <w:szCs w:val="22"/>
          <w:lang w:eastAsia="zh-CN"/>
          <w14:textFill>
            <w14:solidFill>
              <w14:schemeClr w14:val="tx1"/>
            </w14:solidFill>
          </w14:textFill>
        </w:rPr>
        <w:t>龙游县横山镇数字赋能农村生活垃圾分类设备采购项目</w:t>
      </w:r>
    </w:p>
    <w:p>
      <w:pPr>
        <w:pStyle w:val="38"/>
        <w:spacing w:before="0" w:beforeAutospacing="0" w:after="0" w:afterAutospacing="0" w:line="360" w:lineRule="auto"/>
        <w:ind w:firstLine="480" w:firstLineChars="200"/>
        <w:rPr>
          <w:rFonts w:hint="default" w:ascii="Times New Roman" w:hAnsi="Times New Roman"/>
          <w:color w:val="000000" w:themeColor="text1"/>
          <w:kern w:val="2"/>
          <w:szCs w:val="22"/>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预算金额（元）：</w:t>
      </w:r>
      <w:r>
        <w:rPr>
          <w:rFonts w:hint="eastAsia" w:ascii="Times New Roman" w:hAnsi="Times New Roman" w:cs="Times New Roman"/>
          <w:color w:val="000000" w:themeColor="text1"/>
          <w:kern w:val="2"/>
          <w:szCs w:val="22"/>
          <w:lang w:val="en-US" w:eastAsia="zh-CN"/>
          <w14:textFill>
            <w14:solidFill>
              <w14:schemeClr w14:val="tx1"/>
            </w14:solidFill>
          </w14:textFill>
        </w:rPr>
        <w:t>600000</w:t>
      </w:r>
    </w:p>
    <w:p>
      <w:pPr>
        <w:pStyle w:val="38"/>
        <w:spacing w:before="0" w:beforeAutospacing="0" w:after="0" w:afterAutospacing="0" w:line="360" w:lineRule="auto"/>
        <w:ind w:firstLine="480" w:firstLineChars="200"/>
        <w:rPr>
          <w:rFonts w:hint="default" w:ascii="Times New Roman" w:hAnsi="Times New Roman"/>
          <w:color w:val="000000" w:themeColor="text1"/>
          <w:kern w:val="2"/>
          <w:szCs w:val="22"/>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最高限价（元）：</w:t>
      </w:r>
      <w:r>
        <w:rPr>
          <w:rFonts w:hint="eastAsia" w:ascii="Times New Roman" w:hAnsi="Times New Roman" w:cs="Times New Roman"/>
          <w:color w:val="000000" w:themeColor="text1"/>
          <w:kern w:val="2"/>
          <w:szCs w:val="22"/>
          <w:lang w:val="en-US" w:eastAsia="zh-CN"/>
          <w14:textFill>
            <w14:solidFill>
              <w14:schemeClr w14:val="tx1"/>
            </w14:solidFill>
          </w14:textFill>
        </w:rPr>
        <w:t>600000</w:t>
      </w:r>
    </w:p>
    <w:p>
      <w:pPr>
        <w:pStyle w:val="38"/>
        <w:spacing w:before="0" w:beforeAutospacing="0" w:after="0" w:afterAutospacing="0" w:line="360" w:lineRule="auto"/>
        <w:ind w:firstLine="480" w:firstLineChars="200"/>
        <w:rPr>
          <w:rFonts w:hint="default" w:ascii="Times New Roman" w:hAnsi="Times New Roman"/>
          <w:color w:val="000000" w:themeColor="text1"/>
          <w:kern w:val="2"/>
          <w:szCs w:val="22"/>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采购需求：</w:t>
      </w:r>
    </w:p>
    <w:p>
      <w:pPr>
        <w:pStyle w:val="38"/>
        <w:spacing w:before="0" w:beforeAutospacing="0" w:after="0" w:afterAutospacing="0" w:line="360" w:lineRule="auto"/>
        <w:ind w:firstLine="480" w:firstLineChars="200"/>
        <w:rPr>
          <w:rFonts w:hint="eastAsia" w:ascii="Times New Roman" w:hAnsi="Times New Roman" w:eastAsia="宋体"/>
          <w:color w:val="000000" w:themeColor="text1"/>
          <w:kern w:val="2"/>
          <w:szCs w:val="22"/>
          <w:lang w:eastAsia="zh-CN"/>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标项名称：</w:t>
      </w:r>
      <w:r>
        <w:rPr>
          <w:rFonts w:hint="eastAsia" w:ascii="Times New Roman" w:hAnsi="Times New Roman"/>
          <w:color w:val="000000" w:themeColor="text1"/>
          <w:kern w:val="2"/>
          <w:szCs w:val="22"/>
          <w:lang w:eastAsia="zh-CN"/>
          <w14:textFill>
            <w14:solidFill>
              <w14:schemeClr w14:val="tx1"/>
            </w14:solidFill>
          </w14:textFill>
        </w:rPr>
        <w:t>龙游县横山镇数字赋能农村生活垃圾分类设备采购项目</w:t>
      </w:r>
    </w:p>
    <w:p>
      <w:pPr>
        <w:pStyle w:val="38"/>
        <w:spacing w:before="0" w:beforeAutospacing="0" w:after="0" w:afterAutospacing="0" w:line="360" w:lineRule="auto"/>
        <w:ind w:firstLine="480" w:firstLineChars="200"/>
        <w:rPr>
          <w:rFonts w:hint="default" w:ascii="Times New Roman" w:hAnsi="Times New Roman"/>
          <w:color w:val="000000" w:themeColor="text1"/>
          <w:kern w:val="2"/>
          <w:szCs w:val="22"/>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数量：1批</w:t>
      </w:r>
    </w:p>
    <w:p>
      <w:pPr>
        <w:pStyle w:val="38"/>
        <w:spacing w:before="0" w:beforeAutospacing="0" w:after="0" w:afterAutospacing="0" w:line="360" w:lineRule="auto"/>
        <w:ind w:firstLine="480" w:firstLineChars="200"/>
        <w:rPr>
          <w:rFonts w:hint="eastAsia" w:ascii="Times New Roman" w:hAnsi="Times New Roman" w:eastAsia="宋体"/>
          <w:color w:val="000000" w:themeColor="text1"/>
          <w:kern w:val="2"/>
          <w:szCs w:val="22"/>
          <w:lang w:eastAsia="zh-CN"/>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预算金额（元）：</w:t>
      </w:r>
      <w:r>
        <w:rPr>
          <w:rFonts w:hint="eastAsia" w:ascii="Times New Roman" w:hAnsi="Times New Roman"/>
          <w:color w:val="000000" w:themeColor="text1"/>
          <w:kern w:val="2"/>
          <w:szCs w:val="22"/>
          <w:lang w:eastAsia="zh-CN"/>
          <w14:textFill>
            <w14:solidFill>
              <w14:schemeClr w14:val="tx1"/>
            </w14:solidFill>
          </w14:textFill>
        </w:rPr>
        <w:t>600000</w:t>
      </w:r>
    </w:p>
    <w:p>
      <w:pPr>
        <w:pStyle w:val="38"/>
        <w:spacing w:before="0" w:beforeAutospacing="0" w:after="0" w:afterAutospacing="0" w:line="360" w:lineRule="auto"/>
        <w:ind w:firstLine="480" w:firstLineChars="200"/>
        <w:rPr>
          <w:rFonts w:hint="default" w:ascii="Times New Roman" w:hAnsi="Times New Roman"/>
          <w:color w:val="000000" w:themeColor="text1"/>
          <w:kern w:val="2"/>
          <w:szCs w:val="22"/>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简要规格描述或项目基本概况介绍、用途：</w:t>
      </w:r>
      <w:r>
        <w:rPr>
          <w:rFonts w:hint="eastAsia" w:ascii="Times New Roman" w:hAnsi="Times New Roman"/>
          <w:color w:val="000000" w:themeColor="text1"/>
          <w:kern w:val="2"/>
          <w:szCs w:val="22"/>
          <w:lang w:eastAsia="zh-CN"/>
          <w14:textFill>
            <w14:solidFill>
              <w14:schemeClr w14:val="tx1"/>
            </w14:solidFill>
          </w14:textFill>
        </w:rPr>
        <w:t>龙游县横山镇数字赋能农村生活垃圾分类设备采购项目</w:t>
      </w:r>
      <w:r>
        <w:rPr>
          <w:rFonts w:hint="default" w:ascii="Times New Roman" w:hAnsi="Times New Roman"/>
          <w:color w:val="000000" w:themeColor="text1"/>
          <w:kern w:val="2"/>
          <w:szCs w:val="22"/>
          <w14:textFill>
            <w14:solidFill>
              <w14:schemeClr w14:val="tx1"/>
            </w14:solidFill>
          </w14:textFill>
        </w:rPr>
        <w:t>，详见第四章采购内容及需求。</w:t>
      </w:r>
    </w:p>
    <w:p>
      <w:pPr>
        <w:pStyle w:val="38"/>
        <w:spacing w:before="0" w:beforeAutospacing="0" w:after="0" w:afterAutospacing="0" w:line="360" w:lineRule="auto"/>
        <w:ind w:firstLine="480" w:firstLineChars="200"/>
        <w:rPr>
          <w:rFonts w:hint="default" w:ascii="Times New Roman" w:hAnsi="Times New Roman"/>
          <w:color w:val="000000" w:themeColor="text1"/>
          <w:kern w:val="2"/>
          <w:szCs w:val="22"/>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合同履约期限：</w:t>
      </w:r>
      <w:r>
        <w:rPr>
          <w:rFonts w:hint="eastAsia"/>
          <w:highlight w:val="none"/>
          <w:lang w:eastAsia="zh-CN"/>
        </w:rPr>
        <w:t>合同签订后，接采购人通知后的30天内完成供货、安装并通过业主验收。运营服务期：1年（通过最终验收，正式交付之日起）。</w:t>
      </w:r>
    </w:p>
    <w:p>
      <w:pPr>
        <w:pStyle w:val="38"/>
        <w:spacing w:before="0" w:beforeAutospacing="0" w:after="0" w:afterAutospacing="0" w:line="360" w:lineRule="auto"/>
        <w:ind w:firstLine="480" w:firstLineChars="200"/>
        <w:rPr>
          <w:rFonts w:hint="default" w:ascii="Times New Roman" w:hAnsi="Times New Roman"/>
          <w:color w:val="000000" w:themeColor="text1"/>
          <w:kern w:val="2"/>
          <w:szCs w:val="22"/>
          <w14:textFill>
            <w14:solidFill>
              <w14:schemeClr w14:val="tx1"/>
            </w14:solidFill>
          </w14:textFill>
        </w:rPr>
      </w:pPr>
      <w:r>
        <w:rPr>
          <w:rFonts w:hint="default" w:ascii="Times New Roman" w:hAnsi="Times New Roman"/>
          <w:color w:val="000000" w:themeColor="text1"/>
          <w:kern w:val="2"/>
          <w:szCs w:val="22"/>
          <w14:textFill>
            <w14:solidFill>
              <w14:schemeClr w14:val="tx1"/>
            </w14:solidFill>
          </w14:textFill>
        </w:rPr>
        <w:t>本项目（</w:t>
      </w:r>
      <w:r>
        <w:rPr>
          <w:rFonts w:hint="eastAsia" w:ascii="Times New Roman" w:hAnsi="Times New Roman"/>
          <w:color w:val="000000" w:themeColor="text1"/>
          <w:kern w:val="2"/>
          <w:szCs w:val="22"/>
          <w:lang w:eastAsia="zh-CN"/>
          <w14:textFill>
            <w14:solidFill>
              <w14:schemeClr w14:val="tx1"/>
            </w14:solidFill>
          </w14:textFill>
        </w:rPr>
        <w:t>否</w:t>
      </w:r>
      <w:r>
        <w:rPr>
          <w:rFonts w:hint="default" w:ascii="Times New Roman" w:hAnsi="Times New Roman"/>
          <w:color w:val="000000" w:themeColor="text1"/>
          <w:kern w:val="2"/>
          <w:szCs w:val="22"/>
          <w14:textFill>
            <w14:solidFill>
              <w14:schemeClr w14:val="tx1"/>
            </w14:solidFill>
          </w14:textFill>
        </w:rPr>
        <w:t>）接受联合体投标。</w:t>
      </w:r>
    </w:p>
    <w:p>
      <w:pPr>
        <w:pStyle w:val="18"/>
        <w:spacing w:line="360" w:lineRule="auto"/>
        <w:ind w:firstLine="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二、申请人的资格要求：</w:t>
      </w:r>
    </w:p>
    <w:p>
      <w:pPr>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w:t>
      </w:r>
      <w:r>
        <w:rPr>
          <w:color w:val="000000" w:themeColor="text1"/>
          <w:sz w:val="24"/>
          <w14:textFill>
            <w14:solidFill>
              <w14:schemeClr w14:val="tx1"/>
            </w14:solidFill>
          </w14:textFill>
        </w:rPr>
        <w:t>重大税收违法失信主体</w:t>
      </w:r>
      <w:r>
        <w:rPr>
          <w:rFonts w:hint="default"/>
          <w:color w:val="000000" w:themeColor="text1"/>
          <w:sz w:val="24"/>
          <w14:textFill>
            <w14:solidFill>
              <w14:schemeClr w14:val="tx1"/>
            </w14:solidFill>
          </w14:textFill>
        </w:rPr>
        <w:t>、政府采购严重违法失信行为记录名单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具有独立法人资格</w:t>
      </w:r>
      <w:r>
        <w:rPr>
          <w:rFonts w:hint="default"/>
          <w:color w:val="000000" w:themeColor="text1"/>
          <w:sz w:val="24"/>
          <w14:textFill>
            <w14:solidFill>
              <w14:schemeClr w14:val="tx1"/>
            </w14:solidFill>
          </w14:textFill>
        </w:rPr>
        <w:t>。</w:t>
      </w:r>
    </w:p>
    <w:p>
      <w:pPr>
        <w:spacing w:line="360" w:lineRule="auto"/>
        <w:ind w:firstLine="482" w:firstLineChars="200"/>
        <w:rPr>
          <w:rFonts w:hint="default" w:ascii="宋体" w:hAnsi="宋体" w:cs="宋体"/>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2.落实政府采购政策需满足的资格要求：</w:t>
      </w:r>
      <w:r>
        <w:rPr>
          <w:rFonts w:hint="eastAsia" w:ascii="Times New Roman" w:hAnsi="Times New Roman" w:eastAsia="宋体" w:cs="Times New Roman"/>
          <w:color w:val="000000" w:themeColor="text1"/>
          <w:sz w:val="24"/>
          <w14:textFill>
            <w14:solidFill>
              <w14:schemeClr w14:val="tx1"/>
            </w14:solidFill>
          </w14:textFill>
        </w:rPr>
        <w:t>本项目专门面向中小企业/小微企业。</w:t>
      </w:r>
    </w:p>
    <w:p>
      <w:pPr>
        <w:adjustRightInd w:val="0"/>
        <w:snapToGrid w:val="0"/>
        <w:spacing w:line="288" w:lineRule="auto"/>
        <w:ind w:firstLine="480" w:firstLineChars="200"/>
        <w:rPr>
          <w:rFonts w:hint="default" w:ascii="宋体" w:hAnsi="宋体" w:cs="宋体"/>
          <w:color w:val="000000" w:themeColor="text1"/>
          <w:sz w:val="24"/>
          <w:szCs w:val="24"/>
          <w14:textFill>
            <w14:solidFill>
              <w14:schemeClr w14:val="tx1"/>
            </w14:solidFill>
          </w14:textFill>
        </w:rPr>
      </w:pPr>
      <w:r>
        <w:rPr>
          <w:rFonts w:hint="default"/>
          <w:color w:val="000000" w:themeColor="text1"/>
          <w:sz w:val="24"/>
          <w14:textFill>
            <w14:solidFill>
              <w14:schemeClr w14:val="tx1"/>
            </w14:solidFill>
          </w14:textFill>
        </w:rPr>
        <w:t>3.本项目的特定资格要求：</w:t>
      </w:r>
      <w:r>
        <w:rPr>
          <w:rFonts w:hint="eastAsia"/>
          <w:color w:val="000000" w:themeColor="text1"/>
          <w:sz w:val="24"/>
          <w:lang w:val="en-US" w:eastAsia="zh-CN"/>
          <w14:textFill>
            <w14:solidFill>
              <w14:schemeClr w14:val="tx1"/>
            </w14:solidFill>
          </w14:textFill>
        </w:rPr>
        <w:t>无</w:t>
      </w:r>
      <w:r>
        <w:rPr>
          <w:rFonts w:ascii="宋体" w:hAnsi="宋体" w:cs="宋体"/>
          <w:color w:val="000000" w:themeColor="text1"/>
          <w:sz w:val="24"/>
          <w:szCs w:val="24"/>
          <w14:textFill>
            <w14:solidFill>
              <w14:schemeClr w14:val="tx1"/>
            </w14:solidFill>
          </w14:textFill>
        </w:rPr>
        <w:t>。</w:t>
      </w:r>
    </w:p>
    <w:p>
      <w:pPr>
        <w:pStyle w:val="3"/>
        <w:spacing w:before="0" w:after="0" w:line="360" w:lineRule="auto"/>
        <w:rPr>
          <w:rFonts w:hint="default" w:ascii="Times New Roman" w:hAnsi="Times New Roman" w:eastAsia="宋体"/>
          <w:b w:val="0"/>
          <w:color w:val="000000" w:themeColor="text1"/>
          <w:sz w:val="24"/>
          <w:szCs w:val="24"/>
          <w14:textFill>
            <w14:solidFill>
              <w14:schemeClr w14:val="tx1"/>
            </w14:solidFill>
          </w14:textFill>
        </w:rPr>
      </w:pPr>
      <w:bookmarkStart w:id="17" w:name="_Toc35393623"/>
      <w:bookmarkStart w:id="18" w:name="_Toc35393792"/>
      <w:r>
        <w:rPr>
          <w:rFonts w:hint="default" w:ascii="Times New Roman" w:hAnsi="Times New Roman" w:eastAsia="宋体"/>
          <w:b w:val="0"/>
          <w:color w:val="000000" w:themeColor="text1"/>
          <w:sz w:val="24"/>
          <w:szCs w:val="24"/>
          <w14:textFill>
            <w14:solidFill>
              <w14:schemeClr w14:val="tx1"/>
            </w14:solidFill>
          </w14:textFill>
        </w:rPr>
        <w:t>三、获取（下载）招标文件</w:t>
      </w:r>
      <w:bookmarkEnd w:id="17"/>
      <w:bookmarkEnd w:id="18"/>
    </w:p>
    <w:p>
      <w:pPr>
        <w:spacing w:line="360" w:lineRule="auto"/>
        <w:ind w:firstLine="54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1.时间：</w:t>
      </w:r>
      <w:r>
        <w:rPr>
          <w:rFonts w:hint="default" w:ascii="Times New Roman" w:hAnsi="Times New Roman" w:eastAsia="宋体" w:cs="Times New Roman"/>
          <w:color w:val="000000" w:themeColor="text1"/>
          <w:sz w:val="24"/>
          <w14:textFill>
            <w14:solidFill>
              <w14:schemeClr w14:val="tx1"/>
            </w14:solidFill>
          </w14:textFill>
        </w:rPr>
        <w:t>采购公告发布之日起至磋商响应文件提交截止时间前</w:t>
      </w:r>
      <w:r>
        <w:rPr>
          <w:rFonts w:hint="default"/>
          <w:color w:val="000000" w:themeColor="text1"/>
          <w:sz w:val="24"/>
          <w14:textFill>
            <w14:solidFill>
              <w14:schemeClr w14:val="tx1"/>
            </w14:solidFill>
          </w14:textFill>
        </w:rPr>
        <w:t>。</w:t>
      </w:r>
    </w:p>
    <w:p>
      <w:pPr>
        <w:spacing w:line="360" w:lineRule="auto"/>
        <w:ind w:firstLine="54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2.地点（网址）：https://www.zcygov.cn</w:t>
      </w:r>
    </w:p>
    <w:p>
      <w:pPr>
        <w:spacing w:line="360" w:lineRule="auto"/>
        <w:ind w:firstLine="54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pPr>
        <w:spacing w:line="360" w:lineRule="auto"/>
        <w:ind w:firstLine="54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4.售价（元）：0</w:t>
      </w:r>
    </w:p>
    <w:p>
      <w:pPr>
        <w:pStyle w:val="3"/>
        <w:spacing w:before="0" w:after="0" w:line="360" w:lineRule="auto"/>
        <w:rPr>
          <w:rFonts w:hint="default" w:ascii="Times New Roman" w:hAnsi="Times New Roman" w:eastAsia="宋体"/>
          <w:b w:val="0"/>
          <w:color w:val="000000" w:themeColor="text1"/>
          <w:sz w:val="24"/>
          <w:szCs w:val="24"/>
          <w14:textFill>
            <w14:solidFill>
              <w14:schemeClr w14:val="tx1"/>
            </w14:solidFill>
          </w14:textFill>
        </w:rPr>
      </w:pPr>
      <w:bookmarkStart w:id="19" w:name="_Toc28359082"/>
      <w:bookmarkStart w:id="20" w:name="_Toc28359005"/>
      <w:bookmarkStart w:id="21" w:name="_Toc35393624"/>
      <w:bookmarkStart w:id="22" w:name="_Toc35393793"/>
      <w:r>
        <w:rPr>
          <w:rFonts w:hint="default" w:ascii="Times New Roman" w:hAnsi="Times New Roman" w:eastAsia="宋体"/>
          <w:b w:val="0"/>
          <w:color w:val="000000" w:themeColor="text1"/>
          <w:sz w:val="24"/>
          <w:szCs w:val="24"/>
          <w14:textFill>
            <w14:solidFill>
              <w14:schemeClr w14:val="tx1"/>
            </w14:solidFill>
          </w14:textFill>
        </w:rPr>
        <w:t>四、提交投标文件</w:t>
      </w:r>
      <w:bookmarkEnd w:id="19"/>
      <w:bookmarkEnd w:id="20"/>
      <w:r>
        <w:rPr>
          <w:rFonts w:hint="default" w:ascii="Times New Roman" w:hAnsi="Times New Roman" w:eastAsia="宋体"/>
          <w:b w:val="0"/>
          <w:color w:val="000000" w:themeColor="text1"/>
          <w:sz w:val="24"/>
          <w:szCs w:val="24"/>
          <w14:textFill>
            <w14:solidFill>
              <w14:schemeClr w14:val="tx1"/>
            </w14:solidFill>
          </w14:textFill>
        </w:rPr>
        <w:t>截止时间、开标时间和地点</w:t>
      </w:r>
      <w:bookmarkEnd w:id="21"/>
      <w:bookmarkEnd w:id="22"/>
    </w:p>
    <w:p>
      <w:pPr>
        <w:spacing w:line="360" w:lineRule="auto"/>
        <w:ind w:firstLine="480" w:firstLineChars="20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1.提交投标文件截止时间：</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06</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26</w:t>
      </w:r>
      <w:r>
        <w:rPr>
          <w:color w:val="000000" w:themeColor="text1"/>
          <w:sz w:val="24"/>
          <w14:textFill>
            <w14:solidFill>
              <w14:schemeClr w14:val="tx1"/>
            </w14:solidFill>
          </w14:textFill>
        </w:rPr>
        <w:t>日09:</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0</w:t>
      </w:r>
      <w:r>
        <w:rPr>
          <w:rFonts w:hint="default"/>
          <w:color w:val="000000" w:themeColor="text1"/>
          <w:sz w:val="24"/>
          <w14:textFill>
            <w14:solidFill>
              <w14:schemeClr w14:val="tx1"/>
            </w14:solidFill>
          </w14:textFill>
        </w:rPr>
        <w:t>（北京时间）</w:t>
      </w:r>
    </w:p>
    <w:p>
      <w:pPr>
        <w:spacing w:line="360" w:lineRule="auto"/>
        <w:ind w:firstLine="480" w:firstLineChars="20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2.投标地点（网址）：（1）“电子加密投标文件”：https://www.zcygov.cn在线投标；（2）“电子备份投标文件”：</w:t>
      </w:r>
      <w:r>
        <w:rPr>
          <w:rFonts w:hint="eastAsia"/>
          <w:bCs/>
          <w:color w:val="000000" w:themeColor="text1"/>
          <w:sz w:val="24"/>
          <w:lang w:eastAsia="zh-CN"/>
          <w14:textFill>
            <w14:solidFill>
              <w14:schemeClr w14:val="tx1"/>
            </w14:solidFill>
          </w14:textFill>
        </w:rPr>
        <w:t>龙游县环城西路144号新华书店四楼</w:t>
      </w:r>
      <w:r>
        <w:rPr>
          <w:rFonts w:hint="default"/>
          <w:bCs/>
          <w:color w:val="000000" w:themeColor="text1"/>
          <w:sz w:val="24"/>
          <w14:textFill>
            <w14:solidFill>
              <w14:schemeClr w14:val="tx1"/>
            </w14:solidFill>
          </w14:textFill>
        </w:rPr>
        <w:t>。</w:t>
      </w:r>
    </w:p>
    <w:p>
      <w:pPr>
        <w:spacing w:line="360" w:lineRule="auto"/>
        <w:ind w:firstLine="480" w:firstLineChars="20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3.开标时间：</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06</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26</w:t>
      </w:r>
      <w:r>
        <w:rPr>
          <w:color w:val="000000" w:themeColor="text1"/>
          <w:sz w:val="24"/>
          <w14:textFill>
            <w14:solidFill>
              <w14:schemeClr w14:val="tx1"/>
            </w14:solidFill>
          </w14:textFill>
        </w:rPr>
        <w:t>日09:</w:t>
      </w:r>
      <w:r>
        <w:rPr>
          <w:rFonts w:hint="eastAsia"/>
          <w:color w:val="000000" w:themeColor="text1"/>
          <w:sz w:val="24"/>
          <w:lang w:val="en-US" w:eastAsia="zh-CN"/>
          <w14:textFill>
            <w14:solidFill>
              <w14:schemeClr w14:val="tx1"/>
            </w14:solidFill>
          </w14:textFill>
        </w:rPr>
        <w:t>00</w:t>
      </w:r>
      <w:r>
        <w:rPr>
          <w:rFonts w:hint="default"/>
          <w:color w:val="000000" w:themeColor="text1"/>
          <w:sz w:val="24"/>
          <w14:textFill>
            <w14:solidFill>
              <w14:schemeClr w14:val="tx1"/>
            </w14:solidFill>
          </w14:textFill>
        </w:rPr>
        <w:t>（北京时间）</w:t>
      </w:r>
    </w:p>
    <w:p>
      <w:pPr>
        <w:spacing w:line="360" w:lineRule="auto"/>
        <w:ind w:firstLine="480" w:firstLineChars="20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4.开标地点（网址）：https://www.zcygov.cn</w:t>
      </w:r>
    </w:p>
    <w:p>
      <w:pPr>
        <w:pStyle w:val="3"/>
        <w:spacing w:before="0" w:after="0" w:line="360" w:lineRule="auto"/>
        <w:rPr>
          <w:rFonts w:hint="default" w:ascii="Times New Roman" w:hAnsi="Times New Roman" w:eastAsia="宋体"/>
          <w:b w:val="0"/>
          <w:color w:val="000000" w:themeColor="text1"/>
          <w:sz w:val="24"/>
          <w:szCs w:val="24"/>
          <w14:textFill>
            <w14:solidFill>
              <w14:schemeClr w14:val="tx1"/>
            </w14:solidFill>
          </w14:textFill>
        </w:rPr>
      </w:pPr>
      <w:bookmarkStart w:id="23" w:name="_Toc35393625"/>
      <w:bookmarkStart w:id="24" w:name="_Toc28359007"/>
      <w:bookmarkStart w:id="25" w:name="_Toc28359084"/>
      <w:bookmarkStart w:id="26" w:name="_Toc35393794"/>
      <w:r>
        <w:rPr>
          <w:rFonts w:hint="default" w:ascii="Times New Roman" w:hAnsi="Times New Roman" w:eastAsia="宋体"/>
          <w:b w:val="0"/>
          <w:color w:val="000000" w:themeColor="text1"/>
          <w:sz w:val="24"/>
          <w:szCs w:val="24"/>
          <w14:textFill>
            <w14:solidFill>
              <w14:schemeClr w14:val="tx1"/>
            </w14:solidFill>
          </w14:textFill>
        </w:rPr>
        <w:t>五、公告期限</w:t>
      </w:r>
      <w:bookmarkEnd w:id="23"/>
      <w:bookmarkEnd w:id="24"/>
      <w:bookmarkEnd w:id="25"/>
      <w:bookmarkEnd w:id="26"/>
    </w:p>
    <w:p>
      <w:pPr>
        <w:spacing w:line="360" w:lineRule="auto"/>
        <w:ind w:firstLine="480" w:firstLineChars="200"/>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自本公告发布之日起5个工作日。</w:t>
      </w:r>
    </w:p>
    <w:p>
      <w:pPr>
        <w:pStyle w:val="3"/>
        <w:spacing w:before="0" w:after="0" w:line="360" w:lineRule="auto"/>
        <w:rPr>
          <w:rFonts w:hint="default" w:ascii="Times New Roman" w:hAnsi="Times New Roman" w:eastAsia="宋体"/>
          <w:b w:val="0"/>
          <w:color w:val="000000" w:themeColor="text1"/>
          <w:sz w:val="24"/>
          <w:szCs w:val="24"/>
          <w14:textFill>
            <w14:solidFill>
              <w14:schemeClr w14:val="tx1"/>
            </w14:solidFill>
          </w14:textFill>
        </w:rPr>
      </w:pPr>
      <w:bookmarkStart w:id="27" w:name="_Toc35393626"/>
      <w:bookmarkStart w:id="28" w:name="_Toc35393795"/>
      <w:r>
        <w:rPr>
          <w:rFonts w:hint="default" w:ascii="Times New Roman" w:hAnsi="Times New Roman" w:eastAsia="宋体"/>
          <w:b w:val="0"/>
          <w:color w:val="000000" w:themeColor="text1"/>
          <w:sz w:val="24"/>
          <w:szCs w:val="24"/>
          <w14:textFill>
            <w14:solidFill>
              <w14:schemeClr w14:val="tx1"/>
            </w14:solidFill>
          </w14:textFill>
        </w:rPr>
        <w:t>六、其他补充事宜</w:t>
      </w:r>
      <w:bookmarkEnd w:id="27"/>
      <w:bookmarkEnd w:id="28"/>
    </w:p>
    <w:p>
      <w:pPr>
        <w:spacing w:line="360" w:lineRule="auto"/>
        <w:ind w:firstLine="480" w:firstLineChars="200"/>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 </w:t>
      </w:r>
      <w:r>
        <w:rPr>
          <w:color w:val="000000" w:themeColor="text1"/>
          <w:kern w:val="0"/>
          <w:sz w:val="24"/>
          <w14:textFill>
            <w14:solidFill>
              <w14:schemeClr w14:val="tx1"/>
            </w14:solidFill>
          </w14:textFill>
        </w:rPr>
        <w:t>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color w:val="000000" w:themeColor="text1"/>
          <w:kern w:val="0"/>
          <w:sz w:val="24"/>
          <w14:textFill>
            <w14:solidFill>
              <w14:schemeClr w14:val="tx1"/>
            </w14:solidFill>
          </w14:textFill>
        </w:rPr>
        <w:t>。</w:t>
      </w:r>
    </w:p>
    <w:p>
      <w:pPr>
        <w:spacing w:line="360" w:lineRule="auto"/>
        <w:ind w:firstLine="480" w:firstLineChars="200"/>
        <w:rPr>
          <w:rFonts w:hint="default"/>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default"/>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default"/>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pPr>
        <w:pStyle w:val="18"/>
        <w:spacing w:line="360" w:lineRule="auto"/>
        <w:ind w:firstLine="0"/>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七、对本次招标提出询问、质疑、投诉，请按以下方式联系。</w:t>
      </w: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1.采购人信息</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名称：</w:t>
      </w:r>
      <w:r>
        <w:rPr>
          <w:rFonts w:hint="eastAsia" w:ascii="Times New Roman" w:hAnsi="Times New Roman"/>
          <w:color w:val="000000" w:themeColor="text1"/>
          <w:sz w:val="24"/>
          <w:lang w:eastAsia="zh-CN"/>
          <w14:textFill>
            <w14:solidFill>
              <w14:schemeClr w14:val="tx1"/>
            </w14:solidFill>
          </w14:textFill>
        </w:rPr>
        <w:t>龙游县横山镇人民政府</w:t>
      </w:r>
    </w:p>
    <w:p>
      <w:pPr>
        <w:pStyle w:val="18"/>
        <w:spacing w:line="360" w:lineRule="auto"/>
        <w:ind w:firstLine="464" w:firstLineChars="200"/>
        <w:rPr>
          <w:rFonts w:hint="default" w:ascii="Times New Roman" w:hAnsi="Times New Roman" w:eastAsia="宋体"/>
          <w:color w:val="000000" w:themeColor="text1"/>
          <w:sz w:val="24"/>
          <w:lang w:val="en-US"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地址：</w:t>
      </w:r>
      <w:r>
        <w:rPr>
          <w:rFonts w:hint="eastAsia" w:ascii="Times New Roman" w:hAnsi="Times New Roman"/>
          <w:color w:val="000000" w:themeColor="text1"/>
          <w:sz w:val="24"/>
          <w:lang w:eastAsia="zh-CN"/>
          <w14:textFill>
            <w14:solidFill>
              <w14:schemeClr w14:val="tx1"/>
            </w14:solidFill>
          </w14:textFill>
        </w:rPr>
        <w:t>龙游县</w:t>
      </w:r>
      <w:r>
        <w:rPr>
          <w:rFonts w:hint="eastAsia" w:ascii="Times New Roman" w:hAnsi="Times New Roman"/>
          <w:color w:val="000000" w:themeColor="text1"/>
          <w:sz w:val="24"/>
          <w:lang w:val="en-US" w:eastAsia="zh-CN"/>
          <w14:textFill>
            <w14:solidFill>
              <w14:schemeClr w14:val="tx1"/>
            </w14:solidFill>
          </w14:textFill>
        </w:rPr>
        <w:t>横山镇塔山南路6号</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项目联系人（询问）：</w:t>
      </w:r>
      <w:r>
        <w:rPr>
          <w:rFonts w:hint="eastAsia" w:ascii="Times New Roman" w:hAnsi="Times New Roman"/>
          <w:color w:val="000000" w:themeColor="text1"/>
          <w:sz w:val="24"/>
          <w:lang w:val="en-US" w:eastAsia="zh-CN"/>
          <w14:textFill>
            <w14:solidFill>
              <w14:schemeClr w14:val="tx1"/>
            </w14:solidFill>
          </w14:textFill>
        </w:rPr>
        <w:t>李</w:t>
      </w:r>
      <w:r>
        <w:rPr>
          <w:rFonts w:hint="eastAsia" w:ascii="Times New Roman" w:hAnsi="Times New Roman"/>
          <w:color w:val="000000" w:themeColor="text1"/>
          <w:sz w:val="24"/>
          <w:lang w:eastAsia="zh-CN"/>
          <w14:textFill>
            <w14:solidFill>
              <w14:schemeClr w14:val="tx1"/>
            </w14:solidFill>
          </w14:textFill>
        </w:rPr>
        <w:t>先生</w:t>
      </w: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项目联系方式（询问）：</w:t>
      </w:r>
      <w:r>
        <w:rPr>
          <w:rFonts w:hint="eastAsia" w:ascii="Times New Roman" w:hAnsi="Times New Roman" w:eastAsia="宋体" w:cs="Times New Roman"/>
          <w:color w:val="000000" w:themeColor="text1"/>
          <w:sz w:val="24"/>
          <w:lang w:val="en-US" w:eastAsia="zh-CN"/>
          <w14:textFill>
            <w14:solidFill>
              <w14:schemeClr w14:val="tx1"/>
            </w14:solidFill>
          </w14:textFill>
        </w:rPr>
        <w:t>15857019597</w:t>
      </w: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质疑联系人：</w:t>
      </w:r>
      <w:r>
        <w:rPr>
          <w:rFonts w:hint="eastAsia" w:ascii="Times New Roman" w:hAnsi="Times New Roman" w:eastAsia="宋体" w:cs="Times New Roman"/>
          <w:color w:val="000000" w:themeColor="text1"/>
          <w:sz w:val="24"/>
          <w:lang w:val="en-US" w:eastAsia="zh-CN"/>
          <w14:textFill>
            <w14:solidFill>
              <w14:schemeClr w14:val="tx1"/>
            </w14:solidFill>
          </w14:textFill>
        </w:rPr>
        <w:t>尹先生</w:t>
      </w:r>
    </w:p>
    <w:p>
      <w:pPr>
        <w:pStyle w:val="18"/>
        <w:spacing w:line="360" w:lineRule="auto"/>
        <w:ind w:firstLine="464" w:firstLineChars="200"/>
        <w:rPr>
          <w:rFonts w:hint="default" w:ascii="Times New Roman" w:hAnsi="Times New Roman" w:eastAsia="宋体"/>
          <w:color w:val="000000" w:themeColor="text1"/>
          <w:sz w:val="24"/>
          <w:lang w:val="en-US"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质疑联系方式：</w:t>
      </w:r>
      <w:r>
        <w:rPr>
          <w:rFonts w:hint="eastAsia" w:ascii="Times New Roman" w:hAnsi="Times New Roman" w:eastAsia="宋体" w:cs="Times New Roman"/>
          <w:color w:val="000000" w:themeColor="text1"/>
          <w:sz w:val="24"/>
          <w:lang w:val="en-US" w:eastAsia="zh-CN"/>
          <w14:textFill>
            <w14:solidFill>
              <w14:schemeClr w14:val="tx1"/>
            </w14:solidFill>
          </w14:textFill>
        </w:rPr>
        <w:t>0570-</w:t>
      </w:r>
      <w:r>
        <w:rPr>
          <w:rFonts w:hint="eastAsia" w:ascii="Times New Roman" w:hAnsi="Times New Roman" w:cs="Times New Roman"/>
          <w:color w:val="000000" w:themeColor="text1"/>
          <w:sz w:val="24"/>
          <w:lang w:val="en-US" w:eastAsia="zh-CN"/>
          <w14:textFill>
            <w14:solidFill>
              <w14:schemeClr w14:val="tx1"/>
            </w14:solidFill>
          </w14:textFill>
        </w:rPr>
        <w:t>7043308</w:t>
      </w: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2.采购代理机构信息</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名  称：</w:t>
      </w:r>
      <w:r>
        <w:rPr>
          <w:rFonts w:hint="eastAsia" w:ascii="Times New Roman" w:hAnsi="Times New Roman"/>
          <w:color w:val="000000" w:themeColor="text1"/>
          <w:sz w:val="24"/>
          <w:lang w:eastAsia="zh-CN"/>
          <w14:textFill>
            <w14:solidFill>
              <w14:schemeClr w14:val="tx1"/>
            </w14:solidFill>
          </w14:textFill>
        </w:rPr>
        <w:t>泰宇建筑工程技术咨询有限公司</w:t>
      </w:r>
    </w:p>
    <w:p>
      <w:pPr>
        <w:pStyle w:val="18"/>
        <w:spacing w:line="360" w:lineRule="auto"/>
        <w:ind w:firstLine="464" w:firstLineChars="200"/>
        <w:rPr>
          <w:rFonts w:hint="eastAsia" w:ascii="Times New Roman" w:hAnsi="Times New Roman" w:eastAsia="宋体"/>
          <w:color w:val="000000" w:themeColor="text1"/>
          <w:sz w:val="24"/>
          <w:lang w:val="en-US"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地  址：</w:t>
      </w:r>
      <w:r>
        <w:rPr>
          <w:rFonts w:hint="eastAsia" w:ascii="Times New Roman" w:hAnsi="Times New Roman"/>
          <w:color w:val="000000" w:themeColor="text1"/>
          <w:sz w:val="24"/>
          <w:lang w:eastAsia="zh-CN"/>
          <w14:textFill>
            <w14:solidFill>
              <w14:schemeClr w14:val="tx1"/>
            </w14:solidFill>
          </w14:textFill>
        </w:rPr>
        <w:t>龙游县环城西路144号新华书店四楼</w:t>
      </w:r>
    </w:p>
    <w:p>
      <w:pPr>
        <w:pStyle w:val="18"/>
        <w:spacing w:line="360" w:lineRule="auto"/>
        <w:ind w:firstLine="464" w:firstLineChars="200"/>
        <w:rPr>
          <w:rFonts w:hint="default" w:ascii="Times New Roman" w:hAnsi="Times New Roman" w:eastAsia="宋体"/>
          <w:color w:val="000000" w:themeColor="text1"/>
          <w:sz w:val="24"/>
          <w:lang w:val="en-US"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传  真：</w:t>
      </w:r>
      <w:r>
        <w:rPr>
          <w:rFonts w:hint="eastAsia" w:ascii="Times New Roman" w:hAnsi="Times New Roman"/>
          <w:color w:val="000000" w:themeColor="text1"/>
          <w:sz w:val="24"/>
          <w:lang w:val="en-US" w:eastAsia="zh-CN"/>
          <w14:textFill>
            <w14:solidFill>
              <w14:schemeClr w14:val="tx1"/>
            </w14:solidFill>
          </w14:textFill>
        </w:rPr>
        <w:t>0570-7186100</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项目联系人（询问）：</w:t>
      </w:r>
      <w:r>
        <w:rPr>
          <w:rFonts w:hint="eastAsia" w:ascii="Times New Roman" w:hAnsi="Times New Roman"/>
          <w:color w:val="000000" w:themeColor="text1"/>
          <w:sz w:val="24"/>
          <w:lang w:eastAsia="zh-CN"/>
          <w14:textFill>
            <w14:solidFill>
              <w14:schemeClr w14:val="tx1"/>
            </w14:solidFill>
          </w14:textFill>
        </w:rPr>
        <w:t>王先生</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项目联系方式（询问）：</w:t>
      </w:r>
      <w:r>
        <w:rPr>
          <w:rFonts w:hint="eastAsia" w:ascii="Times New Roman" w:hAnsi="Times New Roman"/>
          <w:color w:val="000000" w:themeColor="text1"/>
          <w:sz w:val="24"/>
          <w:lang w:eastAsia="zh-CN"/>
          <w14:textFill>
            <w14:solidFill>
              <w14:schemeClr w14:val="tx1"/>
            </w14:solidFill>
          </w14:textFill>
        </w:rPr>
        <w:t>18757033272（723272）</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质疑联系人：</w:t>
      </w:r>
      <w:r>
        <w:rPr>
          <w:rFonts w:hint="eastAsia" w:ascii="Times New Roman" w:hAnsi="Times New Roman"/>
          <w:color w:val="000000" w:themeColor="text1"/>
          <w:sz w:val="24"/>
          <w:lang w:eastAsia="zh-CN"/>
          <w14:textFill>
            <w14:solidFill>
              <w14:schemeClr w14:val="tx1"/>
            </w14:solidFill>
          </w14:textFill>
        </w:rPr>
        <w:t>赵女士</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质疑联系方式：</w:t>
      </w:r>
      <w:r>
        <w:rPr>
          <w:rFonts w:hint="eastAsia" w:ascii="Times New Roman" w:hAnsi="Times New Roman"/>
          <w:color w:val="000000" w:themeColor="text1"/>
          <w:sz w:val="24"/>
          <w:lang w:eastAsia="zh-CN"/>
          <w14:textFill>
            <w14:solidFill>
              <w14:schemeClr w14:val="tx1"/>
            </w14:solidFill>
          </w14:textFill>
        </w:rPr>
        <w:t>0570-7186100</w:t>
      </w: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3.同级政府采购监督管理部门</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名  称：</w:t>
      </w:r>
      <w:r>
        <w:rPr>
          <w:rFonts w:hint="eastAsia" w:ascii="Times New Roman" w:hAnsi="Times New Roman"/>
          <w:color w:val="000000" w:themeColor="text1"/>
          <w:sz w:val="24"/>
          <w:lang w:eastAsia="zh-CN"/>
          <w14:textFill>
            <w14:solidFill>
              <w14:schemeClr w14:val="tx1"/>
            </w14:solidFill>
          </w14:textFill>
        </w:rPr>
        <w:t>龙游县财政局政府采购监管科</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地  址：</w:t>
      </w:r>
      <w:r>
        <w:rPr>
          <w:rFonts w:hint="eastAsia" w:ascii="Times New Roman" w:hAnsi="Times New Roman"/>
          <w:color w:val="000000" w:themeColor="text1"/>
          <w:sz w:val="24"/>
          <w:lang w:eastAsia="zh-CN"/>
          <w14:textFill>
            <w14:solidFill>
              <w14:schemeClr w14:val="tx1"/>
            </w14:solidFill>
          </w14:textFill>
        </w:rPr>
        <w:t>龙游县莲湖路69号</w:t>
      </w: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传  真：</w:t>
      </w:r>
      <w:r>
        <w:rPr>
          <w:rFonts w:hint="eastAsia" w:ascii="Times New Roman" w:hAnsi="Times New Roman"/>
          <w:color w:val="000000" w:themeColor="text1"/>
          <w:sz w:val="24"/>
          <w:lang w:eastAsia="zh-CN"/>
          <w14:textFill>
            <w14:solidFill>
              <w14:schemeClr w14:val="tx1"/>
            </w14:solidFill>
          </w14:textFill>
        </w:rPr>
        <w:t>0570-7011687</w:t>
      </w: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联系人</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严先生</w:t>
      </w:r>
    </w:p>
    <w:p>
      <w:pPr>
        <w:pStyle w:val="18"/>
        <w:spacing w:line="360" w:lineRule="auto"/>
        <w:ind w:firstLine="464" w:firstLineChars="200"/>
        <w:rPr>
          <w:rFonts w:hint="eastAsia" w:ascii="Times New Roman" w:hAnsi="Times New Roman" w:eastAsia="宋体"/>
          <w:color w:val="000000" w:themeColor="text1"/>
          <w:sz w:val="24"/>
          <w:lang w:eastAsia="zh-CN"/>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监督投诉电话：</w:t>
      </w:r>
      <w:r>
        <w:rPr>
          <w:rFonts w:hint="eastAsia" w:ascii="Times New Roman" w:hAnsi="Times New Roman"/>
          <w:color w:val="000000" w:themeColor="text1"/>
          <w:sz w:val="24"/>
          <w:lang w:eastAsia="zh-CN"/>
          <w14:textFill>
            <w14:solidFill>
              <w14:schemeClr w14:val="tx1"/>
            </w14:solidFill>
          </w14:textFill>
        </w:rPr>
        <w:t>0570-7011687</w:t>
      </w:r>
    </w:p>
    <w:p>
      <w:pPr>
        <w:pStyle w:val="18"/>
        <w:spacing w:line="360" w:lineRule="auto"/>
        <w:ind w:firstLine="464"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2024年06月04日</w:t>
      </w: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p>
    <w:p>
      <w:pPr>
        <w:pStyle w:val="18"/>
        <w:spacing w:line="360" w:lineRule="auto"/>
        <w:ind w:firstLine="464" w:firstLineChars="200"/>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color w:val="000000" w:themeColor="text1"/>
          <w:sz w:val="24"/>
          <w:lang w:val="en-US" w:eastAsia="zh-CN"/>
          <w14:textFill>
            <w14:solidFill>
              <w14:schemeClr w14:val="tx1"/>
            </w14:solidFill>
          </w14:textFill>
        </w:rPr>
        <w:t>95763</w:t>
      </w:r>
      <w:r>
        <w:rPr>
          <w:rFonts w:ascii="Times New Roman" w:hAnsi="Times New Roman"/>
          <w:color w:val="000000" w:themeColor="text1"/>
          <w:sz w:val="24"/>
          <w14:textFill>
            <w14:solidFill>
              <w14:schemeClr w14:val="tx1"/>
            </w14:solidFill>
          </w14:textFill>
        </w:rPr>
        <w:t>获取热线服务帮助。</w:t>
      </w:r>
    </w:p>
    <w:p>
      <w:pPr>
        <w:pStyle w:val="18"/>
        <w:spacing w:line="360" w:lineRule="auto"/>
        <w:ind w:firstLine="464" w:firstLineChars="200"/>
        <w:jc w:val="left"/>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CA问题联系电话（人工）：汇信CA 400-888-4636；天谷CA 400-087-8198。</w:t>
      </w:r>
    </w:p>
    <w:p>
      <w:pPr>
        <w:pStyle w:val="18"/>
        <w:spacing w:line="360" w:lineRule="auto"/>
        <w:ind w:firstLine="344" w:firstLineChars="200"/>
        <w:jc w:val="center"/>
        <w:outlineLvl w:val="0"/>
        <w:rPr>
          <w:rFonts w:hint="default" w:ascii="Times New Roman" w:hAnsi="Times New Roman"/>
          <w:b/>
          <w:color w:val="000000" w:themeColor="text1"/>
          <w:sz w:val="36"/>
          <w:szCs w:val="36"/>
          <w14:textFill>
            <w14:solidFill>
              <w14:schemeClr w14:val="tx1"/>
            </w14:solidFill>
          </w14:textFill>
        </w:rPr>
      </w:pPr>
      <w:r>
        <w:rPr>
          <w:rFonts w:hint="default" w:ascii="Times New Roman" w:hAnsi="Times New Roman"/>
          <w:color w:val="000000" w:themeColor="text1"/>
          <w14:textFill>
            <w14:solidFill>
              <w14:schemeClr w14:val="tx1"/>
            </w14:solidFill>
          </w14:textFill>
        </w:rPr>
        <w:br w:type="page"/>
      </w:r>
      <w:bookmarkStart w:id="29" w:name="_Toc17163"/>
      <w:r>
        <w:rPr>
          <w:rStyle w:val="142"/>
          <w:rFonts w:hint="default"/>
          <w:color w:val="000000" w:themeColor="text1"/>
          <w:sz w:val="32"/>
          <w:szCs w:val="32"/>
          <w14:textFill>
            <w14:solidFill>
              <w14:schemeClr w14:val="tx1"/>
            </w14:solidFill>
          </w14:textFill>
        </w:rPr>
        <w:t>第二章  投标人须知</w:t>
      </w:r>
      <w:bookmarkEnd w:id="29"/>
    </w:p>
    <w:p>
      <w:pPr>
        <w:snapToGrid w:val="0"/>
        <w:spacing w:before="120" w:beforeLines="50" w:after="120" w:afterLines="50" w:line="360" w:lineRule="auto"/>
        <w:jc w:val="center"/>
        <w:outlineLvl w:val="1"/>
        <w:rPr>
          <w:rFonts w:hint="default"/>
          <w:b/>
          <w:color w:val="000000" w:themeColor="text1"/>
          <w:sz w:val="30"/>
          <w:szCs w:val="30"/>
          <w14:textFill>
            <w14:solidFill>
              <w14:schemeClr w14:val="tx1"/>
            </w14:solidFill>
          </w14:textFill>
        </w:rPr>
      </w:pPr>
      <w:r>
        <w:rPr>
          <w:rFonts w:hint="default"/>
          <w:b/>
          <w:color w:val="000000" w:themeColor="text1"/>
          <w:sz w:val="30"/>
          <w:szCs w:val="30"/>
          <w14:textFill>
            <w14:solidFill>
              <w14:schemeClr w14:val="tx1"/>
            </w14:solidFill>
          </w14:textFill>
        </w:rPr>
        <w:t>前附表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名  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龙游县横山镇数字赋能农村生活垃圾分类设备采购项目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采购内</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详见招标文件第四章采购内容及需求部分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5</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电子交</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易平台</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ind w:left="360" w:hanging="360" w:hangingChars="15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1、本项目应以人民币报价；</w:t>
            </w:r>
          </w:p>
          <w:p>
            <w:pPr>
              <w:snapToGrid w:val="0"/>
              <w:ind w:left="360" w:hanging="360" w:hangingChars="15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2、不论采购结果如何，供应商均应自行承担所有与投标有关的全部费用。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ind w:left="360" w:hanging="360" w:hangingChars="150"/>
              <w:rPr>
                <w:rFonts w:hint="default"/>
                <w:b/>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b w:val="0"/>
                <w:bCs w:val="0"/>
                <w:color w:val="000000" w:themeColor="text1"/>
                <w:sz w:val="24"/>
                <w:szCs w:val="24"/>
                <w14:textFill>
                  <w14:solidFill>
                    <w14:schemeClr w14:val="tx1"/>
                  </w14:solidFill>
                </w14:textFill>
              </w:rPr>
            </w:pPr>
            <w:r>
              <w:rPr>
                <w:rFonts w:hint="default"/>
                <w:b w:val="0"/>
                <w:bCs w:val="0"/>
                <w:color w:val="000000" w:themeColor="text1"/>
                <w:sz w:val="24"/>
                <w:szCs w:val="24"/>
                <w14:textFill>
                  <w14:solidFill>
                    <w14:schemeClr w14:val="tx1"/>
                  </w14:solidFill>
                </w14:textFill>
              </w:rPr>
              <w:sym w:font="Wingdings 2" w:char="00A3"/>
            </w:r>
            <w:r>
              <w:rPr>
                <w:rFonts w:hint="default"/>
                <w:b w:val="0"/>
                <w:bCs w:val="0"/>
                <w:color w:val="000000" w:themeColor="text1"/>
                <w:sz w:val="24"/>
                <w:szCs w:val="24"/>
                <w14:textFill>
                  <w14:solidFill>
                    <w14:schemeClr w14:val="tx1"/>
                  </w14:solidFill>
                </w14:textFill>
              </w:rPr>
              <w:t xml:space="preserve"> 组织</w:t>
            </w:r>
          </w:p>
          <w:p>
            <w:pPr>
              <w:snapToGrid w:val="0"/>
              <w:ind w:firstLine="240" w:firstLineChars="100"/>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sz w:val="24"/>
                <w:szCs w:val="24"/>
                <w14:textFill>
                  <w14:solidFill>
                    <w14:schemeClr w14:val="tx1"/>
                  </w14:solidFill>
                </w14:textFill>
              </w:rPr>
              <w:t>本次</w:t>
            </w:r>
            <w:r>
              <w:rPr>
                <w:rFonts w:hint="default" w:ascii="Times New Roman" w:hAnsi="Times New Roman" w:cs="Times New Roman"/>
                <w:b w:val="0"/>
                <w:bCs w:val="0"/>
                <w:color w:val="000000" w:themeColor="text1"/>
                <w:sz w:val="24"/>
                <w:szCs w:val="24"/>
                <w14:textFill>
                  <w14:solidFill>
                    <w14:schemeClr w14:val="tx1"/>
                  </w14:solidFill>
                </w14:textFill>
              </w:rPr>
              <w:t>踏勘</w:t>
            </w:r>
            <w:r>
              <w:rPr>
                <w:rFonts w:hint="eastAsia" w:ascii="Times New Roman" w:hAnsi="Times New Roman" w:cs="Times New Roman"/>
                <w:b w:val="0"/>
                <w:bCs w:val="0"/>
                <w:color w:val="000000" w:themeColor="text1"/>
                <w:sz w:val="24"/>
                <w:szCs w:val="24"/>
                <w14:textFill>
                  <w14:solidFill>
                    <w14:schemeClr w14:val="tx1"/>
                  </w14:solidFill>
                </w14:textFill>
              </w:rPr>
              <w:t>时间：</w:t>
            </w:r>
            <w:r>
              <w:rPr>
                <w:rFonts w:hint="eastAsia" w:cs="Times New Roman"/>
                <w:b w:val="0"/>
                <w:bCs w:val="0"/>
                <w:color w:val="000000" w:themeColor="text1"/>
                <w:sz w:val="24"/>
                <w:szCs w:val="24"/>
                <w:lang w:val="en-US" w:eastAsia="zh-CN"/>
                <w14:textFill>
                  <w14:solidFill>
                    <w14:schemeClr w14:val="tx1"/>
                  </w14:solidFill>
                </w14:textFill>
              </w:rPr>
              <w:t>/</w:t>
            </w:r>
          </w:p>
          <w:p>
            <w:pPr>
              <w:snapToGrid w:val="0"/>
              <w:rPr>
                <w:rFonts w:hint="default"/>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sym w:font="Wingdings 2" w:char="0052"/>
            </w:r>
            <w:r>
              <w:rPr>
                <w:rFonts w:hint="default" w:ascii="Times New Roman" w:hAnsi="Times New Roman" w:cs="Times New Roman"/>
                <w:b w:val="0"/>
                <w:bCs w:val="0"/>
                <w:color w:val="000000" w:themeColor="text1"/>
                <w:sz w:val="24"/>
                <w:szCs w:val="24"/>
                <w14:textFill>
                  <w14:solidFill>
                    <w14:schemeClr w14:val="tx1"/>
                  </w14:solidFill>
                </w14:textFill>
              </w:rPr>
              <w:t>不组织，投标人自行现场踏勘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样品</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sym w:font="Wingdings 2" w:char="00A3"/>
            </w:r>
            <w:r>
              <w:rPr>
                <w:rFonts w:hint="default"/>
                <w:b/>
                <w:bCs/>
                <w:color w:val="000000" w:themeColor="text1"/>
                <w:sz w:val="24"/>
                <w:szCs w:val="24"/>
                <w14:textFill>
                  <w14:solidFill>
                    <w14:schemeClr w14:val="tx1"/>
                  </w14:solidFill>
                </w14:textFill>
              </w:rPr>
              <w:t>提供投标样品</w:t>
            </w:r>
            <w:r>
              <w:rPr>
                <w:b/>
                <w:bCs/>
                <w:color w:val="000000" w:themeColor="text1"/>
                <w:sz w:val="24"/>
                <w:szCs w:val="24"/>
                <w14:textFill>
                  <w14:solidFill>
                    <w14:schemeClr w14:val="tx1"/>
                  </w14:solidFill>
                </w14:textFill>
              </w:rPr>
              <w:t>。</w:t>
            </w:r>
          </w:p>
          <w:p>
            <w:pPr>
              <w:snapToGrid w:val="0"/>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sym w:font="Wingdings 2" w:char="0052"/>
            </w:r>
            <w:r>
              <w:rPr>
                <w:rFonts w:hint="default"/>
                <w:b/>
                <w:bCs/>
                <w:color w:val="000000" w:themeColor="text1"/>
                <w:sz w:val="24"/>
                <w:szCs w:val="24"/>
                <w14:textFill>
                  <w14:solidFill>
                    <w14:schemeClr w14:val="tx1"/>
                  </w14:solidFill>
                </w14:textFill>
              </w:rPr>
              <w:t xml:space="preserve"> 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10</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b w:val="0"/>
                <w:bCs w:val="0"/>
                <w:color w:val="auto"/>
                <w:sz w:val="24"/>
                <w:szCs w:val="24"/>
              </w:rPr>
            </w:pPr>
            <w:r>
              <w:rPr>
                <w:rFonts w:hint="default"/>
                <w:b w:val="0"/>
                <w:bCs w:val="0"/>
                <w:color w:val="auto"/>
                <w:sz w:val="24"/>
                <w:szCs w:val="24"/>
              </w:rPr>
              <w:t>演示</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hint="default" w:ascii="宋体" w:hAnsi="宋体" w:eastAsia="宋体" w:cs="宋体"/>
                <w:b w:val="0"/>
                <w:bCs w:val="0"/>
                <w:color w:val="auto"/>
                <w:sz w:val="24"/>
                <w:szCs w:val="24"/>
                <w:lang w:val="en-US" w:eastAsia="zh-CN"/>
              </w:rPr>
            </w:pPr>
            <w:r>
              <w:rPr>
                <w:rFonts w:hint="default"/>
                <w:b w:val="0"/>
                <w:bCs w:val="0"/>
                <w:color w:val="auto"/>
                <w:sz w:val="24"/>
                <w:szCs w:val="24"/>
              </w:rPr>
              <w:sym w:font="Wingdings 2" w:char="0052"/>
            </w:r>
            <w:r>
              <w:rPr>
                <w:rFonts w:hint="default"/>
                <w:b w:val="0"/>
                <w:bCs w:val="0"/>
                <w:color w:val="auto"/>
                <w:sz w:val="24"/>
                <w:szCs w:val="24"/>
              </w:rPr>
              <w:t>要求</w:t>
            </w:r>
            <w:r>
              <w:rPr>
                <w:b w:val="0"/>
                <w:bCs w:val="0"/>
                <w:color w:val="auto"/>
                <w:sz w:val="24"/>
                <w:szCs w:val="24"/>
              </w:rPr>
              <w:t>：</w:t>
            </w:r>
            <w:r>
              <w:rPr>
                <w:rFonts w:hint="eastAsia" w:ascii="宋体" w:hAnsi="宋体" w:eastAsia="宋体" w:cs="宋体"/>
                <w:b w:val="0"/>
                <w:bCs w:val="0"/>
                <w:color w:val="auto"/>
                <w:sz w:val="24"/>
                <w:szCs w:val="24"/>
                <w:lang w:val="en-US" w:eastAsia="zh-CN"/>
              </w:rPr>
              <w:t>投标人提供演示视频，时长不超过15分钟。（所提供的视频，制作好后存入U盘，在开标前寄到指定地点：</w:t>
            </w:r>
            <w:r>
              <w:rPr>
                <w:rFonts w:hint="eastAsia" w:ascii="宋体" w:hAnsi="宋体" w:cs="宋体"/>
                <w:b w:val="0"/>
                <w:bCs w:val="0"/>
                <w:color w:val="auto"/>
                <w:sz w:val="24"/>
                <w:szCs w:val="24"/>
                <w:lang w:val="en-US" w:eastAsia="zh-CN"/>
              </w:rPr>
              <w:t>泰宇建筑工程技术咨询有限公司（龙游县环城西路144号新华书店四楼，赵女士，15906816828）</w:t>
            </w:r>
            <w:r>
              <w:rPr>
                <w:rFonts w:hint="eastAsia" w:ascii="宋体" w:hAnsi="宋体" w:eastAsia="宋体" w:cs="宋体"/>
                <w:b w:val="0"/>
                <w:bCs w:val="0"/>
                <w:color w:val="auto"/>
                <w:sz w:val="24"/>
                <w:szCs w:val="24"/>
                <w:lang w:val="en-US" w:eastAsia="zh-CN"/>
              </w:rPr>
              <w:t>。不接受邮费到付件。投标人应确保邮递员将邮寄的演示作品当面送达至采购代理机构处，邮寄造成的逾期、破损、灭失等风险由投标人自行负责，代理机构及采购人不承担因此产生的任何责任。</w:t>
            </w:r>
          </w:p>
          <w:p>
            <w:pPr>
              <w:snapToGrid w:val="0"/>
              <w:rPr>
                <w:rFonts w:hint="default"/>
                <w:b w:val="0"/>
                <w:bCs w:val="0"/>
                <w:color w:val="auto"/>
                <w:sz w:val="24"/>
                <w:szCs w:val="24"/>
              </w:rPr>
            </w:pPr>
            <w:r>
              <w:rPr>
                <w:rFonts w:hint="default"/>
                <w:b w:val="0"/>
                <w:bCs w:val="0"/>
                <w:color w:val="auto"/>
                <w:sz w:val="24"/>
                <w:szCs w:val="24"/>
              </w:rPr>
              <w:sym w:font="Wingdings 2" w:char="00A3"/>
            </w:r>
            <w:r>
              <w:rPr>
                <w:rFonts w:hint="default"/>
                <w:b w:val="0"/>
                <w:bCs w:val="0"/>
                <w:color w:val="auto"/>
                <w:sz w:val="24"/>
                <w:szCs w:val="24"/>
              </w:rPr>
              <w:t xml:space="preserve"> 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投标文</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件组成</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投标文件</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的编制</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361" w:hanging="361" w:hangingChars="150"/>
              <w:jc w:val="left"/>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1、“电子加密投标文件”：</w:t>
            </w:r>
          </w:p>
          <w:p>
            <w:pPr>
              <w:autoSpaceDE w:val="0"/>
              <w:autoSpaceDN w:val="0"/>
              <w:adjustRightInd w:val="0"/>
              <w:jc w:val="left"/>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（1）“电子加密投标文件”是指通过“政采云电子交易客户端”完成投标文件编制后生成并加密的数据电文形式的投标文件。</w:t>
            </w:r>
          </w:p>
          <w:p>
            <w:pPr>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（2）供应商应先安装“政采云电子交易客户端”，并按照本招标文件和“政府采购云平台”的要求，通过“政采云电子交易客户端”编制并加密投标文件。</w:t>
            </w:r>
          </w:p>
          <w:p>
            <w:pPr>
              <w:ind w:left="361" w:hanging="361" w:hangingChars="150"/>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2、“电子备份投标文件”：</w:t>
            </w:r>
          </w:p>
          <w:p>
            <w:pPr>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（1）“电子备份投标文件”是指与“电子加密投标文件”同时生成的数据电文形式的电子文件。</w:t>
            </w:r>
          </w:p>
          <w:p>
            <w:pPr>
              <w:ind w:left="361" w:hanging="361" w:hangingChars="150"/>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（2）供应商可自主选择是否编制“电子备份投标文件”。</w:t>
            </w:r>
          </w:p>
          <w:p>
            <w:pPr>
              <w:rPr>
                <w:rFonts w:hint="default"/>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（3）其他方式编制的备份投标文件视为无效备份投标文件</w:t>
            </w:r>
            <w:r>
              <w:rPr>
                <w:rFonts w:hint="default"/>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投标文件</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的签章</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投标文件</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1、“电子加密投标文件”的递交：在线上传递交。</w:t>
            </w:r>
          </w:p>
          <w:p>
            <w:pPr>
              <w:rPr>
                <w:rFonts w:hint="default"/>
                <w:b/>
                <w:bCs/>
                <w:color w:val="000000" w:themeColor="text1"/>
                <w:sz w:val="24"/>
                <w:szCs w:val="24"/>
                <w14:textFill>
                  <w14:solidFill>
                    <w14:schemeClr w14:val="tx1"/>
                  </w14:solidFill>
                </w14:textFill>
              </w:rPr>
            </w:pPr>
            <w:r>
              <w:rPr>
                <w:rFonts w:hint="default"/>
                <w:b/>
                <w:bCs/>
                <w:color w:val="000000" w:themeColor="text1"/>
                <w:sz w:val="24"/>
                <w:szCs w:val="24"/>
                <w14:textFill>
                  <w14:solidFill>
                    <w14:schemeClr w14:val="tx1"/>
                  </w14:solidFill>
                </w14:textFill>
              </w:rPr>
              <w:t>（1）供应商应在投标截止时间前将“电子加密投标文件”成功上传递交至“政府采购云平台”，否则投标无效。</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（2）“电子加密投标文件”成功上传递交后，供应商可自行打印投标文件接收回执。</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2、“电子备份投标文件”的密封、包装和递交：</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（1）供应商可自主选择是否递交“电子备份投标文件”。</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（2）“电子备份投标文件”存入U盘（一份）。</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（3）“电子备份投标文件” 应在投标截止时间前以邮寄或送达方式递交：邮寄或送达地址：</w:t>
            </w:r>
            <w:r>
              <w:rPr>
                <w:rFonts w:hint="eastAsia"/>
                <w:color w:val="000000" w:themeColor="text1"/>
                <w:sz w:val="24"/>
                <w:szCs w:val="24"/>
                <w:lang w:eastAsia="zh-CN"/>
                <w14:textFill>
                  <w14:solidFill>
                    <w14:schemeClr w14:val="tx1"/>
                  </w14:solidFill>
                </w14:textFill>
              </w:rPr>
              <w:t>龙游县环城西路144号新华书店四楼</w:t>
            </w:r>
            <w:r>
              <w:rPr>
                <w:rFonts w:hint="default"/>
                <w:color w:val="000000" w:themeColor="text1"/>
                <w:sz w:val="24"/>
                <w:szCs w:val="24"/>
                <w14:textFill>
                  <w14:solidFill>
                    <w14:schemeClr w14:val="tx1"/>
                  </w14:solidFill>
                </w14:textFill>
              </w:rPr>
              <w:t>，收件人：</w:t>
            </w:r>
            <w:r>
              <w:rPr>
                <w:rFonts w:hint="eastAsia" w:ascii="宋体" w:hAnsi="宋体" w:cs="宋体"/>
                <w:color w:val="auto"/>
                <w:sz w:val="24"/>
                <w:szCs w:val="24"/>
                <w:lang w:val="en-US" w:eastAsia="zh-CN"/>
              </w:rPr>
              <w:t>赵女士，15906816828（596828）</w:t>
            </w:r>
            <w:r>
              <w:rPr>
                <w:rFonts w:hint="default"/>
                <w:color w:val="000000" w:themeColor="text1"/>
                <w:sz w:val="24"/>
                <w:szCs w:val="24"/>
                <w14:textFill>
                  <w14:solidFill>
                    <w14:schemeClr w14:val="tx1"/>
                  </w14:solidFill>
                </w14:textFill>
              </w:rPr>
              <w:t>。</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5</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投标截止</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开标时</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pPr>
              <w:snapToGrid w:val="0"/>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开标</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1、采购组织机构（即代理机构）按照招标文件规定的时间通过电子交易平台组织开标，所有投标供应商均应当准时在线参加。</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2、开标时间后，采购组织机构将向各投标供应商发出“电子加密投标文件”的解密通知，各投标供应商代表应当在接到解密通知后</w:t>
            </w:r>
            <w:r>
              <w:rPr>
                <w:rFonts w:hint="default"/>
                <w:i/>
                <w:color w:val="000000" w:themeColor="text1"/>
                <w:sz w:val="24"/>
                <w:szCs w:val="24"/>
                <w:u w:val="single"/>
                <w14:textFill>
                  <w14:solidFill>
                    <w14:schemeClr w14:val="tx1"/>
                  </w14:solidFill>
                </w14:textFill>
              </w:rPr>
              <w:t>30</w:t>
            </w:r>
            <w:r>
              <w:rPr>
                <w:rFonts w:hint="default"/>
                <w:color w:val="000000" w:themeColor="text1"/>
                <w:sz w:val="24"/>
                <w:szCs w:val="24"/>
                <w14:textFill>
                  <w14:solidFill>
                    <w14:schemeClr w14:val="tx1"/>
                  </w14:solidFill>
                </w14:textFill>
              </w:rPr>
              <w:t>分钟内自行完成“电子加密投标文件”的在线解密。</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3、通过“政府采购云平台”上传递交的“电子加密投标文件”已按时解密的，“电子备份投标文件”自动失效。</w:t>
            </w:r>
          </w:p>
          <w:p>
            <w:pP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napToGrid w:val="0"/>
              <w:rPr>
                <w:rFonts w:hint="default"/>
                <w:color w:val="000000" w:themeColor="text1"/>
                <w:sz w:val="24"/>
                <w:szCs w:val="24"/>
                <w14:textFill>
                  <w14:solidFill>
                    <w14:schemeClr w14:val="tx1"/>
                  </w14:solidFill>
                </w14:textFill>
              </w:rPr>
            </w:pPr>
            <w:r>
              <w:rPr>
                <w:rFonts w:hint="default"/>
                <w:b w:val="0"/>
                <w:bCs w:val="0"/>
                <w:color w:val="000000" w:themeColor="text1"/>
                <w:sz w:val="24"/>
                <w:szCs w:val="24"/>
                <w14:textFill>
                  <w14:solidFill>
                    <w14:schemeClr w14:val="tx1"/>
                  </w14:solidFill>
                </w14:textFill>
              </w:rPr>
              <w:t>5、投标截止时间前，投标供应商仅递交了“电子备份投标文件”而未将“电子加密投标文件”上传至“政府采购云平台”的，投标无效。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投标文件</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有效期</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0</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采购进</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口产品</w:t>
            </w:r>
          </w:p>
        </w:tc>
        <w:tc>
          <w:tcPr>
            <w:tcW w:w="7142"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Lines="0" w:afterLines="0" w:line="320" w:lineRule="exact"/>
              <w:jc w:val="left"/>
              <w:rPr>
                <w:rFonts w:hint="default" w:hAnsi="宋体" w:cs="宋体"/>
                <w:color w:val="000000" w:themeColor="text1"/>
                <w:szCs w:val="24"/>
                <w14:textFill>
                  <w14:solidFill>
                    <w14:schemeClr w14:val="tx1"/>
                  </w14:solidFill>
                </w14:textFill>
              </w:rPr>
            </w:pPr>
            <w:r>
              <w:rPr>
                <w:rFonts w:hAnsi="宋体" w:cs="宋体"/>
                <w:color w:val="000000" w:themeColor="text1"/>
                <w:szCs w:val="24"/>
                <w14:textFill>
                  <w14:solidFill>
                    <w14:schemeClr w14:val="tx1"/>
                  </w14:solidFill>
                </w14:textFill>
              </w:rPr>
              <w:sym w:font="Wingdings 2" w:char="0052"/>
            </w:r>
            <w:r>
              <w:rPr>
                <w:rFonts w:hAnsi="宋体" w:cs="宋体"/>
                <w:color w:val="000000" w:themeColor="text1"/>
                <w:szCs w:val="24"/>
                <w14:textFill>
                  <w14:solidFill>
                    <w14:schemeClr w14:val="tx1"/>
                  </w14:solidFill>
                </w14:textFill>
              </w:rPr>
              <w:t>本项目不允许采购进口产品</w:t>
            </w:r>
          </w:p>
          <w:p>
            <w:pPr>
              <w:pStyle w:val="6"/>
              <w:adjustRightInd w:val="0"/>
              <w:snapToGrid w:val="0"/>
              <w:spacing w:beforeLines="0" w:afterLines="0" w:line="240" w:lineRule="auto"/>
              <w:jc w:val="left"/>
              <w:rPr>
                <w:rFonts w:hint="default" w:ascii="Times New Roman" w:hAnsi="Times New Roman" w:eastAsia="宋体"/>
                <w:color w:val="000000" w:themeColor="text1"/>
                <w:szCs w:val="24"/>
                <w:lang w:val="en-US" w:eastAsia="zh-CN"/>
                <w14:textFill>
                  <w14:solidFill>
                    <w14:schemeClr w14:val="tx1"/>
                  </w14:solidFill>
                </w14:textFill>
              </w:rPr>
            </w:pPr>
            <w:r>
              <w:rPr>
                <w:rFonts w:hAnsi="宋体" w:cs="宋体"/>
                <w:color w:val="000000" w:themeColor="text1"/>
                <w:szCs w:val="24"/>
                <w14:textFill>
                  <w14:solidFill>
                    <w14:schemeClr w14:val="tx1"/>
                  </w14:solidFill>
                </w14:textFill>
              </w:rPr>
              <w:sym w:font="Wingdings 2" w:char="00A3"/>
            </w:r>
            <w:r>
              <w:rPr>
                <w:rFonts w:hint="eastAsia" w:ascii="宋体" w:hAnsi="宋体" w:eastAsia="宋体" w:cs="宋体"/>
                <w:color w:val="000000" w:themeColor="text1"/>
                <w:szCs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Lines="0" w:afterLines="0" w:line="240" w:lineRule="auto"/>
              <w:jc w:val="left"/>
              <w:rPr>
                <w:rFonts w:hint="default" w:ascii="Times New Roman" w:hAnsi="Times New Roman"/>
                <w:color w:val="000000" w:themeColor="text1"/>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sym w:font="Wingdings 2" w:char="00A3"/>
            </w:r>
            <w:r>
              <w:rPr>
                <w:rFonts w:ascii="Times New Roman" w:hAnsi="Times New Roman"/>
                <w:color w:val="000000" w:themeColor="text1"/>
                <w:szCs w:val="24"/>
                <w14:textFill>
                  <w14:solidFill>
                    <w14:schemeClr w14:val="tx1"/>
                  </w14:solidFill>
                </w14:textFill>
              </w:rPr>
              <w:t>适用</w:t>
            </w:r>
          </w:p>
          <w:p>
            <w:pPr>
              <w:pStyle w:val="6"/>
              <w:adjustRightInd w:val="0"/>
              <w:snapToGrid w:val="0"/>
              <w:spacing w:beforeLines="0" w:afterLines="0" w:line="240" w:lineRule="auto"/>
              <w:jc w:val="left"/>
              <w:rPr>
                <w:rFonts w:hint="default" w:ascii="Times New Roman" w:hAnsi="Times New Roman"/>
                <w:color w:val="000000" w:themeColor="text1"/>
                <w:szCs w:val="24"/>
                <w14:textFill>
                  <w14:solidFill>
                    <w14:schemeClr w14:val="tx1"/>
                  </w14:solidFill>
                </w14:textFill>
              </w:rPr>
            </w:pPr>
            <w:r>
              <w:rPr>
                <w:rFonts w:hAnsi="宋体" w:cs="宋体"/>
                <w:color w:val="000000" w:themeColor="text1"/>
                <w:szCs w:val="24"/>
                <w14:textFill>
                  <w14:solidFill>
                    <w14:schemeClr w14:val="tx1"/>
                  </w14:solidFill>
                </w14:textFill>
              </w:rPr>
              <w:sym w:font="Wingdings 2" w:char="0052"/>
            </w:r>
            <w:r>
              <w:rPr>
                <w:rFonts w:hAnsi="宋体" w:cs="宋体"/>
                <w:color w:val="000000" w:themeColor="text1"/>
                <w:szCs w:val="24"/>
                <w14:textFill>
                  <w14:solidFill>
                    <w14:schemeClr w14:val="tx1"/>
                  </w14:solidFill>
                </w14:textFill>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促进中小</w:t>
            </w:r>
          </w:p>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1）本次采购为专门面向中小企业预留采购份额的采购项目。</w:t>
            </w:r>
          </w:p>
          <w:p>
            <w:pPr>
              <w:adjustRightInd w:val="0"/>
              <w:snapToGrid w:val="0"/>
              <w:spacing w:line="360" w:lineRule="auto"/>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rPr>
                <w:rFonts w:hint="default" w:ascii="宋体" w:hAnsi="宋体" w:cs="宋体"/>
                <w:color w:val="000000" w:themeColor="text1"/>
                <w:kern w:val="0"/>
                <w:sz w:val="24"/>
                <w:u w:val="single"/>
                <w14:textFill>
                  <w14:solidFill>
                    <w14:schemeClr w14:val="tx1"/>
                  </w14:solidFill>
                </w14:textFill>
              </w:rPr>
            </w:pPr>
            <w:r>
              <w:rPr>
                <w:rFonts w:ascii="宋体" w:hAnsi="宋体" w:cs="宋体"/>
                <w:color w:val="000000" w:themeColor="text1"/>
                <w:kern w:val="0"/>
                <w:sz w:val="24"/>
                <w14:textFill>
                  <w14:solidFill>
                    <w14:schemeClr w14:val="tx1"/>
                  </w14:solidFill>
                </w14:textFill>
              </w:rPr>
              <w:t>3）本次采购标的为</w:t>
            </w:r>
            <w:r>
              <w:rPr>
                <w:rFonts w:ascii="宋体" w:hAnsi="宋体" w:cs="宋体"/>
                <w:b/>
                <w:color w:val="000000" w:themeColor="text1"/>
                <w:kern w:val="0"/>
                <w:sz w:val="24"/>
                <w:u w:val="single"/>
                <w14:textFill>
                  <w14:solidFill>
                    <w14:schemeClr w14:val="tx1"/>
                  </w14:solidFill>
                </w14:textFill>
              </w:rPr>
              <w:t>货物</w:t>
            </w:r>
            <w:r>
              <w:rPr>
                <w:rFonts w:ascii="宋体" w:hAnsi="宋体" w:cs="宋体"/>
                <w:color w:val="000000" w:themeColor="text1"/>
                <w:kern w:val="0"/>
                <w:sz w:val="24"/>
                <w14:textFill>
                  <w14:solidFill>
                    <w14:schemeClr w14:val="tx1"/>
                  </w14:solidFill>
                </w14:textFill>
              </w:rPr>
              <w:t>，对应的中小企业划分标准所属行业是：</w:t>
            </w:r>
            <w:r>
              <w:rPr>
                <w:rFonts w:ascii="宋体" w:hAnsi="宋体" w:cs="宋体"/>
                <w:b/>
                <w:color w:val="000000" w:themeColor="text1"/>
                <w:kern w:val="0"/>
                <w:sz w:val="24"/>
                <w:u w:val="single"/>
                <w14:textFill>
                  <w14:solidFill>
                    <w14:schemeClr w14:val="tx1"/>
                  </w14:solidFill>
                </w14:textFill>
              </w:rPr>
              <w:t>工业。</w:t>
            </w:r>
            <w:r>
              <w:rPr>
                <w:rFonts w:ascii="宋体" w:hAnsi="宋体"/>
                <w:color w:val="000000" w:themeColor="text1"/>
                <w:sz w:val="24"/>
                <w14:textFill>
                  <w14:solidFill>
                    <w14:schemeClr w14:val="tx1"/>
                  </w14:solidFill>
                </w14:textFill>
              </w:rPr>
              <w:t>（从业人员1000人以下或营业收入40000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pPr>
              <w:adjustRightInd w:val="0"/>
              <w:snapToGrid w:val="0"/>
              <w:spacing w:line="36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ascii="宋体" w:hAnsi="宋体" w:cs="宋体"/>
                <w:color w:val="000000" w:themeColor="text1"/>
                <w:kern w:val="0"/>
                <w:sz w:val="24"/>
                <w14:textFill>
                  <w14:solidFill>
                    <w14:schemeClr w14:val="tx1"/>
                  </w14:solidFill>
                </w14:textFill>
              </w:rPr>
              <w:t>)、符合小微企业划分标准的个体工商户，视同小微企业。</w:t>
            </w:r>
          </w:p>
          <w:p>
            <w:pPr>
              <w:adjustRightInd w:val="0"/>
              <w:snapToGrid w:val="0"/>
              <w:spacing w:line="36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提供的货物由中小企业制造的（包括联合体内的中小企业和接受分包的中小企业），供应商应当出具《中小企业声明函》</w:t>
            </w:r>
            <w:r>
              <w:rPr>
                <w:rFonts w:ascii="宋体" w:hAnsi="宋体" w:cs="宋体"/>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w:t>
            </w:r>
            <w:r>
              <w:rPr>
                <w:rFonts w:ascii="宋体" w:hAnsi="宋体" w:cs="宋体"/>
                <w:color w:val="000000" w:themeColor="text1"/>
                <w:kern w:val="0"/>
                <w:sz w:val="24"/>
                <w14:textFill>
                  <w14:solidFill>
                    <w14:schemeClr w14:val="tx1"/>
                  </w14:solidFill>
                </w14:textFill>
              </w:rPr>
              <w:t>)残疾人福利性单位视同小微企业。残疾人福利性单位参加政府采购活动时，应当提供《残疾人福利性单位声明函》。</w:t>
            </w:r>
          </w:p>
          <w:p>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default"/>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7</w:t>
            </w:r>
            <w:r>
              <w:rPr>
                <w:rFonts w:ascii="宋体" w:hAnsi="宋体" w:eastAsia="宋体" w:cs="宋体"/>
                <w:color w:val="000000" w:themeColor="text1"/>
                <w:kern w:val="0"/>
                <w:sz w:val="24"/>
                <w14:textFill>
                  <w14:solidFill>
                    <w14:schemeClr w14:val="tx1"/>
                  </w14:solidFill>
                </w14:textFill>
              </w:rPr>
              <w:t>)监狱企业视同小微企业。监狱企业参加政府采购活动时，应当出具省级以上监狱管理局、戒毒管理局（含新疆生产建设兵团）提供的属于监狱企业的证明文件。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b/>
                <w:bCs/>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t>联合体</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Wingdings" w:hAnsi="Wingdings" w:cs="宋体"/>
                <w:b w:val="0"/>
                <w:bCs w:val="0"/>
                <w:color w:val="000000" w:themeColor="text1"/>
                <w:kern w:val="0"/>
                <w:sz w:val="24"/>
                <w:szCs w:val="24"/>
                <w:lang w:val="en-US" w:eastAsia="zh-CN"/>
                <w14:textFill>
                  <w14:solidFill>
                    <w14:schemeClr w14:val="tx1"/>
                  </w14:solidFill>
                </w14:textFill>
              </w:rPr>
              <w:t>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24</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转包</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textAlignment w:val="bottom"/>
              <w:rPr>
                <w:rFonts w:hint="default"/>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25</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分包</w:t>
            </w:r>
          </w:p>
        </w:tc>
        <w:tc>
          <w:tcPr>
            <w:tcW w:w="714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sym w:font="Wingdings" w:char="00A8"/>
            </w:r>
            <w:r>
              <w:rPr>
                <w:rFonts w:ascii="宋体" w:hAnsi="宋体" w:cs="宋体"/>
                <w:b w:val="0"/>
                <w:bCs w:val="0"/>
                <w:color w:val="000000" w:themeColor="text1"/>
                <w:sz w:val="24"/>
                <w:szCs w:val="24"/>
                <w14:textFill>
                  <w14:solidFill>
                    <w14:schemeClr w14:val="tx1"/>
                  </w14:solidFill>
                </w14:textFill>
              </w:rPr>
              <w:t>同意将非主体、非关键性的</w:t>
            </w:r>
            <w:r>
              <w:rPr>
                <w:rFonts w:hint="eastAsia" w:ascii="宋体" w:hAnsi="宋体" w:cs="宋体"/>
                <w:b w:val="0"/>
                <w:bCs w:val="0"/>
                <w:color w:val="000000" w:themeColor="text1"/>
                <w:sz w:val="24"/>
                <w:szCs w:val="24"/>
                <w:u w:val="single"/>
                <w:lang w:val="en-US" w:eastAsia="zh-CN"/>
                <w14:textFill>
                  <w14:solidFill>
                    <w14:schemeClr w14:val="tx1"/>
                  </w14:solidFill>
                </w14:textFill>
              </w:rPr>
              <w:t xml:space="preserve">        </w:t>
            </w:r>
            <w:r>
              <w:rPr>
                <w:rFonts w:ascii="宋体" w:hAnsi="宋体" w:cs="宋体"/>
                <w:b w:val="0"/>
                <w:bCs w:val="0"/>
                <w:color w:val="000000" w:themeColor="text1"/>
                <w:sz w:val="24"/>
                <w:szCs w:val="24"/>
                <w14:textFill>
                  <w14:solidFill>
                    <w14:schemeClr w14:val="tx1"/>
                  </w14:solidFill>
                </w14:textFill>
              </w:rPr>
              <w:t>工作分包。</w:t>
            </w:r>
          </w:p>
          <w:p>
            <w:pPr>
              <w:rPr>
                <w:rFonts w:hint="default"/>
                <w:b w:val="0"/>
                <w:bCs w:val="0"/>
                <w:color w:val="000000" w:themeColor="text1"/>
                <w:sz w:val="24"/>
                <w:szCs w:val="24"/>
                <w14:textFill>
                  <w14:solidFill>
                    <w14:schemeClr w14:val="tx1"/>
                  </w14:solidFill>
                </w14:textFill>
              </w:rPr>
            </w:pPr>
            <w:r>
              <w:rPr>
                <w:rFonts w:ascii="MS Gothic" w:hAnsi="MS Gothic" w:cs="宋体"/>
                <w:b w:val="0"/>
                <w:bCs w:val="0"/>
                <w:color w:val="000000" w:themeColor="text1"/>
                <w:kern w:val="0"/>
                <w:sz w:val="24"/>
                <w:szCs w:val="24"/>
                <w14:textFill>
                  <w14:solidFill>
                    <w14:schemeClr w14:val="tx1"/>
                  </w14:solidFill>
                </w14:textFill>
              </w:rPr>
              <w:sym w:font="Wingdings" w:char="00FE"/>
            </w:r>
            <w:r>
              <w:rPr>
                <w:rFonts w:ascii="宋体" w:hAnsi="宋体" w:cs="宋体"/>
                <w:b w:val="0"/>
                <w:bCs w:val="0"/>
                <w:color w:val="000000" w:themeColor="text1"/>
                <w:sz w:val="24"/>
                <w:szCs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履约保证金</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sym w:font="Wingdings 2" w:char="00A3"/>
            </w:r>
            <w:r>
              <w:rPr>
                <w:rFonts w:hint="default"/>
                <w:color w:val="000000" w:themeColor="text1"/>
                <w:sz w:val="24"/>
                <w:szCs w:val="24"/>
                <w14:textFill>
                  <w14:solidFill>
                    <w14:schemeClr w14:val="tx1"/>
                  </w14:solidFill>
                </w14:textFill>
              </w:rPr>
              <w:t>不要求提供</w:t>
            </w:r>
          </w:p>
          <w:p>
            <w:pPr>
              <w:adjustRightInd w:val="0"/>
              <w:snapToGrid w:val="0"/>
              <w:spacing w:line="320" w:lineRule="exact"/>
              <w:rPr>
                <w:rFonts w:hint="default" w:eastAsia="宋体"/>
                <w:color w:val="000000" w:themeColor="text1"/>
                <w:sz w:val="24"/>
                <w:szCs w:val="24"/>
                <w:lang w:val="en-US" w:eastAsia="zh-CN"/>
                <w14:textFill>
                  <w14:solidFill>
                    <w14:schemeClr w14:val="tx1"/>
                  </w14:solidFill>
                </w14:textFill>
              </w:rPr>
            </w:pPr>
            <w:r>
              <w:rPr>
                <w:rFonts w:hint="default"/>
                <w:color w:val="000000" w:themeColor="text1"/>
                <w:sz w:val="24"/>
                <w:szCs w:val="24"/>
                <w14:textFill>
                  <w14:solidFill>
                    <w14:schemeClr w14:val="tx1"/>
                  </w14:solidFill>
                </w14:textFill>
              </w:rPr>
              <w:sym w:font="Wingdings 2" w:char="0052"/>
            </w:r>
            <w:r>
              <w:rPr>
                <w:rFonts w:hint="default"/>
                <w:color w:val="000000" w:themeColor="text1"/>
                <w:sz w:val="24"/>
                <w:szCs w:val="24"/>
                <w14:textFill>
                  <w14:solidFill>
                    <w14:schemeClr w14:val="tx1"/>
                  </w14:solidFill>
                </w14:textFill>
              </w:rPr>
              <w:t>要求提供：</w:t>
            </w:r>
            <w:r>
              <w:rPr>
                <w:rFonts w:hint="eastAsia"/>
                <w:color w:val="000000" w:themeColor="text1"/>
                <w:sz w:val="24"/>
                <w:szCs w:val="24"/>
                <w:lang w:eastAsia="zh-CN"/>
                <w14:textFill>
                  <w14:solidFill>
                    <w14:schemeClr w14:val="tx1"/>
                  </w14:solidFill>
                </w14:textFill>
              </w:rPr>
              <w:t>采购合同价的</w:t>
            </w:r>
            <w:r>
              <w:rPr>
                <w:rFonts w:hint="eastAsia"/>
                <w:color w:val="000000" w:themeColor="text1"/>
                <w:sz w:val="24"/>
                <w:szCs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本次采购代理服务费按中标价作为基数，由成交供应商在领取中标通知书时一次性向代理机构支付。</w:t>
            </w:r>
            <w:r>
              <w:rPr>
                <w:rFonts w:hint="eastAsia" w:ascii="Times New Roman" w:hAnsi="Times New Roman" w:eastAsia="宋体" w:cs="Times New Roman"/>
                <w:color w:val="000000" w:themeColor="text1"/>
                <w:lang w:val="en-US" w:eastAsia="zh-CN"/>
                <w14:textFill>
                  <w14:solidFill>
                    <w14:schemeClr w14:val="tx1"/>
                  </w14:solidFill>
                </w14:textFill>
              </w:rPr>
              <w:t>采购代理服务费金额：参照计价格[2002]520号及发改价格[2011]534号文的规定的收费标准计取（以中标价为基数）；</w:t>
            </w:r>
            <w:r>
              <w:rPr>
                <w:rFonts w:hint="default" w:ascii="Times New Roman" w:hAnsi="Times New Roman" w:eastAsia="宋体" w:cs="Times New Roman"/>
                <w:color w:val="000000" w:themeColor="text1"/>
                <w14:textFill>
                  <w14:solidFill>
                    <w14:schemeClr w14:val="tx1"/>
                  </w14:solidFill>
                </w14:textFill>
              </w:rPr>
              <w:t>该费用在投标文件中不单列，由投标人在投标总报价中综合考虑。</w:t>
            </w:r>
          </w:p>
          <w:tbl>
            <w:tblPr>
              <w:tblStyle w:val="43"/>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noWrap/>
                  <w:vAlign w:val="center"/>
                </w:tcPr>
                <w:p>
                  <w:pPr>
                    <w:adjustRightInd w:val="0"/>
                    <w:snapToGrid w:val="0"/>
                    <w:spacing w:line="288" w:lineRule="auto"/>
                    <w:ind w:firstLine="422" w:firstLineChars="200"/>
                    <w:jc w:val="left"/>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成交金额（万元）</w:t>
                  </w:r>
                </w:p>
              </w:tc>
              <w:tc>
                <w:tcPr>
                  <w:tcW w:w="2338" w:type="dxa"/>
                  <w:noWrap/>
                  <w:vAlign w:val="center"/>
                </w:tcPr>
                <w:p>
                  <w:pPr>
                    <w:adjustRightInd w:val="0"/>
                    <w:snapToGrid w:val="0"/>
                    <w:spacing w:line="288" w:lineRule="auto"/>
                    <w:jc w:val="left"/>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noWrap/>
                  <w:vAlign w:val="center"/>
                </w:tcPr>
                <w:p>
                  <w:pPr>
                    <w:adjustRightInd w:val="0"/>
                    <w:snapToGrid w:val="0"/>
                    <w:spacing w:line="288"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100以下</w:t>
                  </w:r>
                </w:p>
              </w:tc>
              <w:tc>
                <w:tcPr>
                  <w:tcW w:w="2338" w:type="dxa"/>
                  <w:noWrap/>
                  <w:vAlign w:val="center"/>
                </w:tcPr>
                <w:p>
                  <w:pPr>
                    <w:adjustRightInd w:val="0"/>
                    <w:snapToGrid w:val="0"/>
                    <w:spacing w:line="288"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noWrap/>
                  <w:vAlign w:val="center"/>
                </w:tcPr>
                <w:p>
                  <w:pPr>
                    <w:adjustRightInd w:val="0"/>
                    <w:snapToGrid w:val="0"/>
                    <w:spacing w:line="288" w:lineRule="auto"/>
                    <w:jc w:val="center"/>
                    <w:rPr>
                      <w:rFonts w:hint="default"/>
                      <w:color w:val="000000" w:themeColor="text1"/>
                      <w:szCs w:val="21"/>
                      <w14:textFill>
                        <w14:solidFill>
                          <w14:schemeClr w14:val="tx1"/>
                        </w14:solidFill>
                      </w14:textFill>
                    </w:rPr>
                  </w:pPr>
                  <w:r>
                    <w:rPr>
                      <w:color w:val="000000" w:themeColor="text1"/>
                      <w:szCs w:val="21"/>
                      <w14:textFill>
                        <w14:solidFill>
                          <w14:schemeClr w14:val="tx1"/>
                        </w14:solidFill>
                      </w14:textFill>
                    </w:rPr>
                    <w:t>100-500</w:t>
                  </w:r>
                </w:p>
              </w:tc>
              <w:tc>
                <w:tcPr>
                  <w:tcW w:w="2338" w:type="dxa"/>
                  <w:noWrap/>
                  <w:vAlign w:val="center"/>
                </w:tcPr>
                <w:p>
                  <w:pPr>
                    <w:adjustRightInd w:val="0"/>
                    <w:snapToGrid w:val="0"/>
                    <w:spacing w:line="288"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r>
          </w:tbl>
          <w:p>
            <w:pPr>
              <w:pStyle w:val="17"/>
              <w:rPr>
                <w:rFonts w:hint="default"/>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解释权</w:t>
            </w:r>
          </w:p>
        </w:tc>
        <w:tc>
          <w:tcPr>
            <w:tcW w:w="7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本招标文件的解释权属于采购人和采购代理机构。</w:t>
            </w:r>
          </w:p>
        </w:tc>
      </w:tr>
    </w:tbl>
    <w:p>
      <w:pPr>
        <w:pStyle w:val="6"/>
        <w:adjustRightInd w:val="0"/>
        <w:snapToGrid w:val="0"/>
        <w:spacing w:beforeLines="0" w:afterLines="0" w:line="360" w:lineRule="auto"/>
        <w:rPr>
          <w:rFonts w:hint="default" w:ascii="Times New Roman" w:hAnsi="Times New Roman"/>
          <w:b/>
          <w:color w:val="000000" w:themeColor="text1"/>
          <w:sz w:val="28"/>
          <w:szCs w:val="28"/>
          <w14:textFill>
            <w14:solidFill>
              <w14:schemeClr w14:val="tx1"/>
            </w14:solidFill>
          </w14:textFill>
        </w:rPr>
      </w:pPr>
      <w:r>
        <w:rPr>
          <w:rFonts w:hint="default" w:ascii="Times New Roman" w:hAnsi="Times New Roman"/>
          <w:color w:val="000000" w:themeColor="text1"/>
          <w14:textFill>
            <w14:solidFill>
              <w14:schemeClr w14:val="tx1"/>
            </w14:solidFill>
          </w14:textFill>
        </w:rPr>
        <w:br w:type="page"/>
      </w:r>
      <w:r>
        <w:rPr>
          <w:rFonts w:hint="default" w:ascii="Times New Roman" w:hAnsi="Times New Roman"/>
          <w:b/>
          <w:color w:val="000000" w:themeColor="text1"/>
          <w:sz w:val="28"/>
          <w:szCs w:val="28"/>
          <w14:textFill>
            <w14:solidFill>
              <w14:schemeClr w14:val="tx1"/>
            </w14:solidFill>
          </w14:textFill>
        </w:rPr>
        <w:t>一、总则</w:t>
      </w:r>
    </w:p>
    <w:p>
      <w:pPr>
        <w:adjustRightInd w:val="0"/>
        <w:snapToGrid w:val="0"/>
        <w:spacing w:line="360" w:lineRule="auto"/>
        <w:ind w:firstLine="354" w:firstLineChars="147"/>
        <w:jc w:val="left"/>
        <w:outlineLvl w:val="1"/>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（一）适用范围</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本招标文件适用于本次采购项目的招标、投标、评标、定标、验收、合同履约、付款等行为（法律、法规另有规定的，从其规定）。</w:t>
      </w:r>
    </w:p>
    <w:p>
      <w:pPr>
        <w:adjustRightInd w:val="0"/>
        <w:snapToGrid w:val="0"/>
        <w:spacing w:line="360" w:lineRule="auto"/>
        <w:ind w:firstLine="354" w:firstLineChars="147"/>
        <w:jc w:val="left"/>
        <w:outlineLvl w:val="1"/>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（二）定义</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1.招标采购单位：系指组织本次招标的代理机构和采购人。</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2.投标人：系指向招标方提交投标文件的单位或个人，也称作供应商。</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3.投标人代表：是指参加本项目投标活动的供应商法定代表人或法定代表人授权代表。</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4.联合体：是指两个以上供应商组成联合体，以一个供应商的身份参加投标。</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5.甲方：是指合同签订的一方，一般与采购人、</w:t>
      </w:r>
      <w:r>
        <w:rPr>
          <w:color w:val="000000" w:themeColor="text1"/>
          <w:sz w:val="24"/>
          <w14:textFill>
            <w14:solidFill>
              <w14:schemeClr w14:val="tx1"/>
            </w14:solidFill>
          </w14:textFill>
        </w:rPr>
        <w:t>采购单位</w:t>
      </w:r>
      <w:r>
        <w:rPr>
          <w:rFonts w:hint="default"/>
          <w:color w:val="000000" w:themeColor="text1"/>
          <w:sz w:val="24"/>
          <w14:textFill>
            <w14:solidFill>
              <w14:schemeClr w14:val="tx1"/>
            </w14:solidFill>
          </w14:textFill>
        </w:rPr>
        <w:t>、用户相同。</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6.乙方：是指合同签订的另一方，与中标人相同。</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7.“产品”系指供方按招标文件规定，须向采购人提供的一切设备、保险、税金、备品备件、工具、手册及其它有关技术资料和材料。</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8.“服务”系指招标文件规定投标人须承担的</w:t>
      </w:r>
      <w:r>
        <w:rPr>
          <w:color w:val="000000" w:themeColor="text1"/>
          <w:sz w:val="24"/>
          <w14:textFill>
            <w14:solidFill>
              <w14:schemeClr w14:val="tx1"/>
            </w14:solidFill>
          </w14:textFill>
        </w:rPr>
        <w:t>本项目相关</w:t>
      </w:r>
      <w:r>
        <w:rPr>
          <w:rFonts w:hint="default"/>
          <w:color w:val="000000" w:themeColor="text1"/>
          <w:sz w:val="24"/>
          <w14:textFill>
            <w14:solidFill>
              <w14:schemeClr w14:val="tx1"/>
            </w14:solidFill>
          </w14:textFill>
        </w:rPr>
        <w:t>服务以及其他类似的义务。</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9.“项目”系指投标人按招标文件规定向采购人提供的产品和服务。</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10.“书面形式”包括信函、传真、电报等。</w:t>
      </w:r>
    </w:p>
    <w:p>
      <w:pPr>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12.“电子交易平台”系指本项目政府采购活动所依托的政府采购云平台（https://www.zcygov.cn/）。</w:t>
      </w:r>
    </w:p>
    <w:p>
      <w:pPr>
        <w:snapToGrid w:val="0"/>
        <w:spacing w:line="360" w:lineRule="auto"/>
        <w:ind w:firstLine="482" w:firstLineChars="200"/>
        <w:rPr>
          <w:rFonts w:hint="default" w:ascii="宋体" w:hAnsi="宋体" w:cs="宋体"/>
          <w:b/>
          <w:bCs/>
          <w:color w:val="000000" w:themeColor="text1"/>
          <w:sz w:val="24"/>
          <w:szCs w:val="22"/>
          <w14:textFill>
            <w14:solidFill>
              <w14:schemeClr w14:val="tx1"/>
            </w14:solidFill>
          </w14:textFill>
        </w:rPr>
      </w:pPr>
      <w:r>
        <w:rPr>
          <w:rFonts w:ascii="宋体" w:hAnsi="宋体" w:cs="宋体"/>
          <w:b/>
          <w:bCs/>
          <w:color w:val="000000" w:themeColor="text1"/>
          <w:sz w:val="24"/>
          <w:szCs w:val="22"/>
          <w14:textFill>
            <w14:solidFill>
              <w14:schemeClr w14:val="tx1"/>
            </w14:solidFill>
          </w14:textFill>
        </w:rPr>
        <w:t>13.“▲”系指实质性要求条款。“</w:t>
      </w:r>
      <w:r>
        <w:rPr>
          <w:rFonts w:ascii="宋体" w:hAnsi="宋体" w:cs="宋体"/>
          <w:color w:val="000000" w:themeColor="text1"/>
          <w:sz w:val="24"/>
          <w:szCs w:val="24"/>
          <w14:textFill>
            <w14:solidFill>
              <w14:schemeClr w14:val="tx1"/>
            </w14:solidFill>
          </w14:textFill>
        </w:rPr>
        <w:sym w:font="Wingdings 2" w:char="0052"/>
      </w:r>
      <w:r>
        <w:rPr>
          <w:rFonts w:ascii="宋体" w:hAnsi="宋体" w:cs="宋体"/>
          <w:b/>
          <w:bCs/>
          <w:color w:val="000000" w:themeColor="text1"/>
          <w:sz w:val="24"/>
          <w:szCs w:val="22"/>
          <w14:textFill>
            <w14:solidFill>
              <w14:schemeClr w14:val="tx1"/>
            </w14:solidFill>
          </w14:textFill>
        </w:rPr>
        <w:t>” 系指适用本项目的要求，“☐” 系指不适用本项目的要求。</w:t>
      </w:r>
    </w:p>
    <w:p>
      <w:pPr>
        <w:adjustRightInd w:val="0"/>
        <w:snapToGrid w:val="0"/>
        <w:spacing w:line="360" w:lineRule="auto"/>
        <w:ind w:firstLine="472" w:firstLineChars="196"/>
        <w:jc w:val="left"/>
        <w:outlineLvl w:val="1"/>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（三）招标方式</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本次招标采用公开招标方式进行。</w:t>
      </w:r>
    </w:p>
    <w:p>
      <w:pPr>
        <w:adjustRightInd w:val="0"/>
        <w:snapToGrid w:val="0"/>
        <w:spacing w:line="360" w:lineRule="auto"/>
        <w:ind w:firstLine="472" w:firstLineChars="196"/>
        <w:jc w:val="left"/>
        <w:outlineLvl w:val="1"/>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w:t>
      </w:r>
      <w:r>
        <w:rPr>
          <w:b/>
          <w:color w:val="000000" w:themeColor="text1"/>
          <w:sz w:val="24"/>
          <w14:textFill>
            <w14:solidFill>
              <w14:schemeClr w14:val="tx1"/>
            </w14:solidFill>
          </w14:textFill>
        </w:rPr>
        <w:t>四</w:t>
      </w:r>
      <w:r>
        <w:rPr>
          <w:rFonts w:hint="default"/>
          <w:b/>
          <w:color w:val="000000" w:themeColor="text1"/>
          <w:sz w:val="24"/>
          <w14:textFill>
            <w14:solidFill>
              <w14:schemeClr w14:val="tx1"/>
            </w14:solidFill>
          </w14:textFill>
        </w:rPr>
        <w:t>）投标费用</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不论投标结果如何，投标人均应自行承担所有与投标有关的全部费用。</w:t>
      </w:r>
    </w:p>
    <w:p>
      <w:pPr>
        <w:adjustRightInd w:val="0"/>
        <w:snapToGrid w:val="0"/>
        <w:spacing w:line="360" w:lineRule="auto"/>
        <w:ind w:firstLine="472" w:firstLineChars="196"/>
        <w:jc w:val="left"/>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w:t>
      </w:r>
      <w:r>
        <w:rPr>
          <w:b/>
          <w:color w:val="000000" w:themeColor="text1"/>
          <w:sz w:val="24"/>
          <w14:textFill>
            <w14:solidFill>
              <w14:schemeClr w14:val="tx1"/>
            </w14:solidFill>
          </w14:textFill>
        </w:rPr>
        <w:t>五</w:t>
      </w:r>
      <w:r>
        <w:rPr>
          <w:rFonts w:hint="default"/>
          <w:b/>
          <w:color w:val="000000" w:themeColor="text1"/>
          <w:sz w:val="24"/>
          <w14:textFill>
            <w14:solidFill>
              <w14:schemeClr w14:val="tx1"/>
            </w14:solidFill>
          </w14:textFill>
        </w:rPr>
        <w:t>）联合体投标</w:t>
      </w:r>
    </w:p>
    <w:p>
      <w:pPr>
        <w:adjustRightInd w:val="0"/>
        <w:snapToGrid w:val="0"/>
        <w:spacing w:line="360" w:lineRule="auto"/>
        <w:ind w:firstLine="480" w:firstLineChars="200"/>
        <w:jc w:val="left"/>
        <w:rPr>
          <w:rFonts w:hint="default"/>
          <w:b/>
          <w:bCs/>
          <w:color w:val="000000" w:themeColor="text1"/>
          <w:sz w:val="24"/>
          <w14:textFill>
            <w14:solidFill>
              <w14:schemeClr w14:val="tx1"/>
            </w14:solidFill>
          </w14:textFill>
        </w:rPr>
      </w:pPr>
      <w:r>
        <w:rPr>
          <w:color w:val="000000" w:themeColor="text1"/>
          <w:sz w:val="24"/>
          <w14:textFill>
            <w14:solidFill>
              <w14:schemeClr w14:val="tx1"/>
            </w14:solidFill>
          </w14:textFill>
        </w:rPr>
        <w:t>详见投标人须知前附表</w:t>
      </w:r>
    </w:p>
    <w:p>
      <w:pPr>
        <w:adjustRightInd w:val="0"/>
        <w:snapToGrid w:val="0"/>
        <w:spacing w:line="360" w:lineRule="auto"/>
        <w:ind w:firstLine="472" w:firstLineChars="196"/>
        <w:rPr>
          <w:rFonts w:hint="default"/>
          <w:b/>
          <w:color w:val="000000" w:themeColor="text1"/>
          <w:kern w:val="0"/>
          <w:sz w:val="24"/>
          <w14:textFill>
            <w14:solidFill>
              <w14:schemeClr w14:val="tx1"/>
            </w14:solidFill>
          </w14:textFill>
        </w:rPr>
      </w:pPr>
      <w:r>
        <w:rPr>
          <w:rFonts w:hint="default"/>
          <w:b/>
          <w:color w:val="000000" w:themeColor="text1"/>
          <w:sz w:val="24"/>
          <w14:textFill>
            <w14:solidFill>
              <w14:schemeClr w14:val="tx1"/>
            </w14:solidFill>
          </w14:textFill>
        </w:rPr>
        <w:t>（</w:t>
      </w:r>
      <w:r>
        <w:rPr>
          <w:b/>
          <w:color w:val="000000" w:themeColor="text1"/>
          <w:sz w:val="24"/>
          <w14:textFill>
            <w14:solidFill>
              <w14:schemeClr w14:val="tx1"/>
            </w14:solidFill>
          </w14:textFill>
        </w:rPr>
        <w:t>六</w:t>
      </w:r>
      <w:r>
        <w:rPr>
          <w:rFonts w:hint="default"/>
          <w:b/>
          <w:color w:val="000000" w:themeColor="text1"/>
          <w:sz w:val="24"/>
          <w14:textFill>
            <w14:solidFill>
              <w14:schemeClr w14:val="tx1"/>
            </w14:solidFill>
          </w14:textFill>
        </w:rPr>
        <w:t>）</w:t>
      </w:r>
      <w:r>
        <w:rPr>
          <w:rFonts w:hint="default"/>
          <w:b/>
          <w:color w:val="000000" w:themeColor="text1"/>
          <w:kern w:val="0"/>
          <w:sz w:val="24"/>
          <w14:textFill>
            <w14:solidFill>
              <w14:schemeClr w14:val="tx1"/>
            </w14:solidFill>
          </w14:textFill>
        </w:rPr>
        <w:t>转包与分包</w:t>
      </w:r>
    </w:p>
    <w:p>
      <w:pPr>
        <w:adjustRightInd w:val="0"/>
        <w:snapToGrid w:val="0"/>
        <w:spacing w:line="360" w:lineRule="auto"/>
        <w:ind w:firstLine="470" w:firstLineChars="196"/>
        <w:jc w:val="left"/>
        <w:outlineLvl w:val="1"/>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详见投标人须知前附表</w:t>
      </w:r>
    </w:p>
    <w:p>
      <w:pPr>
        <w:adjustRightInd w:val="0"/>
        <w:snapToGrid w:val="0"/>
        <w:spacing w:line="360" w:lineRule="auto"/>
        <w:ind w:firstLine="472" w:firstLineChars="196"/>
        <w:outlineLvl w:val="1"/>
        <w:rPr>
          <w:rFonts w:hint="default"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（七）采购项目需要落实的政府采购政策</w:t>
      </w:r>
    </w:p>
    <w:p>
      <w:pPr>
        <w:adjustRightInd w:val="0"/>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2.支持绿色发展</w:t>
      </w:r>
    </w:p>
    <w:p>
      <w:pPr>
        <w:adjustRightInd w:val="0"/>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color w:val="000000" w:themeColor="text1"/>
          <w:sz w:val="24"/>
          <w:u w:val="singl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▲采购人拟采购的产品属于政府强制采购的节能产品品目清单范围的，投标人相应的投标产品未获得国家确定的认证机构出具的、处于有效期之内的节能产品认证证书的，投标无效。（本项目不适用）</w:t>
      </w:r>
    </w:p>
    <w:p>
      <w:pPr>
        <w:adjustRightInd w:val="0"/>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3.支持中小企业发展</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3.2</w:t>
      </w:r>
      <w:r>
        <w:rPr>
          <w:rFonts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在政府采购活动中，投标人提供的货物、工程或者服务符合下列情形的，享受中小企业扶持政策：在货物采购项目中，货物由中小企业制造。</w:t>
      </w:r>
    </w:p>
    <w:p>
      <w:pPr>
        <w:widowControl/>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3.7中小企业享受扶持政策获得政府采购合同的，小微企业不得将合同分包给大中型企业，中型企业不得将合同分包给大型企业。</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4.1 采购人优先采购被认定为首台套产品和“制造精品”的自主创新产品。</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5.平等对待内外资企业和符合条件的破产重整企业</w:t>
      </w:r>
    </w:p>
    <w:p>
      <w:pPr>
        <w:adjustRightInd w:val="0"/>
        <w:snapToGrid w:val="0"/>
        <w:spacing w:line="360" w:lineRule="auto"/>
        <w:ind w:firstLine="470" w:firstLineChars="196"/>
        <w:outlineLvl w:val="1"/>
        <w:rPr>
          <w:rFonts w:hint="default"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pPr>
        <w:adjustRightInd w:val="0"/>
        <w:snapToGrid w:val="0"/>
        <w:spacing w:line="360" w:lineRule="auto"/>
        <w:ind w:firstLine="472" w:firstLineChars="196"/>
        <w:outlineLvl w:val="1"/>
        <w:rPr>
          <w:rFonts w:hint="default"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（八）特别说明：</w:t>
      </w:r>
    </w:p>
    <w:p>
      <w:pPr>
        <w:adjustRightInd w:val="0"/>
        <w:snapToGrid w:val="0"/>
        <w:spacing w:line="360" w:lineRule="auto"/>
        <w:ind w:firstLine="470" w:firstLineChars="196"/>
        <w:outlineLvl w:val="1"/>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adjustRightInd w:val="0"/>
        <w:snapToGrid w:val="0"/>
        <w:spacing w:line="360" w:lineRule="auto"/>
        <w:ind w:firstLine="470" w:firstLineChars="196"/>
        <w:jc w:val="left"/>
        <w:outlineLvl w:val="1"/>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2.采购文件中所涉及的产品品牌或型号均为建议性要求或为代替部分技术指标描述，供应商可以选择其他品牌型号的产品参加投标但投标产品须具有相当于或优于采购文件要求的指标、性能。</w:t>
      </w:r>
    </w:p>
    <w:p>
      <w:pPr>
        <w:widowControl/>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3.投标人应仔细阅读招标文件的所有内容，按照招标文件的要求提交投标文件，并对所提供的全部资料的真实性承担法律责任。</w:t>
      </w:r>
    </w:p>
    <w:p>
      <w:pPr>
        <w:widowControl/>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4.采购过程中出现以下情形，导致电子交易平台无法正常运行，或者无法保证电子交易的公平、公正和安全时，采购人（或代理机构）可中止电子交易活动：</w:t>
      </w:r>
    </w:p>
    <w:p>
      <w:pPr>
        <w:widowControl/>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（1）电子交易平台发生故障而无法登录访问的；</w:t>
      </w:r>
    </w:p>
    <w:p>
      <w:pPr>
        <w:widowControl/>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（2）电子交易平台应用或数据库出现错误，不能进行正常操作的；</w:t>
      </w:r>
    </w:p>
    <w:p>
      <w:pPr>
        <w:widowControl/>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（3）电子交易平台发现严重安全漏洞，有潜在泄密危险的；</w:t>
      </w:r>
    </w:p>
    <w:p>
      <w:pPr>
        <w:widowControl/>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（4）病毒发作导致不能进行正常操作的；</w:t>
      </w:r>
    </w:p>
    <w:p>
      <w:pPr>
        <w:widowControl/>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（5）其他无法保证电子交易的公平、公正和安全的情况。</w:t>
      </w:r>
    </w:p>
    <w:p>
      <w:pPr>
        <w:widowControl/>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出现上述规定情形，不影响采购公平、公正性的，采购人（或代理机构）可以待上述情形消除后继续组织电子交易活动，也可以决定某些环节以纸质形式进行。</w:t>
      </w:r>
    </w:p>
    <w:p>
      <w:pPr>
        <w:widowControl/>
        <w:adjustRightInd w:val="0"/>
        <w:snapToGrid w:val="0"/>
        <w:spacing w:line="360" w:lineRule="auto"/>
        <w:ind w:firstLine="482" w:firstLineChars="200"/>
        <w:jc w:val="left"/>
        <w:rPr>
          <w:rFonts w:hint="default"/>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5.供应商</w:t>
      </w:r>
      <w:r>
        <w:rPr>
          <w:rFonts w:hint="default"/>
          <w:b/>
          <w:bCs/>
          <w:color w:val="000000" w:themeColor="text1"/>
          <w:sz w:val="24"/>
          <w14:textFill>
            <w14:solidFill>
              <w14:schemeClr w14:val="tx1"/>
            </w14:solidFill>
          </w14:textFill>
        </w:rPr>
        <w:t>对所投标项内的采购内容必须全部进行投标。</w:t>
      </w:r>
    </w:p>
    <w:p>
      <w:pPr>
        <w:widowControl/>
        <w:numPr>
          <w:ilvl w:val="0"/>
          <w:numId w:val="3"/>
        </w:num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采购文件中如有描述歧义或前后不一致的地方，评标委员会有权按公平、合理的原则进行评判，但对同一条款的评判适用于每个</w:t>
      </w:r>
      <w:r>
        <w:rPr>
          <w:color w:val="000000" w:themeColor="text1"/>
          <w:sz w:val="24"/>
          <w14:textFill>
            <w14:solidFill>
              <w14:schemeClr w14:val="tx1"/>
            </w14:solidFill>
          </w14:textFill>
        </w:rPr>
        <w:t>供应商</w:t>
      </w:r>
      <w:r>
        <w:rPr>
          <w:rFonts w:hint="default"/>
          <w:color w:val="000000" w:themeColor="text1"/>
          <w:sz w:val="24"/>
          <w14:textFill>
            <w14:solidFill>
              <w14:schemeClr w14:val="tx1"/>
            </w14:solidFill>
          </w14:textFill>
        </w:rPr>
        <w:t>。</w:t>
      </w:r>
    </w:p>
    <w:p>
      <w:pPr>
        <w:widowControl/>
        <w:numPr>
          <w:ilvl w:val="0"/>
          <w:numId w:val="3"/>
        </w:num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供应商</w:t>
      </w:r>
      <w:r>
        <w:rPr>
          <w:rFonts w:hint="default"/>
          <w:color w:val="000000" w:themeColor="text1"/>
          <w:sz w:val="24"/>
          <w14:textFill>
            <w14:solidFill>
              <w14:schemeClr w14:val="tx1"/>
            </w14:solidFill>
          </w14:textFill>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widowControl/>
        <w:numPr>
          <w:ilvl w:val="0"/>
          <w:numId w:val="3"/>
        </w:num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为证明供应商拥有的人员、业绩、荣誉、知识产权、项目案例等而在投标文件中提供的证明材料必须为供应商自身所有。不同法人、其他组织的资料与供应商无关。</w:t>
      </w:r>
    </w:p>
    <w:p>
      <w:pPr>
        <w:pStyle w:val="6"/>
        <w:adjustRightInd w:val="0"/>
        <w:snapToGrid w:val="0"/>
        <w:spacing w:beforeLines="0" w:afterLines="0" w:line="360" w:lineRule="auto"/>
        <w:ind w:firstLine="472" w:firstLineChars="196"/>
        <w:outlineLvl w:val="1"/>
        <w:rPr>
          <w:rFonts w:hint="default" w:ascii="Times New Roman" w:hAnsi="Times New Roman"/>
          <w:b/>
          <w:bCs/>
          <w:color w:val="000000" w:themeColor="text1"/>
          <w14:textFill>
            <w14:solidFill>
              <w14:schemeClr w14:val="tx1"/>
            </w14:solidFill>
          </w14:textFill>
        </w:rPr>
      </w:pPr>
      <w:r>
        <w:rPr>
          <w:rFonts w:hint="default" w:ascii="Times New Roman" w:hAnsi="Times New Roman"/>
          <w:b/>
          <w:bCs/>
          <w:color w:val="000000" w:themeColor="text1"/>
          <w14:textFill>
            <w14:solidFill>
              <w14:schemeClr w14:val="tx1"/>
            </w14:solidFill>
          </w14:textFill>
        </w:rPr>
        <w:t>（</w:t>
      </w:r>
      <w:r>
        <w:rPr>
          <w:rFonts w:hAnsi="宋体" w:cs="宋体"/>
          <w:b/>
          <w:bCs/>
          <w:color w:val="000000" w:themeColor="text1"/>
          <w14:textFill>
            <w14:solidFill>
              <w14:schemeClr w14:val="tx1"/>
            </w14:solidFill>
          </w14:textFill>
        </w:rPr>
        <w:t>九</w:t>
      </w:r>
      <w:r>
        <w:rPr>
          <w:rFonts w:hint="default" w:ascii="Times New Roman" w:hAnsi="Times New Roman"/>
          <w:b/>
          <w:bCs/>
          <w:color w:val="000000" w:themeColor="text1"/>
          <w14:textFill>
            <w14:solidFill>
              <w14:schemeClr w14:val="tx1"/>
            </w14:solidFill>
          </w14:textFill>
        </w:rPr>
        <w:t>）质疑和投诉</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2供应商询问</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3供应商质疑</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3.1提出质疑的供应商应当是参与所质疑项目采购活动的供应商。潜在供应商已依法获取其可质疑的招标文件的，可以对该文件提出质疑。</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3.2.1对招标文件提出质疑的，质疑期限为供应商获得招标文件之日或者招标文件公告期限届满之日起计算。</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3.2.2对采购过程提出质疑的，质疑期限为各采购程序环节结束之日起计算。</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3.2.3对采购结果提出质疑的，质疑期限自采购结果公告期限届满之日起计算。</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3.3供应商提出质疑应当提交质疑函和必要的证明材料。质疑函应当包括下列内容：</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3.3.1供应商的姓名或者名称、地址、邮编、联系人及联系电话；</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3.3.2质疑项目的名称、编号；</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3.3.3具体、明确的质疑事项和与质疑事项相关的请求；</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3.3.4事实依据；</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3.3.5必要的法律依据；</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3.3.6提出质疑的日期。</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3.4对同一采购程序环节的质疑，供应商须在法定质疑期内一次性提出。</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3.5采购人或者采购代理机构应当在收到供应商的书面质疑后七个工作日内作出答复，并以书面形式通知质疑供应商和其他与质疑处理结果有利害关系的政府采购当事人，但答复的内容不得涉及商业秘密。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3.6询问或者质疑事项可能影响采购结果的，采购人应当暂停签订合同，已经签订合同的，应当中止履行合同。</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4.4供应商投诉</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4.4.1质疑供应商对采购人、采购代理机构的答复不满意或者采购人、采购代理机构未在规定的时间内作出答复的，可以在答复期满后十五个工作日内</w:t>
      </w:r>
      <w:r>
        <w:rPr>
          <w:color w:val="000000" w:themeColor="text1"/>
          <w:sz w:val="24"/>
          <w14:textFill>
            <w14:solidFill>
              <w14:schemeClr w14:val="tx1"/>
            </w14:solidFill>
          </w14:textFill>
        </w:rPr>
        <w:t>向同级政府采购监督管理部门</w:t>
      </w:r>
      <w:r>
        <w:rPr>
          <w:color w:val="000000" w:themeColor="text1"/>
          <w:sz w:val="24"/>
          <w:lang w:val="zh-CN"/>
          <w14:textFill>
            <w14:solidFill>
              <w14:schemeClr w14:val="tx1"/>
            </w14:solidFill>
          </w14:textFill>
        </w:rPr>
        <w:t>提出投诉。</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4.4.2供应商投诉的事项不得超出已质疑事项的范围，基于质疑答复内容提出的投诉事项除外。</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4.4.3供应商投诉应当有明确的请求和必要的证明材料。</w:t>
      </w:r>
    </w:p>
    <w:p>
      <w:pPr>
        <w:widowControl/>
        <w:adjustRightInd w:val="0"/>
        <w:snapToGrid w:val="0"/>
        <w:spacing w:line="360" w:lineRule="auto"/>
        <w:ind w:firstLine="480" w:firstLineChars="200"/>
        <w:rPr>
          <w:rFonts w:hint="default"/>
          <w:color w:val="000000" w:themeColor="text1"/>
          <w:sz w:val="24"/>
          <w:lang w:val="zh-CN"/>
          <w14:textFill>
            <w14:solidFill>
              <w14:schemeClr w14:val="tx1"/>
            </w14:solidFill>
          </w14:textFill>
        </w:rPr>
      </w:pPr>
      <w:r>
        <w:rPr>
          <w:color w:val="000000" w:themeColor="text1"/>
          <w:sz w:val="24"/>
          <w:lang w:val="zh-CN"/>
          <w14:textFill>
            <w14:solidFill>
              <w14:schemeClr w14:val="tx1"/>
            </w14:solidFill>
          </w14:textFill>
        </w:rPr>
        <w:t>4.4.4以联合体形式参加政府采购活动的，其投诉应当由组成联合体的所有供应商共同提出。</w:t>
      </w:r>
    </w:p>
    <w:p>
      <w:pPr>
        <w:pStyle w:val="6"/>
        <w:tabs>
          <w:tab w:val="left" w:pos="7317"/>
        </w:tabs>
        <w:adjustRightInd w:val="0"/>
        <w:snapToGrid w:val="0"/>
        <w:spacing w:beforeLines="0" w:afterLines="0" w:line="360" w:lineRule="auto"/>
        <w:outlineLvl w:val="0"/>
        <w:rPr>
          <w:rFonts w:hint="default" w:ascii="Times New Roman" w:hAnsi="Times New Roman"/>
          <w:b/>
          <w:color w:val="000000" w:themeColor="text1"/>
          <w:sz w:val="28"/>
          <w:szCs w:val="28"/>
          <w14:textFill>
            <w14:solidFill>
              <w14:schemeClr w14:val="tx1"/>
            </w14:solidFill>
          </w14:textFill>
        </w:rPr>
      </w:pPr>
      <w:bookmarkStart w:id="30" w:name="_Toc14892"/>
      <w:bookmarkStart w:id="31" w:name="_Toc16944"/>
      <w:bookmarkStart w:id="32" w:name="_Toc27257"/>
      <w:bookmarkStart w:id="33" w:name="_Toc30349"/>
      <w:bookmarkStart w:id="34" w:name="_Toc10520"/>
      <w:bookmarkStart w:id="35" w:name="_Toc31283"/>
      <w:r>
        <w:rPr>
          <w:rFonts w:hint="default" w:ascii="Times New Roman" w:hAnsi="Times New Roman"/>
          <w:b/>
          <w:color w:val="000000" w:themeColor="text1"/>
          <w:sz w:val="28"/>
          <w:szCs w:val="28"/>
          <w14:textFill>
            <w14:solidFill>
              <w14:schemeClr w14:val="tx1"/>
            </w14:solidFill>
          </w14:textFill>
        </w:rPr>
        <w:t>二、招标文件</w:t>
      </w:r>
      <w:bookmarkEnd w:id="30"/>
      <w:bookmarkEnd w:id="31"/>
      <w:bookmarkEnd w:id="32"/>
      <w:bookmarkEnd w:id="33"/>
      <w:bookmarkEnd w:id="34"/>
      <w:bookmarkEnd w:id="35"/>
    </w:p>
    <w:p>
      <w:pPr>
        <w:adjustRightInd w:val="0"/>
        <w:snapToGrid w:val="0"/>
        <w:spacing w:line="360" w:lineRule="auto"/>
        <w:ind w:firstLine="472" w:firstLineChars="196"/>
        <w:jc w:val="left"/>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（一）招标文件的构成。本招标文件由以下部份组成：</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1.招标公告</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2.投标人须知</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3.评标办法</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4.采购内容及需求</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5.合同主要条款</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6.投标文件格式</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7.本项目招标文件的澄清、修改内容（如有）</w:t>
      </w:r>
    </w:p>
    <w:p>
      <w:pPr>
        <w:adjustRightInd w:val="0"/>
        <w:snapToGrid w:val="0"/>
        <w:spacing w:line="360" w:lineRule="auto"/>
        <w:ind w:firstLine="470" w:firstLineChars="196"/>
        <w:jc w:val="left"/>
        <w:rPr>
          <w:rFonts w:hint="default"/>
          <w:b w:val="0"/>
          <w:bCs/>
          <w:color w:val="000000" w:themeColor="text1"/>
          <w:sz w:val="24"/>
          <w14:textFill>
            <w14:solidFill>
              <w14:schemeClr w14:val="tx1"/>
            </w14:solidFill>
          </w14:textFill>
        </w:rPr>
      </w:pPr>
      <w:r>
        <w:rPr>
          <w:rFonts w:hint="default"/>
          <w:b w:val="0"/>
          <w:bCs/>
          <w:color w:val="000000" w:themeColor="text1"/>
          <w:sz w:val="24"/>
          <w14:textFill>
            <w14:solidFill>
              <w14:schemeClr w14:val="tx1"/>
            </w14:solidFill>
          </w14:textFill>
        </w:rPr>
        <w:t>（二）投标人的风险</w:t>
      </w:r>
    </w:p>
    <w:p>
      <w:pPr>
        <w:adjustRightInd w:val="0"/>
        <w:snapToGrid w:val="0"/>
        <w:spacing w:line="360" w:lineRule="auto"/>
        <w:ind w:firstLine="480" w:firstLineChars="200"/>
        <w:jc w:val="left"/>
        <w:rPr>
          <w:rFonts w:hint="default"/>
          <w:b w:val="0"/>
          <w:bCs/>
          <w:color w:val="000000" w:themeColor="text1"/>
          <w:sz w:val="24"/>
          <w14:textFill>
            <w14:solidFill>
              <w14:schemeClr w14:val="tx1"/>
            </w14:solidFill>
          </w14:textFill>
        </w:rPr>
      </w:pPr>
      <w:r>
        <w:rPr>
          <w:rFonts w:hint="default"/>
          <w:b w:val="0"/>
          <w:bCs/>
          <w:color w:val="000000" w:themeColor="text1"/>
          <w:sz w:val="24"/>
          <w14:textFill>
            <w14:solidFill>
              <w14:schemeClr w14:val="tx1"/>
            </w14:solidFill>
          </w14:textFill>
        </w:rPr>
        <w:t>1.投标截止时间前，投标供应商仅递交了“电子备份投标文件”而未将“电子加密投标文件”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pPr>
        <w:adjustRightInd w:val="0"/>
        <w:snapToGrid w:val="0"/>
        <w:spacing w:line="360" w:lineRule="auto"/>
        <w:ind w:firstLine="480" w:firstLineChars="200"/>
        <w:jc w:val="left"/>
        <w:rPr>
          <w:rFonts w:hint="default"/>
          <w:b w:val="0"/>
          <w:bCs/>
          <w:color w:val="000000" w:themeColor="text1"/>
          <w:sz w:val="24"/>
          <w14:textFill>
            <w14:solidFill>
              <w14:schemeClr w14:val="tx1"/>
            </w14:solidFill>
          </w14:textFill>
        </w:rPr>
      </w:pPr>
      <w:r>
        <w:rPr>
          <w:rFonts w:hint="default"/>
          <w:b w:val="0"/>
          <w:bCs/>
          <w:color w:val="000000" w:themeColor="text1"/>
          <w:sz w:val="24"/>
          <w14:textFill>
            <w14:solidFill>
              <w14:schemeClr w14:val="tx1"/>
            </w14:solidFill>
          </w14:textFill>
        </w:rPr>
        <w:t>2.投标人没有按照招标文件要求提供全部资料，或者投标人没有对招标文件在各方面作出实质性响应是投标人的风险，并可能导致其投标无效。</w:t>
      </w:r>
    </w:p>
    <w:p>
      <w:pPr>
        <w:pStyle w:val="9"/>
        <w:widowControl w:val="0"/>
        <w:numPr>
          <w:ilvl w:val="0"/>
          <w:numId w:val="0"/>
        </w:numPr>
        <w:adjustRightInd w:val="0"/>
        <w:snapToGrid w:val="0"/>
        <w:spacing w:afterLines="0" w:line="360" w:lineRule="auto"/>
        <w:ind w:firstLine="470" w:firstLineChars="196"/>
        <w:rPr>
          <w:rFonts w:hint="default"/>
          <w:b w:val="0"/>
          <w:bCs/>
          <w:color w:val="000000" w:themeColor="text1"/>
          <w:szCs w:val="24"/>
          <w14:textFill>
            <w14:solidFill>
              <w14:schemeClr w14:val="tx1"/>
            </w14:solidFill>
          </w14:textFill>
        </w:rPr>
      </w:pPr>
      <w:r>
        <w:rPr>
          <w:rFonts w:hint="default"/>
          <w:b w:val="0"/>
          <w:bCs/>
          <w:color w:val="000000" w:themeColor="text1"/>
          <w:szCs w:val="24"/>
          <w14:textFill>
            <w14:solidFill>
              <w14:schemeClr w14:val="tx1"/>
            </w14:solidFill>
          </w14:textFill>
        </w:rPr>
        <w:t xml:space="preserve">（三）招标文件的澄清与修改 </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1.已获取招标文件的潜在投标人，若有问题需要澄清，应于投标截止时间前，以书面形式向采购代理机构提出。</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adjustRightInd w:val="0"/>
        <w:snapToGrid w:val="0"/>
        <w:spacing w:beforeLines="0" w:afterLines="0" w:line="360" w:lineRule="auto"/>
        <w:outlineLvl w:val="1"/>
        <w:rPr>
          <w:rFonts w:hint="default" w:ascii="Times New Roman" w:hAnsi="Times New Roman"/>
          <w:b/>
          <w:color w:val="000000" w:themeColor="text1"/>
          <w:sz w:val="28"/>
          <w:szCs w:val="28"/>
          <w14:textFill>
            <w14:solidFill>
              <w14:schemeClr w14:val="tx1"/>
            </w14:solidFill>
          </w14:textFill>
        </w:rPr>
      </w:pPr>
      <w:r>
        <w:rPr>
          <w:rFonts w:hint="default" w:ascii="Times New Roman" w:hAnsi="Times New Roman"/>
          <w:b/>
          <w:color w:val="000000" w:themeColor="text1"/>
          <w:sz w:val="28"/>
          <w:szCs w:val="28"/>
          <w14:textFill>
            <w14:solidFill>
              <w14:schemeClr w14:val="tx1"/>
            </w14:solidFill>
          </w14:textFill>
        </w:rPr>
        <w:t>三、投标文件的编制</w:t>
      </w:r>
    </w:p>
    <w:p>
      <w:pPr>
        <w:adjustRightInd w:val="0"/>
        <w:snapToGrid w:val="0"/>
        <w:spacing w:line="360" w:lineRule="auto"/>
        <w:ind w:firstLine="472" w:firstLineChars="196"/>
        <w:jc w:val="left"/>
        <w:outlineLvl w:val="0"/>
        <w:rPr>
          <w:rFonts w:hint="default"/>
          <w:b/>
          <w:color w:val="000000" w:themeColor="text1"/>
          <w:sz w:val="24"/>
          <w14:textFill>
            <w14:solidFill>
              <w14:schemeClr w14:val="tx1"/>
            </w14:solidFill>
          </w14:textFill>
        </w:rPr>
      </w:pPr>
      <w:bookmarkStart w:id="36" w:name="_Toc28131"/>
      <w:bookmarkStart w:id="37" w:name="_Toc9965"/>
      <w:bookmarkStart w:id="38" w:name="_Toc16210"/>
      <w:bookmarkStart w:id="39" w:name="_Toc23787"/>
      <w:bookmarkStart w:id="40" w:name="_Toc7323"/>
      <w:bookmarkStart w:id="41" w:name="_Toc5443"/>
      <w:r>
        <w:rPr>
          <w:rFonts w:hint="default"/>
          <w:b/>
          <w:color w:val="000000" w:themeColor="text1"/>
          <w:sz w:val="24"/>
          <w14:textFill>
            <w14:solidFill>
              <w14:schemeClr w14:val="tx1"/>
            </w14:solidFill>
          </w14:textFill>
        </w:rPr>
        <w:t>（一）投标文件的组成</w:t>
      </w:r>
      <w:bookmarkEnd w:id="36"/>
      <w:bookmarkEnd w:id="37"/>
      <w:bookmarkEnd w:id="38"/>
      <w:bookmarkEnd w:id="39"/>
      <w:bookmarkEnd w:id="40"/>
      <w:bookmarkEnd w:id="41"/>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投标文件由资格证明文件、商务技术文件、报价文件三部份组成。</w:t>
      </w:r>
    </w:p>
    <w:p>
      <w:pPr>
        <w:adjustRightInd w:val="0"/>
        <w:snapToGrid w:val="0"/>
        <w:spacing w:line="360" w:lineRule="auto"/>
        <w:ind w:firstLine="472" w:firstLineChars="196"/>
        <w:jc w:val="left"/>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1.资格证明文件</w:t>
      </w:r>
    </w:p>
    <w:p>
      <w:pPr>
        <w:adjustRightInd w:val="0"/>
        <w:snapToGrid w:val="0"/>
        <w:spacing w:line="360" w:lineRule="auto"/>
        <w:ind w:left="105" w:leftChars="50" w:firstLine="480" w:firstLineChars="200"/>
        <w:rPr>
          <w:rFonts w:hint="default"/>
          <w:color w:val="000000" w:themeColor="text1"/>
          <w:sz w:val="24"/>
          <w:szCs w:val="21"/>
          <w14:textFill>
            <w14:solidFill>
              <w14:schemeClr w14:val="tx1"/>
            </w14:solidFill>
          </w14:textFill>
        </w:rPr>
      </w:pPr>
      <w:r>
        <w:rPr>
          <w:rFonts w:hint="default"/>
          <w:color w:val="000000" w:themeColor="text1"/>
          <w:sz w:val="24"/>
          <w:szCs w:val="21"/>
          <w14:textFill>
            <w14:solidFill>
              <w14:schemeClr w14:val="tx1"/>
            </w14:solidFill>
          </w14:textFill>
        </w:rPr>
        <w:t>基本资格条件审查材料：</w:t>
      </w:r>
    </w:p>
    <w:p>
      <w:pPr>
        <w:numPr>
          <w:ilvl w:val="0"/>
          <w:numId w:val="4"/>
        </w:numPr>
        <w:snapToGrid w:val="0"/>
        <w:spacing w:line="360" w:lineRule="auto"/>
        <w:ind w:left="105" w:leftChars="50" w:firstLine="480" w:firstLineChars="200"/>
        <w:rPr>
          <w:rFonts w:hint="default"/>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符合参加政府采购活动应当具备的一般条件的承诺函；</w:t>
      </w:r>
    </w:p>
    <w:p>
      <w:pPr>
        <w:numPr>
          <w:ilvl w:val="0"/>
          <w:numId w:val="4"/>
        </w:numPr>
        <w:snapToGrid w:val="0"/>
        <w:spacing w:line="360" w:lineRule="auto"/>
        <w:ind w:left="105" w:leftChars="50" w:firstLine="480" w:firstLineChars="200"/>
        <w:rPr>
          <w:rFonts w:hint="eastAsia" w:eastAsia="宋体"/>
          <w:color w:val="000000" w:themeColor="text1"/>
          <w:sz w:val="24"/>
          <w:szCs w:val="21"/>
          <w:lang w:eastAsia="zh-CN"/>
          <w14:textFill>
            <w14:solidFill>
              <w14:schemeClr w14:val="tx1"/>
            </w14:solidFill>
          </w14:textFill>
        </w:rPr>
      </w:pPr>
      <w:r>
        <w:rPr>
          <w:rFonts w:hint="default"/>
          <w:color w:val="000000" w:themeColor="text1"/>
          <w:sz w:val="24"/>
          <w:szCs w:val="21"/>
          <w14:textFill>
            <w14:solidFill>
              <w14:schemeClr w14:val="tx1"/>
            </w14:solidFill>
          </w14:textFill>
        </w:rPr>
        <w:t>符合特定资格条件的相关证明材料</w:t>
      </w:r>
      <w:r>
        <w:rPr>
          <w:color w:val="000000" w:themeColor="text1"/>
          <w:sz w:val="24"/>
          <w:szCs w:val="21"/>
          <w14:textFill>
            <w14:solidFill>
              <w14:schemeClr w14:val="tx1"/>
            </w14:solidFill>
          </w14:textFill>
        </w:rPr>
        <w:t>（按公告要求）</w:t>
      </w:r>
      <w:r>
        <w:rPr>
          <w:rFonts w:hint="eastAsia"/>
          <w:color w:val="000000" w:themeColor="text1"/>
          <w:sz w:val="24"/>
          <w:szCs w:val="21"/>
          <w:lang w:val="en-US" w:eastAsia="zh-CN"/>
          <w14:textFill>
            <w14:solidFill>
              <w14:schemeClr w14:val="tx1"/>
            </w14:solidFill>
          </w14:textFill>
        </w:rPr>
        <w:t>；</w:t>
      </w:r>
    </w:p>
    <w:p>
      <w:pPr>
        <w:numPr>
          <w:ilvl w:val="0"/>
          <w:numId w:val="4"/>
        </w:numPr>
        <w:snapToGrid w:val="0"/>
        <w:spacing w:line="360" w:lineRule="auto"/>
        <w:ind w:left="105" w:leftChars="50" w:firstLine="480" w:firstLineChars="200"/>
        <w:rPr>
          <w:rFonts w:hint="eastAsia" w:eastAsia="宋体"/>
          <w:color w:val="000000" w:themeColor="text1"/>
          <w:sz w:val="24"/>
          <w:szCs w:val="21"/>
          <w:lang w:eastAsia="zh-CN"/>
          <w14:textFill>
            <w14:solidFill>
              <w14:schemeClr w14:val="tx1"/>
            </w14:solidFill>
          </w14:textFill>
        </w:rPr>
      </w:pPr>
      <w:r>
        <w:rPr>
          <w:rFonts w:hint="default"/>
          <w:color w:val="000000" w:themeColor="text1"/>
          <w:sz w:val="24"/>
          <w:szCs w:val="21"/>
          <w14:textFill>
            <w14:solidFill>
              <w14:schemeClr w14:val="tx1"/>
            </w14:solidFill>
          </w14:textFill>
        </w:rPr>
        <w:t>中小企业声明函、残疾人福利性单位声明函、属于监狱企业的证明文件（由省级以上监狱管理局、戒毒管理局（含新疆生产建设兵团）出具的属于监狱企业的证明文件</w:t>
      </w:r>
      <w:r>
        <w:rPr>
          <w:rFonts w:hint="eastAsia"/>
          <w:color w:val="000000" w:themeColor="text1"/>
          <w:sz w:val="24"/>
          <w:szCs w:val="21"/>
          <w:lang w:eastAsia="zh-CN"/>
          <w14:textFill>
            <w14:solidFill>
              <w14:schemeClr w14:val="tx1"/>
            </w14:solidFill>
          </w14:textFill>
        </w:rPr>
        <w:t>（</w:t>
      </w:r>
      <w:r>
        <w:rPr>
          <w:rFonts w:hint="eastAsia"/>
          <w:color w:val="000000" w:themeColor="text1"/>
          <w:sz w:val="24"/>
          <w:szCs w:val="21"/>
          <w:lang w:val="en-US" w:eastAsia="zh-CN"/>
          <w14:textFill>
            <w14:solidFill>
              <w14:schemeClr w14:val="tx1"/>
            </w14:solidFill>
          </w14:textFill>
        </w:rPr>
        <w:t>如有</w:t>
      </w:r>
      <w:r>
        <w:rPr>
          <w:rFonts w:hint="eastAsia"/>
          <w:color w:val="000000" w:themeColor="text1"/>
          <w:sz w:val="24"/>
          <w:szCs w:val="21"/>
          <w:lang w:eastAsia="zh-CN"/>
          <w14:textFill>
            <w14:solidFill>
              <w14:schemeClr w14:val="tx1"/>
            </w14:solidFill>
          </w14:textFill>
        </w:rPr>
        <w:t>）。</w:t>
      </w:r>
    </w:p>
    <w:p>
      <w:pPr>
        <w:snapToGrid w:val="0"/>
        <w:spacing w:line="360" w:lineRule="auto"/>
        <w:ind w:firstLine="470" w:firstLineChars="196"/>
        <w:jc w:val="left"/>
        <w:rPr>
          <w:rFonts w:hint="default"/>
          <w:color w:val="000000" w:themeColor="text1"/>
          <w:sz w:val="24"/>
          <w:szCs w:val="21"/>
          <w14:textFill>
            <w14:solidFill>
              <w14:schemeClr w14:val="tx1"/>
            </w14:solidFill>
          </w14:textFill>
        </w:rPr>
      </w:pPr>
      <w:r>
        <w:rPr>
          <w:rFonts w:hint="default"/>
          <w:color w:val="000000" w:themeColor="text1"/>
          <w:sz w:val="24"/>
          <w:szCs w:val="21"/>
          <w14:textFill>
            <w14:solidFill>
              <w14:schemeClr w14:val="tx1"/>
            </w14:solidFill>
          </w14:textFill>
        </w:rPr>
        <w:t>上述资格条件审查材料有一项不提供的，视为资格审查不通过。</w:t>
      </w:r>
    </w:p>
    <w:p>
      <w:pPr>
        <w:adjustRightInd w:val="0"/>
        <w:snapToGrid w:val="0"/>
        <w:spacing w:line="360" w:lineRule="auto"/>
        <w:ind w:firstLine="472" w:firstLineChars="196"/>
        <w:jc w:val="left"/>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2.商务技术文件</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（1）法定代表人授权委托书；</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（2）法定代表人及授权委托人的身份证(复印件加盖公章)；</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同类项目业绩表</w:t>
      </w:r>
      <w:r>
        <w:rPr>
          <w:rFonts w:hint="default"/>
          <w:color w:val="000000" w:themeColor="text1"/>
          <w:sz w:val="24"/>
          <w:lang w:val="zh-CN"/>
          <w14:textFill>
            <w14:solidFill>
              <w14:schemeClr w14:val="tx1"/>
            </w14:solidFill>
          </w14:textFill>
        </w:rPr>
        <w:t>；</w:t>
      </w:r>
    </w:p>
    <w:p>
      <w:pPr>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）商务技术偏离表；</w:t>
      </w:r>
    </w:p>
    <w:p>
      <w:pPr>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）评标标准相应的商务技术资料；</w:t>
      </w:r>
    </w:p>
    <w:p>
      <w:pPr>
        <w:adjustRightInd w:val="0"/>
        <w:snapToGrid w:val="0"/>
        <w:spacing w:line="360" w:lineRule="auto"/>
        <w:ind w:firstLine="480" w:firstLineChars="20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）其他必要提供的资料。</w:t>
      </w:r>
    </w:p>
    <w:p>
      <w:pPr>
        <w:adjustRightInd w:val="0"/>
        <w:snapToGrid w:val="0"/>
        <w:spacing w:line="360" w:lineRule="auto"/>
        <w:ind w:firstLine="472" w:firstLineChars="196"/>
        <w:jc w:val="left"/>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3.报价文件：</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w:t>
      </w:r>
      <w:r>
        <w:rPr>
          <w:rFonts w:ascii="宋体" w:hAnsi="宋体" w:cs="宋体"/>
          <w:b/>
          <w:bCs/>
          <w:color w:val="000000" w:themeColor="text1"/>
          <w:sz w:val="21"/>
          <w:szCs w:val="21"/>
          <w:u w:val="none"/>
          <w14:textFill>
            <w14:solidFill>
              <w14:schemeClr w14:val="tx1"/>
            </w14:solidFill>
          </w14:textFill>
        </w:rPr>
        <w:t>▲</w:t>
      </w:r>
      <w:r>
        <w:rPr>
          <w:rFonts w:hint="default"/>
          <w:color w:val="000000" w:themeColor="text1"/>
          <w:sz w:val="24"/>
          <w14:textFill>
            <w14:solidFill>
              <w14:schemeClr w14:val="tx1"/>
            </w14:solidFill>
          </w14:textFill>
        </w:rPr>
        <w:t xml:space="preserve">投标函（格式见第六章）； </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w:t>
      </w:r>
      <w:r>
        <w:rPr>
          <w:rFonts w:ascii="宋体" w:hAnsi="宋体" w:cs="宋体"/>
          <w:b/>
          <w:bCs/>
          <w:color w:val="000000" w:themeColor="text1"/>
          <w:sz w:val="21"/>
          <w:szCs w:val="21"/>
          <w:u w:val="none"/>
          <w14:textFill>
            <w14:solidFill>
              <w14:schemeClr w14:val="tx1"/>
            </w14:solidFill>
          </w14:textFill>
        </w:rPr>
        <w:t>▲</w:t>
      </w:r>
      <w:r>
        <w:rPr>
          <w:rFonts w:hint="default"/>
          <w:color w:val="000000" w:themeColor="text1"/>
          <w:sz w:val="24"/>
          <w14:textFill>
            <w14:solidFill>
              <w14:schemeClr w14:val="tx1"/>
            </w14:solidFill>
          </w14:textFill>
        </w:rPr>
        <w:t>开标一览表（格式按电子交易平台）；</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w:t>
      </w:r>
      <w:r>
        <w:rPr>
          <w:rFonts w:ascii="宋体" w:hAnsi="宋体" w:cs="宋体"/>
          <w:b/>
          <w:bCs/>
          <w:color w:val="000000" w:themeColor="text1"/>
          <w:sz w:val="21"/>
          <w:szCs w:val="21"/>
          <w:u w:val="none"/>
          <w14:textFill>
            <w14:solidFill>
              <w14:schemeClr w14:val="tx1"/>
            </w14:solidFill>
          </w14:textFill>
        </w:rPr>
        <w:t>▲</w:t>
      </w:r>
      <w:r>
        <w:rPr>
          <w:rFonts w:hint="default"/>
          <w:color w:val="000000" w:themeColor="text1"/>
          <w:sz w:val="24"/>
          <w14:textFill>
            <w14:solidFill>
              <w14:schemeClr w14:val="tx1"/>
            </w14:solidFill>
          </w14:textFill>
        </w:rPr>
        <w:t>投标报价明细表（格式见第六章）；</w:t>
      </w:r>
    </w:p>
    <w:p>
      <w:pPr>
        <w:snapToGrid w:val="0"/>
        <w:spacing w:line="360" w:lineRule="auto"/>
        <w:ind w:firstLine="480" w:firstLineChars="200"/>
        <w:jc w:val="left"/>
        <w:rPr>
          <w:rFonts w:hint="default" w:ascii="宋体" w:hAnsi="宋体" w:cs="宋体"/>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注：</w:t>
      </w:r>
      <w:bookmarkStart w:id="42" w:name="_Toc27106"/>
      <w:bookmarkStart w:id="43" w:name="_Toc31780"/>
      <w:bookmarkStart w:id="44" w:name="_Toc32602"/>
      <w:bookmarkStart w:id="45" w:name="_Toc1327"/>
      <w:r>
        <w:rPr>
          <w:rFonts w:hint="eastAsia"/>
          <w:color w:val="000000" w:themeColor="text1"/>
          <w:sz w:val="24"/>
          <w:lang w:val="en-US" w:eastAsia="zh-CN"/>
          <w14:textFill>
            <w14:solidFill>
              <w14:schemeClr w14:val="tx1"/>
            </w14:solidFill>
          </w14:textFill>
        </w:rPr>
        <w:t>1</w:t>
      </w:r>
      <w:r>
        <w:rPr>
          <w:rFonts w:ascii="宋体" w:hAnsi="宋体" w:cs="宋体"/>
          <w:color w:val="000000" w:themeColor="text1"/>
          <w:sz w:val="24"/>
          <w14:textFill>
            <w14:solidFill>
              <w14:schemeClr w14:val="tx1"/>
            </w14:solidFill>
          </w14:textFill>
        </w:rPr>
        <w:t>）附件中有参考格式的，参照格式，没有参考格式的，供应商根据招标文件要求自行编制。</w:t>
      </w:r>
    </w:p>
    <w:p>
      <w:pPr>
        <w:pStyle w:val="41"/>
        <w:adjustRightInd w:val="0"/>
        <w:snapToGrid w:val="0"/>
        <w:spacing w:after="0" w:line="360" w:lineRule="auto"/>
        <w:ind w:left="0" w:leftChars="0" w:firstLine="480"/>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ascii="宋体" w:hAnsi="宋体" w:cs="宋体"/>
          <w:color w:val="000000" w:themeColor="text1"/>
          <w:sz w:val="24"/>
          <w14:textFill>
            <w14:solidFill>
              <w14:schemeClr w14:val="tx1"/>
            </w14:solidFill>
          </w14:textFill>
        </w:rPr>
        <w:t>）供应商应根据“政采云供应商项目采购-电子招投标操作指南”及本招标文件规定的格式和顺序编制电子响应文件并进行关联定位。以便评标委员会在评审过程中，点击评分项，可直接定位到该评分项内容。</w:t>
      </w:r>
    </w:p>
    <w:p>
      <w:pPr>
        <w:adjustRightInd w:val="0"/>
        <w:snapToGrid w:val="0"/>
        <w:spacing w:line="360" w:lineRule="auto"/>
        <w:ind w:firstLine="472" w:firstLineChars="196"/>
        <w:jc w:val="left"/>
        <w:outlineLvl w:val="0"/>
        <w:rPr>
          <w:rFonts w:hint="default"/>
          <w:b/>
          <w:color w:val="000000" w:themeColor="text1"/>
          <w:sz w:val="24"/>
          <w14:textFill>
            <w14:solidFill>
              <w14:schemeClr w14:val="tx1"/>
            </w14:solidFill>
          </w14:textFill>
        </w:rPr>
      </w:pPr>
      <w:bookmarkStart w:id="46" w:name="_Toc15620"/>
      <w:bookmarkStart w:id="47" w:name="_Toc11583"/>
      <w:r>
        <w:rPr>
          <w:rFonts w:hint="default"/>
          <w:b/>
          <w:color w:val="000000" w:themeColor="text1"/>
          <w:sz w:val="24"/>
          <w14:textFill>
            <w14:solidFill>
              <w14:schemeClr w14:val="tx1"/>
            </w14:solidFill>
          </w14:textFill>
        </w:rPr>
        <w:t>（二）投标文件的语言及计量</w:t>
      </w:r>
      <w:bookmarkEnd w:id="42"/>
      <w:bookmarkEnd w:id="43"/>
      <w:bookmarkEnd w:id="44"/>
      <w:bookmarkEnd w:id="45"/>
      <w:bookmarkEnd w:id="46"/>
      <w:bookmarkEnd w:id="47"/>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auto"/>
        <w:ind w:firstLine="472" w:firstLineChars="196"/>
        <w:jc w:val="left"/>
        <w:outlineLvl w:val="0"/>
        <w:rPr>
          <w:rFonts w:hint="default"/>
          <w:b/>
          <w:color w:val="000000" w:themeColor="text1"/>
          <w:sz w:val="24"/>
          <w14:textFill>
            <w14:solidFill>
              <w14:schemeClr w14:val="tx1"/>
            </w14:solidFill>
          </w14:textFill>
        </w:rPr>
      </w:pPr>
      <w:bookmarkStart w:id="48" w:name="_Toc10791"/>
      <w:bookmarkStart w:id="49" w:name="_Toc27951"/>
      <w:bookmarkStart w:id="50" w:name="_Toc447"/>
      <w:bookmarkStart w:id="51" w:name="_Toc2734"/>
      <w:bookmarkStart w:id="52" w:name="_Toc26081"/>
      <w:bookmarkStart w:id="53" w:name="_Toc24509"/>
      <w:r>
        <w:rPr>
          <w:rFonts w:hint="default"/>
          <w:b/>
          <w:color w:val="000000" w:themeColor="text1"/>
          <w:sz w:val="24"/>
          <w14:textFill>
            <w14:solidFill>
              <w14:schemeClr w14:val="tx1"/>
            </w14:solidFill>
          </w14:textFill>
        </w:rPr>
        <w:t>（三）投标报价</w:t>
      </w:r>
      <w:bookmarkEnd w:id="48"/>
      <w:bookmarkEnd w:id="49"/>
      <w:bookmarkEnd w:id="50"/>
      <w:bookmarkEnd w:id="51"/>
      <w:bookmarkEnd w:id="52"/>
      <w:bookmarkEnd w:id="53"/>
    </w:p>
    <w:p>
      <w:pPr>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1.报价应按采购文件中相关附表格式填写。</w:t>
      </w:r>
    </w:p>
    <w:p>
      <w:pPr>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2.投标人根据招标文件的要求，</w:t>
      </w:r>
      <w:r>
        <w:rPr>
          <w:rFonts w:ascii="宋体" w:hAnsi="宋体" w:cs="宋体"/>
          <w:color w:val="000000" w:themeColor="text1"/>
          <w:kern w:val="0"/>
          <w:sz w:val="24"/>
          <w:lang w:val="zh-CN"/>
          <w14:textFill>
            <w14:solidFill>
              <w14:schemeClr w14:val="tx1"/>
            </w14:solidFill>
          </w14:textFill>
        </w:rPr>
        <w:t>有关本项目实施所需的所有费用（含税费）均计入报价</w:t>
      </w:r>
      <w:r>
        <w:rPr>
          <w:rFonts w:ascii="宋体" w:hAnsi="宋体" w:cs="宋体"/>
          <w:color w:val="000000" w:themeColor="text1"/>
          <w:sz w:val="24"/>
          <w14:textFill>
            <w14:solidFill>
              <w14:schemeClr w14:val="tx1"/>
            </w14:solidFill>
          </w14:textFill>
        </w:rPr>
        <w:t>。</w:t>
      </w:r>
    </w:p>
    <w:p>
      <w:pPr>
        <w:adjustRightInd w:val="0"/>
        <w:snapToGrid w:val="0"/>
        <w:spacing w:line="360" w:lineRule="auto"/>
        <w:ind w:firstLine="482" w:firstLineChars="200"/>
        <w:jc w:val="left"/>
        <w:rPr>
          <w:rFonts w:hint="default"/>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default"/>
          <w:b/>
          <w:bCs/>
          <w:color w:val="000000" w:themeColor="text1"/>
          <w:sz w:val="24"/>
          <w14:textFill>
            <w14:solidFill>
              <w14:schemeClr w14:val="tx1"/>
            </w14:solidFill>
          </w14:textFill>
        </w:rPr>
        <w:t>.投标文件只允许有一个报价，有选择或有条件的报价将不予接受，其投标无效。</w:t>
      </w:r>
    </w:p>
    <w:p>
      <w:pPr>
        <w:pStyle w:val="9"/>
        <w:widowControl w:val="0"/>
        <w:numPr>
          <w:ilvl w:val="0"/>
          <w:numId w:val="0"/>
        </w:numPr>
        <w:adjustRightInd w:val="0"/>
        <w:snapToGrid w:val="0"/>
        <w:spacing w:afterLines="0" w:line="360" w:lineRule="auto"/>
        <w:ind w:firstLine="472" w:firstLineChars="196"/>
        <w:rPr>
          <w:rFonts w:hint="default"/>
          <w:b/>
          <w:color w:val="000000" w:themeColor="text1"/>
          <w:szCs w:val="24"/>
          <w14:textFill>
            <w14:solidFill>
              <w14:schemeClr w14:val="tx1"/>
            </w14:solidFill>
          </w14:textFill>
        </w:rPr>
      </w:pPr>
      <w:r>
        <w:rPr>
          <w:rFonts w:hint="default"/>
          <w:b/>
          <w:color w:val="000000" w:themeColor="text1"/>
          <w:szCs w:val="24"/>
          <w14:textFill>
            <w14:solidFill>
              <w14:schemeClr w14:val="tx1"/>
            </w14:solidFill>
          </w14:textFill>
        </w:rPr>
        <w:t>（四）投标文件的有效期</w:t>
      </w:r>
    </w:p>
    <w:p>
      <w:pPr>
        <w:pStyle w:val="9"/>
        <w:widowControl w:val="0"/>
        <w:numPr>
          <w:ilvl w:val="0"/>
          <w:numId w:val="0"/>
        </w:numPr>
        <w:adjustRightInd w:val="0"/>
        <w:snapToGrid w:val="0"/>
        <w:spacing w:afterLines="0" w:line="360" w:lineRule="auto"/>
        <w:ind w:firstLine="482" w:firstLineChars="200"/>
        <w:rPr>
          <w:rFonts w:hint="default"/>
          <w:b/>
          <w:bCs/>
          <w:color w:val="000000" w:themeColor="text1"/>
          <w:szCs w:val="24"/>
          <w14:textFill>
            <w14:solidFill>
              <w14:schemeClr w14:val="tx1"/>
            </w14:solidFill>
          </w14:textFill>
        </w:rPr>
      </w:pPr>
      <w:r>
        <w:rPr>
          <w:rFonts w:hint="default"/>
          <w:b/>
          <w:bCs/>
          <w:color w:val="000000" w:themeColor="text1"/>
          <w:szCs w:val="24"/>
          <w14:textFill>
            <w14:solidFill>
              <w14:schemeClr w14:val="tx1"/>
            </w14:solidFill>
          </w14:textFill>
        </w:rPr>
        <w:t>1.自投标截止日起</w:t>
      </w:r>
      <w:r>
        <w:rPr>
          <w:rFonts w:hint="default"/>
          <w:b/>
          <w:bCs/>
          <w:color w:val="000000" w:themeColor="text1"/>
          <w:szCs w:val="24"/>
          <w:u w:val="single"/>
          <w14:textFill>
            <w14:solidFill>
              <w14:schemeClr w14:val="tx1"/>
            </w14:solidFill>
          </w14:textFill>
        </w:rPr>
        <w:t xml:space="preserve"> 90 </w:t>
      </w:r>
      <w:r>
        <w:rPr>
          <w:rFonts w:hint="default"/>
          <w:b/>
          <w:bCs/>
          <w:color w:val="000000" w:themeColor="text1"/>
          <w:szCs w:val="24"/>
          <w14:textFill>
            <w14:solidFill>
              <w14:schemeClr w14:val="tx1"/>
            </w14:solidFill>
          </w14:textFill>
        </w:rPr>
        <w:t>天投标文件应保持有效。有效期不足的投标文件将被视为无效。</w:t>
      </w:r>
    </w:p>
    <w:p>
      <w:pPr>
        <w:pStyle w:val="9"/>
        <w:widowControl w:val="0"/>
        <w:numPr>
          <w:ilvl w:val="0"/>
          <w:numId w:val="0"/>
        </w:numPr>
        <w:adjustRightInd w:val="0"/>
        <w:snapToGrid w:val="0"/>
        <w:spacing w:afterLines="0" w:line="360" w:lineRule="auto"/>
        <w:ind w:firstLine="480" w:firstLineChars="200"/>
        <w:rPr>
          <w:rFonts w:hint="default"/>
          <w:color w:val="000000" w:themeColor="text1"/>
          <w:szCs w:val="24"/>
          <w14:textFill>
            <w14:solidFill>
              <w14:schemeClr w14:val="tx1"/>
            </w14:solidFill>
          </w14:textFill>
        </w:rPr>
      </w:pPr>
      <w:r>
        <w:rPr>
          <w:rFonts w:hint="default"/>
          <w:color w:val="000000" w:themeColor="text1"/>
          <w:szCs w:val="24"/>
          <w14:textFill>
            <w14:solidFill>
              <w14:schemeClr w14:val="tx1"/>
            </w14:solidFill>
          </w14:textFill>
        </w:rPr>
        <w:t>2.在特殊情况下，采购人可与投标人协商延长投标书的有效期，这种要求和答复均以书面形式进行。</w:t>
      </w:r>
    </w:p>
    <w:p>
      <w:pPr>
        <w:adjustRightInd w:val="0"/>
        <w:snapToGrid w:val="0"/>
        <w:spacing w:line="360" w:lineRule="auto"/>
        <w:ind w:firstLine="480" w:firstLineChars="200"/>
        <w:jc w:val="left"/>
        <w:outlineLvl w:val="0"/>
        <w:rPr>
          <w:rFonts w:hint="default"/>
          <w:b/>
          <w:color w:val="000000" w:themeColor="text1"/>
          <w:sz w:val="24"/>
          <w14:textFill>
            <w14:solidFill>
              <w14:schemeClr w14:val="tx1"/>
            </w14:solidFill>
          </w14:textFill>
        </w:rPr>
      </w:pPr>
      <w:bookmarkStart w:id="54" w:name="_Toc7404"/>
      <w:bookmarkStart w:id="55" w:name="_Toc22937"/>
      <w:bookmarkStart w:id="56" w:name="_Toc21096"/>
      <w:bookmarkStart w:id="57" w:name="_Toc28284"/>
      <w:bookmarkStart w:id="58" w:name="_Toc25306"/>
      <w:bookmarkStart w:id="59" w:name="_Toc13890"/>
      <w:r>
        <w:rPr>
          <w:rFonts w:hint="default"/>
          <w:color w:val="000000" w:themeColor="text1"/>
          <w:sz w:val="24"/>
          <w14:textFill>
            <w14:solidFill>
              <w14:schemeClr w14:val="tx1"/>
            </w14:solidFill>
          </w14:textFill>
        </w:rPr>
        <w:t>3.投标人可拒绝接受延期要求。同意延长有效期的，投标人不能修改其投标文件。</w:t>
      </w:r>
      <w:bookmarkEnd w:id="54"/>
      <w:bookmarkEnd w:id="55"/>
      <w:bookmarkEnd w:id="56"/>
      <w:bookmarkEnd w:id="57"/>
      <w:bookmarkEnd w:id="58"/>
      <w:bookmarkEnd w:id="59"/>
    </w:p>
    <w:p>
      <w:pPr>
        <w:adjustRightInd w:val="0"/>
        <w:snapToGrid w:val="0"/>
        <w:spacing w:line="360" w:lineRule="auto"/>
        <w:ind w:firstLine="480" w:firstLineChars="200"/>
        <w:jc w:val="left"/>
        <w:outlineLvl w:val="0"/>
        <w:rPr>
          <w:rFonts w:hint="default"/>
          <w:b/>
          <w:color w:val="000000" w:themeColor="text1"/>
          <w:sz w:val="24"/>
          <w14:textFill>
            <w14:solidFill>
              <w14:schemeClr w14:val="tx1"/>
            </w14:solidFill>
          </w14:textFill>
        </w:rPr>
      </w:pPr>
      <w:bookmarkStart w:id="60" w:name="_Toc17993"/>
      <w:bookmarkStart w:id="61" w:name="_Toc3605"/>
      <w:bookmarkStart w:id="62" w:name="_Toc14664"/>
      <w:bookmarkStart w:id="63" w:name="_Toc8041"/>
      <w:bookmarkStart w:id="64" w:name="_Toc28942"/>
      <w:bookmarkStart w:id="65" w:name="_Toc25512"/>
      <w:r>
        <w:rPr>
          <w:rFonts w:hint="default"/>
          <w:color w:val="000000" w:themeColor="text1"/>
          <w:sz w:val="24"/>
          <w14:textFill>
            <w14:solidFill>
              <w14:schemeClr w14:val="tx1"/>
            </w14:solidFill>
          </w14:textFill>
        </w:rPr>
        <w:t>4.中标人的投标文件自开标之日起至合同履行完毕止均应保持有效。</w:t>
      </w:r>
      <w:bookmarkEnd w:id="60"/>
      <w:bookmarkEnd w:id="61"/>
      <w:bookmarkEnd w:id="62"/>
      <w:bookmarkEnd w:id="63"/>
      <w:bookmarkEnd w:id="64"/>
      <w:bookmarkEnd w:id="65"/>
    </w:p>
    <w:p>
      <w:pPr>
        <w:pStyle w:val="9"/>
        <w:widowControl w:val="0"/>
        <w:numPr>
          <w:ilvl w:val="0"/>
          <w:numId w:val="0"/>
        </w:numPr>
        <w:adjustRightInd w:val="0"/>
        <w:snapToGrid w:val="0"/>
        <w:spacing w:afterLines="0" w:line="360" w:lineRule="auto"/>
        <w:ind w:firstLine="472" w:firstLineChars="196"/>
        <w:rPr>
          <w:rFonts w:hint="default"/>
          <w:b/>
          <w:color w:val="000000" w:themeColor="text1"/>
          <w:szCs w:val="24"/>
          <w14:textFill>
            <w14:solidFill>
              <w14:schemeClr w14:val="tx1"/>
            </w14:solidFill>
          </w14:textFill>
        </w:rPr>
      </w:pPr>
      <w:r>
        <w:rPr>
          <w:rFonts w:hint="default"/>
          <w:b/>
          <w:color w:val="000000" w:themeColor="text1"/>
          <w:szCs w:val="24"/>
          <w14:textFill>
            <w14:solidFill>
              <w14:schemeClr w14:val="tx1"/>
            </w14:solidFill>
          </w14:textFill>
        </w:rPr>
        <w:t>（五）投标文件的编制</w:t>
      </w:r>
    </w:p>
    <w:p>
      <w:pPr>
        <w:autoSpaceDE w:val="0"/>
        <w:autoSpaceDN w:val="0"/>
        <w:adjustRightInd w:val="0"/>
        <w:snapToGrid w:val="0"/>
        <w:spacing w:line="360" w:lineRule="auto"/>
        <w:ind w:left="359" w:leftChars="171" w:firstLine="120" w:firstLineChars="5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1.“电子加密投标文件”：</w:t>
      </w:r>
    </w:p>
    <w:p>
      <w:pPr>
        <w:autoSpaceDE w:val="0"/>
        <w:autoSpaceDN w:val="0"/>
        <w:adjustRightInd w:val="0"/>
        <w:snapToGrid w:val="0"/>
        <w:spacing w:line="360" w:lineRule="auto"/>
        <w:ind w:firstLine="360" w:firstLineChars="15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（1）“电子加密投标文件”是指通过“政采云电子交易客户端”完成投标文件编制后生成并加密的数据电文形式的投标文件。</w:t>
      </w:r>
    </w:p>
    <w:p>
      <w:pPr>
        <w:spacing w:line="360" w:lineRule="auto"/>
        <w:ind w:firstLine="360" w:firstLineChars="15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（2）供应商应先安装“政采云电子交易客户端”，并按照本招标文件和“政府采购云平台”的要求，通过“政采云电子交易客户端”编制并加密投标文件。</w:t>
      </w:r>
    </w:p>
    <w:p>
      <w:pPr>
        <w:spacing w:line="360" w:lineRule="auto"/>
        <w:ind w:left="359" w:leftChars="171" w:firstLine="120" w:firstLineChars="5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2.“电子备份投标文件”：</w:t>
      </w:r>
    </w:p>
    <w:p>
      <w:pPr>
        <w:autoSpaceDE w:val="0"/>
        <w:autoSpaceDN w:val="0"/>
        <w:adjustRightInd w:val="0"/>
        <w:snapToGrid w:val="0"/>
        <w:spacing w:line="360" w:lineRule="auto"/>
        <w:ind w:firstLine="360" w:firstLineChars="15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（1）投标人在电子交易平台传输递交投标文件后，还可以在投标截止时间前直接提交或者以邮政快递方式递交备份投标文件1份，</w:t>
      </w:r>
      <w:r>
        <w:rPr>
          <w:rFonts w:ascii="宋体" w:hAnsi="宋体" w:cs="宋体"/>
          <w:b/>
          <w:bCs/>
          <w:color w:val="000000" w:themeColor="text1"/>
          <w:sz w:val="24"/>
          <w14:textFill>
            <w14:solidFill>
              <w14:schemeClr w14:val="tx1"/>
            </w14:solidFill>
          </w14:textFill>
        </w:rPr>
        <w:t>但采购人、采购代理机构不强制或变相强制投标人提交备份投标文</w:t>
      </w:r>
      <w:r>
        <w:rPr>
          <w:rFonts w:ascii="宋体" w:hAnsi="宋体" w:cs="宋体"/>
          <w:color w:val="000000" w:themeColor="text1"/>
          <w:sz w:val="24"/>
          <w14:textFill>
            <w14:solidFill>
              <w14:schemeClr w14:val="tx1"/>
            </w14:solidFill>
          </w14:textFill>
        </w:rPr>
        <w:t>件。</w:t>
      </w:r>
    </w:p>
    <w:p>
      <w:pPr>
        <w:autoSpaceDE w:val="0"/>
        <w:autoSpaceDN w:val="0"/>
        <w:adjustRightInd w:val="0"/>
        <w:snapToGrid w:val="0"/>
        <w:spacing w:line="360" w:lineRule="auto"/>
        <w:ind w:firstLine="360" w:firstLineChars="150"/>
        <w:rPr>
          <w:rFonts w:hint="default"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color w:val="000000" w:themeColor="text1"/>
          <w:sz w:val="24"/>
          <w14:textFill>
            <w14:solidFill>
              <w14:schemeClr w14:val="tx1"/>
            </w14:solidFill>
          </w14:textFill>
        </w:rPr>
        <w:t>不符合上述制作、存储、密封规定的备份投标文件将被视为无效或者被拒绝接收。</w:t>
      </w:r>
    </w:p>
    <w:p>
      <w:pPr>
        <w:autoSpaceDE w:val="0"/>
        <w:autoSpaceDN w:val="0"/>
        <w:adjustRightInd w:val="0"/>
        <w:snapToGrid w:val="0"/>
        <w:spacing w:line="360" w:lineRule="auto"/>
        <w:ind w:firstLine="360" w:firstLineChars="15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（3）直接提交备份投标文件的，投标人应于投标截止时间前在招标公告中载明的开标地点将备份投标文件提交给采购代理机构，采购代理机构将拒绝接受逾期送达的备份投标文件。</w:t>
      </w:r>
    </w:p>
    <w:p>
      <w:pPr>
        <w:autoSpaceDE w:val="0"/>
        <w:autoSpaceDN w:val="0"/>
        <w:adjustRightInd w:val="0"/>
        <w:snapToGrid w:val="0"/>
        <w:spacing w:line="360" w:lineRule="auto"/>
        <w:ind w:firstLine="360" w:firstLineChars="15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autoSpaceDE w:val="0"/>
        <w:autoSpaceDN w:val="0"/>
        <w:adjustRightInd w:val="0"/>
        <w:snapToGrid w:val="0"/>
        <w:spacing w:line="360" w:lineRule="auto"/>
        <w:ind w:firstLine="361" w:firstLineChars="150"/>
        <w:rPr>
          <w:rFonts w:hint="default"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（5）投标人仅提交备份投标文件，未在电子交易平台传输递交投标文件的，投标无效。</w:t>
      </w:r>
    </w:p>
    <w:p>
      <w:pPr>
        <w:pStyle w:val="9"/>
        <w:widowControl w:val="0"/>
        <w:numPr>
          <w:ilvl w:val="0"/>
          <w:numId w:val="0"/>
        </w:numPr>
        <w:adjustRightInd w:val="0"/>
        <w:snapToGrid w:val="0"/>
        <w:spacing w:afterLines="0" w:line="360" w:lineRule="auto"/>
        <w:ind w:firstLine="472" w:firstLineChars="196"/>
        <w:rPr>
          <w:rFonts w:hint="default"/>
          <w:b/>
          <w:color w:val="000000" w:themeColor="text1"/>
          <w:szCs w:val="24"/>
          <w14:textFill>
            <w14:solidFill>
              <w14:schemeClr w14:val="tx1"/>
            </w14:solidFill>
          </w14:textFill>
        </w:rPr>
      </w:pPr>
      <w:r>
        <w:rPr>
          <w:rFonts w:hint="default"/>
          <w:b/>
          <w:color w:val="000000" w:themeColor="text1"/>
          <w:szCs w:val="24"/>
          <w14:textFill>
            <w14:solidFill>
              <w14:schemeClr w14:val="tx1"/>
            </w14:solidFill>
          </w14:textFill>
        </w:rPr>
        <w:t>（六）投标文件的签章</w:t>
      </w:r>
    </w:p>
    <w:p>
      <w:pPr>
        <w:adjustRightInd w:val="0"/>
        <w:snapToGrid w:val="0"/>
        <w:spacing w:line="360" w:lineRule="auto"/>
        <w:ind w:firstLine="472" w:firstLineChars="197"/>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采用电子签章。</w:t>
      </w:r>
    </w:p>
    <w:p>
      <w:pPr>
        <w:pStyle w:val="9"/>
        <w:widowControl w:val="0"/>
        <w:numPr>
          <w:ilvl w:val="0"/>
          <w:numId w:val="0"/>
        </w:numPr>
        <w:adjustRightInd w:val="0"/>
        <w:snapToGrid w:val="0"/>
        <w:spacing w:afterLines="0" w:line="360" w:lineRule="auto"/>
        <w:ind w:firstLine="472" w:firstLineChars="196"/>
        <w:rPr>
          <w:rFonts w:hint="default"/>
          <w:b/>
          <w:color w:val="000000" w:themeColor="text1"/>
          <w:szCs w:val="24"/>
          <w14:textFill>
            <w14:solidFill>
              <w14:schemeClr w14:val="tx1"/>
            </w14:solidFill>
          </w14:textFill>
        </w:rPr>
      </w:pPr>
      <w:r>
        <w:rPr>
          <w:rFonts w:hint="default"/>
          <w:b/>
          <w:color w:val="000000" w:themeColor="text1"/>
          <w:szCs w:val="24"/>
          <w14:textFill>
            <w14:solidFill>
              <w14:schemeClr w14:val="tx1"/>
            </w14:solidFill>
          </w14:textFill>
        </w:rPr>
        <w:t>（七）投标文件的包装、密封和递交</w:t>
      </w:r>
    </w:p>
    <w:p>
      <w:pPr>
        <w:autoSpaceDE w:val="0"/>
        <w:autoSpaceDN w:val="0"/>
        <w:adjustRightInd w:val="0"/>
        <w:snapToGrid w:val="0"/>
        <w:spacing w:line="360" w:lineRule="auto"/>
        <w:ind w:firstLine="480" w:firstLineChars="200"/>
        <w:textAlignment w:val="bottom"/>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1.“电子加密投标文件”的递交：在线上传递交。</w:t>
      </w:r>
    </w:p>
    <w:p>
      <w:pPr>
        <w:adjustRightInd w:val="0"/>
        <w:snapToGrid w:val="0"/>
        <w:spacing w:line="360" w:lineRule="auto"/>
        <w:ind w:firstLine="361" w:firstLineChars="150"/>
        <w:rPr>
          <w:rFonts w:hint="default"/>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（1）供应商应在投标截止时间前将“电子加密投标文件”成功上传递交至“政府采购云平台”，否则投标无效。</w:t>
      </w:r>
    </w:p>
    <w:p>
      <w:pPr>
        <w:adjustRightInd w:val="0"/>
        <w:snapToGrid w:val="0"/>
        <w:spacing w:line="360" w:lineRule="auto"/>
        <w:ind w:left="959" w:leftChars="171" w:hanging="600" w:hangingChars="25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（2）“电子加密投标文件”成功上传递交后，供应商可自行打印投标文件接收回执。</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2.“电子备份投标文件”的密封、包装和递交：</w:t>
      </w:r>
    </w:p>
    <w:p>
      <w:pPr>
        <w:adjustRightInd w:val="0"/>
        <w:snapToGrid w:val="0"/>
        <w:spacing w:line="360" w:lineRule="auto"/>
        <w:ind w:firstLine="360" w:firstLineChars="15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（1）供应商可自主选择是否递交“电子备份投标文件”。</w:t>
      </w:r>
    </w:p>
    <w:p>
      <w:pPr>
        <w:adjustRightInd w:val="0"/>
        <w:snapToGrid w:val="0"/>
        <w:spacing w:line="360" w:lineRule="auto"/>
        <w:ind w:firstLine="360" w:firstLineChars="15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（2）“电子备份投标文件”存入U盘（一份）。</w:t>
      </w:r>
    </w:p>
    <w:p>
      <w:pPr>
        <w:autoSpaceDE w:val="0"/>
        <w:autoSpaceDN w:val="0"/>
        <w:adjustRightInd w:val="0"/>
        <w:snapToGrid w:val="0"/>
        <w:spacing w:line="360" w:lineRule="auto"/>
        <w:ind w:firstLine="360" w:firstLineChars="150"/>
        <w:textAlignment w:val="bottom"/>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（3）“电子备份投标文件” 应当在投标截止时间前以邮寄或送达方式递交。</w:t>
      </w:r>
    </w:p>
    <w:p>
      <w:pPr>
        <w:adjustRightInd w:val="0"/>
        <w:snapToGrid w:val="0"/>
        <w:spacing w:line="360" w:lineRule="auto"/>
        <w:ind w:firstLine="352" w:firstLineChars="147"/>
        <w:jc w:val="left"/>
        <w:rPr>
          <w:rFonts w:hint="default"/>
          <w:b/>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（4）“电子备投标应文件”应当密封包装，并在包装上标注投标项目编号、项目名称、投标单位名称等并加盖公章（详见第六章投标文件格式）。</w:t>
      </w:r>
    </w:p>
    <w:p>
      <w:pPr>
        <w:adjustRightInd w:val="0"/>
        <w:snapToGrid w:val="0"/>
        <w:spacing w:line="360" w:lineRule="auto"/>
        <w:ind w:firstLine="354" w:firstLineChars="147"/>
        <w:jc w:val="left"/>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（八）投标文件的修改和撤回</w:t>
      </w:r>
    </w:p>
    <w:p>
      <w:pPr>
        <w:adjustRightInd w:val="0"/>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pPr>
        <w:adjustRightInd w:val="0"/>
        <w:snapToGrid w:val="0"/>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3.采购人、采购代理机构可以视情况延长投标文件提交的截止时间。在上述情况下，采购代理机构与投标人以前在投标截止期方面的全部权利、责任和义务，将适用于延长至新的投标截止期。</w:t>
      </w:r>
    </w:p>
    <w:p>
      <w:pPr>
        <w:pStyle w:val="18"/>
        <w:adjustRightInd w:val="0"/>
        <w:snapToGrid w:val="0"/>
        <w:spacing w:line="360" w:lineRule="auto"/>
        <w:ind w:firstLine="0"/>
        <w:outlineLvl w:val="1"/>
        <w:rPr>
          <w:rFonts w:hint="default" w:ascii="Times New Roman" w:hAnsi="Times New Roman"/>
          <w:b/>
          <w:snapToGrid w:val="0"/>
          <w:color w:val="000000" w:themeColor="text1"/>
          <w:sz w:val="28"/>
          <w:szCs w:val="28"/>
          <w14:textFill>
            <w14:solidFill>
              <w14:schemeClr w14:val="tx1"/>
            </w14:solidFill>
          </w14:textFill>
        </w:rPr>
      </w:pPr>
      <w:r>
        <w:rPr>
          <w:rFonts w:hint="default" w:ascii="Times New Roman" w:hAnsi="Times New Roman"/>
          <w:b/>
          <w:color w:val="000000" w:themeColor="text1"/>
          <w:sz w:val="28"/>
          <w:szCs w:val="28"/>
          <w14:textFill>
            <w14:solidFill>
              <w14:schemeClr w14:val="tx1"/>
            </w14:solidFill>
          </w14:textFill>
        </w:rPr>
        <w:t>四、开标</w:t>
      </w:r>
    </w:p>
    <w:p>
      <w:pPr>
        <w:pStyle w:val="4"/>
        <w:adjustRightInd w:val="0"/>
        <w:snapToGrid w:val="0"/>
        <w:spacing w:before="0" w:after="0" w:line="360" w:lineRule="auto"/>
        <w:ind w:left="716" w:leftChars="171" w:hanging="357" w:hangingChars="148"/>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（一）开标形式</w:t>
      </w:r>
    </w:p>
    <w:p>
      <w:pPr>
        <w:adjustRightInd w:val="0"/>
        <w:snapToGrid w:val="0"/>
        <w:spacing w:line="360" w:lineRule="auto"/>
        <w:ind w:firstLine="424" w:firstLineChars="177"/>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1.采购组织机构（即代理机构）将按照招标文件规定的时间通过“政府采购云平台”组织在线开标，所有投标供应商均应当准时在线参加。</w:t>
      </w:r>
    </w:p>
    <w:p>
      <w:pPr>
        <w:pStyle w:val="4"/>
        <w:adjustRightInd w:val="0"/>
        <w:snapToGrid w:val="0"/>
        <w:spacing w:before="0" w:after="0" w:line="360" w:lineRule="auto"/>
        <w:ind w:left="716" w:leftChars="171" w:hanging="357" w:hangingChars="148"/>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（二）开标准备</w:t>
      </w:r>
    </w:p>
    <w:p>
      <w:pPr>
        <w:adjustRightInd w:val="0"/>
        <w:snapToGrid w:val="0"/>
        <w:spacing w:line="360" w:lineRule="auto"/>
        <w:ind w:firstLine="422" w:firstLineChars="176"/>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1.开标的准备工作由</w:t>
      </w:r>
      <w:r>
        <w:rPr>
          <w:rFonts w:hint="default"/>
          <w:color w:val="000000" w:themeColor="text1"/>
          <w:sz w:val="24"/>
          <w14:textFill>
            <w14:solidFill>
              <w14:schemeClr w14:val="tx1"/>
            </w14:solidFill>
          </w14:textFill>
        </w:rPr>
        <w:t>采购组织机构</w:t>
      </w:r>
      <w:r>
        <w:rPr>
          <w:rFonts w:hint="default"/>
          <w:color w:val="000000" w:themeColor="text1"/>
          <w:kern w:val="0"/>
          <w:sz w:val="24"/>
          <w14:textFill>
            <w14:solidFill>
              <w14:schemeClr w14:val="tx1"/>
            </w14:solidFill>
          </w14:textFill>
        </w:rPr>
        <w:t>负责落实。</w:t>
      </w:r>
    </w:p>
    <w:p>
      <w:pPr>
        <w:adjustRightInd w:val="0"/>
        <w:snapToGrid w:val="0"/>
        <w:spacing w:line="360" w:lineRule="auto"/>
        <w:ind w:firstLine="422" w:firstLineChars="176"/>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2.</w:t>
      </w:r>
      <w:r>
        <w:rPr>
          <w:rFonts w:hint="default"/>
          <w:color w:val="000000" w:themeColor="text1"/>
          <w:sz w:val="24"/>
          <w14:textFill>
            <w14:solidFill>
              <w14:schemeClr w14:val="tx1"/>
            </w14:solidFill>
          </w14:textFill>
        </w:rPr>
        <w:t>采购组织机构将按照招标文件规定的时间通过“政府采购云平台”组织开标，所有投标供应商均应当准时在线参加。</w:t>
      </w:r>
      <w:r>
        <w:rPr>
          <w:rFonts w:hint="default"/>
          <w:color w:val="000000" w:themeColor="text1"/>
          <w:kern w:val="0"/>
          <w:sz w:val="24"/>
          <w14:textFill>
            <w14:solidFill>
              <w14:schemeClr w14:val="tx1"/>
            </w14:solidFill>
          </w14:textFill>
        </w:rPr>
        <w:t>投标供应商自行承担因不参加在线开标而产生的不利后果。</w:t>
      </w:r>
    </w:p>
    <w:p>
      <w:pPr>
        <w:pStyle w:val="4"/>
        <w:adjustRightInd w:val="0"/>
        <w:snapToGrid w:val="0"/>
        <w:spacing w:before="0" w:after="0" w:line="360" w:lineRule="auto"/>
        <w:ind w:left="716" w:leftChars="171" w:hanging="357" w:hangingChars="148"/>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（三）开标流程</w:t>
      </w:r>
    </w:p>
    <w:p>
      <w:pPr>
        <w:adjustRightInd w:val="0"/>
        <w:snapToGrid w:val="0"/>
        <w:spacing w:line="360" w:lineRule="auto"/>
        <w:ind w:firstLine="426" w:firstLineChars="177"/>
        <w:rPr>
          <w:rFonts w:hint="default"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1.开标</w:t>
      </w:r>
    </w:p>
    <w:p>
      <w:pPr>
        <w:adjustRightInd w:val="0"/>
        <w:snapToGrid w:val="0"/>
        <w:spacing w:line="360" w:lineRule="auto"/>
        <w:ind w:firstLine="424" w:firstLineChars="177"/>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pStyle w:val="18"/>
        <w:adjustRightInd w:val="0"/>
        <w:snapToGrid w:val="0"/>
        <w:spacing w:line="360" w:lineRule="auto"/>
        <w:rPr>
          <w:rFonts w:hint="default"/>
          <w:color w:val="000000" w:themeColor="text1"/>
          <w14:textFill>
            <w14:solidFill>
              <w14:schemeClr w14:val="tx1"/>
            </w14:solidFill>
          </w14:textFill>
        </w:rPr>
      </w:pPr>
      <w:r>
        <w:rPr>
          <w:rFonts w:ascii="Times New Roman" w:hAnsi="Times New Roman"/>
          <w:b/>
          <w:bCs/>
          <w:color w:val="000000" w:themeColor="text1"/>
          <w:spacing w:val="0"/>
          <w:kern w:val="0"/>
          <w:sz w:val="24"/>
          <w14:textFill>
            <w14:solidFill>
              <w14:schemeClr w14:val="tx1"/>
            </w14:solidFill>
          </w14:textFill>
        </w:rPr>
        <w:t>特别说明：如遇“政府采购云平台”电子化开标程序调整的，按调整后程序执行。</w:t>
      </w:r>
    </w:p>
    <w:p>
      <w:pPr>
        <w:adjustRightInd w:val="0"/>
        <w:snapToGrid w:val="0"/>
        <w:spacing w:line="360" w:lineRule="auto"/>
        <w:ind w:firstLine="426" w:firstLineChars="177"/>
        <w:rPr>
          <w:rFonts w:hint="default"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2.资格审查</w:t>
      </w:r>
    </w:p>
    <w:p>
      <w:pPr>
        <w:adjustRightInd w:val="0"/>
        <w:snapToGrid w:val="0"/>
        <w:spacing w:line="360" w:lineRule="auto"/>
        <w:ind w:firstLine="424" w:firstLineChars="177"/>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（1）采购人或采购代理机构依据法律法规和招标文件的规定，对投标人的资格进行审查。</w:t>
      </w:r>
    </w:p>
    <w:p>
      <w:pPr>
        <w:adjustRightInd w:val="0"/>
        <w:snapToGrid w:val="0"/>
        <w:spacing w:line="360" w:lineRule="auto"/>
        <w:ind w:firstLine="424" w:firstLineChars="177"/>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（2）投标人未按照招标文件要求提供与资格条件相应的有效资格证明材料的，视为投标人不具备招标文件中规定的资格要求，其投标无效。</w:t>
      </w:r>
    </w:p>
    <w:p>
      <w:pPr>
        <w:adjustRightInd w:val="0"/>
        <w:snapToGrid w:val="0"/>
        <w:spacing w:line="360" w:lineRule="auto"/>
        <w:ind w:firstLine="424" w:firstLineChars="177"/>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（3）对未通过资格审查的投标人，采购人或采购代理机构告知其未通过的原因。</w:t>
      </w:r>
    </w:p>
    <w:p>
      <w:pPr>
        <w:adjustRightInd w:val="0"/>
        <w:snapToGrid w:val="0"/>
        <w:spacing w:line="360" w:lineRule="auto"/>
        <w:ind w:firstLine="424" w:firstLineChars="177"/>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（4）合格投标人不足3家的，不再评标。</w:t>
      </w:r>
    </w:p>
    <w:p>
      <w:pPr>
        <w:adjustRightInd w:val="0"/>
        <w:snapToGrid w:val="0"/>
        <w:spacing w:line="360" w:lineRule="auto"/>
        <w:ind w:firstLine="426" w:firstLineChars="177"/>
        <w:rPr>
          <w:rFonts w:hint="default"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3.信用信息查询</w:t>
      </w:r>
    </w:p>
    <w:p>
      <w:pPr>
        <w:adjustRightInd w:val="0"/>
        <w:snapToGrid w:val="0"/>
        <w:spacing w:line="360" w:lineRule="auto"/>
        <w:ind w:firstLine="424" w:firstLineChars="177"/>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（1）信用信息查询渠道及截止时间：采购代理机构将在资格审查时通过“信用中国”网站(www.creditchina.gov.cn)、中国政府采购网(www.ccgp.gov.cn)渠道查询投标人接受资格时的信用记录。</w:t>
      </w:r>
    </w:p>
    <w:p>
      <w:pPr>
        <w:adjustRightInd w:val="0"/>
        <w:snapToGrid w:val="0"/>
        <w:spacing w:line="360" w:lineRule="auto"/>
        <w:ind w:firstLine="424" w:firstLineChars="177"/>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（2）信用信息查询记录和证据留存的具体方式：现场查询的投标人的信用记录、查询结果经确认后将与采购文件一起存档。</w:t>
      </w:r>
    </w:p>
    <w:p>
      <w:pPr>
        <w:adjustRightInd w:val="0"/>
        <w:snapToGrid w:val="0"/>
        <w:spacing w:line="360" w:lineRule="auto"/>
        <w:ind w:firstLine="424" w:firstLineChars="177"/>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（3）信用信息的使用规则：经查询列入失信被执行人名单、重大税收违法失信主体、政府采购严重违法失信行为记录名单的投标人将被拒绝参与政府采购活动。</w:t>
      </w:r>
    </w:p>
    <w:p>
      <w:pPr>
        <w:adjustRightInd w:val="0"/>
        <w:snapToGrid w:val="0"/>
        <w:spacing w:line="360" w:lineRule="auto"/>
        <w:ind w:firstLine="424" w:firstLineChars="177"/>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8"/>
        <w:adjustRightInd w:val="0"/>
        <w:snapToGrid w:val="0"/>
        <w:spacing w:line="360" w:lineRule="auto"/>
        <w:rPr>
          <w:rFonts w:hint="default" w:ascii="Times New Roman" w:hAnsi="Times New Roman"/>
          <w:b/>
          <w:bCs/>
          <w:color w:val="000000" w:themeColor="text1"/>
          <w:spacing w:val="0"/>
          <w:kern w:val="0"/>
          <w:sz w:val="24"/>
          <w14:textFill>
            <w14:solidFill>
              <w14:schemeClr w14:val="tx1"/>
            </w14:solidFill>
          </w14:textFill>
        </w:rPr>
      </w:pPr>
      <w:r>
        <w:rPr>
          <w:rFonts w:ascii="Times New Roman" w:hAnsi="Times New Roman"/>
          <w:b/>
          <w:bCs/>
          <w:color w:val="000000" w:themeColor="text1"/>
          <w:spacing w:val="0"/>
          <w:kern w:val="0"/>
          <w:sz w:val="24"/>
          <w14:textFill>
            <w14:solidFill>
              <w14:schemeClr w14:val="tx1"/>
            </w14:solidFill>
          </w14:textFill>
        </w:rPr>
        <w:t>特别说明：如遇“政府采购云平台”电子化开标程序调整的，按调整后程序执行。</w:t>
      </w:r>
    </w:p>
    <w:p>
      <w:pPr>
        <w:pStyle w:val="6"/>
        <w:adjustRightInd w:val="0"/>
        <w:snapToGrid w:val="0"/>
        <w:spacing w:beforeLines="0" w:afterLines="0" w:line="360" w:lineRule="auto"/>
        <w:outlineLvl w:val="1"/>
        <w:rPr>
          <w:rFonts w:hint="default" w:ascii="Times New Roman" w:hAnsi="Times New Roman"/>
          <w:b/>
          <w:color w:val="000000" w:themeColor="text1"/>
          <w:sz w:val="28"/>
          <w:szCs w:val="28"/>
          <w14:textFill>
            <w14:solidFill>
              <w14:schemeClr w14:val="tx1"/>
            </w14:solidFill>
          </w14:textFill>
        </w:rPr>
      </w:pPr>
      <w:r>
        <w:rPr>
          <w:rFonts w:hint="default" w:ascii="Times New Roman" w:hAnsi="Times New Roman"/>
          <w:b/>
          <w:color w:val="000000" w:themeColor="text1"/>
          <w:sz w:val="28"/>
          <w:szCs w:val="28"/>
          <w14:textFill>
            <w14:solidFill>
              <w14:schemeClr w14:val="tx1"/>
            </w14:solidFill>
          </w14:textFill>
        </w:rPr>
        <w:t>五、评标</w:t>
      </w:r>
    </w:p>
    <w:p>
      <w:pPr>
        <w:pStyle w:val="6"/>
        <w:adjustRightInd w:val="0"/>
        <w:snapToGrid w:val="0"/>
        <w:spacing w:beforeLines="0" w:afterLines="0" w:line="360" w:lineRule="auto"/>
        <w:ind w:left="720" w:leftChars="228" w:hanging="241" w:hangingChars="100"/>
        <w:rPr>
          <w:rFonts w:hint="default" w:ascii="Times New Roman" w:hAnsi="Times New Roman"/>
          <w:b/>
          <w:color w:val="000000" w:themeColor="text1"/>
          <w14:textFill>
            <w14:solidFill>
              <w14:schemeClr w14:val="tx1"/>
            </w14:solidFill>
          </w14:textFill>
        </w:rPr>
      </w:pPr>
      <w:r>
        <w:rPr>
          <w:rFonts w:hint="default" w:ascii="Times New Roman" w:hAnsi="Times New Roman"/>
          <w:b/>
          <w:color w:val="000000" w:themeColor="text1"/>
          <w14:textFill>
            <w14:solidFill>
              <w14:schemeClr w14:val="tx1"/>
            </w14:solidFill>
          </w14:textFill>
        </w:rPr>
        <w:t>（一）组建评标委员会（评审小组）</w:t>
      </w:r>
    </w:p>
    <w:p>
      <w:pPr>
        <w:pStyle w:val="6"/>
        <w:adjustRightInd w:val="0"/>
        <w:snapToGrid w:val="0"/>
        <w:spacing w:beforeLines="0" w:afterLines="0" w:line="360" w:lineRule="auto"/>
        <w:ind w:firstLine="480" w:firstLineChars="200"/>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kern w:val="0"/>
          <w14:textFill>
            <w14:solidFill>
              <w14:schemeClr w14:val="tx1"/>
            </w14:solidFill>
          </w14:textFill>
        </w:rPr>
        <w:t>评标委员会由采购人代表和有关技术、经济等方面的专家组成，成员人数应当为五人以上单数。其中，技术、经济等方面的专家不得少于成员总数的三分之二。</w:t>
      </w:r>
    </w:p>
    <w:p>
      <w:pPr>
        <w:pStyle w:val="6"/>
        <w:adjustRightInd w:val="0"/>
        <w:snapToGrid w:val="0"/>
        <w:spacing w:beforeLines="0" w:afterLines="0" w:line="360" w:lineRule="auto"/>
        <w:ind w:left="720" w:leftChars="228" w:hanging="241" w:hangingChars="100"/>
        <w:rPr>
          <w:rFonts w:hint="default" w:ascii="Times New Roman" w:hAnsi="Times New Roman"/>
          <w:b/>
          <w:color w:val="000000" w:themeColor="text1"/>
          <w14:textFill>
            <w14:solidFill>
              <w14:schemeClr w14:val="tx1"/>
            </w14:solidFill>
          </w14:textFill>
        </w:rPr>
      </w:pPr>
      <w:r>
        <w:rPr>
          <w:rFonts w:hint="default" w:ascii="Times New Roman" w:hAnsi="Times New Roman"/>
          <w:b/>
          <w:color w:val="000000" w:themeColor="text1"/>
          <w14:textFill>
            <w14:solidFill>
              <w14:schemeClr w14:val="tx1"/>
            </w14:solidFill>
          </w14:textFill>
        </w:rPr>
        <w:t>（二）评标程序</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1.在评审专家中推选评审小组组长。</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3.采购人或者采购代理机构对各投标人的资格进行审查，投标人资格条件不符合招标文件要求的投标无效，不再进入符合性审查。</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4.评审小组对各投标文件的符合性进行审查，确定是否对招标文件作出了实质性响应。实质上没有响应招标文件要求的投标将被视为无效投标，不再进入下一阶段的评审。</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5.评审人员按招标文件规定的评审方法和评审标准，依法独立对供应商投标文件进行评估、比较，并给予评价或打分，不受任何单位和个人的干预。</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6.各投标人的得分为所有评委的有效评分的算术平均数，由指定专人进行计算复核。</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7.评标委员会完成评标后，评委对各部分得分汇总，计算出本项目最终得分。评标委员会按评标原则推荐中标候选人，同时起草评标报告。</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8.实质上响应招标文件要求的投标人不足三家的，除财政部门另有规定外，应当作废标处理。</w:t>
      </w:r>
    </w:p>
    <w:p>
      <w:pPr>
        <w:adjustRightInd w:val="0"/>
        <w:snapToGrid w:val="0"/>
        <w:spacing w:line="360" w:lineRule="auto"/>
        <w:ind w:firstLine="482" w:firstLineChars="200"/>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（三）澄清问题的形式</w:t>
      </w:r>
    </w:p>
    <w:p>
      <w:pPr>
        <w:autoSpaceDE w:val="0"/>
        <w:autoSpaceDN w:val="0"/>
        <w:adjustRightInd w:val="0"/>
        <w:snapToGrid w:val="0"/>
        <w:spacing w:line="360" w:lineRule="auto"/>
        <w:ind w:firstLine="480" w:firstLineChars="200"/>
        <w:jc w:val="left"/>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评标委员会发出澄清内容后，供应商应当在</w:t>
      </w:r>
      <w:r>
        <w:rPr>
          <w:rFonts w:hint="default"/>
          <w:iCs/>
          <w:color w:val="000000" w:themeColor="text1"/>
          <w:sz w:val="24"/>
          <w:u w:val="single"/>
          <w14:textFill>
            <w14:solidFill>
              <w14:schemeClr w14:val="tx1"/>
            </w14:solidFill>
          </w14:textFill>
        </w:rPr>
        <w:t>30</w:t>
      </w:r>
      <w:r>
        <w:rPr>
          <w:rFonts w:hint="default"/>
          <w:color w:val="000000" w:themeColor="text1"/>
          <w:sz w:val="24"/>
          <w14:textFill>
            <w14:solidFill>
              <w14:schemeClr w14:val="tx1"/>
            </w14:solidFill>
          </w14:textFill>
        </w:rPr>
        <w:t>分钟内提交澄清说明或补正，否则视为供应商放弃答复，并</w:t>
      </w:r>
      <w:r>
        <w:rPr>
          <w:rFonts w:hint="default"/>
          <w:color w:val="000000" w:themeColor="text1"/>
          <w:kern w:val="0"/>
          <w:sz w:val="24"/>
          <w14:textFill>
            <w14:solidFill>
              <w14:schemeClr w14:val="tx1"/>
            </w14:solidFill>
          </w14:textFill>
        </w:rPr>
        <w:t>自行承担因此而产生的不利后果。</w:t>
      </w:r>
      <w:r>
        <w:rPr>
          <w:rFonts w:hint="default"/>
          <w:color w:val="000000" w:themeColor="text1"/>
          <w:sz w:val="24"/>
          <w14:textFill>
            <w14:solidFill>
              <w14:schemeClr w14:val="tx1"/>
            </w14:solidFill>
          </w14:textFill>
        </w:rPr>
        <w:t>澄清、说明或者补正不得超出投标文件的范围或者改变投标文件的实质性内容。</w:t>
      </w:r>
    </w:p>
    <w:p>
      <w:pPr>
        <w:autoSpaceDE w:val="0"/>
        <w:autoSpaceDN w:val="0"/>
        <w:adjustRightInd w:val="0"/>
        <w:snapToGrid w:val="0"/>
        <w:spacing w:line="360" w:lineRule="auto"/>
        <w:ind w:firstLine="480" w:firstLineChars="200"/>
        <w:jc w:val="left"/>
        <w:rPr>
          <w:rFonts w:hint="default"/>
          <w:b w:val="0"/>
          <w:bCs w:val="0"/>
          <w:color w:val="000000" w:themeColor="text1"/>
          <w:sz w:val="24"/>
          <w14:textFill>
            <w14:solidFill>
              <w14:schemeClr w14:val="tx1"/>
            </w14:solidFill>
          </w14:textFill>
        </w:rPr>
      </w:pPr>
      <w:r>
        <w:rPr>
          <w:rFonts w:hint="default"/>
          <w:b w:val="0"/>
          <w:bCs w:val="0"/>
          <w:color w:val="000000" w:themeColor="text1"/>
          <w:sz w:val="24"/>
          <w14:textFill>
            <w14:solidFill>
              <w14:schemeClr w14:val="tx1"/>
            </w14:solidFill>
          </w14:textFill>
        </w:rPr>
        <w:t>合理报价澄清说明</w:t>
      </w:r>
      <w:r>
        <w:rPr>
          <w:b w:val="0"/>
          <w:bCs w:val="0"/>
          <w:color w:val="000000" w:themeColor="text1"/>
          <w:sz w:val="24"/>
          <w14:textFill>
            <w14:solidFill>
              <w14:schemeClr w14:val="tx1"/>
            </w14:solidFill>
          </w14:textFill>
        </w:rPr>
        <w:t>：</w:t>
      </w:r>
      <w:r>
        <w:rPr>
          <w:rFonts w:hint="default"/>
          <w:b w:val="0"/>
          <w:bCs w:val="0"/>
          <w:color w:val="000000" w:themeColor="text1"/>
          <w:sz w:val="24"/>
          <w14:textFill>
            <w14:solidFill>
              <w14:schemeClr w14:val="tx1"/>
            </w14:solidFill>
          </w14:textFill>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6"/>
        <w:adjustRightInd w:val="0"/>
        <w:snapToGrid w:val="0"/>
        <w:spacing w:beforeLines="0" w:afterLines="0" w:line="360" w:lineRule="auto"/>
        <w:ind w:left="719" w:leftChars="228" w:hanging="240" w:hangingChars="100"/>
        <w:rPr>
          <w:rFonts w:hint="default" w:ascii="Times New Roman" w:hAnsi="Times New Roman"/>
          <w:b w:val="0"/>
          <w:bCs w:val="0"/>
          <w:color w:val="000000" w:themeColor="text1"/>
          <w14:textFill>
            <w14:solidFill>
              <w14:schemeClr w14:val="tx1"/>
            </w14:solidFill>
          </w14:textFill>
        </w:rPr>
      </w:pPr>
      <w:r>
        <w:rPr>
          <w:rFonts w:hint="default" w:ascii="Times New Roman" w:hAnsi="Times New Roman"/>
          <w:b w:val="0"/>
          <w:bCs w:val="0"/>
          <w:color w:val="000000" w:themeColor="text1"/>
          <w14:textFill>
            <w14:solidFill>
              <w14:schemeClr w14:val="tx1"/>
            </w14:solidFill>
          </w14:textFill>
        </w:rPr>
        <w:t>（四）错误修正</w:t>
      </w:r>
    </w:p>
    <w:p>
      <w:pPr>
        <w:adjustRightInd w:val="0"/>
        <w:snapToGrid w:val="0"/>
        <w:spacing w:line="360" w:lineRule="auto"/>
        <w:ind w:firstLine="480" w:firstLineChars="200"/>
        <w:rPr>
          <w:rFonts w:hint="default"/>
          <w:b w:val="0"/>
          <w:bCs w:val="0"/>
          <w:color w:val="000000" w:themeColor="text1"/>
          <w:sz w:val="24"/>
          <w14:textFill>
            <w14:solidFill>
              <w14:schemeClr w14:val="tx1"/>
            </w14:solidFill>
          </w14:textFill>
        </w:rPr>
      </w:pPr>
      <w:r>
        <w:rPr>
          <w:rFonts w:hint="default"/>
          <w:b w:val="0"/>
          <w:bCs w:val="0"/>
          <w:color w:val="000000" w:themeColor="text1"/>
          <w:sz w:val="24"/>
          <w14:textFill>
            <w14:solidFill>
              <w14:schemeClr w14:val="tx1"/>
            </w14:solidFill>
          </w14:textFill>
        </w:rPr>
        <w:t>投标文件如果出现计算或表达上的错误，修正错误的原则如下：</w:t>
      </w:r>
    </w:p>
    <w:p>
      <w:pPr>
        <w:adjustRightInd w:val="0"/>
        <w:snapToGrid w:val="0"/>
        <w:spacing w:line="360" w:lineRule="auto"/>
        <w:ind w:firstLine="480" w:firstLineChars="200"/>
        <w:rPr>
          <w:rFonts w:hint="default"/>
          <w:b w:val="0"/>
          <w:bCs w:val="0"/>
          <w:color w:val="000000" w:themeColor="text1"/>
          <w:sz w:val="24"/>
          <w14:textFill>
            <w14:solidFill>
              <w14:schemeClr w14:val="tx1"/>
            </w14:solidFill>
          </w14:textFill>
        </w:rPr>
      </w:pPr>
      <w:r>
        <w:rPr>
          <w:rFonts w:hint="default"/>
          <w:b w:val="0"/>
          <w:bCs w:val="0"/>
          <w:color w:val="000000" w:themeColor="text1"/>
          <w:sz w:val="24"/>
          <w14:textFill>
            <w14:solidFill>
              <w14:schemeClr w14:val="tx1"/>
            </w14:solidFill>
          </w14:textFill>
        </w:rPr>
        <w:t>1.电子交易平台生成的开标记录表内容与投标文件中相应内容不一致的，以报价文件中开标一览表（报价表）为准（出现万元或元单位错误时，则以投标人澄清确认后的合理报价为准）；</w:t>
      </w:r>
    </w:p>
    <w:p>
      <w:pPr>
        <w:adjustRightInd w:val="0"/>
        <w:snapToGrid w:val="0"/>
        <w:spacing w:line="360" w:lineRule="auto"/>
        <w:ind w:firstLine="480" w:firstLineChars="200"/>
        <w:rPr>
          <w:rFonts w:hint="default"/>
          <w:b w:val="0"/>
          <w:bCs w:val="0"/>
          <w:color w:val="000000" w:themeColor="text1"/>
          <w:sz w:val="24"/>
          <w14:textFill>
            <w14:solidFill>
              <w14:schemeClr w14:val="tx1"/>
            </w14:solidFill>
          </w14:textFill>
        </w:rPr>
      </w:pPr>
      <w:r>
        <w:rPr>
          <w:rFonts w:hint="default"/>
          <w:b w:val="0"/>
          <w:bCs w:val="0"/>
          <w:color w:val="000000" w:themeColor="text1"/>
          <w:sz w:val="24"/>
          <w14:textFill>
            <w14:solidFill>
              <w14:schemeClr w14:val="tx1"/>
            </w14:solidFill>
          </w14:textFill>
        </w:rPr>
        <w:t>2.大写金额和小写金额不一致的，以大写金额为准；</w:t>
      </w:r>
    </w:p>
    <w:p>
      <w:pPr>
        <w:adjustRightInd w:val="0"/>
        <w:snapToGrid w:val="0"/>
        <w:spacing w:line="360" w:lineRule="auto"/>
        <w:ind w:firstLine="480" w:firstLineChars="200"/>
        <w:rPr>
          <w:rFonts w:hint="default"/>
          <w:b w:val="0"/>
          <w:bCs w:val="0"/>
          <w:color w:val="000000" w:themeColor="text1"/>
          <w:sz w:val="24"/>
          <w14:textFill>
            <w14:solidFill>
              <w14:schemeClr w14:val="tx1"/>
            </w14:solidFill>
          </w14:textFill>
        </w:rPr>
      </w:pPr>
      <w:r>
        <w:rPr>
          <w:rFonts w:hint="default"/>
          <w:b w:val="0"/>
          <w:bCs w:val="0"/>
          <w:color w:val="000000" w:themeColor="text1"/>
          <w:sz w:val="24"/>
          <w14:textFill>
            <w14:solidFill>
              <w14:schemeClr w14:val="tx1"/>
            </w14:solidFill>
          </w14:textFill>
        </w:rPr>
        <w:t>3.单价金额小数点或者百分比有明显错位的，以开标一览表的总价为准，并修改单价；</w:t>
      </w:r>
    </w:p>
    <w:p>
      <w:pPr>
        <w:adjustRightInd w:val="0"/>
        <w:snapToGrid w:val="0"/>
        <w:spacing w:line="360" w:lineRule="auto"/>
        <w:ind w:firstLine="480" w:firstLineChars="200"/>
        <w:rPr>
          <w:rFonts w:hint="default"/>
          <w:b w:val="0"/>
          <w:bCs w:val="0"/>
          <w:color w:val="000000" w:themeColor="text1"/>
          <w:sz w:val="24"/>
          <w14:textFill>
            <w14:solidFill>
              <w14:schemeClr w14:val="tx1"/>
            </w14:solidFill>
          </w14:textFill>
        </w:rPr>
      </w:pPr>
      <w:r>
        <w:rPr>
          <w:rFonts w:hint="default"/>
          <w:b w:val="0"/>
          <w:bCs w:val="0"/>
          <w:color w:val="000000" w:themeColor="text1"/>
          <w:sz w:val="24"/>
          <w14:textFill>
            <w14:solidFill>
              <w14:schemeClr w14:val="tx1"/>
            </w14:solidFill>
          </w14:textFill>
        </w:rPr>
        <w:t>4.总价金额与按单价汇总金额不一致的，以单价金额计算结果为准。</w:t>
      </w:r>
    </w:p>
    <w:p>
      <w:pPr>
        <w:pStyle w:val="6"/>
        <w:adjustRightInd w:val="0"/>
        <w:snapToGrid w:val="0"/>
        <w:spacing w:beforeLines="0" w:afterLines="0" w:line="360" w:lineRule="auto"/>
        <w:ind w:firstLine="480" w:firstLineChars="200"/>
        <w:rPr>
          <w:rFonts w:hint="default" w:ascii="Times New Roman" w:hAnsi="Times New Roman"/>
          <w:b w:val="0"/>
          <w:bCs w:val="0"/>
          <w:color w:val="000000" w:themeColor="text1"/>
          <w14:textFill>
            <w14:solidFill>
              <w14:schemeClr w14:val="tx1"/>
            </w14:solidFill>
          </w14:textFill>
        </w:rPr>
      </w:pPr>
      <w:r>
        <w:rPr>
          <w:rFonts w:hint="default" w:ascii="Times New Roman" w:hAnsi="Times New Roman"/>
          <w:b w:val="0"/>
          <w:bCs w:val="0"/>
          <w:color w:val="000000" w:themeColor="text1"/>
          <w14:textFill>
            <w14:solidFill>
              <w14:schemeClr w14:val="tx1"/>
            </w14:solidFill>
          </w14:textFill>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val="0"/>
          <w:bCs w:val="0"/>
          <w:i/>
          <w:color w:val="000000" w:themeColor="text1"/>
          <w:u w:val="single"/>
          <w14:textFill>
            <w14:solidFill>
              <w14:schemeClr w14:val="tx1"/>
            </w14:solidFill>
          </w14:textFill>
        </w:rPr>
        <w:t>30</w:t>
      </w:r>
      <w:r>
        <w:rPr>
          <w:rFonts w:hint="default" w:ascii="Times New Roman" w:hAnsi="Times New Roman"/>
          <w:b w:val="0"/>
          <w:bCs w:val="0"/>
          <w:color w:val="000000" w:themeColor="text1"/>
          <w14:textFill>
            <w14:solidFill>
              <w14:schemeClr w14:val="tx1"/>
            </w14:solidFill>
          </w14:textFill>
        </w:rPr>
        <w:t>分钟内不予确认的，其投标无效。</w:t>
      </w:r>
    </w:p>
    <w:p>
      <w:pPr>
        <w:pStyle w:val="6"/>
        <w:tabs>
          <w:tab w:val="left" w:pos="630"/>
        </w:tabs>
        <w:adjustRightInd w:val="0"/>
        <w:snapToGrid w:val="0"/>
        <w:spacing w:beforeLines="0" w:afterLines="0" w:line="360" w:lineRule="auto"/>
        <w:ind w:firstLine="470" w:firstLineChars="196"/>
        <w:rPr>
          <w:rFonts w:hint="default" w:ascii="Times New Roman" w:hAnsi="Times New Roman"/>
          <w:b w:val="0"/>
          <w:bCs w:val="0"/>
          <w:color w:val="000000" w:themeColor="text1"/>
          <w14:textFill>
            <w14:solidFill>
              <w14:schemeClr w14:val="tx1"/>
            </w14:solidFill>
          </w14:textFill>
        </w:rPr>
      </w:pPr>
      <w:r>
        <w:rPr>
          <w:rFonts w:hint="default" w:ascii="Times New Roman" w:hAnsi="Times New Roman"/>
          <w:b w:val="0"/>
          <w:bCs w:val="0"/>
          <w:color w:val="000000" w:themeColor="text1"/>
          <w14:textFill>
            <w14:solidFill>
              <w14:schemeClr w14:val="tx1"/>
            </w14:solidFill>
          </w14:textFill>
        </w:rPr>
        <w:t>（五）评标原则和评标办法</w:t>
      </w:r>
    </w:p>
    <w:p>
      <w:pPr>
        <w:pStyle w:val="6"/>
        <w:snapToGrid w:val="0"/>
        <w:spacing w:beforeLines="0" w:afterLines="0" w:line="360" w:lineRule="auto"/>
        <w:ind w:firstLine="480" w:firstLineChars="200"/>
        <w:rPr>
          <w:rFonts w:hint="default" w:hAnsi="宋体" w:cs="宋体"/>
          <w:b w:val="0"/>
          <w:bCs w:val="0"/>
          <w:color w:val="000000" w:themeColor="text1"/>
          <w14:textFill>
            <w14:solidFill>
              <w14:schemeClr w14:val="tx1"/>
            </w14:solidFill>
          </w14:textFill>
        </w:rPr>
      </w:pPr>
      <w:r>
        <w:rPr>
          <w:rFonts w:hAnsi="宋体" w:cs="宋体"/>
          <w:b w:val="0"/>
          <w:bCs w:val="0"/>
          <w:color w:val="000000" w:themeColor="text1"/>
          <w14:textFill>
            <w14:solidFill>
              <w14:schemeClr w14:val="tx1"/>
            </w14:solidFill>
          </w14:textFill>
        </w:rPr>
        <w:t>1.评审小组必须公平、公正、客观，不带任何倾向性和启发性；不得向外界透露任何与评标有关的内容；任何单位和个人不得干扰、影响评标的正常进行；评审小组及有关工作人员不得私下与投标人接触。</w:t>
      </w:r>
    </w:p>
    <w:p>
      <w:pPr>
        <w:pStyle w:val="6"/>
        <w:snapToGrid w:val="0"/>
        <w:spacing w:beforeLines="0" w:afterLines="0" w:line="360" w:lineRule="auto"/>
        <w:ind w:firstLine="480" w:firstLineChars="200"/>
        <w:rPr>
          <w:rFonts w:hint="default" w:hAnsi="宋体" w:cs="宋体"/>
          <w:b w:val="0"/>
          <w:bCs w:val="0"/>
          <w:color w:val="000000" w:themeColor="text1"/>
          <w14:textFill>
            <w14:solidFill>
              <w14:schemeClr w14:val="tx1"/>
            </w14:solidFill>
          </w14:textFill>
        </w:rPr>
      </w:pPr>
      <w:r>
        <w:rPr>
          <w:rFonts w:hAnsi="宋体" w:cs="宋体"/>
          <w:b w:val="0"/>
          <w:bCs w:val="0"/>
          <w:color w:val="000000" w:themeColor="text1"/>
          <w14:textFill>
            <w14:solidFill>
              <w14:schemeClr w14:val="tx1"/>
            </w14:solidFill>
          </w14:textFill>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pPr>
        <w:pStyle w:val="6"/>
        <w:snapToGrid w:val="0"/>
        <w:spacing w:beforeLines="0" w:afterLines="0" w:line="360" w:lineRule="auto"/>
        <w:ind w:firstLine="480" w:firstLineChars="200"/>
        <w:rPr>
          <w:rFonts w:hint="default" w:hAnsi="宋体" w:cs="宋体"/>
          <w:b w:val="0"/>
          <w:bCs w:val="0"/>
          <w:color w:val="000000" w:themeColor="text1"/>
          <w14:textFill>
            <w14:solidFill>
              <w14:schemeClr w14:val="tx1"/>
            </w14:solidFill>
          </w14:textFill>
        </w:rPr>
      </w:pPr>
      <w:r>
        <w:rPr>
          <w:rFonts w:hAnsi="宋体" w:cs="宋体"/>
          <w:b w:val="0"/>
          <w:bCs w:val="0"/>
          <w:color w:val="000000" w:themeColor="text1"/>
          <w14:textFill>
            <w14:solidFill>
              <w14:schemeClr w14:val="tx1"/>
            </w14:solidFill>
          </w14:textFill>
        </w:rPr>
        <w:t>非单一产品采购项目中，多家供应商提供的核心产品品牌相同的，按前款规定处理。核心产品（如有）描述详见《第四章：招标内容及需求》。</w:t>
      </w:r>
    </w:p>
    <w:p>
      <w:pPr>
        <w:pStyle w:val="6"/>
        <w:snapToGrid w:val="0"/>
        <w:spacing w:beforeLines="0" w:afterLines="0" w:line="360" w:lineRule="auto"/>
        <w:ind w:firstLine="480" w:firstLineChars="20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3.本项目评标办法是综合评分法，具体评标内容及评分标准等详见《第三章：评标办法》。</w:t>
      </w:r>
    </w:p>
    <w:p>
      <w:pPr>
        <w:pStyle w:val="6"/>
        <w:adjustRightInd w:val="0"/>
        <w:snapToGrid w:val="0"/>
        <w:spacing w:beforeLines="0" w:afterLines="0" w:line="360" w:lineRule="auto"/>
        <w:outlineLvl w:val="1"/>
        <w:rPr>
          <w:rFonts w:hint="default" w:ascii="Times New Roman" w:hAnsi="Times New Roman"/>
          <w:b/>
          <w:color w:val="000000" w:themeColor="text1"/>
          <w:sz w:val="28"/>
          <w:szCs w:val="28"/>
          <w14:textFill>
            <w14:solidFill>
              <w14:schemeClr w14:val="tx1"/>
            </w14:solidFill>
          </w14:textFill>
        </w:rPr>
      </w:pPr>
      <w:r>
        <w:rPr>
          <w:rFonts w:hint="default" w:ascii="Times New Roman" w:hAnsi="Times New Roman"/>
          <w:b/>
          <w:color w:val="000000" w:themeColor="text1"/>
          <w:sz w:val="28"/>
          <w:szCs w:val="28"/>
          <w14:textFill>
            <w14:solidFill>
              <w14:schemeClr w14:val="tx1"/>
            </w14:solidFill>
          </w14:textFill>
        </w:rPr>
        <w:t>六、定标</w:t>
      </w:r>
    </w:p>
    <w:p>
      <w:pPr>
        <w:pStyle w:val="6"/>
        <w:adjustRightInd w:val="0"/>
        <w:snapToGrid w:val="0"/>
        <w:spacing w:beforeLines="0" w:afterLines="0" w:line="360" w:lineRule="auto"/>
        <w:ind w:firstLine="472" w:firstLineChars="196"/>
        <w:rPr>
          <w:rFonts w:hint="default" w:ascii="Times New Roman" w:hAnsi="Times New Roman"/>
          <w:b/>
          <w:bCs/>
          <w:color w:val="000000" w:themeColor="text1"/>
          <w14:textFill>
            <w14:solidFill>
              <w14:schemeClr w14:val="tx1"/>
            </w14:solidFill>
          </w14:textFill>
        </w:rPr>
      </w:pPr>
      <w:r>
        <w:rPr>
          <w:rFonts w:hint="default" w:ascii="Times New Roman" w:hAnsi="Times New Roman"/>
          <w:b/>
          <w:bCs/>
          <w:color w:val="000000" w:themeColor="text1"/>
          <w14:textFill>
            <w14:solidFill>
              <w14:schemeClr w14:val="tx1"/>
            </w14:solidFill>
          </w14:textFill>
        </w:rPr>
        <w:t>（一）确定中标人</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1.采购人依法确定1名中标人。确定中标人后2个工作日内，代理机构以书面（纸质）形式发出《中标通知书》，并同时在相关网站上发布中标公告。</w:t>
      </w:r>
    </w:p>
    <w:p>
      <w:pPr>
        <w:pStyle w:val="6"/>
        <w:adjustRightInd w:val="0"/>
        <w:snapToGrid w:val="0"/>
        <w:spacing w:beforeLines="0" w:afterLines="0" w:line="360" w:lineRule="auto"/>
        <w:outlineLvl w:val="1"/>
        <w:rPr>
          <w:rFonts w:hint="default" w:ascii="Times New Roman" w:hAnsi="Times New Roman"/>
          <w:b/>
          <w:color w:val="000000" w:themeColor="text1"/>
          <w:sz w:val="28"/>
          <w:szCs w:val="28"/>
          <w14:textFill>
            <w14:solidFill>
              <w14:schemeClr w14:val="tx1"/>
            </w14:solidFill>
          </w14:textFill>
        </w:rPr>
      </w:pPr>
      <w:r>
        <w:rPr>
          <w:rFonts w:hint="default" w:ascii="Times New Roman" w:hAnsi="Times New Roman"/>
          <w:b/>
          <w:color w:val="000000" w:themeColor="text1"/>
          <w:sz w:val="28"/>
          <w:szCs w:val="28"/>
          <w14:textFill>
            <w14:solidFill>
              <w14:schemeClr w14:val="tx1"/>
            </w14:solidFill>
          </w14:textFill>
        </w:rPr>
        <w:t>七、合同授予</w:t>
      </w:r>
    </w:p>
    <w:p>
      <w:pPr>
        <w:adjustRightInd w:val="0"/>
        <w:snapToGrid w:val="0"/>
        <w:spacing w:line="360" w:lineRule="auto"/>
        <w:ind w:firstLine="472" w:firstLineChars="196"/>
        <w:rPr>
          <w:rFonts w:hint="default"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（一）签订合同</w:t>
      </w:r>
    </w:p>
    <w:p>
      <w:pPr>
        <w:widowControl/>
        <w:shd w:val="clear" w:color="auto" w:fill="FFFFFF"/>
        <w:adjustRightInd w:val="0"/>
        <w:snapToGrid w:val="0"/>
        <w:spacing w:line="360" w:lineRule="auto"/>
        <w:ind w:firstLine="480"/>
        <w:jc w:val="left"/>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pPr>
        <w:pStyle w:val="118"/>
        <w:adjustRightInd w:val="0"/>
        <w:snapToGrid w:val="0"/>
        <w:spacing w:before="0"/>
        <w:ind w:firstLine="480"/>
        <w:rPr>
          <w:rFonts w:hint="default" w:ascii="宋体" w:hAnsi="宋体" w:cs="宋体"/>
          <w:color w:val="000000" w:themeColor="text1"/>
          <w:kern w:val="0"/>
          <w14:textFill>
            <w14:solidFill>
              <w14:schemeClr w14:val="tx1"/>
            </w14:solidFill>
          </w14:textFill>
        </w:rPr>
      </w:pPr>
      <w:r>
        <w:rPr>
          <w:rFonts w:ascii="宋体" w:hAnsi="宋体" w:cs="宋体"/>
          <w:color w:val="000000" w:themeColor="text1"/>
          <w:kern w:val="0"/>
          <w:lang w:val="zh-CN"/>
          <w14:textFill>
            <w14:solidFill>
              <w14:schemeClr w14:val="tx1"/>
            </w14:solidFill>
          </w14:textFill>
        </w:rPr>
        <w:t>（</w:t>
      </w:r>
      <w:r>
        <w:rPr>
          <w:rFonts w:ascii="宋体" w:hAnsi="宋体" w:cs="宋体"/>
          <w:color w:val="000000" w:themeColor="text1"/>
          <w:kern w:val="0"/>
          <w14:textFill>
            <w14:solidFill>
              <w14:schemeClr w14:val="tx1"/>
            </w14:solidFill>
          </w14:textFill>
        </w:rPr>
        <w:t>2</w:t>
      </w:r>
      <w:r>
        <w:rPr>
          <w:rFonts w:ascii="宋体" w:hAnsi="宋体" w:cs="宋体"/>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18"/>
        <w:adjustRightInd w:val="0"/>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（3）如签订合同并生效后，供应商无故拒绝或延期，除按照合同条款处理外，列入不良行为记录一次，并给予通报。</w:t>
      </w:r>
    </w:p>
    <w:p>
      <w:pPr>
        <w:pStyle w:val="118"/>
        <w:adjustRightInd w:val="0"/>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pPr>
        <w:pStyle w:val="118"/>
        <w:adjustRightInd w:val="0"/>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（5）采购合同由采购人与中标供应商根据招标文件、投标文件等内容通过政府采购电子交易平台在线签订，自动备案。</w:t>
      </w:r>
    </w:p>
    <w:p>
      <w:pPr>
        <w:pStyle w:val="6"/>
        <w:snapToGrid w:val="0"/>
        <w:spacing w:beforeLines="0" w:afterLines="0" w:line="360" w:lineRule="auto"/>
        <w:ind w:firstLine="472" w:firstLineChars="196"/>
        <w:rPr>
          <w:rFonts w:hint="default"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（二）履约保证金</w:t>
      </w:r>
    </w:p>
    <w:p>
      <w:pPr>
        <w:widowControl/>
        <w:shd w:val="clear" w:color="auto" w:fill="FFFFFF"/>
        <w:adjustRightInd w:val="0"/>
        <w:snapToGrid w:val="0"/>
        <w:spacing w:line="360" w:lineRule="auto"/>
        <w:ind w:firstLine="480"/>
        <w:jc w:val="left"/>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snapToGrid w:val="0"/>
        <w:spacing w:before="120" w:after="120" w:line="360" w:lineRule="auto"/>
        <w:ind w:firstLine="480" w:firstLineChars="200"/>
        <w:rPr>
          <w:rFonts w:hint="default"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adjustRightInd w:val="0"/>
        <w:snapToGrid w:val="0"/>
        <w:spacing w:beforeLines="0" w:afterLines="0" w:line="360" w:lineRule="auto"/>
        <w:outlineLvl w:val="1"/>
        <w:rPr>
          <w:rFonts w:hint="default" w:hAnsi="宋体" w:cs="宋体"/>
          <w:b/>
          <w:color w:val="000000" w:themeColor="text1"/>
          <w:sz w:val="28"/>
          <w:szCs w:val="28"/>
          <w14:textFill>
            <w14:solidFill>
              <w14:schemeClr w14:val="tx1"/>
            </w14:solidFill>
          </w14:textFill>
        </w:rPr>
      </w:pPr>
      <w:r>
        <w:rPr>
          <w:rFonts w:hAnsi="宋体" w:cs="宋体"/>
          <w:b/>
          <w:color w:val="000000" w:themeColor="text1"/>
          <w:sz w:val="28"/>
          <w:szCs w:val="28"/>
          <w14:textFill>
            <w14:solidFill>
              <w14:schemeClr w14:val="tx1"/>
            </w14:solidFill>
          </w14:textFill>
        </w:rPr>
        <w:t>八、电子交易活动的中止</w:t>
      </w:r>
    </w:p>
    <w:p>
      <w:pPr>
        <w:pStyle w:val="6"/>
        <w:snapToGrid w:val="0"/>
        <w:spacing w:beforeLines="0" w:afterLines="0" w:line="360" w:lineRule="auto"/>
        <w:ind w:firstLine="472" w:firstLineChars="196"/>
        <w:rPr>
          <w:rFonts w:hint="default" w:hAnsi="宋体" w:cs="宋体"/>
          <w:b/>
          <w:color w:val="000000" w:themeColor="text1"/>
          <w14:textFill>
            <w14:solidFill>
              <w14:schemeClr w14:val="tx1"/>
            </w14:solidFill>
          </w14:textFill>
        </w:rPr>
      </w:pPr>
      <w:r>
        <w:rPr>
          <w:rFonts w:hAnsi="宋体" w:cs="宋体"/>
          <w:b/>
          <w:color w:val="000000" w:themeColor="text1"/>
          <w14:textFill>
            <w14:solidFill>
              <w14:schemeClr w14:val="tx1"/>
            </w14:solidFill>
          </w14:textFill>
        </w:rPr>
        <w:t>（一）电子交易活动的中止。</w:t>
      </w:r>
    </w:p>
    <w:p>
      <w:pPr>
        <w:pStyle w:val="118"/>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18"/>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（1）电子交易平台发生故障而无法登录访问的； </w:t>
      </w:r>
    </w:p>
    <w:p>
      <w:pPr>
        <w:pStyle w:val="118"/>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（2）电子交易平台应用或数据库出现错误，不能进行正常操作的；</w:t>
      </w:r>
    </w:p>
    <w:p>
      <w:pPr>
        <w:pStyle w:val="118"/>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（3）电子交易平台发现严重安全漏洞，有潜在泄密危险的；</w:t>
      </w:r>
    </w:p>
    <w:p>
      <w:pPr>
        <w:pStyle w:val="118"/>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（4）病毒发作导致不能进行正常操作的； </w:t>
      </w:r>
    </w:p>
    <w:p>
      <w:pPr>
        <w:pStyle w:val="118"/>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（5）其他无法保证电子交易的公平、公正和安全的情况。</w:t>
      </w:r>
    </w:p>
    <w:p>
      <w:pPr>
        <w:pStyle w:val="118"/>
        <w:snapToGrid w:val="0"/>
        <w:spacing w:before="0"/>
        <w:ind w:firstLine="48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rPr>
          <w:rFonts w:hint="default"/>
          <w:color w:val="000000" w:themeColor="text1"/>
          <w14:textFill>
            <w14:solidFill>
              <w14:schemeClr w14:val="tx1"/>
            </w14:solidFill>
          </w14:textFill>
        </w:rPr>
      </w:pPr>
    </w:p>
    <w:p>
      <w:pPr>
        <w:snapToGrid w:val="0"/>
        <w:spacing w:line="360" w:lineRule="auto"/>
        <w:ind w:left="238"/>
        <w:jc w:val="center"/>
        <w:outlineLvl w:val="0"/>
        <w:rPr>
          <w:rFonts w:hint="default"/>
          <w:b/>
          <w:color w:val="000000" w:themeColor="text1"/>
          <w:sz w:val="36"/>
          <w:szCs w:val="36"/>
          <w14:textFill>
            <w14:solidFill>
              <w14:schemeClr w14:val="tx1"/>
            </w14:solidFill>
          </w14:textFill>
        </w:rPr>
      </w:pPr>
      <w:r>
        <w:rPr>
          <w:rFonts w:hint="default"/>
          <w:color w:val="000000" w:themeColor="text1"/>
          <w14:textFill>
            <w14:solidFill>
              <w14:schemeClr w14:val="tx1"/>
            </w14:solidFill>
          </w14:textFill>
        </w:rPr>
        <w:br w:type="page"/>
      </w:r>
      <w:bookmarkStart w:id="66" w:name="_Toc14784"/>
      <w:r>
        <w:rPr>
          <w:rStyle w:val="142"/>
          <w:rFonts w:hint="default"/>
          <w:color w:val="000000" w:themeColor="text1"/>
          <w:spacing w:val="-4"/>
          <w:sz w:val="32"/>
          <w:szCs w:val="32"/>
          <w14:textFill>
            <w14:solidFill>
              <w14:schemeClr w14:val="tx1"/>
            </w14:solidFill>
          </w14:textFill>
        </w:rPr>
        <w:t>第三章  评标办法</w:t>
      </w:r>
      <w:bookmarkEnd w:id="66"/>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为公正、公平、科学地选择中标人，根据《中华人民共和国政府采购法》等有关法律法规的规定，并结合本项目的实际，制定本办法。</w:t>
      </w:r>
    </w:p>
    <w:p>
      <w:pPr>
        <w:adjustRightInd w:val="0"/>
        <w:snapToGrid w:val="0"/>
        <w:spacing w:line="360" w:lineRule="auto"/>
        <w:ind w:firstLine="472" w:firstLineChars="196"/>
        <w:rPr>
          <w:rFonts w:hint="default"/>
          <w:b/>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一、总则</w:t>
      </w:r>
    </w:p>
    <w:p>
      <w:pPr>
        <w:adjustRightInd w:val="0"/>
        <w:snapToGrid w:val="0"/>
        <w:spacing w:line="360" w:lineRule="auto"/>
        <w:ind w:firstLine="480" w:firstLineChars="200"/>
        <w:rPr>
          <w:rFonts w:hint="default"/>
          <w:bCs/>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本次评标采用综合评分法，总分为100分，其中价格分</w:t>
      </w:r>
      <w:r>
        <w:rPr>
          <w:color w:val="000000" w:themeColor="text1"/>
          <w:sz w:val="24"/>
          <w:u w:val="single"/>
          <w14:textFill>
            <w14:solidFill>
              <w14:schemeClr w14:val="tx1"/>
            </w14:solidFill>
          </w14:textFill>
        </w:rPr>
        <w:t>30</w:t>
      </w:r>
      <w:r>
        <w:rPr>
          <w:rFonts w:hint="default"/>
          <w:color w:val="000000" w:themeColor="text1"/>
          <w:sz w:val="24"/>
          <w14:textFill>
            <w14:solidFill>
              <w14:schemeClr w14:val="tx1"/>
            </w14:solidFill>
          </w14:textFill>
        </w:rPr>
        <w:t>分，资信商务技术分</w:t>
      </w:r>
      <w:r>
        <w:rPr>
          <w:color w:val="000000" w:themeColor="text1"/>
          <w:sz w:val="24"/>
          <w:u w:val="single"/>
          <w14:textFill>
            <w14:solidFill>
              <w14:schemeClr w14:val="tx1"/>
            </w14:solidFill>
          </w14:textFill>
        </w:rPr>
        <w:t>70</w:t>
      </w:r>
      <w:r>
        <w:rPr>
          <w:rFonts w:hint="default"/>
          <w:color w:val="000000" w:themeColor="text1"/>
          <w:sz w:val="24"/>
          <w14:textFill>
            <w14:solidFill>
              <w14:schemeClr w14:val="tx1"/>
            </w14:solidFill>
          </w14:textFill>
        </w:rPr>
        <w:t>分。合格投标人的评标得分为各项目汇总得分，中标候选资格按评标得分由高到低顺序排列，得分相同的，按投标报价由低到高顺序排列；得分且投标报价相同的，按技术得分由高到低顺序排列。</w:t>
      </w:r>
      <w:r>
        <w:rPr>
          <w:rFonts w:hint="default"/>
          <w:bCs/>
          <w:color w:val="000000" w:themeColor="text1"/>
          <w:sz w:val="24"/>
          <w14:textFill>
            <w14:solidFill>
              <w14:schemeClr w14:val="tx1"/>
            </w14:solidFill>
          </w14:textFill>
        </w:rPr>
        <w:t>评分过程中采用四舍五入法，并保留小数2位。除财政部门另有规定外，评标委员会推荐</w:t>
      </w:r>
      <w:r>
        <w:rPr>
          <w:rFonts w:hint="default"/>
          <w:color w:val="000000" w:themeColor="text1"/>
          <w:sz w:val="24"/>
          <w14:textFill>
            <w14:solidFill>
              <w14:schemeClr w14:val="tx1"/>
            </w14:solidFill>
          </w14:textFill>
        </w:rPr>
        <w:t>得分</w:t>
      </w:r>
      <w:r>
        <w:rPr>
          <w:rFonts w:hint="default"/>
          <w:bCs/>
          <w:color w:val="000000" w:themeColor="text1"/>
          <w:sz w:val="24"/>
          <w14:textFill>
            <w14:solidFill>
              <w14:schemeClr w14:val="tx1"/>
            </w14:solidFill>
          </w14:textFill>
        </w:rPr>
        <w:t>排列前</w:t>
      </w:r>
      <w:r>
        <w:rPr>
          <w:rFonts w:hint="default"/>
          <w:bCs/>
          <w:color w:val="000000" w:themeColor="text1"/>
          <w:sz w:val="24"/>
          <w:u w:val="single"/>
          <w14:textFill>
            <w14:solidFill>
              <w14:schemeClr w14:val="tx1"/>
            </w14:solidFill>
          </w14:textFill>
        </w:rPr>
        <w:t xml:space="preserve"> 3 </w:t>
      </w:r>
      <w:r>
        <w:rPr>
          <w:rFonts w:hint="default"/>
          <w:bCs/>
          <w:color w:val="000000" w:themeColor="text1"/>
          <w:sz w:val="24"/>
          <w14:textFill>
            <w14:solidFill>
              <w14:schemeClr w14:val="tx1"/>
            </w14:solidFill>
          </w14:textFill>
        </w:rPr>
        <w:t>名的投标人为中标候选人。</w:t>
      </w:r>
    </w:p>
    <w:p>
      <w:pPr>
        <w:adjustRightInd w:val="0"/>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资信商务技术分=评标委员会所有成员评分合计数/评标委员会组成人员数</w:t>
      </w:r>
    </w:p>
    <w:p>
      <w:pPr>
        <w:adjustRightInd w:val="0"/>
        <w:snapToGrid w:val="0"/>
        <w:spacing w:line="360" w:lineRule="auto"/>
        <w:ind w:firstLine="480" w:firstLineChars="200"/>
        <w:rPr>
          <w:rFonts w:hint="default"/>
          <w:bCs/>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投标人评标</w:t>
      </w:r>
      <w:r>
        <w:rPr>
          <w:rFonts w:hint="default"/>
          <w:bCs/>
          <w:color w:val="000000" w:themeColor="text1"/>
          <w:sz w:val="24"/>
          <w14:textFill>
            <w14:solidFill>
              <w14:schemeClr w14:val="tx1"/>
            </w14:solidFill>
          </w14:textFill>
        </w:rPr>
        <w:t>综合得分=价格分+资信商务技术分</w:t>
      </w:r>
    </w:p>
    <w:p>
      <w:pPr>
        <w:adjustRightInd w:val="0"/>
        <w:snapToGrid w:val="0"/>
        <w:spacing w:line="360" w:lineRule="auto"/>
        <w:ind w:firstLine="472" w:firstLineChars="196"/>
        <w:rPr>
          <w:rFonts w:hint="default"/>
          <w:b/>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二、资格审查</w:t>
      </w:r>
    </w:p>
    <w:p>
      <w:pPr>
        <w:adjustRightInd w:val="0"/>
        <w:snapToGrid w:val="0"/>
        <w:spacing w:line="360" w:lineRule="auto"/>
        <w:ind w:firstLine="470" w:firstLineChars="196"/>
        <w:outlineLvl w:val="2"/>
        <w:rPr>
          <w:rFonts w:hint="default"/>
          <w:bCs/>
          <w:color w:val="000000" w:themeColor="text1"/>
          <w:sz w:val="24"/>
          <w:szCs w:val="28"/>
          <w14:textFill>
            <w14:solidFill>
              <w14:schemeClr w14:val="tx1"/>
            </w14:solidFill>
          </w14:textFill>
        </w:rPr>
      </w:pPr>
      <w:r>
        <w:rPr>
          <w:rFonts w:hint="default"/>
          <w:bCs/>
          <w:color w:val="000000" w:themeColor="text1"/>
          <w:sz w:val="24"/>
          <w14:textFill>
            <w14:solidFill>
              <w14:schemeClr w14:val="tx1"/>
            </w14:solidFill>
          </w14:textFill>
        </w:rPr>
        <w:t>采购人或者采购代理机构对各投标人的资格进行审查，投标人资格条件不符合招标文件要求的投标无效，不再进入符合性审查。</w:t>
      </w:r>
    </w:p>
    <w:p>
      <w:pPr>
        <w:adjustRightInd w:val="0"/>
        <w:snapToGrid w:val="0"/>
        <w:spacing w:line="360" w:lineRule="auto"/>
        <w:ind w:firstLine="472" w:firstLineChars="196"/>
        <w:outlineLvl w:val="2"/>
        <w:rPr>
          <w:rFonts w:hint="default"/>
          <w:b/>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三、符合性审查</w:t>
      </w:r>
    </w:p>
    <w:p>
      <w:pPr>
        <w:adjustRightInd w:val="0"/>
        <w:snapToGrid w:val="0"/>
        <w:spacing w:line="360" w:lineRule="auto"/>
        <w:ind w:firstLine="480" w:firstLineChars="200"/>
        <w:rPr>
          <w:rFonts w:hint="default"/>
          <w:bCs/>
          <w:color w:val="000000" w:themeColor="text1"/>
          <w:sz w:val="24"/>
          <w14:textFill>
            <w14:solidFill>
              <w14:schemeClr w14:val="tx1"/>
            </w14:solidFill>
          </w14:textFill>
        </w:rPr>
      </w:pPr>
      <w:r>
        <w:rPr>
          <w:rFonts w:hint="default"/>
          <w:bCs/>
          <w:color w:val="000000" w:themeColor="text1"/>
          <w:sz w:val="24"/>
          <w14:textFill>
            <w14:solidFill>
              <w14:schemeClr w14:val="tx1"/>
            </w14:solidFill>
          </w14:textFill>
        </w:rPr>
        <w:t>评审小组对资格审查合格的投标文件进行符合性审查，确定是否对招标文件作出了实质性响应。符合性审查不合格的投标无效，不再进行商务和技术评估、综合比较与评价。</w:t>
      </w:r>
    </w:p>
    <w:p>
      <w:pPr>
        <w:adjustRightInd w:val="0"/>
        <w:snapToGrid w:val="0"/>
        <w:spacing w:line="360" w:lineRule="auto"/>
        <w:ind w:firstLine="472" w:firstLineChars="196"/>
        <w:rPr>
          <w:rFonts w:hint="default"/>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1.在商务、技术评审时，如发现下列情形之一的，投标将被视为无效：</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1）供应商提交两份或两份以上内容不同的投标方案，未声明哪一份有效的；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2）投标文件非供应商法定代表人签署的，未提供或提供无效的法定代表人授权书；</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snapToGrid w:val="0"/>
          <w:color w:val="000000" w:themeColor="text1"/>
          <w:kern w:val="0"/>
          <w:sz w:val="24"/>
          <w:szCs w:val="24"/>
          <w14:textFill>
            <w14:solidFill>
              <w14:schemeClr w14:val="tx1"/>
            </w14:solidFill>
          </w14:textFill>
        </w:rPr>
        <w:t>3）投标文件中法定代表人和授权代表身份证复印件不齐全的；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4）投标文件内容未按采购文件规定盖章的；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5）投标文件内容不全或内容字迹模糊辨认不清的等而导致评标活动无法正常进行；</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6）供应商未按采购文件变更通知更改投标文件的；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w:t>
      </w:r>
      <w:r>
        <w:rPr>
          <w:rFonts w:ascii="宋体" w:hAnsi="宋体" w:cs="宋体"/>
          <w:snapToGrid w:val="0"/>
          <w:color w:val="000000" w:themeColor="text1"/>
          <w:kern w:val="0"/>
          <w:sz w:val="24"/>
          <w:szCs w:val="24"/>
          <w14:textFill>
            <w14:solidFill>
              <w14:schemeClr w14:val="tx1"/>
            </w14:solidFill>
          </w14:textFill>
        </w:rPr>
        <w:t>商务条款中投标有效期、交货期、质保期不能满足采购文件要求的；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8）投标文件附有采购人不能接受的条款；</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9）投标文件中提供了与采购无关的赠品、回扣或者其他商品、服务；</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10）供应商串通投标，妨碍其他供应商的竞争行为，损害采购人或者其他供应商的合法权益；</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11）违反国家及政府部门相关法律、法规、文件规定或经评标委员会认定的其他属于重大偏离。</w:t>
      </w:r>
    </w:p>
    <w:p>
      <w:pPr>
        <w:pStyle w:val="18"/>
        <w:adjustRightInd w:val="0"/>
        <w:snapToGrid w:val="0"/>
        <w:spacing w:line="360" w:lineRule="auto"/>
        <w:ind w:firstLine="457" w:firstLineChars="196"/>
        <w:rPr>
          <w:rFonts w:hint="default"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2.在报价评审时，如发现下列情形之一的，投标将被视为无效：</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1）报价文件未按招标文件要求盖章的；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2）报价超出最高限价，或者超出采购预算金额；</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3）投标报价具有选择性的；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4）不接受按招标文件规定的修正错误原则修正后的报价的；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14:textFill>
            <w14:solidFill>
              <w14:schemeClr w14:val="tx1"/>
            </w14:solidFill>
          </w14:textFill>
        </w:rPr>
        <w:t>5）投标人的报价明显低于其他通过符合性审查投标人的报价，有可能影响产品或服务质量或者不能诚信履约，未能按评标委员会要求其在评标现场合理的时间内提供书面说明及相关证明材料以证明其报价合理性的；</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6）投标文件附有采购人不能接受的条款；</w:t>
      </w:r>
    </w:p>
    <w:p>
      <w:pPr>
        <w:adjustRightInd w:val="0"/>
        <w:snapToGrid w:val="0"/>
        <w:spacing w:line="360" w:lineRule="auto"/>
        <w:ind w:firstLine="480" w:firstLineChars="200"/>
        <w:rPr>
          <w:rFonts w:hint="default"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7）投标文件中提供了与采购无关的赠品、回扣或者其他商品、服务；</w:t>
      </w:r>
    </w:p>
    <w:p>
      <w:pPr>
        <w:adjustRightInd w:val="0"/>
        <w:snapToGrid w:val="0"/>
        <w:spacing w:line="360" w:lineRule="auto"/>
        <w:ind w:firstLine="480" w:firstLineChars="200"/>
        <w:rPr>
          <w:rFonts w:hint="default"/>
          <w:b/>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8)违反国家及政府部门相关法律、法规、文件规定或经评标委员会认定的其他属于重大偏离</w:t>
      </w:r>
      <w:r>
        <w:rPr>
          <w:rFonts w:hint="default" w:ascii="宋体" w:hAnsi="宋体" w:cs="宋体"/>
          <w:color w:val="000000" w:themeColor="text1"/>
          <w:sz w:val="24"/>
          <w:szCs w:val="24"/>
          <w14:textFill>
            <w14:solidFill>
              <w14:schemeClr w14:val="tx1"/>
            </w14:solidFill>
          </w14:textFill>
        </w:rPr>
        <w:t>。</w:t>
      </w:r>
    </w:p>
    <w:p>
      <w:pPr>
        <w:spacing w:line="360" w:lineRule="auto"/>
        <w:ind w:firstLine="480" w:firstLineChars="200"/>
        <w:rPr>
          <w:rFonts w:hint="default"/>
          <w:b w:val="0"/>
          <w:bCs/>
          <w:color w:val="auto"/>
          <w:sz w:val="24"/>
          <w:szCs w:val="24"/>
        </w:rPr>
      </w:pPr>
      <w:r>
        <w:rPr>
          <w:rFonts w:hint="default"/>
          <w:b w:val="0"/>
          <w:bCs/>
          <w:color w:val="auto"/>
          <w:sz w:val="24"/>
          <w:szCs w:val="24"/>
        </w:rPr>
        <w:t>四、评审内容及标准</w:t>
      </w:r>
    </w:p>
    <w:p>
      <w:pPr>
        <w:pStyle w:val="18"/>
        <w:spacing w:line="360" w:lineRule="auto"/>
        <w:ind w:firstLine="299" w:firstLineChars="129"/>
        <w:rPr>
          <w:rFonts w:hint="default" w:ascii="Times New Roman" w:hAnsi="Times New Roman"/>
          <w:b w:val="0"/>
          <w:bCs/>
          <w:color w:val="auto"/>
          <w:sz w:val="24"/>
          <w:szCs w:val="24"/>
        </w:rPr>
      </w:pPr>
      <w:r>
        <w:rPr>
          <w:rFonts w:hint="default" w:ascii="Times New Roman" w:hAnsi="Times New Roman"/>
          <w:b w:val="0"/>
          <w:bCs/>
          <w:color w:val="auto"/>
          <w:sz w:val="24"/>
          <w:szCs w:val="24"/>
        </w:rPr>
        <w:t>（一）资信商务技术分（</w:t>
      </w:r>
      <w:r>
        <w:rPr>
          <w:rFonts w:hint="eastAsia" w:ascii="Times New Roman" w:hAnsi="Times New Roman"/>
          <w:b w:val="0"/>
          <w:bCs/>
          <w:color w:val="auto"/>
          <w:sz w:val="24"/>
          <w:szCs w:val="24"/>
          <w:lang w:val="en-US" w:eastAsia="zh-CN"/>
        </w:rPr>
        <w:t>70</w:t>
      </w:r>
      <w:r>
        <w:rPr>
          <w:rFonts w:hint="default" w:ascii="Times New Roman" w:hAnsi="Times New Roman"/>
          <w:b w:val="0"/>
          <w:bCs/>
          <w:color w:val="auto"/>
          <w:sz w:val="24"/>
          <w:szCs w:val="24"/>
        </w:rPr>
        <w:t>分）</w:t>
      </w:r>
    </w:p>
    <w:tbl>
      <w:tblPr>
        <w:tblStyle w:val="42"/>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78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67"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评审因素</w:t>
            </w:r>
          </w:p>
        </w:tc>
        <w:tc>
          <w:tcPr>
            <w:tcW w:w="785"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分值</w:t>
            </w:r>
          </w:p>
        </w:tc>
        <w:tc>
          <w:tcPr>
            <w:tcW w:w="7229" w:type="dxa"/>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781" w:type="dxa"/>
            <w:gridSpan w:val="3"/>
            <w:shd w:val="clear" w:color="auto" w:fill="auto"/>
            <w:vAlign w:val="center"/>
          </w:tcPr>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Hans"/>
              </w:rPr>
              <w:t>商务</w:t>
            </w:r>
            <w:r>
              <w:rPr>
                <w:rFonts w:hint="eastAsia" w:ascii="宋体" w:hAnsi="宋体" w:eastAsia="宋体" w:cs="宋体"/>
                <w:b w:val="0"/>
                <w:bCs/>
                <w:color w:val="auto"/>
                <w:sz w:val="24"/>
                <w:szCs w:val="24"/>
              </w:rPr>
              <w:t>分（</w:t>
            </w:r>
            <w:r>
              <w:rPr>
                <w:rFonts w:hint="eastAsia" w:ascii="宋体" w:hAnsi="宋体" w:cs="宋体"/>
                <w:b w:val="0"/>
                <w:bCs/>
                <w:color w:val="auto"/>
                <w:sz w:val="24"/>
                <w:szCs w:val="24"/>
                <w:lang w:val="en-US" w:eastAsia="zh-CN"/>
              </w:rPr>
              <w:t>24</w:t>
            </w:r>
            <w:r>
              <w:rPr>
                <w:rFonts w:hint="eastAsia" w:ascii="宋体" w:hAnsi="宋体" w:eastAsia="宋体" w:cs="宋体"/>
                <w:b w:val="0"/>
                <w:bCs/>
                <w:color w:val="auto"/>
                <w:sz w:val="24"/>
                <w:szCs w:val="24"/>
                <w:lang w:val="en-US" w:eastAsia="zh-CN"/>
              </w:rPr>
              <w:t>分</w:t>
            </w:r>
            <w:r>
              <w:rPr>
                <w:rFonts w:hint="eastAsia" w:ascii="宋体" w:hAnsi="宋体" w:eastAsia="宋体" w:cs="宋体"/>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rPr>
              <w:t>业绩</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3</w:t>
            </w:r>
          </w:p>
        </w:tc>
        <w:tc>
          <w:tcPr>
            <w:tcW w:w="72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218" w:firstLineChars="91"/>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自2020年1月1日到至今（以合同签订时间为准），投标人承担过类似业绩（含有</w:t>
            </w:r>
            <w:r>
              <w:rPr>
                <w:rFonts w:hint="eastAsia" w:ascii="宋体" w:hAnsi="宋体" w:eastAsia="宋体" w:cs="宋体"/>
                <w:b w:val="0"/>
                <w:bCs/>
                <w:color w:val="auto"/>
                <w:kern w:val="0"/>
                <w:sz w:val="24"/>
                <w:szCs w:val="24"/>
                <w:lang w:val="zh-CN" w:eastAsia="zh-CN"/>
              </w:rPr>
              <w:t>垃圾分类</w:t>
            </w:r>
            <w:r>
              <w:rPr>
                <w:rFonts w:hint="eastAsia" w:ascii="宋体" w:hAnsi="宋体" w:eastAsia="宋体" w:cs="宋体"/>
                <w:b w:val="0"/>
                <w:bCs/>
                <w:color w:val="auto"/>
                <w:kern w:val="0"/>
                <w:sz w:val="24"/>
                <w:szCs w:val="24"/>
                <w:lang w:val="en-US" w:eastAsia="zh-CN"/>
              </w:rPr>
              <w:t>智能</w:t>
            </w:r>
            <w:r>
              <w:rPr>
                <w:rFonts w:hint="eastAsia" w:ascii="宋体" w:hAnsi="宋体" w:eastAsia="宋体" w:cs="宋体"/>
                <w:b w:val="0"/>
                <w:bCs/>
                <w:color w:val="auto"/>
                <w:kern w:val="0"/>
                <w:sz w:val="24"/>
                <w:szCs w:val="24"/>
                <w:lang w:val="zh-CN" w:eastAsia="zh-CN"/>
              </w:rPr>
              <w:t>设备</w:t>
            </w:r>
            <w:r>
              <w:rPr>
                <w:rFonts w:hint="eastAsia" w:ascii="宋体" w:hAnsi="宋体" w:eastAsia="宋体" w:cs="宋体"/>
                <w:b w:val="0"/>
                <w:bCs/>
                <w:color w:val="auto"/>
                <w:kern w:val="0"/>
                <w:sz w:val="24"/>
                <w:szCs w:val="24"/>
                <w:lang w:val="en-US" w:eastAsia="zh-CN"/>
              </w:rPr>
              <w:t>项目）的，</w:t>
            </w:r>
            <w:r>
              <w:rPr>
                <w:rFonts w:hint="eastAsia" w:ascii="宋体" w:hAnsi="宋体" w:eastAsia="宋体" w:cs="宋体"/>
                <w:b w:val="0"/>
                <w:bCs/>
                <w:color w:val="auto"/>
                <w:kern w:val="0"/>
                <w:sz w:val="24"/>
                <w:szCs w:val="24"/>
                <w:lang w:val="zh-CN" w:eastAsia="zh-CN"/>
              </w:rPr>
              <w:t>每个得</w:t>
            </w:r>
            <w:r>
              <w:rPr>
                <w:rFonts w:hint="eastAsia" w:ascii="宋体" w:hAnsi="宋体" w:cs="宋体"/>
                <w:b w:val="0"/>
                <w:bCs/>
                <w:color w:val="auto"/>
                <w:kern w:val="0"/>
                <w:sz w:val="24"/>
                <w:szCs w:val="24"/>
                <w:lang w:val="en-US" w:eastAsia="zh-CN"/>
              </w:rPr>
              <w:t>1</w:t>
            </w:r>
            <w:r>
              <w:rPr>
                <w:rFonts w:hint="eastAsia" w:ascii="宋体" w:hAnsi="宋体" w:eastAsia="宋体" w:cs="宋体"/>
                <w:b w:val="0"/>
                <w:bCs/>
                <w:color w:val="auto"/>
                <w:kern w:val="0"/>
                <w:sz w:val="24"/>
                <w:szCs w:val="24"/>
                <w:lang w:val="zh-CN" w:eastAsia="zh-CN"/>
              </w:rPr>
              <w:t>分，最高</w:t>
            </w:r>
            <w:r>
              <w:rPr>
                <w:rFonts w:hint="eastAsia" w:ascii="宋体" w:hAnsi="宋体" w:eastAsia="宋体" w:cs="宋体"/>
                <w:b w:val="0"/>
                <w:bCs/>
                <w:color w:val="auto"/>
                <w:kern w:val="0"/>
                <w:sz w:val="24"/>
                <w:szCs w:val="24"/>
                <w:lang w:val="en-US" w:eastAsia="zh-CN"/>
              </w:rPr>
              <w:t>得</w:t>
            </w:r>
            <w:r>
              <w:rPr>
                <w:rFonts w:hint="eastAsia" w:ascii="宋体" w:hAnsi="宋体" w:cs="宋体"/>
                <w:b w:val="0"/>
                <w:bCs/>
                <w:color w:val="auto"/>
                <w:kern w:val="0"/>
                <w:sz w:val="24"/>
                <w:szCs w:val="24"/>
                <w:lang w:val="en-US" w:eastAsia="zh-CN"/>
              </w:rPr>
              <w:t>3</w:t>
            </w:r>
            <w:r>
              <w:rPr>
                <w:rFonts w:hint="eastAsia" w:ascii="宋体" w:hAnsi="宋体" w:eastAsia="宋体" w:cs="宋体"/>
                <w:b w:val="0"/>
                <w:bCs/>
                <w:color w:val="auto"/>
                <w:kern w:val="0"/>
                <w:sz w:val="24"/>
                <w:szCs w:val="24"/>
                <w:lang w:val="zh-CN" w:eastAsia="zh-CN"/>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8" w:firstLineChars="91"/>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注：投标文件中提供官网截图、合同及中标通知书原件扫描件上传核查，否则不得分。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资信实力</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7</w:t>
            </w:r>
          </w:p>
        </w:tc>
        <w:tc>
          <w:tcPr>
            <w:tcW w:w="72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1.投标人具有在有效期内的环境管理体系认证书的得1分；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2.投标人具有在有效期内的质量管理体系认证证书的得1分；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3.投标人具有在有效期内的职业健康安全管理体系认证证书的得1分；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4.投标人具有有效内的信息安全管理体系认证证书得1分；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5.投标人具有有效内的信息技术管理体系认证证书的得1分；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eastAsia" w:ascii="宋体" w:hAnsi="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6.投标人具有有效内的安全生产标准化认证证书的得1分；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default" w:ascii="宋体" w:hAnsi="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7.</w:t>
            </w:r>
            <w:r>
              <w:rPr>
                <w:rFonts w:hint="eastAsia" w:ascii="宋体" w:hAnsi="宋体" w:eastAsia="宋体" w:cs="宋体"/>
                <w:b w:val="0"/>
                <w:bCs/>
                <w:color w:val="auto"/>
                <w:kern w:val="0"/>
                <w:sz w:val="24"/>
                <w:szCs w:val="24"/>
                <w:lang w:val="en-US" w:eastAsia="zh-CN"/>
              </w:rPr>
              <w:t>投标人具有有效内的</w:t>
            </w:r>
            <w:r>
              <w:rPr>
                <w:rFonts w:hint="eastAsia" w:ascii="宋体" w:hAnsi="宋体" w:cs="宋体"/>
                <w:b w:val="0"/>
                <w:bCs/>
                <w:color w:val="auto"/>
                <w:kern w:val="0"/>
                <w:sz w:val="24"/>
                <w:szCs w:val="24"/>
                <w:lang w:val="en-US" w:eastAsia="zh-CN"/>
              </w:rPr>
              <w:t>设备维修服务认证证书的得1分。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注：上述相关证书（认证范围包含智能垃圾房或垃圾分类收集设备）认须提供网站查询截图并加盖投标单位公章并同时提供证书原件扫描件并加盖投标单位公章，未提供或未按要求提供不得分。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软件著作权</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72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218" w:firstLineChars="91"/>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提供垃圾分类相关的软件著作权证书，每提供证书得</w:t>
            </w:r>
            <w:r>
              <w:rPr>
                <w:rFonts w:hint="eastAsia" w:ascii="宋体" w:hAnsi="宋体" w:cs="宋体"/>
                <w:b w:val="0"/>
                <w:bCs/>
                <w:color w:val="auto"/>
                <w:kern w:val="0"/>
                <w:sz w:val="24"/>
                <w:szCs w:val="24"/>
                <w:lang w:val="en-US" w:eastAsia="zh-CN"/>
              </w:rPr>
              <w:t>1</w:t>
            </w:r>
            <w:r>
              <w:rPr>
                <w:rFonts w:hint="eastAsia" w:ascii="宋体" w:hAnsi="宋体" w:eastAsia="宋体" w:cs="宋体"/>
                <w:b w:val="0"/>
                <w:bCs/>
                <w:color w:val="auto"/>
                <w:kern w:val="0"/>
                <w:sz w:val="24"/>
                <w:szCs w:val="24"/>
                <w:lang w:val="en-US" w:eastAsia="zh-CN"/>
              </w:rPr>
              <w:t>分，最高得</w:t>
            </w:r>
            <w:r>
              <w:rPr>
                <w:rFonts w:hint="eastAsia" w:ascii="宋体" w:hAnsi="宋体" w:cs="宋体"/>
                <w:b w:val="0"/>
                <w:bCs/>
                <w:color w:val="auto"/>
                <w:kern w:val="0"/>
                <w:sz w:val="24"/>
                <w:szCs w:val="24"/>
                <w:lang w:val="en-US" w:eastAsia="zh-CN"/>
              </w:rPr>
              <w:t>3</w:t>
            </w:r>
            <w:r>
              <w:rPr>
                <w:rFonts w:hint="eastAsia" w:ascii="宋体" w:hAnsi="宋体" w:eastAsia="宋体" w:cs="宋体"/>
                <w:b w:val="0"/>
                <w:bCs/>
                <w:color w:val="auto"/>
                <w:kern w:val="0"/>
                <w:sz w:val="24"/>
                <w:szCs w:val="24"/>
                <w:lang w:val="en-US" w:eastAsia="zh-CN"/>
              </w:rPr>
              <w:t>分</w:t>
            </w:r>
            <w:r>
              <w:rPr>
                <w:rFonts w:hint="eastAsia" w:ascii="宋体" w:hAnsi="宋体" w:cs="宋体"/>
                <w:b w:val="0"/>
                <w:bCs/>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售后服务能力</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w:t>
            </w:r>
          </w:p>
        </w:tc>
        <w:tc>
          <w:tcPr>
            <w:tcW w:w="72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199" w:firstLineChars="83"/>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投标人具有在有效期内的GB/T27922-2011标准的十星级及以上售后服务成熟度认证证书（认证范围包含智能垃圾房或垃圾分类收集设备）的得</w:t>
            </w:r>
            <w:r>
              <w:rPr>
                <w:rFonts w:hint="eastAsia" w:ascii="宋体" w:hAnsi="宋体" w:cs="宋体"/>
                <w:b w:val="0"/>
                <w:bCs/>
                <w:color w:val="auto"/>
                <w:kern w:val="0"/>
                <w:sz w:val="24"/>
                <w:szCs w:val="24"/>
                <w:lang w:val="en-US" w:eastAsia="zh-CN"/>
              </w:rPr>
              <w:t>3</w:t>
            </w:r>
            <w:r>
              <w:rPr>
                <w:rFonts w:hint="eastAsia" w:ascii="宋体" w:hAnsi="宋体" w:eastAsia="宋体" w:cs="宋体"/>
                <w:b w:val="0"/>
                <w:bCs/>
                <w:color w:val="auto"/>
                <w:kern w:val="0"/>
                <w:sz w:val="24"/>
                <w:szCs w:val="24"/>
                <w:lang w:val="en-US" w:eastAsia="zh-CN"/>
              </w:rPr>
              <w:t>分。（投标人需提供认证证书原件及复印件加盖投标人公章</w:t>
            </w:r>
            <w:r>
              <w:rPr>
                <w:rFonts w:hint="eastAsia" w:ascii="宋体" w:hAnsi="宋体" w:eastAsia="宋体" w:cs="宋体"/>
                <w:b w:val="0"/>
                <w:bCs/>
                <w:color w:val="auto"/>
                <w:kern w:val="0"/>
                <w:sz w:val="24"/>
                <w:szCs w:val="24"/>
                <w:lang w:val="zh-CN" w:eastAsia="zh-CN"/>
              </w:rPr>
              <w:t>，未提供或提供不全的不得分</w:t>
            </w:r>
            <w:r>
              <w:rPr>
                <w:rFonts w:hint="eastAsia" w:ascii="宋体" w:hAnsi="宋体" w:eastAsia="宋体" w:cs="宋体"/>
                <w:b w:val="0"/>
                <w:bCs/>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人员组织配置</w:t>
            </w:r>
          </w:p>
        </w:tc>
        <w:tc>
          <w:tcPr>
            <w:tcW w:w="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8</w:t>
            </w:r>
          </w:p>
        </w:tc>
        <w:tc>
          <w:tcPr>
            <w:tcW w:w="7229" w:type="dxa"/>
            <w:shd w:val="clear" w:color="auto" w:fill="auto"/>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218" w:firstLineChars="91"/>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拟投入本项目的项目</w:t>
            </w:r>
            <w:r>
              <w:rPr>
                <w:rFonts w:hint="eastAsia" w:ascii="宋体" w:hAnsi="宋体" w:cs="宋体"/>
                <w:b w:val="0"/>
                <w:bCs/>
                <w:color w:val="auto"/>
                <w:kern w:val="0"/>
                <w:sz w:val="24"/>
                <w:szCs w:val="24"/>
                <w:lang w:val="en-US" w:eastAsia="zh-CN"/>
              </w:rPr>
              <w:t>负责人</w:t>
            </w:r>
            <w:r>
              <w:rPr>
                <w:rFonts w:hint="eastAsia" w:ascii="宋体" w:hAnsi="宋体" w:eastAsia="宋体" w:cs="宋体"/>
                <w:b w:val="0"/>
                <w:bCs/>
                <w:color w:val="auto"/>
                <w:kern w:val="0"/>
                <w:sz w:val="24"/>
                <w:szCs w:val="24"/>
                <w:lang w:val="en-US" w:eastAsia="zh-CN"/>
              </w:rPr>
              <w:t>具有环境类高级工程师职称证书的得3分，具有环境类中级工程师职称证书的得2分，本条最高得分3分；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218" w:firstLineChars="91"/>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拟投入本项目的项目组成员中具有高级垃圾分类工程师、高级垃圾分类运营项目经理、生活垃圾分类工程师、垃圾分类处理工程师</w:t>
            </w:r>
            <w:r>
              <w:rPr>
                <w:rFonts w:hint="eastAsia" w:ascii="宋体" w:hAnsi="宋体" w:cs="宋体"/>
                <w:b w:val="0"/>
                <w:bCs/>
                <w:color w:val="auto"/>
                <w:kern w:val="0"/>
                <w:sz w:val="24"/>
                <w:szCs w:val="24"/>
                <w:lang w:val="en-US" w:eastAsia="zh-CN"/>
              </w:rPr>
              <w:t>，每提供一人</w:t>
            </w:r>
            <w:r>
              <w:rPr>
                <w:rFonts w:hint="eastAsia" w:ascii="宋体" w:hAnsi="宋体" w:eastAsia="宋体" w:cs="宋体"/>
                <w:b w:val="0"/>
                <w:bCs/>
                <w:color w:val="auto"/>
                <w:kern w:val="0"/>
                <w:sz w:val="24"/>
                <w:szCs w:val="24"/>
                <w:lang w:val="en-US" w:eastAsia="zh-CN"/>
              </w:rPr>
              <w:t>得1分，本条最高得5分。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8" w:firstLineChars="91"/>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zh-CN" w:eastAsia="zh-CN"/>
              </w:rPr>
              <w:t>注：提供</w:t>
            </w:r>
            <w:r>
              <w:rPr>
                <w:rFonts w:hint="eastAsia" w:ascii="宋体" w:hAnsi="宋体" w:eastAsia="宋体" w:cs="宋体"/>
                <w:b w:val="0"/>
                <w:bCs/>
                <w:color w:val="auto"/>
                <w:kern w:val="0"/>
                <w:sz w:val="24"/>
                <w:szCs w:val="24"/>
                <w:lang w:val="en-US" w:eastAsia="zh-CN"/>
              </w:rPr>
              <w:t>相关人员</w:t>
            </w:r>
            <w:r>
              <w:rPr>
                <w:rFonts w:hint="eastAsia" w:ascii="宋体" w:hAnsi="宋体" w:eastAsia="宋体" w:cs="宋体"/>
                <w:b w:val="0"/>
                <w:bCs/>
                <w:color w:val="auto"/>
                <w:kern w:val="0"/>
                <w:sz w:val="24"/>
                <w:szCs w:val="24"/>
                <w:lang w:val="zh-CN" w:eastAsia="zh-CN"/>
              </w:rPr>
              <w:t>证书</w:t>
            </w:r>
            <w:r>
              <w:rPr>
                <w:rFonts w:hint="eastAsia" w:ascii="宋体" w:hAnsi="宋体" w:eastAsia="宋体" w:cs="宋体"/>
                <w:b w:val="0"/>
                <w:bCs/>
                <w:color w:val="auto"/>
                <w:kern w:val="0"/>
                <w:sz w:val="24"/>
                <w:szCs w:val="24"/>
                <w:lang w:val="en-US" w:eastAsia="zh-CN"/>
              </w:rPr>
              <w:t>原件复制</w:t>
            </w:r>
            <w:r>
              <w:rPr>
                <w:rFonts w:hint="eastAsia" w:ascii="宋体" w:hAnsi="宋体" w:eastAsia="宋体" w:cs="宋体"/>
                <w:b w:val="0"/>
                <w:bCs/>
                <w:color w:val="auto"/>
                <w:kern w:val="0"/>
                <w:sz w:val="24"/>
                <w:szCs w:val="24"/>
                <w:lang w:val="zh-CN" w:eastAsia="zh-CN"/>
              </w:rPr>
              <w:t>件及</w:t>
            </w:r>
            <w:r>
              <w:rPr>
                <w:rFonts w:hint="eastAsia" w:ascii="宋体" w:hAnsi="宋体" w:eastAsia="宋体" w:cs="宋体"/>
                <w:b w:val="0"/>
                <w:bCs/>
                <w:color w:val="auto"/>
                <w:kern w:val="0"/>
                <w:sz w:val="24"/>
                <w:szCs w:val="24"/>
                <w:lang w:val="en-US" w:eastAsia="zh-CN"/>
              </w:rPr>
              <w:t>投标人为其交纳的</w:t>
            </w:r>
            <w:r>
              <w:rPr>
                <w:rFonts w:hint="eastAsia" w:ascii="宋体" w:hAnsi="宋体" w:eastAsia="宋体" w:cs="宋体"/>
                <w:b w:val="0"/>
                <w:bCs/>
                <w:color w:val="auto"/>
                <w:kern w:val="0"/>
                <w:sz w:val="24"/>
                <w:szCs w:val="24"/>
                <w:lang w:val="zh-CN" w:eastAsia="zh-CN"/>
              </w:rPr>
              <w:t>近三个月的社保证明，否则不得分。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7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sz w:val="24"/>
                <w:szCs w:val="24"/>
                <w:lang w:val="en-US" w:eastAsia="zh-CN"/>
              </w:rPr>
              <w:t>技术分（</w:t>
            </w:r>
            <w:r>
              <w:rPr>
                <w:rFonts w:hint="eastAsia" w:ascii="宋体" w:hAnsi="宋体" w:cs="宋体"/>
                <w:b w:val="0"/>
                <w:bCs/>
                <w:color w:val="auto"/>
                <w:sz w:val="24"/>
                <w:szCs w:val="24"/>
                <w:lang w:val="en-US" w:eastAsia="zh-CN"/>
              </w:rPr>
              <w:t>46</w:t>
            </w:r>
            <w:r>
              <w:rPr>
                <w:rFonts w:hint="eastAsia" w:ascii="宋体" w:hAnsi="宋体" w:eastAsia="宋体" w:cs="宋体"/>
                <w:b w:val="0"/>
                <w:bCs/>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76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lang w:val="en-US" w:eastAsia="zh-CN"/>
              </w:rPr>
              <w:t>产品参数</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7.5</w:t>
            </w:r>
          </w:p>
        </w:tc>
        <w:tc>
          <w:tcPr>
            <w:tcW w:w="7229"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kern w:val="0"/>
                <w:sz w:val="24"/>
                <w:szCs w:val="24"/>
                <w:lang w:val="zh-CN" w:eastAsia="zh-CN"/>
              </w:rPr>
              <w:t>所投</w:t>
            </w:r>
            <w:r>
              <w:rPr>
                <w:rFonts w:hint="eastAsia" w:ascii="宋体" w:hAnsi="宋体" w:eastAsia="宋体" w:cs="宋体"/>
                <w:b w:val="0"/>
                <w:bCs/>
                <w:color w:val="auto"/>
                <w:kern w:val="0"/>
                <w:sz w:val="24"/>
                <w:szCs w:val="24"/>
                <w:lang w:val="en-US" w:eastAsia="zh-CN"/>
              </w:rPr>
              <w:t>产品</w:t>
            </w:r>
            <w:r>
              <w:rPr>
                <w:rFonts w:hint="eastAsia" w:ascii="宋体" w:hAnsi="宋体" w:eastAsia="宋体" w:cs="宋体"/>
                <w:b w:val="0"/>
                <w:bCs/>
                <w:color w:val="auto"/>
                <w:kern w:val="0"/>
                <w:sz w:val="24"/>
                <w:szCs w:val="24"/>
                <w:lang w:val="zh-CN" w:eastAsia="zh-CN"/>
              </w:rPr>
              <w:t>的</w:t>
            </w:r>
            <w:r>
              <w:rPr>
                <w:rFonts w:hint="eastAsia" w:ascii="宋体" w:hAnsi="宋体" w:eastAsia="宋体" w:cs="宋体"/>
                <w:b w:val="0"/>
                <w:bCs/>
                <w:color w:val="auto"/>
                <w:kern w:val="0"/>
                <w:sz w:val="24"/>
                <w:szCs w:val="24"/>
                <w:lang w:val="en-US" w:eastAsia="zh-CN"/>
              </w:rPr>
              <w:t>设备</w:t>
            </w:r>
            <w:r>
              <w:rPr>
                <w:rFonts w:hint="eastAsia" w:ascii="宋体" w:hAnsi="宋体" w:eastAsia="宋体" w:cs="宋体"/>
                <w:b w:val="0"/>
                <w:bCs/>
                <w:color w:val="auto"/>
                <w:kern w:val="0"/>
                <w:sz w:val="24"/>
                <w:szCs w:val="24"/>
                <w:lang w:val="zh-CN" w:eastAsia="zh-CN"/>
              </w:rPr>
              <w:t>参数全部符合或优于招标文件的要求，满足招标文件基本要求的得</w:t>
            </w:r>
            <w:r>
              <w:rPr>
                <w:rFonts w:hint="eastAsia" w:ascii="宋体" w:hAnsi="宋体" w:cs="宋体"/>
                <w:b w:val="0"/>
                <w:bCs/>
                <w:color w:val="auto"/>
                <w:kern w:val="0"/>
                <w:sz w:val="24"/>
                <w:szCs w:val="24"/>
                <w:lang w:val="en-US" w:eastAsia="zh-CN"/>
              </w:rPr>
              <w:t>7.5</w:t>
            </w:r>
            <w:r>
              <w:rPr>
                <w:rFonts w:hint="eastAsia" w:ascii="宋体" w:hAnsi="宋体" w:eastAsia="宋体" w:cs="宋体"/>
                <w:b w:val="0"/>
                <w:bCs/>
                <w:color w:val="auto"/>
                <w:kern w:val="0"/>
                <w:sz w:val="24"/>
                <w:szCs w:val="24"/>
                <w:lang w:val="zh-CN" w:eastAsia="zh-CN"/>
              </w:rPr>
              <w:t>分。带★指标如有负偏离每项扣</w:t>
            </w:r>
            <w:r>
              <w:rPr>
                <w:rFonts w:hint="eastAsia" w:ascii="宋体" w:hAnsi="宋体" w:cs="宋体"/>
                <w:b w:val="0"/>
                <w:bCs/>
                <w:color w:val="auto"/>
                <w:kern w:val="0"/>
                <w:sz w:val="24"/>
                <w:szCs w:val="24"/>
                <w:lang w:val="en-US" w:eastAsia="zh-CN"/>
              </w:rPr>
              <w:t>1.5</w:t>
            </w:r>
            <w:r>
              <w:rPr>
                <w:rFonts w:hint="eastAsia" w:ascii="宋体" w:hAnsi="宋体" w:eastAsia="宋体" w:cs="宋体"/>
                <w:b w:val="0"/>
                <w:bCs/>
                <w:color w:val="auto"/>
                <w:kern w:val="0"/>
                <w:sz w:val="24"/>
                <w:szCs w:val="24"/>
                <w:lang w:val="zh-CN" w:eastAsia="zh-CN"/>
              </w:rPr>
              <w:t>分，其它指标如有负偏离每项扣</w:t>
            </w:r>
            <w:r>
              <w:rPr>
                <w:rFonts w:hint="eastAsia" w:ascii="宋体" w:hAnsi="宋体" w:cs="宋体"/>
                <w:b w:val="0"/>
                <w:bCs/>
                <w:color w:val="auto"/>
                <w:kern w:val="0"/>
                <w:sz w:val="24"/>
                <w:szCs w:val="24"/>
                <w:lang w:val="en-US" w:eastAsia="zh-CN"/>
              </w:rPr>
              <w:t>1</w:t>
            </w:r>
            <w:r>
              <w:rPr>
                <w:rFonts w:hint="eastAsia" w:ascii="宋体" w:hAnsi="宋体" w:eastAsia="宋体" w:cs="宋体"/>
                <w:b w:val="0"/>
                <w:bCs/>
                <w:color w:val="auto"/>
                <w:kern w:val="0"/>
                <w:sz w:val="24"/>
                <w:szCs w:val="24"/>
                <w:lang w:val="zh-CN"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eastAsia="zh-CN"/>
              </w:rPr>
              <w:t>宣传方案</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lang w:val="en-US" w:eastAsia="zh-CN"/>
              </w:rPr>
              <w:t>6</w:t>
            </w:r>
          </w:p>
        </w:tc>
        <w:tc>
          <w:tcPr>
            <w:tcW w:w="7229"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color w:val="auto"/>
                <w:kern w:val="0"/>
                <w:sz w:val="24"/>
                <w:szCs w:val="24"/>
                <w:lang w:val="zh-CN" w:eastAsia="zh-TW"/>
              </w:rPr>
            </w:pPr>
            <w:r>
              <w:rPr>
                <w:rFonts w:hint="eastAsia" w:ascii="宋体" w:hAnsi="宋体" w:eastAsia="宋体" w:cs="宋体"/>
                <w:b w:val="0"/>
                <w:bCs/>
                <w:color w:val="auto"/>
                <w:kern w:val="0"/>
                <w:sz w:val="24"/>
                <w:szCs w:val="24"/>
                <w:lang w:val="zh-CN" w:eastAsia="zh-TW"/>
              </w:rPr>
              <w:t>评委根据投标人对本项目实际情况制定相关宣传方案，使得垃圾分类的宣传效果真实落地、科学完善、针对性强进行</w:t>
            </w:r>
            <w:r>
              <w:rPr>
                <w:rFonts w:hint="eastAsia" w:ascii="宋体" w:hAnsi="宋体" w:eastAsia="宋体" w:cs="宋体"/>
                <w:b w:val="0"/>
                <w:bCs/>
                <w:color w:val="auto"/>
                <w:kern w:val="0"/>
                <w:sz w:val="24"/>
                <w:szCs w:val="24"/>
                <w:lang w:val="zh-CN" w:eastAsia="zh-CN"/>
              </w:rPr>
              <w:t>打分（</w:t>
            </w:r>
            <w:r>
              <w:rPr>
                <w:rFonts w:hint="eastAsia" w:ascii="宋体" w:hAnsi="宋体" w:cs="宋体"/>
                <w:b w:val="0"/>
                <w:bCs/>
                <w:color w:val="auto"/>
                <w:kern w:val="0"/>
                <w:sz w:val="24"/>
                <w:szCs w:val="24"/>
                <w:lang w:val="en-US" w:eastAsia="zh-CN"/>
              </w:rPr>
              <w:t>0-6</w:t>
            </w:r>
            <w:r>
              <w:rPr>
                <w:rFonts w:hint="eastAsia" w:ascii="宋体" w:hAnsi="宋体" w:eastAsia="宋体" w:cs="宋体"/>
                <w:b w:val="0"/>
                <w:bCs/>
                <w:color w:val="auto"/>
                <w:kern w:val="0"/>
                <w:sz w:val="24"/>
                <w:szCs w:val="24"/>
                <w:lang w:val="en-US" w:eastAsia="zh-CN"/>
              </w:rPr>
              <w:t>分</w:t>
            </w:r>
            <w:r>
              <w:rPr>
                <w:rFonts w:hint="eastAsia" w:ascii="宋体" w:hAnsi="宋体" w:eastAsia="宋体" w:cs="宋体"/>
                <w:b w:val="0"/>
                <w:bCs/>
                <w:color w:val="auto"/>
                <w:kern w:val="0"/>
                <w:sz w:val="24"/>
                <w:szCs w:val="24"/>
                <w:lang w:val="zh-CN" w:eastAsia="zh-CN"/>
              </w:rPr>
              <w:t>）</w:t>
            </w:r>
            <w:r>
              <w:rPr>
                <w:rFonts w:hint="eastAsia" w:ascii="宋体" w:hAnsi="宋体" w:eastAsia="宋体" w:cs="宋体"/>
                <w:b w:val="0"/>
                <w:bCs/>
                <w:color w:val="auto"/>
                <w:kern w:val="0"/>
                <w:sz w:val="24"/>
                <w:szCs w:val="24"/>
                <w:lang w:val="zh-CN" w:eastAsia="zh-TW"/>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1、方案内容完整、详细且整体完全符合项目实际需求，细节考虑完善可操作性优秀的，得</w:t>
            </w:r>
            <w:r>
              <w:rPr>
                <w:rFonts w:hint="eastAsia" w:ascii="宋体" w:hAnsi="宋体" w:cs="宋体"/>
                <w:b w:val="0"/>
                <w:bCs/>
                <w:color w:val="auto"/>
                <w:sz w:val="24"/>
                <w:szCs w:val="24"/>
                <w:highlight w:val="none"/>
                <w:lang w:val="en-US" w:eastAsia="zh-CN"/>
              </w:rPr>
              <w:t>4.1-6</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2、方案内容有涉及但不全面，整体符合项目实际需求可操作性良好的，得</w:t>
            </w:r>
            <w:r>
              <w:rPr>
                <w:rFonts w:hint="eastAsia" w:ascii="宋体" w:hAnsi="宋体" w:cs="宋体"/>
                <w:b w:val="0"/>
                <w:bCs/>
                <w:color w:val="auto"/>
                <w:sz w:val="24"/>
                <w:szCs w:val="24"/>
                <w:highlight w:val="none"/>
                <w:lang w:val="en-US" w:eastAsia="zh-CN"/>
              </w:rPr>
              <w:t>2.1-4</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3、方案细节有一定考虑、基本符合项目需求可操作性一般的得</w:t>
            </w:r>
            <w:r>
              <w:rPr>
                <w:rFonts w:hint="eastAsia" w:ascii="宋体" w:hAnsi="宋体" w:cs="宋体"/>
                <w:b w:val="0"/>
                <w:bCs/>
                <w:color w:val="auto"/>
                <w:sz w:val="24"/>
                <w:szCs w:val="24"/>
                <w:highlight w:val="none"/>
                <w:lang w:val="en-US" w:eastAsia="zh-CN"/>
              </w:rPr>
              <w:t>1-2</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eastAsia="zh-CN"/>
              </w:rPr>
              <w:t>4、未提供方案的不得分。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6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Times New Roman"/>
                <w:b w:val="0"/>
                <w:bCs/>
                <w:color w:val="auto"/>
                <w:sz w:val="24"/>
                <w:highlight w:val="none"/>
                <w:lang w:val="en-US" w:eastAsia="zh-CN"/>
              </w:rPr>
              <w:t>供货方案</w:t>
            </w:r>
          </w:p>
        </w:tc>
        <w:tc>
          <w:tcPr>
            <w:tcW w:w="78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7229"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Times New Roman"/>
                <w:b w:val="0"/>
                <w:bCs/>
                <w:color w:val="auto"/>
                <w:sz w:val="24"/>
                <w:highlight w:val="none"/>
                <w:lang w:val="zh-CN" w:eastAsia="zh-TW"/>
              </w:rPr>
            </w:pPr>
            <w:r>
              <w:rPr>
                <w:rFonts w:hint="eastAsia" w:ascii="宋体" w:hAnsi="宋体" w:eastAsia="宋体" w:cs="Times New Roman"/>
                <w:b w:val="0"/>
                <w:bCs/>
                <w:color w:val="auto"/>
                <w:sz w:val="24"/>
                <w:highlight w:val="none"/>
                <w:lang w:val="en-US" w:eastAsia="zh-CN"/>
              </w:rPr>
              <w:t>根据投标人提供的供货方案，包括</w:t>
            </w:r>
            <w:r>
              <w:rPr>
                <w:rFonts w:hint="eastAsia" w:ascii="宋体" w:hAnsi="宋体" w:cs="宋体"/>
                <w:b w:val="0"/>
                <w:bCs/>
                <w:color w:val="auto"/>
                <w:kern w:val="2"/>
                <w:sz w:val="24"/>
                <w:szCs w:val="24"/>
                <w:highlight w:val="none"/>
                <w:lang w:val="en-US" w:eastAsia="zh-CN" w:bidi="ar-SA"/>
              </w:rPr>
              <w:t>供货期限保障方案、</w:t>
            </w:r>
            <w:r>
              <w:rPr>
                <w:rFonts w:hint="eastAsia" w:ascii="宋体" w:hAnsi="宋体" w:eastAsia="宋体" w:cs="宋体"/>
                <w:b w:val="0"/>
                <w:bCs/>
                <w:color w:val="auto"/>
                <w:kern w:val="2"/>
                <w:sz w:val="24"/>
                <w:szCs w:val="24"/>
                <w:highlight w:val="none"/>
                <w:lang w:val="en-US" w:eastAsia="zh-CN" w:bidi="ar-SA"/>
              </w:rPr>
              <w:t>包装运输</w:t>
            </w:r>
            <w:r>
              <w:rPr>
                <w:rFonts w:hint="eastAsia" w:ascii="宋体" w:hAnsi="宋体" w:cs="宋体"/>
                <w:b w:val="0"/>
                <w:bCs/>
                <w:color w:val="auto"/>
                <w:kern w:val="2"/>
                <w:sz w:val="24"/>
                <w:szCs w:val="24"/>
                <w:highlight w:val="none"/>
                <w:lang w:val="en-US" w:eastAsia="zh-CN" w:bidi="ar-SA"/>
              </w:rPr>
              <w:t>方案、</w:t>
            </w:r>
            <w:r>
              <w:rPr>
                <w:rFonts w:hint="eastAsia" w:ascii="宋体" w:hAnsi="宋体" w:eastAsia="宋体" w:cs="宋体"/>
                <w:b w:val="0"/>
                <w:bCs/>
                <w:color w:val="auto"/>
                <w:kern w:val="2"/>
                <w:sz w:val="24"/>
                <w:szCs w:val="24"/>
                <w:highlight w:val="none"/>
                <w:lang w:val="en-US" w:eastAsia="zh-CN" w:bidi="ar-SA"/>
              </w:rPr>
              <w:t>验收方法</w:t>
            </w:r>
            <w:r>
              <w:rPr>
                <w:rFonts w:hint="eastAsia" w:ascii="宋体" w:hAnsi="宋体" w:cs="宋体"/>
                <w:b w:val="0"/>
                <w:bCs/>
                <w:color w:val="auto"/>
                <w:kern w:val="2"/>
                <w:sz w:val="24"/>
                <w:szCs w:val="24"/>
                <w:highlight w:val="none"/>
                <w:lang w:val="en-US" w:eastAsia="zh-CN" w:bidi="ar-SA"/>
              </w:rPr>
              <w:t>方案等</w:t>
            </w:r>
            <w:r>
              <w:rPr>
                <w:rFonts w:hint="eastAsia" w:ascii="宋体" w:hAnsi="宋体" w:eastAsia="宋体" w:cs="Times New Roman"/>
                <w:b w:val="0"/>
                <w:bCs/>
                <w:color w:val="auto"/>
                <w:sz w:val="24"/>
                <w:highlight w:val="none"/>
                <w:lang w:val="zh-CN" w:eastAsia="zh-TW"/>
              </w:rPr>
              <w:t>进行</w:t>
            </w:r>
            <w:r>
              <w:rPr>
                <w:rFonts w:hint="eastAsia" w:ascii="宋体" w:hAnsi="宋体" w:eastAsia="宋体" w:cs="Times New Roman"/>
                <w:b w:val="0"/>
                <w:bCs/>
                <w:color w:val="auto"/>
                <w:sz w:val="24"/>
                <w:highlight w:val="none"/>
                <w:lang w:val="zh-CN" w:eastAsia="zh-CN"/>
              </w:rPr>
              <w:t>打分（</w:t>
            </w:r>
            <w:r>
              <w:rPr>
                <w:rFonts w:hint="eastAsia" w:ascii="宋体" w:hAnsi="宋体" w:cs="Times New Roman"/>
                <w:b w:val="0"/>
                <w:bCs/>
                <w:color w:val="auto"/>
                <w:sz w:val="24"/>
                <w:highlight w:val="none"/>
                <w:lang w:val="en-US" w:eastAsia="zh-CN"/>
              </w:rPr>
              <w:t>0-7</w:t>
            </w:r>
            <w:r>
              <w:rPr>
                <w:rFonts w:hint="eastAsia" w:ascii="宋体" w:hAnsi="宋体" w:eastAsia="宋体" w:cs="Times New Roman"/>
                <w:b w:val="0"/>
                <w:bCs/>
                <w:color w:val="auto"/>
                <w:sz w:val="24"/>
                <w:highlight w:val="none"/>
                <w:lang w:val="en-US" w:eastAsia="zh-CN"/>
              </w:rPr>
              <w:t>分</w:t>
            </w:r>
            <w:r>
              <w:rPr>
                <w:rFonts w:hint="eastAsia" w:ascii="宋体" w:hAnsi="宋体" w:eastAsia="宋体" w:cs="Times New Roman"/>
                <w:b w:val="0"/>
                <w:bCs/>
                <w:color w:val="auto"/>
                <w:sz w:val="24"/>
                <w:highlight w:val="none"/>
                <w:lang w:val="zh-CN" w:eastAsia="zh-CN"/>
              </w:rPr>
              <w:t>）</w:t>
            </w:r>
            <w:r>
              <w:rPr>
                <w:rFonts w:hint="eastAsia" w:ascii="宋体" w:hAnsi="宋体" w:eastAsia="宋体" w:cs="Times New Roman"/>
                <w:b w:val="0"/>
                <w:bCs/>
                <w:color w:val="auto"/>
                <w:sz w:val="24"/>
                <w:highlight w:val="none"/>
                <w:lang w:val="zh-CN" w:eastAsia="zh-TW"/>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1、方案内容完整、详细且整体完全符合项目实际需求，细节考虑完善可操作性优秀的，得</w:t>
            </w:r>
            <w:r>
              <w:rPr>
                <w:rFonts w:hint="eastAsia" w:ascii="宋体" w:hAnsi="宋体" w:cs="宋体"/>
                <w:b w:val="0"/>
                <w:bCs/>
                <w:color w:val="auto"/>
                <w:sz w:val="24"/>
                <w:szCs w:val="24"/>
                <w:highlight w:val="none"/>
                <w:lang w:val="en-US" w:eastAsia="zh-CN"/>
              </w:rPr>
              <w:t>5.1-7</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2、方案内容有涉及但不全面，整体符合项目实际需求可操作性良好的，得</w:t>
            </w:r>
            <w:r>
              <w:rPr>
                <w:rFonts w:hint="eastAsia" w:ascii="宋体" w:hAnsi="宋体" w:cs="宋体"/>
                <w:b w:val="0"/>
                <w:bCs/>
                <w:color w:val="auto"/>
                <w:sz w:val="24"/>
                <w:szCs w:val="24"/>
                <w:highlight w:val="none"/>
                <w:lang w:val="en-US" w:eastAsia="zh-CN"/>
              </w:rPr>
              <w:t>3.1-5</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3、方案细节有一定考虑、基本符合项目需求可操作性一般的，得</w:t>
            </w:r>
            <w:r>
              <w:rPr>
                <w:rFonts w:hint="eastAsia" w:ascii="宋体" w:hAnsi="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宋体"/>
                <w:b w:val="0"/>
                <w:bCs/>
                <w:color w:val="auto"/>
                <w:sz w:val="24"/>
                <w:szCs w:val="24"/>
                <w:highlight w:val="none"/>
                <w:lang w:val="zh-CN" w:eastAsia="zh-CN"/>
              </w:rPr>
              <w:t>4、未提供方案的不得分。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pacing w:val="-6"/>
                <w:sz w:val="24"/>
                <w:szCs w:val="24"/>
              </w:rPr>
            </w:pPr>
            <w:r>
              <w:rPr>
                <w:rFonts w:hint="eastAsia" w:ascii="宋体" w:hAnsi="宋体" w:eastAsia="宋体" w:cs="宋体"/>
                <w:b w:val="0"/>
                <w:bCs/>
                <w:color w:val="auto"/>
                <w:sz w:val="24"/>
                <w:szCs w:val="24"/>
                <w:highlight w:val="none"/>
                <w:lang w:val="en-US" w:eastAsia="zh-CN"/>
              </w:rPr>
              <w:t>应急方案</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pacing w:val="-6"/>
                <w:sz w:val="24"/>
                <w:szCs w:val="24"/>
                <w:lang w:val="en-US" w:eastAsia="zh-CN"/>
              </w:rPr>
            </w:pPr>
            <w:r>
              <w:rPr>
                <w:rFonts w:hint="eastAsia" w:ascii="宋体" w:hAnsi="宋体" w:cs="宋体"/>
                <w:b w:val="0"/>
                <w:bCs/>
                <w:color w:val="auto"/>
                <w:spacing w:val="-6"/>
                <w:sz w:val="24"/>
                <w:szCs w:val="24"/>
                <w:lang w:val="en-US" w:eastAsia="zh-CN"/>
              </w:rPr>
              <w:t>7</w:t>
            </w:r>
          </w:p>
        </w:tc>
        <w:tc>
          <w:tcPr>
            <w:tcW w:w="7229"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zh-CN" w:eastAsia="zh-TW"/>
              </w:rPr>
            </w:pPr>
            <w:r>
              <w:rPr>
                <w:rFonts w:hint="eastAsia" w:ascii="宋体" w:hAnsi="宋体" w:eastAsia="宋体" w:cs="宋体"/>
                <w:b w:val="0"/>
                <w:bCs/>
                <w:color w:val="auto"/>
                <w:sz w:val="24"/>
                <w:szCs w:val="24"/>
                <w:highlight w:val="none"/>
                <w:lang w:val="zh-CN" w:eastAsia="zh-CN"/>
              </w:rPr>
              <w:t>投标人应对本项目提供的健全的</w:t>
            </w:r>
            <w:r>
              <w:rPr>
                <w:rFonts w:hint="eastAsia" w:ascii="宋体" w:hAnsi="宋体" w:eastAsia="宋体" w:cs="宋体"/>
                <w:b w:val="0"/>
                <w:bCs/>
                <w:color w:val="auto"/>
                <w:sz w:val="24"/>
                <w:szCs w:val="24"/>
                <w:highlight w:val="none"/>
                <w:lang w:val="en-US" w:eastAsia="zh-CN"/>
              </w:rPr>
              <w:t>应急方案的合理性</w:t>
            </w:r>
            <w:r>
              <w:rPr>
                <w:rFonts w:hint="eastAsia" w:ascii="宋体" w:hAnsi="宋体" w:eastAsia="宋体" w:cs="宋体"/>
                <w:b w:val="0"/>
                <w:bCs/>
                <w:color w:val="auto"/>
                <w:sz w:val="24"/>
                <w:szCs w:val="24"/>
                <w:highlight w:val="none"/>
                <w:lang w:val="zh-CN" w:eastAsia="zh-TW"/>
              </w:rPr>
              <w:t>进行</w:t>
            </w:r>
            <w:r>
              <w:rPr>
                <w:rFonts w:hint="eastAsia" w:ascii="宋体" w:hAnsi="宋体" w:eastAsia="宋体" w:cs="宋体"/>
                <w:b w:val="0"/>
                <w:bCs/>
                <w:color w:val="auto"/>
                <w:sz w:val="24"/>
                <w:szCs w:val="24"/>
                <w:highlight w:val="none"/>
                <w:lang w:val="zh-CN" w:eastAsia="zh-CN"/>
              </w:rPr>
              <w:t>打分（</w:t>
            </w:r>
            <w:r>
              <w:rPr>
                <w:rFonts w:hint="eastAsia" w:ascii="宋体" w:hAnsi="宋体" w:eastAsia="宋体" w:cs="宋体"/>
                <w:b w:val="0"/>
                <w:bCs/>
                <w:color w:val="auto"/>
                <w:sz w:val="24"/>
                <w:szCs w:val="24"/>
                <w:highlight w:val="none"/>
                <w:lang w:val="en-US" w:eastAsia="zh-CN"/>
              </w:rPr>
              <w:t>0-</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val="zh-CN" w:eastAsia="zh-CN"/>
              </w:rPr>
              <w:t>）</w:t>
            </w:r>
            <w:r>
              <w:rPr>
                <w:rFonts w:hint="eastAsia" w:ascii="宋体" w:hAnsi="宋体" w:eastAsia="宋体" w:cs="宋体"/>
                <w:b w:val="0"/>
                <w:bCs/>
                <w:color w:val="auto"/>
                <w:sz w:val="24"/>
                <w:szCs w:val="24"/>
                <w:highlight w:val="none"/>
                <w:lang w:val="zh-CN" w:eastAsia="zh-TW"/>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1、方案内容完整、详细且整体完全符合项目实际需求，细节考虑完善可操作性优秀的，得</w:t>
            </w:r>
            <w:r>
              <w:rPr>
                <w:rFonts w:hint="eastAsia" w:ascii="宋体" w:hAnsi="宋体" w:cs="宋体"/>
                <w:b w:val="0"/>
                <w:bCs/>
                <w:color w:val="auto"/>
                <w:sz w:val="24"/>
                <w:szCs w:val="24"/>
                <w:highlight w:val="none"/>
                <w:lang w:val="en-US" w:eastAsia="zh-CN"/>
              </w:rPr>
              <w:t>5.1-7</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2、方案内容有涉及但不全面，整体符合项目实际需求可操作性良好的，得</w:t>
            </w:r>
            <w:r>
              <w:rPr>
                <w:rFonts w:hint="eastAsia" w:ascii="宋体" w:hAnsi="宋体" w:cs="宋体"/>
                <w:b w:val="0"/>
                <w:bCs/>
                <w:color w:val="auto"/>
                <w:sz w:val="24"/>
                <w:szCs w:val="24"/>
                <w:highlight w:val="none"/>
                <w:lang w:val="en-US" w:eastAsia="zh-CN"/>
              </w:rPr>
              <w:t>3.1-5</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3、方案细节有一定考虑、基本符合项目需求可操作性一般的，得</w:t>
            </w:r>
            <w:r>
              <w:rPr>
                <w:rFonts w:hint="eastAsia" w:ascii="宋体" w:hAnsi="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zh-CN" w:eastAsia="zh-TW"/>
              </w:rPr>
            </w:pPr>
            <w:r>
              <w:rPr>
                <w:rFonts w:hint="eastAsia" w:ascii="宋体" w:hAnsi="宋体" w:eastAsia="宋体" w:cs="宋体"/>
                <w:b w:val="0"/>
                <w:bCs/>
                <w:color w:val="auto"/>
                <w:sz w:val="24"/>
                <w:szCs w:val="24"/>
                <w:highlight w:val="none"/>
                <w:lang w:val="zh-CN" w:eastAsia="zh-CN"/>
              </w:rPr>
              <w:t>4、未提供方案的不得分。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Times New Roman"/>
                <w:b w:val="0"/>
                <w:bCs/>
                <w:color w:val="auto"/>
                <w:sz w:val="24"/>
                <w:highlight w:val="none"/>
                <w:lang w:val="zh-CN" w:eastAsia="zh-TW"/>
              </w:rPr>
              <w:t>培训方案</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b w:val="0"/>
                <w:bCs/>
                <w:color w:val="auto"/>
                <w:spacing w:val="-6"/>
                <w:sz w:val="24"/>
                <w:szCs w:val="24"/>
                <w:lang w:val="en-US" w:eastAsia="zh-CN"/>
              </w:rPr>
            </w:pPr>
            <w:r>
              <w:rPr>
                <w:rFonts w:hint="eastAsia" w:ascii="宋体" w:hAnsi="宋体" w:cs="宋体"/>
                <w:b w:val="0"/>
                <w:bCs/>
                <w:color w:val="auto"/>
                <w:spacing w:val="-6"/>
                <w:sz w:val="24"/>
                <w:szCs w:val="24"/>
                <w:lang w:val="en-US" w:eastAsia="zh-CN"/>
              </w:rPr>
              <w:t>7</w:t>
            </w:r>
          </w:p>
        </w:tc>
        <w:tc>
          <w:tcPr>
            <w:tcW w:w="7229"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b w:val="0"/>
                <w:bCs/>
                <w:color w:val="auto"/>
                <w:sz w:val="24"/>
                <w:highlight w:val="none"/>
                <w:lang w:val="zh-CN" w:eastAsia="zh-TW"/>
              </w:rPr>
            </w:pPr>
            <w:r>
              <w:rPr>
                <w:rFonts w:hint="eastAsia" w:ascii="宋体" w:hAnsi="宋体" w:eastAsia="宋体" w:cs="Times New Roman"/>
                <w:b w:val="0"/>
                <w:bCs/>
                <w:color w:val="auto"/>
                <w:sz w:val="24"/>
                <w:highlight w:val="none"/>
                <w:lang w:val="zh-CN" w:eastAsia="zh-TW"/>
              </w:rPr>
              <w:t>根据方案体现的对设备现场实际操作和维修人员进行的理论培训、日常维护保养、维修及调式培训、对故障的应急处理、安全措施等方面的内容进行</w:t>
            </w:r>
            <w:r>
              <w:rPr>
                <w:rFonts w:hint="eastAsia" w:ascii="宋体" w:hAnsi="宋体" w:eastAsia="宋体" w:cs="Times New Roman"/>
                <w:b w:val="0"/>
                <w:bCs/>
                <w:color w:val="auto"/>
                <w:sz w:val="24"/>
                <w:highlight w:val="none"/>
                <w:lang w:val="zh-CN" w:eastAsia="zh-CN"/>
              </w:rPr>
              <w:t>打分（</w:t>
            </w:r>
            <w:r>
              <w:rPr>
                <w:rFonts w:hint="eastAsia" w:ascii="宋体" w:hAnsi="宋体" w:eastAsia="宋体" w:cs="Times New Roman"/>
                <w:b w:val="0"/>
                <w:bCs/>
                <w:color w:val="auto"/>
                <w:sz w:val="24"/>
                <w:highlight w:val="none"/>
                <w:lang w:val="en-US" w:eastAsia="zh-CN"/>
              </w:rPr>
              <w:t>0-</w:t>
            </w:r>
            <w:r>
              <w:rPr>
                <w:rFonts w:hint="eastAsia" w:ascii="宋体" w:hAnsi="宋体" w:cs="Times New Roman"/>
                <w:b w:val="0"/>
                <w:bCs/>
                <w:color w:val="auto"/>
                <w:sz w:val="24"/>
                <w:highlight w:val="none"/>
                <w:lang w:val="en-US" w:eastAsia="zh-CN"/>
              </w:rPr>
              <w:t>7</w:t>
            </w:r>
            <w:r>
              <w:rPr>
                <w:rFonts w:hint="eastAsia" w:ascii="宋体" w:hAnsi="宋体" w:eastAsia="宋体" w:cs="Times New Roman"/>
                <w:b w:val="0"/>
                <w:bCs/>
                <w:color w:val="auto"/>
                <w:sz w:val="24"/>
                <w:highlight w:val="none"/>
                <w:lang w:val="en-US" w:eastAsia="zh-CN"/>
              </w:rPr>
              <w:t>分</w:t>
            </w:r>
            <w:r>
              <w:rPr>
                <w:rFonts w:hint="eastAsia" w:ascii="宋体" w:hAnsi="宋体" w:eastAsia="宋体" w:cs="Times New Roman"/>
                <w:b w:val="0"/>
                <w:bCs/>
                <w:color w:val="auto"/>
                <w:sz w:val="24"/>
                <w:highlight w:val="none"/>
                <w:lang w:val="zh-CN" w:eastAsia="zh-CN"/>
              </w:rPr>
              <w:t>）</w:t>
            </w:r>
            <w:r>
              <w:rPr>
                <w:rFonts w:hint="eastAsia" w:ascii="宋体" w:hAnsi="宋体" w:eastAsia="宋体" w:cs="Times New Roman"/>
                <w:b w:val="0"/>
                <w:bCs/>
                <w:color w:val="auto"/>
                <w:sz w:val="24"/>
                <w:highlight w:val="none"/>
                <w:lang w:val="zh-CN" w:eastAsia="zh-TW"/>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1、方案内容完整、详细且整体完全符合项目实际需求，细节考虑完善可操作性优秀的，得</w:t>
            </w:r>
            <w:r>
              <w:rPr>
                <w:rFonts w:hint="eastAsia" w:ascii="宋体" w:hAnsi="宋体" w:cs="宋体"/>
                <w:b w:val="0"/>
                <w:bCs/>
                <w:color w:val="auto"/>
                <w:sz w:val="24"/>
                <w:szCs w:val="24"/>
                <w:highlight w:val="none"/>
                <w:lang w:val="en-US" w:eastAsia="zh-CN"/>
              </w:rPr>
              <w:t>5.1-7</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2、方案内容有涉及但不全面，整体符合项目实际需求可操作性良好的，得</w:t>
            </w:r>
            <w:r>
              <w:rPr>
                <w:rFonts w:hint="eastAsia" w:ascii="宋体" w:hAnsi="宋体" w:cs="宋体"/>
                <w:b w:val="0"/>
                <w:bCs/>
                <w:color w:val="auto"/>
                <w:sz w:val="24"/>
                <w:szCs w:val="24"/>
                <w:highlight w:val="none"/>
                <w:lang w:val="en-US" w:eastAsia="zh-CN"/>
              </w:rPr>
              <w:t>3.1-5</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3、方案细节有一定考虑、基本符合项目需求可操作性一般的，得</w:t>
            </w:r>
            <w:r>
              <w:rPr>
                <w:rFonts w:hint="eastAsia" w:ascii="宋体" w:hAnsi="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Times New Roman"/>
                <w:b w:val="0"/>
                <w:bCs/>
                <w:color w:val="auto"/>
                <w:sz w:val="24"/>
                <w:highlight w:val="none"/>
                <w:lang w:val="zh-CN" w:eastAsia="zh-CN"/>
              </w:rPr>
            </w:pPr>
            <w:r>
              <w:rPr>
                <w:rFonts w:hint="eastAsia" w:ascii="宋体" w:hAnsi="宋体" w:eastAsia="宋体" w:cs="宋体"/>
                <w:b w:val="0"/>
                <w:bCs/>
                <w:color w:val="auto"/>
                <w:sz w:val="24"/>
                <w:szCs w:val="24"/>
                <w:highlight w:val="none"/>
                <w:lang w:val="zh-CN" w:eastAsia="zh-CN"/>
              </w:rPr>
              <w:t>4、未提供方案的不得分。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lang w:val="zh-CN" w:eastAsia="zh-CN"/>
              </w:rPr>
              <w:t>售后服务能力</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b w:val="0"/>
                <w:bCs/>
                <w:color w:val="auto"/>
                <w:sz w:val="24"/>
                <w:szCs w:val="24"/>
                <w:lang w:val="en-US" w:eastAsia="zh-CN"/>
              </w:rPr>
            </w:pPr>
            <w:r>
              <w:rPr>
                <w:rFonts w:hint="eastAsia" w:ascii="宋体" w:hAnsi="宋体" w:cs="宋体"/>
                <w:b w:val="0"/>
                <w:bCs/>
                <w:color w:val="auto"/>
                <w:spacing w:val="-6"/>
                <w:sz w:val="24"/>
                <w:szCs w:val="24"/>
                <w:lang w:val="en-US" w:eastAsia="zh-CN"/>
              </w:rPr>
              <w:t>7</w:t>
            </w:r>
          </w:p>
        </w:tc>
        <w:tc>
          <w:tcPr>
            <w:tcW w:w="7229"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根据投标人承诺的服务响应时间、服务措施、人员培训、专业售后服务人员、应急方案、备品备件提供情况及质保期外服务优惠承诺等进行横向比较量化打分，评委应当将量化指标建立在同一基础或者同一标准上，使各投标文件具有可比性</w:t>
            </w:r>
            <w:r>
              <w:rPr>
                <w:rFonts w:hint="eastAsia" w:ascii="宋体" w:hAnsi="宋体" w:eastAsia="宋体" w:cs="宋体"/>
                <w:b w:val="0"/>
                <w:bCs/>
                <w:color w:val="auto"/>
                <w:sz w:val="24"/>
                <w:szCs w:val="24"/>
                <w:highlight w:val="none"/>
                <w:lang w:val="en-US" w:eastAsia="zh-CN"/>
              </w:rPr>
              <w:t>进行打分（0-</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val="zh-CN"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1、投标人提供的售后服务方案具体详细，满足实际需求，可行性高，各项保障措施合理的得</w:t>
            </w:r>
            <w:r>
              <w:rPr>
                <w:rFonts w:hint="eastAsia" w:ascii="宋体" w:hAnsi="宋体" w:cs="宋体"/>
                <w:b w:val="0"/>
                <w:bCs/>
                <w:color w:val="auto"/>
                <w:sz w:val="24"/>
                <w:szCs w:val="24"/>
                <w:highlight w:val="none"/>
                <w:lang w:val="en-US" w:eastAsia="zh-CN"/>
              </w:rPr>
              <w:t>5.1-7</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2、投标人提供的售后服务方案较为具体详细，基本满足实际需求，可行性较高，各项保障措施较为合理的得</w:t>
            </w:r>
            <w:r>
              <w:rPr>
                <w:rFonts w:hint="eastAsia" w:ascii="宋体" w:hAnsi="宋体" w:cs="宋体"/>
                <w:b w:val="0"/>
                <w:bCs/>
                <w:color w:val="auto"/>
                <w:sz w:val="24"/>
                <w:szCs w:val="24"/>
                <w:highlight w:val="none"/>
                <w:lang w:val="en-US" w:eastAsia="zh-CN"/>
              </w:rPr>
              <w:t>3.1-5</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3、投标人提供的售后服务方案不够具体详细，与实际需求切合度较低，可行性一般，各项保障措施一般的得</w:t>
            </w:r>
            <w:r>
              <w:rPr>
                <w:rFonts w:hint="eastAsia" w:ascii="宋体" w:hAnsi="宋体" w:cs="宋体"/>
                <w:b w:val="0"/>
                <w:bCs/>
                <w:color w:val="auto"/>
                <w:sz w:val="24"/>
                <w:szCs w:val="24"/>
                <w:highlight w:val="none"/>
                <w:lang w:val="en-US" w:eastAsia="zh-CN"/>
              </w:rPr>
              <w:t>2-3</w:t>
            </w:r>
            <w:r>
              <w:rPr>
                <w:rFonts w:hint="eastAsia" w:ascii="宋体" w:hAnsi="宋体" w:eastAsia="宋体" w:cs="宋体"/>
                <w:b w:val="0"/>
                <w:bCs/>
                <w:color w:val="auto"/>
                <w:sz w:val="24"/>
                <w:szCs w:val="24"/>
                <w:highlight w:val="none"/>
                <w:lang w:val="zh-CN" w:eastAsia="zh-CN"/>
              </w:rPr>
              <w:t>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highlight w:val="none"/>
                <w:lang w:val="zh-CN" w:eastAsia="zh-CN"/>
              </w:rPr>
              <w:t>4、未提供方案的不得分。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7"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系统平台</w:t>
            </w:r>
          </w:p>
        </w:tc>
        <w:tc>
          <w:tcPr>
            <w:tcW w:w="785"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b w:val="0"/>
                <w:bCs/>
                <w:color w:val="auto"/>
                <w:spacing w:val="-6"/>
                <w:sz w:val="24"/>
                <w:szCs w:val="24"/>
                <w:lang w:val="en-US" w:eastAsia="zh-CN"/>
              </w:rPr>
            </w:pPr>
            <w:r>
              <w:rPr>
                <w:rFonts w:hint="eastAsia" w:ascii="宋体" w:hAnsi="宋体" w:cs="宋体"/>
                <w:b w:val="0"/>
                <w:bCs/>
                <w:color w:val="auto"/>
                <w:spacing w:val="-6"/>
                <w:sz w:val="24"/>
                <w:szCs w:val="24"/>
                <w:lang w:val="en-US" w:eastAsia="zh-CN"/>
              </w:rPr>
              <w:t>4.5</w:t>
            </w:r>
          </w:p>
        </w:tc>
        <w:tc>
          <w:tcPr>
            <w:tcW w:w="7229" w:type="dxa"/>
            <w:shd w:val="clear" w:color="auto" w:fill="auto"/>
            <w:vAlign w:val="center"/>
          </w:tcPr>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宋体" w:hAnsi="宋体" w:eastAsia="宋体"/>
                <w:b w:val="0"/>
                <w:bCs/>
                <w:color w:val="auto"/>
                <w:sz w:val="24"/>
                <w:szCs w:val="24"/>
                <w:lang w:val="en-US" w:eastAsia="zh-CN"/>
              </w:rPr>
            </w:pPr>
            <w:bookmarkStart w:id="214" w:name="_GoBack"/>
            <w:r>
              <w:rPr>
                <w:rFonts w:hint="eastAsia" w:ascii="宋体" w:hAnsi="宋体" w:eastAsia="宋体" w:cs="宋体"/>
                <w:b w:val="0"/>
                <w:bCs/>
                <w:color w:val="auto"/>
                <w:sz w:val="24"/>
                <w:szCs w:val="24"/>
                <w:highlight w:val="none"/>
                <w:lang w:val="en-US" w:eastAsia="zh-CN"/>
              </w:rPr>
              <w:t>投标人</w:t>
            </w:r>
            <w:r>
              <w:rPr>
                <w:rFonts w:hint="eastAsia" w:ascii="宋体" w:hAnsi="宋体" w:eastAsia="宋体" w:cs="宋体"/>
                <w:b w:val="0"/>
                <w:bCs/>
                <w:color w:val="auto"/>
                <w:sz w:val="24"/>
                <w:szCs w:val="24"/>
                <w:highlight w:val="none"/>
                <w:lang w:val="zh-CN" w:eastAsia="zh-CN"/>
              </w:rPr>
              <w:t>提供智能垃圾分类平台系统，实现垃圾分类过程管理，平台功能包括：大数据中心、收集员管理、环卫车辆管理</w:t>
            </w:r>
            <w:r>
              <w:rPr>
                <w:rFonts w:hint="eastAsia" w:ascii="宋体" w:hAnsi="宋体" w:eastAsia="宋体" w:cs="宋体"/>
                <w:b w:val="0"/>
                <w:bCs/>
                <w:color w:val="auto"/>
                <w:sz w:val="24"/>
                <w:szCs w:val="24"/>
                <w:highlight w:val="none"/>
                <w:lang w:val="en-US" w:eastAsia="zh-CN"/>
              </w:rPr>
              <w:t>、设备监测</w:t>
            </w:r>
            <w:r>
              <w:rPr>
                <w:rFonts w:hint="eastAsia" w:ascii="宋体" w:hAnsi="宋体" w:eastAsia="宋体" w:cs="宋体"/>
                <w:b w:val="0"/>
                <w:bCs/>
                <w:color w:val="auto"/>
                <w:sz w:val="24"/>
                <w:szCs w:val="24"/>
                <w:highlight w:val="none"/>
                <w:lang w:val="zh-CN" w:eastAsia="zh-CN"/>
              </w:rPr>
              <w:t>、数据查询、抽查管理、积分管理、回收管理</w:t>
            </w:r>
            <w:r>
              <w:rPr>
                <w:rFonts w:hint="eastAsia" w:ascii="宋体" w:hAnsi="宋体" w:eastAsia="宋体" w:cs="宋体"/>
                <w:b w:val="0"/>
                <w:bCs/>
                <w:color w:val="auto"/>
                <w:sz w:val="24"/>
                <w:szCs w:val="24"/>
                <w:highlight w:val="none"/>
                <w:lang w:val="en-US" w:eastAsia="zh-CN"/>
              </w:rPr>
              <w:t>、售后巡检需</w:t>
            </w:r>
            <w:r>
              <w:rPr>
                <w:rFonts w:hint="eastAsia" w:ascii="宋体" w:hAnsi="宋体" w:eastAsia="宋体" w:cs="宋体"/>
                <w:b w:val="0"/>
                <w:bCs/>
                <w:color w:val="auto"/>
                <w:sz w:val="24"/>
                <w:szCs w:val="24"/>
                <w:highlight w:val="none"/>
                <w:lang w:val="zh-CN" w:eastAsia="zh-CN"/>
              </w:rPr>
              <w:t>提供界面截图。全部满足得</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zh-CN" w:eastAsia="zh-CN"/>
              </w:rPr>
              <w:t>分，不满足的每项扣</w:t>
            </w:r>
            <w:r>
              <w:rPr>
                <w:rFonts w:hint="eastAsia" w:ascii="宋体" w:hAnsi="宋体" w:cs="宋体"/>
                <w:b w:val="0"/>
                <w:bCs/>
                <w:color w:val="auto"/>
                <w:sz w:val="24"/>
                <w:szCs w:val="24"/>
                <w:highlight w:val="none"/>
                <w:lang w:val="en-US" w:eastAsia="zh-CN"/>
              </w:rPr>
              <w:t>0.5</w:t>
            </w:r>
            <w:r>
              <w:rPr>
                <w:rFonts w:hint="eastAsia" w:ascii="宋体" w:hAnsi="宋体" w:eastAsia="宋体" w:cs="宋体"/>
                <w:b w:val="0"/>
                <w:bCs/>
                <w:color w:val="auto"/>
                <w:sz w:val="24"/>
                <w:szCs w:val="24"/>
                <w:highlight w:val="none"/>
                <w:lang w:val="zh-CN" w:eastAsia="zh-CN"/>
              </w:rPr>
              <w:t>分，扣完为止。（</w:t>
            </w:r>
            <w:r>
              <w:rPr>
                <w:rFonts w:hint="eastAsia" w:ascii="宋体" w:hAnsi="宋体" w:eastAsia="宋体" w:cs="宋体"/>
                <w:b w:val="0"/>
                <w:bCs/>
                <w:color w:val="auto"/>
                <w:sz w:val="24"/>
                <w:szCs w:val="24"/>
                <w:highlight w:val="none"/>
                <w:lang w:val="en-US" w:eastAsia="zh-CN"/>
              </w:rPr>
              <w:t>投标文件中提供</w:t>
            </w:r>
            <w:r>
              <w:rPr>
                <w:rFonts w:hint="eastAsia" w:ascii="宋体" w:hAnsi="宋体" w:eastAsia="宋体" w:cs="宋体"/>
                <w:b w:val="0"/>
                <w:bCs/>
                <w:color w:val="auto"/>
                <w:sz w:val="24"/>
                <w:szCs w:val="24"/>
                <w:highlight w:val="none"/>
                <w:lang w:val="zh-CN" w:eastAsia="zh-CN"/>
              </w:rPr>
              <w:t>功能截图</w:t>
            </w:r>
            <w:r>
              <w:rPr>
                <w:rFonts w:hint="eastAsia" w:ascii="宋体" w:hAnsi="宋体" w:eastAsia="宋体" w:cs="宋体"/>
                <w:b w:val="0"/>
                <w:bCs/>
                <w:color w:val="auto"/>
                <w:sz w:val="24"/>
                <w:szCs w:val="24"/>
                <w:highlight w:val="none"/>
                <w:lang w:val="en-US" w:eastAsia="zh-CN"/>
              </w:rPr>
              <w:t>能体现其平台功能的</w:t>
            </w:r>
            <w:r>
              <w:rPr>
                <w:rFonts w:hint="eastAsia" w:ascii="宋体" w:hAnsi="宋体" w:eastAsia="宋体" w:cs="宋体"/>
                <w:b w:val="0"/>
                <w:bCs/>
                <w:color w:val="auto"/>
                <w:sz w:val="24"/>
                <w:szCs w:val="24"/>
                <w:highlight w:val="none"/>
                <w:lang w:val="zh-CN" w:eastAsia="zh-CN"/>
              </w:rPr>
              <w:t>证明材料，不提供不得分）</w:t>
            </w:r>
            <w:bookmarkEnd w:id="214"/>
          </w:p>
        </w:tc>
      </w:tr>
    </w:tbl>
    <w:p>
      <w:pPr>
        <w:pStyle w:val="18"/>
        <w:adjustRightInd w:val="0"/>
        <w:snapToGrid w:val="0"/>
        <w:spacing w:line="360" w:lineRule="auto"/>
        <w:ind w:firstLine="464" w:firstLineChars="200"/>
        <w:rPr>
          <w:rFonts w:hint="default" w:ascii="Times New Roman" w:hAnsi="Times New Roman"/>
          <w:b w:val="0"/>
          <w:bCs/>
          <w:color w:val="auto"/>
          <w:sz w:val="24"/>
        </w:rPr>
      </w:pPr>
      <w:r>
        <w:rPr>
          <w:rFonts w:hint="default" w:ascii="Times New Roman" w:hAnsi="Times New Roman"/>
          <w:b w:val="0"/>
          <w:bCs/>
          <w:color w:val="auto"/>
          <w:sz w:val="24"/>
        </w:rPr>
        <w:t>（二）价格分（</w:t>
      </w:r>
      <w:r>
        <w:rPr>
          <w:rFonts w:hint="eastAsia" w:ascii="Times New Roman" w:hAnsi="Times New Roman"/>
          <w:b w:val="0"/>
          <w:bCs/>
          <w:color w:val="auto"/>
          <w:sz w:val="24"/>
          <w:u w:val="single"/>
          <w:lang w:val="en-US" w:eastAsia="zh-CN"/>
        </w:rPr>
        <w:t>30</w:t>
      </w:r>
      <w:r>
        <w:rPr>
          <w:rFonts w:hint="default" w:ascii="Times New Roman" w:hAnsi="Times New Roman"/>
          <w:b w:val="0"/>
          <w:bCs/>
          <w:color w:val="auto"/>
          <w:sz w:val="24"/>
        </w:rPr>
        <w:t>分）</w:t>
      </w:r>
    </w:p>
    <w:p>
      <w:pPr>
        <w:pStyle w:val="18"/>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b w:val="0"/>
          <w:bCs/>
          <w:color w:val="auto"/>
          <w:sz w:val="24"/>
          <w:szCs w:val="24"/>
        </w:rPr>
      </w:pPr>
      <w:r>
        <w:rPr>
          <w:rFonts w:hint="default" w:ascii="Times New Roman" w:hAnsi="Times New Roman"/>
          <w:b w:val="0"/>
          <w:bCs/>
          <w:color w:val="auto"/>
          <w:sz w:val="24"/>
        </w:rPr>
        <w:t>价格分</w:t>
      </w:r>
      <w:r>
        <w:rPr>
          <w:rFonts w:hint="default" w:ascii="Times New Roman" w:hAnsi="Times New Roman"/>
          <w:b w:val="0"/>
          <w:bCs/>
          <w:color w:val="auto"/>
          <w:sz w:val="24"/>
          <w:szCs w:val="24"/>
        </w:rPr>
        <w:t>采用低价优先法计算，即满足招标文件要求且投标价格最低的投标报价为评标基准价，其价格分为满分。其他投标人的价格分按照下列公式计算：</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b w:val="0"/>
          <w:bCs/>
          <w:color w:val="auto"/>
        </w:rPr>
      </w:pPr>
      <w:r>
        <w:rPr>
          <w:rFonts w:hint="default"/>
          <w:b w:val="0"/>
          <w:bCs/>
          <w:color w:val="auto"/>
          <w:sz w:val="24"/>
        </w:rPr>
        <w:t>价格分=（评标基准价/投标报价）×</w:t>
      </w:r>
      <w:r>
        <w:rPr>
          <w:rFonts w:hint="eastAsia"/>
          <w:b w:val="0"/>
          <w:bCs/>
          <w:color w:val="auto"/>
          <w:sz w:val="24"/>
          <w:u w:val="single"/>
          <w:lang w:val="en-US" w:eastAsia="zh-CN"/>
        </w:rPr>
        <w:t>30</w:t>
      </w:r>
      <w:r>
        <w:rPr>
          <w:rFonts w:hint="default"/>
          <w:b w:val="0"/>
          <w:bCs/>
          <w:color w:val="auto"/>
          <w:sz w:val="24"/>
        </w:rPr>
        <w:t>%×100</w:t>
      </w:r>
    </w:p>
    <w:p>
      <w:pPr>
        <w:adjustRightInd w:val="0"/>
        <w:snapToGrid w:val="0"/>
        <w:spacing w:line="360" w:lineRule="auto"/>
        <w:ind w:firstLine="241" w:firstLineChars="100"/>
        <w:rPr>
          <w:rFonts w:hint="default" w:ascii="宋体" w:cs="仿宋_GB2312"/>
          <w:b/>
          <w:bCs/>
          <w:color w:val="000000" w:themeColor="text1"/>
          <w:sz w:val="24"/>
          <w:lang w:val="zh-CN"/>
          <w14:textFill>
            <w14:solidFill>
              <w14:schemeClr w14:val="tx1"/>
            </w14:solidFill>
          </w14:textFill>
        </w:rPr>
      </w:pPr>
      <w:r>
        <w:rPr>
          <w:rFonts w:ascii="宋体" w:cs="仿宋_GB2312"/>
          <w:b/>
          <w:bCs/>
          <w:color w:val="000000" w:themeColor="text1"/>
          <w:sz w:val="24"/>
          <w:lang w:val="zh-CN"/>
          <w14:textFill>
            <w14:solidFill>
              <w14:schemeClr w14:val="tx1"/>
            </w14:solidFill>
          </w14:textFill>
        </w:rPr>
        <w:t>落实政府采购政策说明：</w:t>
      </w:r>
    </w:p>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1）本次采购为专门面向中小企业预留采购份额的采购项目。</w:t>
      </w:r>
    </w:p>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240" w:firstLineChars="100"/>
        <w:rPr>
          <w:rFonts w:hint="default" w:ascii="宋体" w:hAnsi="宋体" w:cs="宋体"/>
          <w:color w:val="000000" w:themeColor="text1"/>
          <w:kern w:val="0"/>
          <w:sz w:val="24"/>
          <w:u w:val="single"/>
          <w14:textFill>
            <w14:solidFill>
              <w14:schemeClr w14:val="tx1"/>
            </w14:solidFill>
          </w14:textFill>
        </w:rPr>
      </w:pPr>
      <w:r>
        <w:rPr>
          <w:rFonts w:ascii="宋体" w:hAnsi="宋体" w:cs="宋体"/>
          <w:color w:val="000000" w:themeColor="text1"/>
          <w:kern w:val="0"/>
          <w:sz w:val="24"/>
          <w14:textFill>
            <w14:solidFill>
              <w14:schemeClr w14:val="tx1"/>
            </w14:solidFill>
          </w14:textFill>
        </w:rPr>
        <w:t>3）本次采购标的为</w:t>
      </w:r>
      <w:r>
        <w:rPr>
          <w:rFonts w:ascii="宋体" w:hAnsi="宋体" w:cs="宋体"/>
          <w:b/>
          <w:color w:val="000000" w:themeColor="text1"/>
          <w:kern w:val="0"/>
          <w:sz w:val="24"/>
          <w:u w:val="single"/>
          <w14:textFill>
            <w14:solidFill>
              <w14:schemeClr w14:val="tx1"/>
            </w14:solidFill>
          </w14:textFill>
        </w:rPr>
        <w:t>货物</w:t>
      </w:r>
      <w:r>
        <w:rPr>
          <w:rFonts w:ascii="宋体" w:hAnsi="宋体" w:cs="宋体"/>
          <w:color w:val="000000" w:themeColor="text1"/>
          <w:kern w:val="0"/>
          <w:sz w:val="24"/>
          <w14:textFill>
            <w14:solidFill>
              <w14:schemeClr w14:val="tx1"/>
            </w14:solidFill>
          </w14:textFill>
        </w:rPr>
        <w:t>，对应的中小企业划分标准所属行业是：</w:t>
      </w:r>
      <w:r>
        <w:rPr>
          <w:rFonts w:ascii="宋体" w:hAnsi="宋体" w:cs="宋体"/>
          <w:b/>
          <w:color w:val="000000" w:themeColor="text1"/>
          <w:kern w:val="0"/>
          <w:sz w:val="24"/>
          <w:u w:val="single"/>
          <w14:textFill>
            <w14:solidFill>
              <w14:schemeClr w14:val="tx1"/>
            </w14:solidFill>
          </w14:textFill>
        </w:rPr>
        <w:t>工业。</w:t>
      </w:r>
      <w:r>
        <w:rPr>
          <w:rFonts w:ascii="宋体" w:hAnsi="宋体"/>
          <w:color w:val="000000" w:themeColor="text1"/>
          <w:sz w:val="24"/>
          <w14:textFill>
            <w14:solidFill>
              <w14:schemeClr w14:val="tx1"/>
            </w14:solidFill>
          </w14:textFill>
        </w:rPr>
        <w:t>（从业人员1000人以下或营业收入40000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pPr>
        <w:adjustRightInd w:val="0"/>
        <w:snapToGrid w:val="0"/>
        <w:spacing w:line="360" w:lineRule="auto"/>
        <w:ind w:firstLine="240" w:firstLineChars="10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ascii="宋体" w:hAnsi="宋体" w:cs="宋体"/>
          <w:color w:val="000000" w:themeColor="text1"/>
          <w:kern w:val="0"/>
          <w:sz w:val="24"/>
          <w14:textFill>
            <w14:solidFill>
              <w14:schemeClr w14:val="tx1"/>
            </w14:solidFill>
          </w14:textFill>
        </w:rPr>
        <w:t>)、符合小微企业划分标准的个体工商户，视同小微企业。</w:t>
      </w:r>
    </w:p>
    <w:p>
      <w:pPr>
        <w:adjustRightInd w:val="0"/>
        <w:snapToGrid w:val="0"/>
        <w:spacing w:line="360" w:lineRule="auto"/>
        <w:ind w:firstLine="240" w:firstLineChars="10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ascii="宋体" w:hAnsi="宋体" w:cs="宋体"/>
          <w:color w:val="000000" w:themeColor="text1"/>
          <w:kern w:val="0"/>
          <w:sz w:val="24"/>
          <w14:textFill>
            <w14:solidFill>
              <w14:schemeClr w14:val="tx1"/>
            </w14:solidFill>
          </w14:textFill>
        </w:rPr>
        <w:t>）</w:t>
      </w:r>
      <w:r>
        <w:rPr>
          <w:rFonts w:hint="eastAsia" w:hAnsi="宋体" w:cs="Times New Roman"/>
          <w:color w:val="000000"/>
          <w:kern w:val="2"/>
          <w:sz w:val="24"/>
          <w:szCs w:val="24"/>
          <w:highlight w:val="none"/>
          <w:lang w:val="en-US" w:eastAsia="zh-CN" w:bidi="ar-SA"/>
        </w:rPr>
        <w:t>本项目为专门面向中小企业采购招标，小微企业不享受价格折扣优惠</w:t>
      </w:r>
      <w:r>
        <w:rPr>
          <w:rFonts w:ascii="宋体" w:hAnsi="宋体" w:cs="宋体"/>
          <w:color w:val="000000" w:themeColor="text1"/>
          <w:kern w:val="0"/>
          <w:sz w:val="24"/>
          <w14:textFill>
            <w14:solidFill>
              <w14:schemeClr w14:val="tx1"/>
            </w14:solidFill>
          </w14:textFill>
        </w:rPr>
        <w:t>。</w:t>
      </w:r>
    </w:p>
    <w:p>
      <w:pPr>
        <w:adjustRightInd w:val="0"/>
        <w:snapToGrid w:val="0"/>
        <w:spacing w:line="360" w:lineRule="auto"/>
        <w:ind w:firstLine="240" w:firstLineChars="10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6</w:t>
      </w:r>
      <w:r>
        <w:rPr>
          <w:rFonts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提供的货物由中小企业制造的（包括联合体内的中小企业和接受分包的中小企业），供应商应当出具《中小企业声明函》</w:t>
      </w:r>
      <w:r>
        <w:rPr>
          <w:rFonts w:ascii="宋体" w:hAnsi="宋体" w:cs="宋体"/>
          <w:color w:val="000000" w:themeColor="text1"/>
          <w:kern w:val="0"/>
          <w:sz w:val="24"/>
          <w14:textFill>
            <w14:solidFill>
              <w14:schemeClr w14:val="tx1"/>
            </w14:solidFill>
          </w14:textFill>
        </w:rPr>
        <w:t>。</w:t>
      </w:r>
    </w:p>
    <w:p>
      <w:pPr>
        <w:adjustRightInd w:val="0"/>
        <w:snapToGrid w:val="0"/>
        <w:spacing w:line="360" w:lineRule="auto"/>
        <w:ind w:firstLine="240" w:firstLineChars="100"/>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7</w:t>
      </w:r>
      <w:r>
        <w:rPr>
          <w:rFonts w:ascii="宋体" w:hAnsi="宋体" w:cs="宋体"/>
          <w:color w:val="000000" w:themeColor="text1"/>
          <w:kern w:val="0"/>
          <w:sz w:val="24"/>
          <w14:textFill>
            <w14:solidFill>
              <w14:schemeClr w14:val="tx1"/>
            </w14:solidFill>
          </w14:textFill>
        </w:rPr>
        <w:t>)残疾人福利性单位视同小微企业。残疾人福利性单位参加政府采购活动时，应当提供《残疾人福利性单位声明函》。</w:t>
      </w:r>
    </w:p>
    <w:p>
      <w:pPr>
        <w:autoSpaceDE w:val="0"/>
        <w:autoSpaceDN w:val="0"/>
        <w:adjustRightInd w:val="0"/>
        <w:snapToGrid w:val="0"/>
        <w:spacing w:line="360" w:lineRule="auto"/>
        <w:ind w:firstLine="240" w:firstLineChars="100"/>
        <w:rPr>
          <w:rFonts w:hint="default" w:ascii="宋体" w:hAnsi="宋体" w:cs="宋体"/>
          <w:b/>
          <w:color w:val="000000" w:themeColor="text1"/>
          <w:spacing w:val="-4"/>
          <w14:textFill>
            <w14:solidFill>
              <w14:schemeClr w14:val="tx1"/>
            </w14:solidFill>
          </w14:textFill>
        </w:rPr>
      </w:pPr>
      <w:r>
        <w:rPr>
          <w:rFonts w:ascii="宋体" w:hAnsi="宋体" w:cs="宋体"/>
          <w:color w:val="000000" w:themeColor="text1"/>
          <w:kern w:val="0"/>
          <w:sz w:val="24"/>
          <w14:textFill>
            <w14:solidFill>
              <w14:schemeClr w14:val="tx1"/>
            </w14:solidFill>
          </w14:textFill>
        </w:rPr>
        <w:t>11)监狱企业视同小微企业。监狱企业参加政府采购活动时，应当出具省级以上监狱管理局、戒毒管理局（含新疆生产建设兵团）提供的属于监狱企业的证明文件。</w:t>
      </w:r>
    </w:p>
    <w:p>
      <w:pPr>
        <w:spacing w:line="360" w:lineRule="auto"/>
        <w:ind w:firstLine="482" w:firstLineChars="200"/>
        <w:rPr>
          <w:rFonts w:hint="default"/>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五</w:t>
      </w:r>
      <w:r>
        <w:rPr>
          <w:rFonts w:hint="default"/>
          <w:b/>
          <w:color w:val="000000" w:themeColor="text1"/>
          <w:sz w:val="24"/>
          <w:szCs w:val="24"/>
          <w14:textFill>
            <w14:solidFill>
              <w14:schemeClr w14:val="tx1"/>
            </w14:solidFill>
          </w14:textFill>
        </w:rPr>
        <w:t>、询标</w:t>
      </w:r>
    </w:p>
    <w:p>
      <w:pPr>
        <w:pStyle w:val="18"/>
        <w:adjustRightInd w:val="0"/>
        <w:snapToGrid w:val="0"/>
        <w:spacing w:line="360" w:lineRule="auto"/>
        <w:ind w:firstLine="464" w:firstLineChars="200"/>
        <w:rPr>
          <w:rFonts w:hint="default" w:ascii="Times New Roman" w:hAnsi="Times New Roman"/>
          <w:bCs/>
          <w:color w:val="000000" w:themeColor="text1"/>
          <w:sz w:val="24"/>
          <w14:textFill>
            <w14:solidFill>
              <w14:schemeClr w14:val="tx1"/>
            </w14:solidFill>
          </w14:textFill>
        </w:rPr>
      </w:pPr>
      <w:r>
        <w:rPr>
          <w:rFonts w:hint="default" w:ascii="Times New Roman" w:hAnsi="Times New Roman"/>
          <w:bCs/>
          <w:color w:val="000000" w:themeColor="text1"/>
          <w:sz w:val="24"/>
          <w14:textFill>
            <w14:solidFill>
              <w14:schemeClr w14:val="tx1"/>
            </w14:solidFill>
          </w14:textFill>
        </w:rPr>
        <w:t>对投标文件中存在含义不清楚的内容，必要时评标委员会要求</w:t>
      </w:r>
      <w:r>
        <w:rPr>
          <w:rFonts w:ascii="Times New Roman" w:hAnsi="Times New Roman"/>
          <w:bCs/>
          <w:color w:val="000000" w:themeColor="text1"/>
          <w:sz w:val="24"/>
          <w14:textFill>
            <w14:solidFill>
              <w14:schemeClr w14:val="tx1"/>
            </w14:solidFill>
          </w14:textFill>
        </w:rPr>
        <w:t>供应商</w:t>
      </w:r>
      <w:r>
        <w:rPr>
          <w:rFonts w:hint="default" w:ascii="Times New Roman" w:hAnsi="Times New Roman"/>
          <w:bCs/>
          <w:color w:val="000000" w:themeColor="text1"/>
          <w:sz w:val="24"/>
          <w14:textFill>
            <w14:solidFill>
              <w14:schemeClr w14:val="tx1"/>
            </w14:solidFill>
          </w14:textFill>
        </w:rPr>
        <w:t>作必要的澄清、说明或补正。询标记录需</w:t>
      </w:r>
      <w:r>
        <w:rPr>
          <w:rFonts w:ascii="Times New Roman" w:hAnsi="Times New Roman"/>
          <w:bCs/>
          <w:color w:val="000000" w:themeColor="text1"/>
          <w:sz w:val="24"/>
          <w14:textFill>
            <w14:solidFill>
              <w14:schemeClr w14:val="tx1"/>
            </w14:solidFill>
          </w14:textFill>
        </w:rPr>
        <w:t>供应商</w:t>
      </w:r>
      <w:r>
        <w:rPr>
          <w:rFonts w:hint="default" w:ascii="Times New Roman" w:hAnsi="Times New Roman"/>
          <w:bCs/>
          <w:color w:val="000000" w:themeColor="text1"/>
          <w:sz w:val="24"/>
          <w14:textFill>
            <w14:solidFill>
              <w14:schemeClr w14:val="tx1"/>
            </w14:solidFill>
          </w14:textFill>
        </w:rPr>
        <w:t>授权代表签字确认</w:t>
      </w:r>
      <w:r>
        <w:rPr>
          <w:rFonts w:ascii="Times New Roman" w:hAnsi="Times New Roman"/>
          <w:bCs/>
          <w:color w:val="000000" w:themeColor="text1"/>
          <w:sz w:val="24"/>
          <w14:textFill>
            <w14:solidFill>
              <w14:schemeClr w14:val="tx1"/>
            </w14:solidFill>
          </w14:textFill>
        </w:rPr>
        <w:t>或供应商盖章确认</w:t>
      </w:r>
      <w:r>
        <w:rPr>
          <w:rFonts w:hint="default" w:ascii="Times New Roman" w:hAnsi="Times New Roman"/>
          <w:bCs/>
          <w:color w:val="000000" w:themeColor="text1"/>
          <w:sz w:val="24"/>
          <w14:textFill>
            <w14:solidFill>
              <w14:schemeClr w14:val="tx1"/>
            </w14:solidFill>
          </w14:textFill>
        </w:rPr>
        <w:t>，它将作为投标文件的一部分。</w:t>
      </w:r>
    </w:p>
    <w:p>
      <w:pPr>
        <w:spacing w:line="360" w:lineRule="auto"/>
        <w:ind w:firstLine="482" w:firstLineChars="200"/>
        <w:rPr>
          <w:rFonts w:hint="default"/>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六、修改评标结果</w:t>
      </w:r>
    </w:p>
    <w:p>
      <w:pPr>
        <w:pStyle w:val="18"/>
        <w:adjustRightInd w:val="0"/>
        <w:snapToGrid w:val="0"/>
        <w:spacing w:line="360" w:lineRule="auto"/>
        <w:ind w:firstLine="464" w:firstLineChars="200"/>
        <w:rPr>
          <w:rFonts w:hint="default" w:ascii="Times New Roman" w:hAnsi="Times New Roman"/>
          <w:bCs/>
          <w:color w:val="000000" w:themeColor="text1"/>
          <w:sz w:val="24"/>
          <w14:textFill>
            <w14:solidFill>
              <w14:schemeClr w14:val="tx1"/>
            </w14:solidFill>
          </w14:textFill>
        </w:rPr>
      </w:pPr>
      <w:r>
        <w:rPr>
          <w:rFonts w:hint="default" w:ascii="Times New Roman" w:hAnsi="Times New Roman"/>
          <w:bCs/>
          <w:color w:val="000000" w:themeColor="text1"/>
          <w:sz w:val="24"/>
          <w14:textFill>
            <w14:solidFill>
              <w14:schemeClr w14:val="tx1"/>
            </w14:solidFill>
          </w14:textFill>
        </w:rPr>
        <w:t>评标结果汇总完成后，除下列情形外，任何人不得修改评标结果：</w:t>
      </w:r>
    </w:p>
    <w:p>
      <w:pPr>
        <w:pStyle w:val="18"/>
        <w:adjustRightInd w:val="0"/>
        <w:snapToGrid w:val="0"/>
        <w:spacing w:line="360" w:lineRule="auto"/>
        <w:ind w:firstLine="464" w:firstLineChars="200"/>
        <w:rPr>
          <w:rFonts w:hint="default" w:ascii="Times New Roman" w:hAnsi="Times New Roman"/>
          <w:bCs/>
          <w:color w:val="000000" w:themeColor="text1"/>
          <w:sz w:val="24"/>
          <w14:textFill>
            <w14:solidFill>
              <w14:schemeClr w14:val="tx1"/>
            </w14:solidFill>
          </w14:textFill>
        </w:rPr>
      </w:pPr>
      <w:r>
        <w:rPr>
          <w:rFonts w:hint="default" w:ascii="Times New Roman" w:hAnsi="Times New Roman"/>
          <w:bCs/>
          <w:color w:val="000000" w:themeColor="text1"/>
          <w:sz w:val="24"/>
          <w14:textFill>
            <w14:solidFill>
              <w14:schemeClr w14:val="tx1"/>
            </w14:solidFill>
          </w14:textFill>
        </w:rPr>
        <w:t>（一）分值汇总计算错误的</w:t>
      </w:r>
    </w:p>
    <w:p>
      <w:pPr>
        <w:pStyle w:val="18"/>
        <w:adjustRightInd w:val="0"/>
        <w:snapToGrid w:val="0"/>
        <w:spacing w:line="360" w:lineRule="auto"/>
        <w:ind w:firstLine="464" w:firstLineChars="200"/>
        <w:rPr>
          <w:rFonts w:hint="default" w:ascii="Times New Roman" w:hAnsi="Times New Roman"/>
          <w:bCs/>
          <w:color w:val="000000" w:themeColor="text1"/>
          <w:sz w:val="24"/>
          <w14:textFill>
            <w14:solidFill>
              <w14:schemeClr w14:val="tx1"/>
            </w14:solidFill>
          </w14:textFill>
        </w:rPr>
      </w:pPr>
      <w:r>
        <w:rPr>
          <w:rFonts w:hint="default" w:ascii="Times New Roman" w:hAnsi="Times New Roman"/>
          <w:bCs/>
          <w:color w:val="000000" w:themeColor="text1"/>
          <w:sz w:val="24"/>
          <w14:textFill>
            <w14:solidFill>
              <w14:schemeClr w14:val="tx1"/>
            </w14:solidFill>
          </w14:textFill>
        </w:rPr>
        <w:t>（二）分项评分超出评分标准范围的；</w:t>
      </w:r>
    </w:p>
    <w:p>
      <w:pPr>
        <w:pStyle w:val="18"/>
        <w:adjustRightInd w:val="0"/>
        <w:snapToGrid w:val="0"/>
        <w:spacing w:line="360" w:lineRule="auto"/>
        <w:ind w:firstLine="464" w:firstLineChars="200"/>
        <w:rPr>
          <w:rFonts w:hint="default" w:ascii="Times New Roman" w:hAnsi="Times New Roman"/>
          <w:bCs/>
          <w:color w:val="000000" w:themeColor="text1"/>
          <w:sz w:val="24"/>
          <w14:textFill>
            <w14:solidFill>
              <w14:schemeClr w14:val="tx1"/>
            </w14:solidFill>
          </w14:textFill>
        </w:rPr>
      </w:pPr>
      <w:r>
        <w:rPr>
          <w:rFonts w:hint="default" w:ascii="Times New Roman" w:hAnsi="Times New Roman"/>
          <w:bCs/>
          <w:color w:val="000000" w:themeColor="text1"/>
          <w:sz w:val="24"/>
          <w14:textFill>
            <w14:solidFill>
              <w14:schemeClr w14:val="tx1"/>
            </w14:solidFill>
          </w14:textFill>
        </w:rPr>
        <w:t>（三）评标委员会成员对客观评审因素评分不一致的；</w:t>
      </w:r>
    </w:p>
    <w:p>
      <w:pPr>
        <w:pStyle w:val="18"/>
        <w:adjustRightInd w:val="0"/>
        <w:snapToGrid w:val="0"/>
        <w:spacing w:line="360" w:lineRule="auto"/>
        <w:ind w:firstLine="464" w:firstLineChars="200"/>
        <w:rPr>
          <w:rFonts w:hint="default" w:ascii="Times New Roman" w:hAnsi="Times New Roman"/>
          <w:bCs/>
          <w:color w:val="000000" w:themeColor="text1"/>
          <w:sz w:val="24"/>
          <w14:textFill>
            <w14:solidFill>
              <w14:schemeClr w14:val="tx1"/>
            </w14:solidFill>
          </w14:textFill>
        </w:rPr>
      </w:pPr>
      <w:r>
        <w:rPr>
          <w:rFonts w:hint="default" w:ascii="Times New Roman" w:hAnsi="Times New Roman"/>
          <w:bCs/>
          <w:color w:val="000000" w:themeColor="text1"/>
          <w:sz w:val="24"/>
          <w14:textFill>
            <w14:solidFill>
              <w14:schemeClr w14:val="tx1"/>
            </w14:solidFill>
          </w14:textFill>
        </w:rPr>
        <w:t>（四）经评标委员会认定评分畸高、畸低的。</w:t>
      </w:r>
    </w:p>
    <w:p>
      <w:pPr>
        <w:rPr>
          <w:rFonts w:hint="default" w:ascii="Times New Roman" w:hAnsi="Times New Roman"/>
          <w:b/>
          <w:color w:val="000000" w:themeColor="text1"/>
          <w:sz w:val="36"/>
          <w:szCs w:val="36"/>
          <w14:textFill>
            <w14:solidFill>
              <w14:schemeClr w14:val="tx1"/>
            </w14:solidFill>
          </w14:textFill>
        </w:rPr>
      </w:pPr>
      <w:bookmarkStart w:id="67" w:name="_Toc21892"/>
      <w:r>
        <w:rPr>
          <w:rFonts w:hint="default" w:ascii="Times New Roman" w:hAnsi="Times New Roman"/>
          <w:b/>
          <w:color w:val="000000" w:themeColor="text1"/>
          <w:sz w:val="36"/>
          <w:szCs w:val="36"/>
          <w14:textFill>
            <w14:solidFill>
              <w14:schemeClr w14:val="tx1"/>
            </w14:solidFill>
          </w14:textFill>
        </w:rPr>
        <w:br w:type="page"/>
      </w:r>
    </w:p>
    <w:p>
      <w:pPr>
        <w:pStyle w:val="6"/>
        <w:snapToGrid w:val="0"/>
        <w:spacing w:before="120" w:after="120" w:line="360" w:lineRule="auto"/>
        <w:jc w:val="center"/>
        <w:outlineLvl w:val="0"/>
        <w:rPr>
          <w:rFonts w:hint="default" w:hAnsi="宋体"/>
          <w:b/>
          <w:color w:val="000000" w:themeColor="text1"/>
          <w14:textFill>
            <w14:solidFill>
              <w14:schemeClr w14:val="tx1"/>
            </w14:solidFill>
          </w14:textFill>
        </w:rPr>
      </w:pPr>
      <w:r>
        <w:rPr>
          <w:rFonts w:hint="default" w:ascii="Times New Roman" w:hAnsi="Times New Roman"/>
          <w:b/>
          <w:color w:val="000000" w:themeColor="text1"/>
          <w:sz w:val="36"/>
          <w:szCs w:val="36"/>
          <w14:textFill>
            <w14:solidFill>
              <w14:schemeClr w14:val="tx1"/>
            </w14:solidFill>
          </w14:textFill>
        </w:rPr>
        <w:t>第四章  采购内容及需求</w:t>
      </w:r>
      <w:bookmarkEnd w:id="67"/>
    </w:p>
    <w:p>
      <w:pPr>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bookmarkStart w:id="68" w:name="_Toc383509160"/>
      <w:bookmarkStart w:id="69" w:name="_Toc324405830"/>
      <w:r>
        <w:rPr>
          <w:rFonts w:hint="eastAsia" w:ascii="宋体" w:hAnsi="宋体" w:eastAsia="宋体" w:cs="宋体"/>
          <w:b/>
          <w:bCs/>
          <w:color w:val="000000" w:themeColor="text1"/>
          <w:sz w:val="24"/>
          <w:szCs w:val="24"/>
          <w:highlight w:val="none"/>
          <w14:textFill>
            <w14:solidFill>
              <w14:schemeClr w14:val="tx1"/>
            </w14:solidFill>
          </w14:textFill>
        </w:rPr>
        <w:t>一、项目</w:t>
      </w:r>
      <w:r>
        <w:rPr>
          <w:rFonts w:hint="eastAsia" w:ascii="宋体" w:hAnsi="宋体" w:cs="宋体"/>
          <w:b/>
          <w:bCs/>
          <w:color w:val="000000" w:themeColor="text1"/>
          <w:sz w:val="24"/>
          <w:szCs w:val="24"/>
          <w:highlight w:val="none"/>
          <w:lang w:val="en-US" w:eastAsia="zh-CN"/>
          <w14:textFill>
            <w14:solidFill>
              <w14:schemeClr w14:val="tx1"/>
            </w14:solidFill>
          </w14:textFill>
        </w:rPr>
        <w:t>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浙江省“千村示范、万村整治”工作协调小组办公室关于印发2023年度浙江省农村生活垃圾分类处理工作实施方案的通知》（浙村整建办〔2023〕号）、《衢州市人民政府办公室关于印发2023年衢州市民生“夯基工程”工作计划的通知》（衢政办发函〔2023〕3号）、《2024年度龙游县数字</w:t>
      </w:r>
      <w:r>
        <w:rPr>
          <w:rFonts w:hint="eastAsia" w:ascii="宋体" w:hAnsi="宋体" w:cs="宋体"/>
          <w:color w:val="000000" w:themeColor="text1"/>
          <w:sz w:val="24"/>
          <w:szCs w:val="24"/>
          <w:highlight w:val="none"/>
          <w:lang w:eastAsia="zh-CN"/>
          <w14:textFill>
            <w14:solidFill>
              <w14:schemeClr w14:val="tx1"/>
            </w14:solidFill>
          </w14:textFill>
        </w:rPr>
        <w:t>赋能农村生活垃圾分类</w:t>
      </w:r>
      <w:r>
        <w:rPr>
          <w:rFonts w:hint="eastAsia" w:ascii="宋体" w:hAnsi="宋体" w:cs="宋体"/>
          <w:color w:val="000000" w:themeColor="text1"/>
          <w:sz w:val="24"/>
          <w:szCs w:val="24"/>
          <w:highlight w:val="none"/>
          <w:lang w:val="en-US" w:eastAsia="zh-CN"/>
          <w14:textFill>
            <w14:solidFill>
              <w14:schemeClr w14:val="tx1"/>
            </w14:solidFill>
          </w14:textFill>
        </w:rPr>
        <w:t>工作实施方案》（龙农字</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〔2024〕33</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号</w:t>
      </w:r>
      <w:r>
        <w:rPr>
          <w:rFonts w:hint="eastAsia" w:ascii="宋体" w:hAnsi="宋体" w:eastAsia="宋体" w:cs="宋体"/>
          <w:color w:val="000000" w:themeColor="text1"/>
          <w:sz w:val="24"/>
          <w:szCs w:val="24"/>
          <w:highlight w:val="none"/>
          <w:lang w:val="en-US" w:eastAsia="zh-CN"/>
          <w14:textFill>
            <w14:solidFill>
              <w14:schemeClr w14:val="tx1"/>
            </w14:solidFill>
          </w14:textFill>
        </w:rPr>
        <w:t>等文件精神，为进一步推进龙游县数字赋能农村生活垃圾分类工作，根据县要求，特制定本方案。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二、项目概况：</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1.项目名称：</w:t>
      </w:r>
      <w:r>
        <w:rPr>
          <w:rFonts w:hint="eastAsia" w:ascii="宋体" w:hAnsi="宋体" w:cs="宋体"/>
          <w:color w:val="000000" w:themeColor="text1"/>
          <w:sz w:val="24"/>
          <w:szCs w:val="24"/>
          <w:highlight w:val="none"/>
          <w:lang w:eastAsia="zh-CN"/>
          <w14:textFill>
            <w14:solidFill>
              <w14:schemeClr w14:val="tx1"/>
            </w14:solidFill>
          </w14:textFill>
        </w:rPr>
        <w:t>龙游县横山镇数字赋能农村生活垃圾分类设备采购项目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预算金额：600000元</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本次数字赋能农村生活垃圾分类行政村名单:</w:t>
      </w:r>
      <w:r>
        <w:rPr>
          <w:rFonts w:hint="eastAsia" w:ascii="宋体" w:hAnsi="Times New Roman" w:eastAsia="宋体" w:cs="Times New Roman"/>
          <w:snapToGrid/>
          <w:kern w:val="2"/>
          <w:sz w:val="24"/>
          <w:szCs w:val="24"/>
          <w:highlight w:val="none"/>
          <w:lang w:val="en-US" w:eastAsia="zh-CN" w:bidi="ar-SA"/>
        </w:rPr>
        <w:t>天池村、志棠村、塔下叶村、腰塘边村、河宗村、上向徐村、白鹤桥村、会泽里村、上宾村、八石坂村、脉元村、下宅村。</w:t>
      </w:r>
    </w:p>
    <w:bookmarkEnd w:id="68"/>
    <w:bookmarkEnd w:id="69"/>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b/>
          <w:bCs/>
          <w:highlight w:val="none"/>
          <w:lang w:val="en-US"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三、采购清单及参数</w:t>
      </w:r>
    </w:p>
    <w:tbl>
      <w:tblPr>
        <w:tblStyle w:val="167"/>
        <w:tblW w:w="49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0"/>
        <w:gridCol w:w="2210"/>
        <w:gridCol w:w="820"/>
        <w:gridCol w:w="2053"/>
        <w:gridCol w:w="3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294" w:type="dxa"/>
            <w:shd w:val="clear" w:color="auto" w:fill="FFFFFF"/>
            <w:noWrap w:val="0"/>
            <w:vAlign w:val="center"/>
          </w:tcPr>
          <w:p>
            <w:pPr>
              <w:bidi w:val="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名称</w:t>
            </w:r>
          </w:p>
        </w:tc>
        <w:tc>
          <w:tcPr>
            <w:tcW w:w="2184" w:type="dxa"/>
            <w:shd w:val="clear" w:color="auto" w:fill="FFFFFF"/>
            <w:noWrap w:val="0"/>
            <w:vAlign w:val="center"/>
          </w:tcPr>
          <w:p>
            <w:pPr>
              <w:bidi w:val="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图片</w:t>
            </w:r>
          </w:p>
        </w:tc>
        <w:tc>
          <w:tcPr>
            <w:tcW w:w="810" w:type="dxa"/>
            <w:shd w:val="clear" w:color="auto" w:fill="FFFFFF"/>
            <w:noWrap w:val="0"/>
            <w:vAlign w:val="center"/>
          </w:tcPr>
          <w:p>
            <w:pPr>
              <w:bidi w:val="0"/>
              <w:jc w:val="center"/>
              <w:rPr>
                <w:rFonts w:hint="eastAsia" w:ascii="宋体" w:hAnsi="宋体" w:eastAsia="宋体"/>
                <w:color w:val="000000"/>
                <w:sz w:val="24"/>
                <w:szCs w:val="24"/>
              </w:rPr>
            </w:pPr>
            <w:r>
              <w:rPr>
                <w:rFonts w:hint="eastAsia" w:ascii="宋体" w:hAnsi="宋体" w:eastAsia="宋体"/>
                <w:color w:val="000000"/>
                <w:sz w:val="24"/>
                <w:szCs w:val="24"/>
              </w:rPr>
              <w:t>单位</w:t>
            </w:r>
          </w:p>
        </w:tc>
        <w:tc>
          <w:tcPr>
            <w:tcW w:w="2028" w:type="dxa"/>
            <w:shd w:val="clear" w:color="auto" w:fill="FFFFFF"/>
            <w:noWrap w:val="0"/>
            <w:vAlign w:val="center"/>
          </w:tcPr>
          <w:p>
            <w:pPr>
              <w:bidi w:val="0"/>
              <w:jc w:val="center"/>
              <w:rPr>
                <w:rFonts w:hint="eastAsia" w:ascii="宋体" w:hAnsi="宋体" w:eastAsia="宋体"/>
                <w:color w:val="000000"/>
                <w:sz w:val="24"/>
                <w:szCs w:val="24"/>
              </w:rPr>
            </w:pPr>
            <w:r>
              <w:rPr>
                <w:rFonts w:hint="eastAsia" w:ascii="宋体" w:hAnsi="宋体" w:eastAsia="宋体"/>
                <w:color w:val="000000"/>
                <w:sz w:val="24"/>
                <w:szCs w:val="24"/>
              </w:rPr>
              <w:t>数量</w:t>
            </w:r>
          </w:p>
        </w:tc>
        <w:tc>
          <w:tcPr>
            <w:tcW w:w="3004" w:type="dxa"/>
            <w:shd w:val="clear" w:color="auto" w:fill="FFFFFF"/>
            <w:noWrap w:val="0"/>
            <w:vAlign w:val="center"/>
          </w:tcPr>
          <w:p>
            <w:pPr>
              <w:bidi w:val="0"/>
              <w:jc w:val="center"/>
              <w:rPr>
                <w:rFonts w:hint="eastAsia"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2" w:hRule="atLeast"/>
          <w:jc w:val="center"/>
        </w:trPr>
        <w:tc>
          <w:tcPr>
            <w:tcW w:w="129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车载垃圾分类智能收集秤</w:t>
            </w:r>
          </w:p>
        </w:tc>
        <w:tc>
          <w:tcPr>
            <w:tcW w:w="218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4"/>
                <w:szCs w:val="24"/>
              </w:rPr>
            </w:pPr>
            <w:r>
              <w:rPr>
                <w:sz w:val="24"/>
                <w:szCs w:val="24"/>
              </w:rPr>
              <w:drawing>
                <wp:inline distT="0" distB="0" distL="114300" distR="114300">
                  <wp:extent cx="798830" cy="880745"/>
                  <wp:effectExtent l="0" t="0" r="1270" b="14605"/>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5"/>
                          <a:stretch>
                            <a:fillRect/>
                          </a:stretch>
                        </pic:blipFill>
                        <pic:spPr>
                          <a:xfrm>
                            <a:off x="0" y="0"/>
                            <a:ext cx="798830" cy="880745"/>
                          </a:xfrm>
                          <a:prstGeom prst="rect">
                            <a:avLst/>
                          </a:prstGeom>
                          <a:noFill/>
                          <a:ln>
                            <a:noFill/>
                          </a:ln>
                        </pic:spPr>
                      </pic:pic>
                    </a:graphicData>
                  </a:graphic>
                </wp:inline>
              </w:drawing>
            </w:r>
          </w:p>
        </w:tc>
        <w:tc>
          <w:tcPr>
            <w:tcW w:w="810"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台</w:t>
            </w:r>
          </w:p>
        </w:tc>
        <w:tc>
          <w:tcPr>
            <w:tcW w:w="202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olor w:val="000000"/>
                <w:sz w:val="24"/>
                <w:szCs w:val="24"/>
                <w:lang w:val="en-US" w:eastAsia="zh-CN"/>
              </w:rPr>
            </w:pPr>
            <w:r>
              <w:rPr>
                <w:rFonts w:hint="eastAsia" w:ascii="宋体" w:hAnsi="宋体"/>
                <w:color w:val="000000"/>
                <w:sz w:val="24"/>
                <w:szCs w:val="24"/>
                <w:lang w:val="en-US" w:eastAsia="zh-CN"/>
              </w:rPr>
              <w:t>12</w:t>
            </w:r>
          </w:p>
        </w:tc>
        <w:tc>
          <w:tcPr>
            <w:tcW w:w="300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满足身份信息识别、称重拍照、AI 识别及自动评价和手动评价、定位功能以及数据传输、语音提醒等功能:2.折叠式，电子屏≥10.1英寸触摸屏:3.摄像头(内置式)≥200 万像素。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129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安装芯片</w:t>
            </w:r>
            <w:r>
              <w:rPr>
                <w:rFonts w:hint="eastAsia" w:ascii="宋体" w:hAnsi="宋体" w:eastAsia="宋体"/>
                <w:color w:val="000000"/>
                <w:sz w:val="24"/>
                <w:szCs w:val="24"/>
              </w:rPr>
              <w:t>垃圾桶</w:t>
            </w:r>
          </w:p>
        </w:tc>
        <w:tc>
          <w:tcPr>
            <w:tcW w:w="218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eastAsia="宋体"/>
                <w:sz w:val="24"/>
                <w:szCs w:val="24"/>
                <w:lang w:eastAsia="zh-CN"/>
              </w:rPr>
            </w:pPr>
            <w:r>
              <w:rPr>
                <w:rFonts w:hint="eastAsia" w:eastAsia="宋体"/>
                <w:sz w:val="32"/>
                <w:szCs w:val="32"/>
                <w:lang w:eastAsia="zh-CN"/>
              </w:rPr>
              <w:drawing>
                <wp:anchor distT="0" distB="0" distL="114300" distR="114300" simplePos="0" relativeHeight="251661312" behindDoc="0" locked="0" layoutInCell="1" allowOverlap="1">
                  <wp:simplePos x="0" y="0"/>
                  <wp:positionH relativeFrom="column">
                    <wp:posOffset>7620</wp:posOffset>
                  </wp:positionH>
                  <wp:positionV relativeFrom="paragraph">
                    <wp:posOffset>150495</wp:posOffset>
                  </wp:positionV>
                  <wp:extent cx="1176020" cy="661670"/>
                  <wp:effectExtent l="0" t="0" r="5080" b="5080"/>
                  <wp:wrapNone/>
                  <wp:docPr id="6" name="图片 13" descr="bfa61a8d125bf3edf18b43be8dec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bfa61a8d125bf3edf18b43be8dec712"/>
                          <pic:cNvPicPr>
                            <a:picLocks noChangeAspect="1"/>
                          </pic:cNvPicPr>
                        </pic:nvPicPr>
                        <pic:blipFill>
                          <a:blip r:embed="rId16"/>
                          <a:stretch>
                            <a:fillRect/>
                          </a:stretch>
                        </pic:blipFill>
                        <pic:spPr>
                          <a:xfrm>
                            <a:off x="0" y="0"/>
                            <a:ext cx="1176020" cy="661670"/>
                          </a:xfrm>
                          <a:prstGeom prst="rect">
                            <a:avLst/>
                          </a:prstGeom>
                          <a:noFill/>
                          <a:ln>
                            <a:noFill/>
                          </a:ln>
                        </pic:spPr>
                      </pic:pic>
                    </a:graphicData>
                  </a:graphic>
                </wp:anchor>
              </w:drawing>
            </w:r>
          </w:p>
        </w:tc>
        <w:tc>
          <w:tcPr>
            <w:tcW w:w="810"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rPr>
            </w:pPr>
            <w:r>
              <w:rPr>
                <w:rFonts w:hint="eastAsia" w:ascii="宋体" w:hAnsi="宋体" w:eastAsia="宋体"/>
                <w:color w:val="000000"/>
                <w:sz w:val="24"/>
                <w:szCs w:val="24"/>
              </w:rPr>
              <w:t>套</w:t>
            </w:r>
          </w:p>
        </w:tc>
        <w:tc>
          <w:tcPr>
            <w:tcW w:w="202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i w:val="0"/>
                <w:iCs w:val="0"/>
                <w:color w:val="000000"/>
                <w:kern w:val="0"/>
                <w:sz w:val="24"/>
                <w:szCs w:val="24"/>
                <w:u w:val="none"/>
                <w:lang w:val="en-US" w:eastAsia="zh-CN" w:bidi="ar"/>
              </w:rPr>
            </w:pPr>
            <w:r>
              <w:rPr>
                <w:rFonts w:hint="eastAsia" w:ascii="宋体" w:hAnsi="宋体"/>
                <w:i w:val="0"/>
                <w:iCs w:val="0"/>
                <w:color w:val="000000"/>
                <w:kern w:val="0"/>
                <w:sz w:val="24"/>
                <w:szCs w:val="24"/>
                <w:u w:val="none"/>
                <w:lang w:val="en-US" w:eastAsia="zh-CN" w:bidi="ar"/>
              </w:rPr>
              <w:t>1200</w:t>
            </w:r>
          </w:p>
        </w:tc>
        <w:tc>
          <w:tcPr>
            <w:tcW w:w="300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rPr>
            </w:pPr>
            <w:r>
              <w:rPr>
                <w:rFonts w:hint="eastAsia" w:ascii="宋体" w:hAnsi="宋体"/>
                <w:color w:val="000000"/>
                <w:sz w:val="24"/>
                <w:szCs w:val="24"/>
                <w:lang w:val="en-US" w:eastAsia="zh-CN"/>
              </w:rPr>
              <w:t>2</w:t>
            </w:r>
            <w:r>
              <w:rPr>
                <w:rFonts w:hint="eastAsia" w:ascii="宋体" w:hAnsi="宋体" w:eastAsia="宋体"/>
                <w:color w:val="000000"/>
                <w:sz w:val="24"/>
                <w:szCs w:val="24"/>
                <w:lang w:val="en-US" w:eastAsia="zh-CN"/>
              </w:rPr>
              <w:t>0L+30L带框脚踩垃圾桶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129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rPr>
            </w:pPr>
            <w:r>
              <w:rPr>
                <w:rFonts w:hint="eastAsia" w:ascii="宋体" w:hAnsi="宋体" w:eastAsia="宋体"/>
                <w:color w:val="000000"/>
                <w:sz w:val="24"/>
                <w:szCs w:val="24"/>
              </w:rPr>
              <w:t>智能用户IC卡</w:t>
            </w:r>
          </w:p>
        </w:tc>
        <w:tc>
          <w:tcPr>
            <w:tcW w:w="218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微软雅黑" w:hAnsi="微软雅黑" w:eastAsia="微软雅黑"/>
                <w:i w:val="0"/>
                <w:iCs w:val="0"/>
                <w:color w:val="000000"/>
                <w:kern w:val="0"/>
                <w:sz w:val="24"/>
                <w:szCs w:val="24"/>
                <w:u w:val="none"/>
                <w:bdr w:val="single" w:color="000000" w:sz="4" w:space="0"/>
                <w:shd w:val="clear" w:color="auto" w:fill="FFFFFF"/>
                <w:lang w:val="en-US" w:eastAsia="zh-CN" w:bidi="ar"/>
              </w:rPr>
            </w:pPr>
            <w:r>
              <w:rPr>
                <w:rFonts w:hint="eastAsia" w:ascii="微软雅黑" w:hAnsi="微软雅黑" w:eastAsia="微软雅黑"/>
                <w:i w:val="0"/>
                <w:iCs w:val="0"/>
                <w:color w:val="000000"/>
                <w:kern w:val="0"/>
                <w:sz w:val="24"/>
                <w:szCs w:val="24"/>
                <w:u w:val="none"/>
                <w:bdr w:val="single" w:color="000000" w:sz="4" w:space="0"/>
                <w:shd w:val="clear" w:color="auto" w:fill="FFFFFF"/>
                <w:lang w:val="en-US" w:eastAsia="zh-CN" w:bidi="ar"/>
              </w:rPr>
              <w:drawing>
                <wp:anchor distT="0" distB="0" distL="114300" distR="114300" simplePos="0" relativeHeight="251659264" behindDoc="0" locked="0" layoutInCell="1" allowOverlap="1">
                  <wp:simplePos x="0" y="0"/>
                  <wp:positionH relativeFrom="column">
                    <wp:posOffset>69215</wp:posOffset>
                  </wp:positionH>
                  <wp:positionV relativeFrom="paragraph">
                    <wp:posOffset>80010</wp:posOffset>
                  </wp:positionV>
                  <wp:extent cx="835025" cy="721995"/>
                  <wp:effectExtent l="0" t="0" r="3175" b="1905"/>
                  <wp:wrapNone/>
                  <wp:docPr id="9" name="图片 3"/>
                  <wp:cNvGraphicFramePr/>
                  <a:graphic xmlns:a="http://schemas.openxmlformats.org/drawingml/2006/main">
                    <a:graphicData uri="http://schemas.openxmlformats.org/drawingml/2006/picture">
                      <pic:pic xmlns:pic="http://schemas.openxmlformats.org/drawingml/2006/picture">
                        <pic:nvPicPr>
                          <pic:cNvPr id="9" name="图片 3"/>
                          <pic:cNvPicPr/>
                        </pic:nvPicPr>
                        <pic:blipFill>
                          <a:blip r:embed="rId17"/>
                          <a:stretch>
                            <a:fillRect/>
                          </a:stretch>
                        </pic:blipFill>
                        <pic:spPr>
                          <a:xfrm>
                            <a:off x="0" y="0"/>
                            <a:ext cx="835025" cy="721995"/>
                          </a:xfrm>
                          <a:prstGeom prst="rect">
                            <a:avLst/>
                          </a:prstGeom>
                          <a:noFill/>
                          <a:ln>
                            <a:noFill/>
                          </a:ln>
                        </pic:spPr>
                      </pic:pic>
                    </a:graphicData>
                  </a:graphic>
                </wp:anchor>
              </w:drawing>
            </w:r>
          </w:p>
        </w:tc>
        <w:tc>
          <w:tcPr>
            <w:tcW w:w="810"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张</w:t>
            </w:r>
          </w:p>
        </w:tc>
        <w:tc>
          <w:tcPr>
            <w:tcW w:w="202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i w:val="0"/>
                <w:iCs w:val="0"/>
                <w:color w:val="000000"/>
                <w:kern w:val="0"/>
                <w:sz w:val="24"/>
                <w:szCs w:val="24"/>
                <w:u w:val="none"/>
                <w:lang w:val="en-US" w:eastAsia="zh-CN" w:bidi="ar"/>
              </w:rPr>
            </w:pPr>
            <w:r>
              <w:rPr>
                <w:rFonts w:hint="eastAsia" w:ascii="宋体" w:hAnsi="宋体"/>
                <w:i w:val="0"/>
                <w:iCs w:val="0"/>
                <w:color w:val="000000"/>
                <w:kern w:val="0"/>
                <w:sz w:val="24"/>
                <w:szCs w:val="24"/>
                <w:u w:val="none"/>
                <w:lang w:val="en-US" w:eastAsia="zh-CN" w:bidi="ar"/>
              </w:rPr>
              <w:t>2400</w:t>
            </w:r>
          </w:p>
        </w:tc>
        <w:tc>
          <w:tcPr>
            <w:tcW w:w="300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rPr>
            </w:pPr>
            <w:r>
              <w:rPr>
                <w:rFonts w:hint="eastAsia" w:ascii="宋体" w:hAnsi="宋体" w:eastAsia="宋体"/>
                <w:color w:val="000000"/>
                <w:sz w:val="24"/>
                <w:szCs w:val="24"/>
              </w:rPr>
              <w:t>一户两卡（易腐+其他）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129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智能触摸查询一体机</w:t>
            </w:r>
          </w:p>
        </w:tc>
        <w:tc>
          <w:tcPr>
            <w:tcW w:w="218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微软雅黑" w:hAnsi="微软雅黑" w:eastAsia="微软雅黑"/>
                <w:i w:val="0"/>
                <w:iCs w:val="0"/>
                <w:color w:val="000000"/>
                <w:kern w:val="0"/>
                <w:sz w:val="24"/>
                <w:szCs w:val="24"/>
                <w:u w:val="none"/>
                <w:bdr w:val="single" w:color="000000" w:sz="4" w:space="0"/>
                <w:shd w:val="clear" w:color="auto" w:fill="FFFFFF"/>
                <w:lang w:val="en-US" w:eastAsia="zh-CN" w:bidi="ar"/>
              </w:rPr>
            </w:pPr>
            <w:r>
              <w:rPr>
                <w:rFonts w:hint="eastAsia" w:ascii="微软雅黑" w:hAnsi="微软雅黑" w:eastAsia="微软雅黑"/>
                <w:i w:val="0"/>
                <w:iCs w:val="0"/>
                <w:color w:val="000000"/>
                <w:kern w:val="0"/>
                <w:sz w:val="24"/>
                <w:szCs w:val="24"/>
                <w:u w:val="none"/>
                <w:bdr w:val="single" w:color="000000" w:sz="4" w:space="0"/>
                <w:shd w:val="clear" w:color="auto" w:fill="FFFFFF"/>
                <w:lang w:val="en-US" w:eastAsia="zh-CN" w:bidi="ar"/>
              </w:rPr>
              <w:drawing>
                <wp:inline distT="0" distB="0" distL="114300" distR="114300">
                  <wp:extent cx="727075" cy="711200"/>
                  <wp:effectExtent l="0" t="0" r="15875" b="12700"/>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8"/>
                          <a:stretch>
                            <a:fillRect/>
                          </a:stretch>
                        </pic:blipFill>
                        <pic:spPr>
                          <a:xfrm>
                            <a:off x="0" y="0"/>
                            <a:ext cx="727075" cy="711200"/>
                          </a:xfrm>
                          <a:prstGeom prst="rect">
                            <a:avLst/>
                          </a:prstGeom>
                          <a:noFill/>
                          <a:ln>
                            <a:noFill/>
                          </a:ln>
                        </pic:spPr>
                      </pic:pic>
                    </a:graphicData>
                  </a:graphic>
                </wp:inline>
              </w:drawing>
            </w:r>
          </w:p>
        </w:tc>
        <w:tc>
          <w:tcPr>
            <w:tcW w:w="810"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rPr>
            </w:pPr>
            <w:r>
              <w:rPr>
                <w:rFonts w:hint="eastAsia" w:ascii="宋体" w:hAnsi="宋体" w:eastAsia="宋体"/>
                <w:color w:val="000000"/>
                <w:sz w:val="24"/>
                <w:szCs w:val="24"/>
              </w:rPr>
              <w:t>台</w:t>
            </w:r>
          </w:p>
        </w:tc>
        <w:tc>
          <w:tcPr>
            <w:tcW w:w="202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olor w:val="000000"/>
                <w:kern w:val="2"/>
                <w:sz w:val="24"/>
                <w:szCs w:val="24"/>
                <w:vertAlign w:val="baseline"/>
                <w:lang w:val="en-US" w:eastAsia="zh-CN" w:bidi="ar-SA"/>
              </w:rPr>
            </w:pPr>
            <w:r>
              <w:rPr>
                <w:rFonts w:hint="eastAsia" w:ascii="Calibri" w:hAnsi="Calibri"/>
                <w:color w:val="000000"/>
                <w:kern w:val="2"/>
                <w:sz w:val="24"/>
                <w:szCs w:val="24"/>
                <w:vertAlign w:val="baseline"/>
                <w:lang w:val="en-US" w:eastAsia="zh-CN" w:bidi="ar-SA"/>
              </w:rPr>
              <w:t>1</w:t>
            </w:r>
          </w:p>
        </w:tc>
        <w:tc>
          <w:tcPr>
            <w:tcW w:w="300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55寸，原生APP系统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7" w:hRule="atLeast"/>
          <w:jc w:val="center"/>
        </w:trPr>
        <w:tc>
          <w:tcPr>
            <w:tcW w:w="129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垃圾分类收集</w:t>
            </w:r>
            <w:r>
              <w:rPr>
                <w:rFonts w:hint="eastAsia" w:ascii="宋体" w:hAnsi="宋体"/>
                <w:color w:val="000000"/>
                <w:sz w:val="24"/>
                <w:szCs w:val="24"/>
                <w:lang w:val="en-US" w:eastAsia="zh-CN"/>
              </w:rPr>
              <w:t>车</w:t>
            </w:r>
          </w:p>
        </w:tc>
        <w:tc>
          <w:tcPr>
            <w:tcW w:w="218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sz w:val="24"/>
                <w:szCs w:val="24"/>
              </w:rPr>
            </w:pPr>
            <w:r>
              <w:rPr>
                <w:sz w:val="24"/>
                <w:szCs w:val="24"/>
              </w:rPr>
              <w:drawing>
                <wp:anchor distT="0" distB="0" distL="114300" distR="114300" simplePos="0" relativeHeight="251660288" behindDoc="0" locked="0" layoutInCell="1" allowOverlap="1">
                  <wp:simplePos x="0" y="0"/>
                  <wp:positionH relativeFrom="column">
                    <wp:posOffset>62230</wp:posOffset>
                  </wp:positionH>
                  <wp:positionV relativeFrom="paragraph">
                    <wp:posOffset>172720</wp:posOffset>
                  </wp:positionV>
                  <wp:extent cx="1012190" cy="572770"/>
                  <wp:effectExtent l="0" t="0" r="16510" b="17780"/>
                  <wp:wrapNone/>
                  <wp:docPr id="7" name="图片 4"/>
                  <wp:cNvGraphicFramePr/>
                  <a:graphic xmlns:a="http://schemas.openxmlformats.org/drawingml/2006/main">
                    <a:graphicData uri="http://schemas.openxmlformats.org/drawingml/2006/picture">
                      <pic:pic xmlns:pic="http://schemas.openxmlformats.org/drawingml/2006/picture">
                        <pic:nvPicPr>
                          <pic:cNvPr id="7" name="图片 4"/>
                          <pic:cNvPicPr/>
                        </pic:nvPicPr>
                        <pic:blipFill>
                          <a:blip r:embed="rId19"/>
                          <a:stretch>
                            <a:fillRect/>
                          </a:stretch>
                        </pic:blipFill>
                        <pic:spPr>
                          <a:xfrm>
                            <a:off x="0" y="0"/>
                            <a:ext cx="1012190" cy="572770"/>
                          </a:xfrm>
                          <a:prstGeom prst="rect">
                            <a:avLst/>
                          </a:prstGeom>
                          <a:noFill/>
                          <a:ln>
                            <a:noFill/>
                          </a:ln>
                        </pic:spPr>
                      </pic:pic>
                    </a:graphicData>
                  </a:graphic>
                </wp:anchor>
              </w:drawing>
            </w:r>
          </w:p>
        </w:tc>
        <w:tc>
          <w:tcPr>
            <w:tcW w:w="810"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台</w:t>
            </w:r>
          </w:p>
        </w:tc>
        <w:tc>
          <w:tcPr>
            <w:tcW w:w="202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olor w:val="000000"/>
                <w:sz w:val="24"/>
                <w:szCs w:val="24"/>
                <w:vertAlign w:val="baseline"/>
                <w:lang w:val="en-US" w:eastAsia="zh-CN"/>
              </w:rPr>
            </w:pPr>
            <w:r>
              <w:rPr>
                <w:rFonts w:hint="eastAsia"/>
                <w:color w:val="000000"/>
                <w:sz w:val="24"/>
                <w:szCs w:val="24"/>
                <w:vertAlign w:val="baseline"/>
                <w:lang w:val="en-US" w:eastAsia="zh-CN"/>
              </w:rPr>
              <w:t>12</w:t>
            </w:r>
          </w:p>
        </w:tc>
        <w:tc>
          <w:tcPr>
            <w:tcW w:w="300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9" w:hRule="atLeast"/>
          <w:jc w:val="center"/>
        </w:trPr>
        <w:tc>
          <w:tcPr>
            <w:tcW w:w="129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垃圾分类智慧管理平台</w:t>
            </w:r>
          </w:p>
        </w:tc>
        <w:tc>
          <w:tcPr>
            <w:tcW w:w="218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微软雅黑" w:hAnsi="微软雅黑" w:eastAsia="微软雅黑"/>
                <w:i w:val="0"/>
                <w:iCs w:val="0"/>
                <w:color w:val="000000"/>
                <w:kern w:val="0"/>
                <w:sz w:val="24"/>
                <w:szCs w:val="24"/>
                <w:u w:val="none"/>
                <w:bdr w:val="single" w:color="000000" w:sz="4" w:space="0"/>
                <w:shd w:val="clear" w:color="auto" w:fill="FFFFFF"/>
                <w:lang w:val="en-US" w:eastAsia="zh-CN" w:bidi="ar"/>
              </w:rPr>
            </w:pPr>
            <w:r>
              <w:rPr>
                <w:rFonts w:hint="eastAsia" w:ascii="微软雅黑" w:hAnsi="微软雅黑" w:eastAsia="微软雅黑"/>
                <w:i w:val="0"/>
                <w:iCs w:val="0"/>
                <w:color w:val="000000"/>
                <w:kern w:val="0"/>
                <w:sz w:val="24"/>
                <w:szCs w:val="24"/>
                <w:u w:val="none"/>
                <w:bdr w:val="single" w:color="000000" w:sz="4" w:space="0"/>
                <w:shd w:val="clear" w:color="auto" w:fill="FFFFFF"/>
                <w:lang w:val="en-US" w:eastAsia="zh-CN" w:bidi="ar"/>
              </w:rPr>
              <w:drawing>
                <wp:inline distT="0" distB="0" distL="114300" distR="114300">
                  <wp:extent cx="868680" cy="584835"/>
                  <wp:effectExtent l="0" t="0" r="7620" b="5715"/>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20"/>
                          <a:stretch>
                            <a:fillRect/>
                          </a:stretch>
                        </pic:blipFill>
                        <pic:spPr>
                          <a:xfrm>
                            <a:off x="0" y="0"/>
                            <a:ext cx="868680" cy="584835"/>
                          </a:xfrm>
                          <a:prstGeom prst="rect">
                            <a:avLst/>
                          </a:prstGeom>
                          <a:noFill/>
                          <a:ln>
                            <a:noFill/>
                          </a:ln>
                        </pic:spPr>
                      </pic:pic>
                    </a:graphicData>
                  </a:graphic>
                </wp:inline>
              </w:drawing>
            </w:r>
          </w:p>
        </w:tc>
        <w:tc>
          <w:tcPr>
            <w:tcW w:w="810"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rPr>
            </w:pPr>
            <w:r>
              <w:rPr>
                <w:rFonts w:hint="eastAsia" w:ascii="宋体" w:hAnsi="宋体" w:eastAsia="宋体"/>
                <w:color w:val="000000"/>
                <w:sz w:val="24"/>
                <w:szCs w:val="24"/>
              </w:rPr>
              <w:t>套/年</w:t>
            </w:r>
          </w:p>
        </w:tc>
        <w:tc>
          <w:tcPr>
            <w:tcW w:w="2028" w:type="dxa"/>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Calibri" w:hAnsi="Calibri"/>
                <w:color w:val="000000"/>
                <w:kern w:val="2"/>
                <w:sz w:val="24"/>
                <w:szCs w:val="24"/>
                <w:vertAlign w:val="baseline"/>
                <w:lang w:val="en-US" w:eastAsia="zh-CN" w:bidi="ar-SA"/>
              </w:rPr>
            </w:pPr>
            <w:r>
              <w:rPr>
                <w:rFonts w:hint="eastAsia" w:ascii="Calibri" w:hAnsi="Calibri"/>
                <w:color w:val="000000"/>
                <w:kern w:val="2"/>
                <w:sz w:val="24"/>
                <w:szCs w:val="24"/>
                <w:vertAlign w:val="baseline"/>
                <w:lang w:val="en-US" w:eastAsia="zh-CN" w:bidi="ar-SA"/>
              </w:rPr>
              <w:t>12</w:t>
            </w:r>
          </w:p>
        </w:tc>
        <w:tc>
          <w:tcPr>
            <w:tcW w:w="3004" w:type="dxa"/>
            <w:shd w:val="clear" w:color="auto" w:fill="FFFFFF"/>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含一年云平台服务费及</w:t>
            </w:r>
            <w:r>
              <w:rPr>
                <w:rFonts w:hint="eastAsia" w:ascii="宋体" w:hAnsi="宋体" w:eastAsia="宋体"/>
                <w:color w:val="000000"/>
                <w:sz w:val="24"/>
                <w:szCs w:val="24"/>
              </w:rPr>
              <w:t>物联网卡</w:t>
            </w:r>
            <w:r>
              <w:rPr>
                <w:rFonts w:hint="eastAsia" w:ascii="宋体" w:hAnsi="宋体" w:eastAsia="宋体"/>
                <w:color w:val="000000"/>
                <w:sz w:val="24"/>
                <w:szCs w:val="24"/>
                <w:lang w:val="en-US" w:eastAsia="zh-CN"/>
              </w:rPr>
              <w:t>流量费</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Times New Roman" w:eastAsia="宋体" w:cs="Times New Roman"/>
          <w:b/>
          <w:bCs/>
          <w:kern w:val="2"/>
          <w:sz w:val="24"/>
          <w:szCs w:val="24"/>
          <w:highlight w:val="none"/>
          <w:lang w:val="en-US" w:eastAsia="zh-CN" w:bidi="ar-SA"/>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四、技术参数</w:t>
      </w:r>
      <w:r>
        <w:rPr>
          <w:rFonts w:hint="eastAsia" w:ascii="宋体" w:hAnsi="Times New Roman" w:eastAsia="宋体" w:cs="Times New Roman"/>
          <w:b/>
          <w:bCs/>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2" w:firstLineChars="200"/>
        <w:rPr>
          <w:rFonts w:hint="eastAsia" w:ascii="宋体" w:hAnsi="Times New Roman" w:eastAsia="宋体"/>
          <w:b/>
          <w:bCs/>
          <w:kern w:val="2"/>
          <w:sz w:val="24"/>
          <w:szCs w:val="24"/>
          <w:lang w:val="en-US" w:eastAsia="zh-CN" w:bidi="ar-SA"/>
        </w:rPr>
      </w:pPr>
      <w:r>
        <w:rPr>
          <w:rFonts w:hint="eastAsia" w:ascii="宋体" w:hAnsi="Times New Roman" w:eastAsia="宋体"/>
          <w:b/>
          <w:bCs/>
          <w:kern w:val="2"/>
          <w:sz w:val="24"/>
          <w:szCs w:val="24"/>
          <w:lang w:val="en-US" w:eastAsia="zh-CN" w:bidi="ar-SA"/>
        </w:rPr>
        <w:t>1.产品名称：</w:t>
      </w:r>
      <w:r>
        <w:rPr>
          <w:rFonts w:hint="eastAsia" w:ascii="宋体" w:hAnsi="宋体" w:eastAsia="宋体"/>
          <w:b/>
          <w:bCs/>
          <w:color w:val="000000"/>
          <w:sz w:val="24"/>
          <w:szCs w:val="24"/>
          <w:lang w:val="en-US" w:eastAsia="zh-CN"/>
        </w:rPr>
        <w:t>车载垃圾分类智能收集秤</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1.1工作电压：DC12-24V 外部宽电压供电DC48-120V</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1.2产品尺寸：外形尺寸（长×宽×高）折叠：（410±5）mm×（255±5）mm×（1000±10）mm；不折叠：（410±5）mm×（420±5）mm×（1000±10）mm。</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1.3产品功能：居民身份信息识别功能、称重到户功能、拍照功能、评价功能以及数据传输功能。</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1.4外观：设备一体化工艺，外观采用户外专用塑粉静电喷涂。</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★1.5电子屏：≥10.1英寸触摸屏，显示面采用电容式多点触摸高硬度钢化玻璃显示屏，高硬度钢化玻璃强度等级不低于IK08标准。</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1.6材质：秤面和设备底座采用304不锈钢材质，其余部分采用厚度不小于1.2mm的镀锌板。</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1.7称重到户功能（设备有称量、除皮）：通过高精密压力传感器计算读取物品重量, 准确度3级要求。</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★1.8电压保护功能：内部供电电压高于30V或低于9V自动断电，保护设备用电安全。</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1.9评价功能：设备集成化水平高，设备应小于5个防水功能物理按键，触摸屏可同时触摸按键评价。</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1.10拍照功能：设备安装有200万像素高清摄像头并带有自动补LED灯，光线不足时LED灯自动开启补光模式。</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1.11定位功能：北斗+GPS 高精准定位。</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1.12信号增加：外置圆盘式MIMO组合天线</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kern w:val="2"/>
          <w:sz w:val="24"/>
          <w:szCs w:val="24"/>
          <w:lang w:val="en-US" w:eastAsia="zh-CN" w:bidi="ar-SA"/>
        </w:rPr>
        <w:t>★1.13AI自动评价功能：可自动识别桶内垃圾并对分类结果进行AI自动评价，无需手动评价。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★1.14自动评价即时反馈功能：设备装有AI指示灯，可根据识别结果显示自定义灯光颜色。</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Times New Roman" w:eastAsia="宋体"/>
          <w:b w:val="0"/>
          <w:color w:val="000000"/>
          <w:kern w:val="2"/>
          <w:sz w:val="24"/>
          <w:szCs w:val="24"/>
          <w:highlight w:val="yellow"/>
          <w:lang w:val="en-US" w:eastAsia="zh-CN" w:bidi="ar-SA"/>
        </w:rPr>
      </w:pPr>
      <w:r>
        <w:rPr>
          <w:rFonts w:hint="eastAsia" w:ascii="宋体" w:hAnsi="Times New Roman" w:eastAsia="宋体" w:cs="Times New Roman"/>
          <w:kern w:val="2"/>
          <w:sz w:val="24"/>
          <w:szCs w:val="24"/>
          <w:highlight w:val="none"/>
          <w:lang w:val="en-US" w:eastAsia="zh-CN" w:bidi="ar-SA"/>
        </w:rPr>
        <w:t>★1.15湿热贮存：设备在（+70±2）℃，95%±3%，放置16h,试验后样</w:t>
      </w:r>
      <w:r>
        <w:rPr>
          <w:rFonts w:hint="eastAsia" w:ascii="宋体" w:hAnsi="Times New Roman" w:eastAsia="宋体"/>
          <w:b w:val="0"/>
          <w:color w:val="000000"/>
          <w:kern w:val="2"/>
          <w:sz w:val="24"/>
          <w:szCs w:val="24"/>
          <w:lang w:val="en-US" w:eastAsia="zh-CN" w:bidi="ar-SA"/>
        </w:rPr>
        <w:t>品能正常工作。</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2" w:firstLineChars="200"/>
        <w:rPr>
          <w:rFonts w:hint="eastAsia" w:ascii="宋体" w:hAnsi="Times New Roman" w:eastAsia="宋体"/>
          <w:b/>
          <w:bCs/>
          <w:color w:val="000000"/>
          <w:kern w:val="2"/>
          <w:sz w:val="24"/>
          <w:szCs w:val="24"/>
          <w:lang w:val="en-US" w:eastAsia="zh-CN" w:bidi="ar-SA"/>
        </w:rPr>
      </w:pPr>
      <w:r>
        <w:rPr>
          <w:rFonts w:hint="eastAsia" w:ascii="宋体" w:hAnsi="Times New Roman" w:eastAsia="宋体"/>
          <w:b/>
          <w:bCs/>
          <w:color w:val="000000"/>
          <w:kern w:val="2"/>
          <w:sz w:val="24"/>
          <w:szCs w:val="24"/>
          <w:lang w:val="en-US" w:eastAsia="zh-CN" w:bidi="ar-SA"/>
        </w:rPr>
        <w:t>2.产品名称：智能触摸查询一体机</w:t>
      </w:r>
    </w:p>
    <w:tbl>
      <w:tblPr>
        <w:tblStyle w:val="42"/>
        <w:tblW w:w="935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0" w:type="dxa"/>
          <w:right w:w="15" w:type="dxa"/>
        </w:tblCellMar>
      </w:tblPr>
      <w:tblGrid>
        <w:gridCol w:w="2106"/>
        <w:gridCol w:w="2146"/>
        <w:gridCol w:w="2553"/>
        <w:gridCol w:w="2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输入</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内部主板LVDS和EDP 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显示</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PC 全高清lvds/edp 信号1080P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PC 视频解码</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1080P 全高清（Full HD）MPEG、H.264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结构设计</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整机全部为五金结构，坚固一体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系统模块</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主板，其他配件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9359" w:type="dxa"/>
            <w:gridSpan w:val="4"/>
            <w:shd w:val="clear" w:color="auto" w:fill="FFFFFF"/>
            <w:noWrap/>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显示模块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屏类型</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液晶屏 A规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尺寸</w:t>
            </w:r>
          </w:p>
        </w:tc>
        <w:tc>
          <w:tcPr>
            <w:tcW w:w="7253" w:type="dxa"/>
            <w:gridSpan w:val="3"/>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55英寸(16:9)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显示区域</w:t>
            </w:r>
          </w:p>
        </w:tc>
        <w:tc>
          <w:tcPr>
            <w:tcW w:w="7253" w:type="dxa"/>
            <w:gridSpan w:val="3"/>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1217(H)*684(V)MM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最佳分辨率</w:t>
            </w:r>
          </w:p>
        </w:tc>
        <w:tc>
          <w:tcPr>
            <w:tcW w:w="7253" w:type="dxa"/>
            <w:gridSpan w:val="3"/>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亮度</w:t>
            </w:r>
          </w:p>
        </w:tc>
        <w:tc>
          <w:tcPr>
            <w:tcW w:w="2146"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 350cd/m2</w:t>
            </w:r>
          </w:p>
        </w:tc>
        <w:tc>
          <w:tcPr>
            <w:tcW w:w="2553"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对比度</w:t>
            </w:r>
          </w:p>
        </w:tc>
        <w:tc>
          <w:tcPr>
            <w:tcW w:w="2554"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 1000：1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响应时间</w:t>
            </w:r>
          </w:p>
        </w:tc>
        <w:tc>
          <w:tcPr>
            <w:tcW w:w="2146"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4ms</w:t>
            </w:r>
          </w:p>
        </w:tc>
        <w:tc>
          <w:tcPr>
            <w:tcW w:w="2553"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刷新频率</w:t>
            </w:r>
          </w:p>
        </w:tc>
        <w:tc>
          <w:tcPr>
            <w:tcW w:w="2554"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色彩总数</w:t>
            </w:r>
          </w:p>
        </w:tc>
        <w:tc>
          <w:tcPr>
            <w:tcW w:w="7253" w:type="dxa"/>
            <w:gridSpan w:val="3"/>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16.7M（8-bit 2(LVDS)通道低压差分信号）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可视角度</w:t>
            </w:r>
          </w:p>
        </w:tc>
        <w:tc>
          <w:tcPr>
            <w:tcW w:w="7253" w:type="dxa"/>
            <w:gridSpan w:val="3"/>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全视角：178°(V)/178°(H) （典型）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使用寿命</w:t>
            </w:r>
          </w:p>
        </w:tc>
        <w:tc>
          <w:tcPr>
            <w:tcW w:w="7253" w:type="dxa"/>
            <w:gridSpan w:val="3"/>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&gt; 60000(hrs)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472" w:hRule="atLeast"/>
        </w:trPr>
        <w:tc>
          <w:tcPr>
            <w:tcW w:w="9359" w:type="dxa"/>
            <w:gridSpan w:val="4"/>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触摸模块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472" w:hRule="atLeast"/>
        </w:trPr>
        <w:tc>
          <w:tcPr>
            <w:tcW w:w="2106" w:type="dxa"/>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触摸技术</w:t>
            </w:r>
          </w:p>
        </w:tc>
        <w:tc>
          <w:tcPr>
            <w:tcW w:w="7253" w:type="dxa"/>
            <w:gridSpan w:val="3"/>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红外触摸屏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玻璃表面硬度</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大于或等于6H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钢化玻璃厚度</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3mm钢化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书写方式</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手指、触摸笔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理论点击次数</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6亿次以上的单点触摸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触摸精度</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95%的区域定位误差小于2mm、边缘定位误差小于5mm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支持触摸点数</w:t>
            </w:r>
          </w:p>
        </w:tc>
        <w:tc>
          <w:tcPr>
            <w:tcW w:w="7253" w:type="dxa"/>
            <w:gridSpan w:val="3"/>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10点触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9359" w:type="dxa"/>
            <w:gridSpan w:val="4"/>
            <w:shd w:val="clear" w:color="auto" w:fill="FFFFFF"/>
            <w:noWrap w:val="0"/>
            <w:tcMar>
              <w:top w:w="15" w:type="dxa"/>
              <w:left w:w="15" w:type="dxa"/>
              <w:right w:w="15" w:type="dxa"/>
            </w:tcMar>
            <w:vAlign w:val="bottom"/>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内置功能模块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喇叭</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内置腔体喇叭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电源接口</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220V 三插电源接入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电源开关</w:t>
            </w:r>
          </w:p>
        </w:tc>
        <w:tc>
          <w:tcPr>
            <w:tcW w:w="7253" w:type="dxa"/>
            <w:gridSpan w:val="3"/>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标准断电开关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USB输入</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USB*2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天线</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Wifi接收天线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9359" w:type="dxa"/>
            <w:gridSpan w:val="4"/>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电源参数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输入电源</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DC 12V-5A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整机功耗</w:t>
            </w:r>
          </w:p>
        </w:tc>
        <w:tc>
          <w:tcPr>
            <w:tcW w:w="7253" w:type="dxa"/>
            <w:gridSpan w:val="3"/>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﹤40 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待机功耗</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﹤0.5 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9359" w:type="dxa"/>
            <w:gridSpan w:val="4"/>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工作环境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工作温度</w:t>
            </w:r>
          </w:p>
        </w:tc>
        <w:tc>
          <w:tcPr>
            <w:tcW w:w="7253" w:type="dxa"/>
            <w:gridSpan w:val="3"/>
            <w:shd w:val="clear" w:color="auto" w:fill="FFFFFF"/>
            <w:noWrap/>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工作湿度</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0% - 60%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贮存温度</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贮存湿度</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 - 95%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9359" w:type="dxa"/>
            <w:gridSpan w:val="4"/>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随机附件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电源线</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合格证</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9359" w:type="dxa"/>
            <w:gridSpan w:val="4"/>
            <w:shd w:val="clear" w:color="auto" w:fill="FFFFFF"/>
            <w:noWrap/>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主板参数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方案</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安卓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芯片</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RK3288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内存</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90" w:hRule="atLeast"/>
        </w:trPr>
        <w:tc>
          <w:tcPr>
            <w:tcW w:w="2106" w:type="dxa"/>
            <w:shd w:val="clear" w:color="auto" w:fill="FFFFFF"/>
            <w:noWrap w:val="0"/>
            <w:tcMar>
              <w:top w:w="15" w:type="dxa"/>
              <w:left w:w="15" w:type="dxa"/>
              <w:right w:w="15" w:type="dxa"/>
            </w:tcMar>
            <w:vAlign w:val="center"/>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储存</w:t>
            </w:r>
          </w:p>
        </w:tc>
        <w:tc>
          <w:tcPr>
            <w:tcW w:w="7253" w:type="dxa"/>
            <w:gridSpan w:val="3"/>
            <w:shd w:val="clear" w:color="auto" w:fill="FFFFFF"/>
            <w:noWrap w:val="0"/>
            <w:tcMar>
              <w:top w:w="15" w:type="dxa"/>
              <w:left w:w="15" w:type="dxa"/>
              <w:right w:w="15" w:type="dxa"/>
            </w:tcMar>
            <w:vAlign w:val="top"/>
          </w:tcPr>
          <w:p>
            <w:pPr>
              <w:spacing w:line="400" w:lineRule="exact"/>
              <w:jc w:val="both"/>
              <w:rPr>
                <w:rFonts w:hint="eastAsia" w:ascii="宋体" w:hAnsi="宋体" w:eastAsia="宋体"/>
                <w:sz w:val="24"/>
                <w:szCs w:val="24"/>
                <w:lang w:val="en-US" w:eastAsia="zh-CN"/>
              </w:rPr>
            </w:pPr>
            <w:r>
              <w:rPr>
                <w:rFonts w:hint="eastAsia" w:ascii="宋体" w:hAnsi="宋体" w:eastAsia="宋体"/>
                <w:sz w:val="24"/>
                <w:szCs w:val="24"/>
                <w:lang w:val="en-US" w:eastAsia="zh-CN"/>
              </w:rPr>
              <w:t>8G</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Times New Roman" w:eastAsia="宋体" w:cs="Times New Roman"/>
          <w:b/>
          <w:bCs/>
          <w:kern w:val="2"/>
          <w:sz w:val="24"/>
          <w:szCs w:val="24"/>
          <w:highlight w:val="none"/>
          <w:lang w:val="en-US" w:eastAsia="zh-CN" w:bidi="ar-SA"/>
        </w:rPr>
      </w:pPr>
      <w:r>
        <w:rPr>
          <w:rFonts w:hint="eastAsia" w:ascii="宋体" w:hAnsi="Times New Roman" w:eastAsia="宋体" w:cs="Times New Roman"/>
          <w:b/>
          <w:bCs/>
          <w:kern w:val="2"/>
          <w:sz w:val="24"/>
          <w:szCs w:val="24"/>
          <w:highlight w:val="none"/>
          <w:lang w:val="en-US" w:eastAsia="zh-CN" w:bidi="ar-SA"/>
        </w:rPr>
        <w:t>3.产品名称：芯片垃圾桶</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芯片垃圾桶核心是集成电路芯片，是利用现代先进的微电子技术，将大规模集成电路芯片嵌在一块塑料卡片之中，垃圾桶智能二维码芯片卡背胶</w:t>
      </w:r>
      <w:r>
        <w:rPr>
          <w:rFonts w:hint="eastAsia" w:ascii="宋体" w:hAnsi="Times New Roman" w:eastAsia="宋体"/>
          <w:kern w:val="2"/>
          <w:sz w:val="24"/>
          <w:szCs w:val="24"/>
          <w:lang w:val="zh-CN" w:eastAsia="zh-CN" w:bidi="ar-SA"/>
        </w:rPr>
        <w:t>采用</w:t>
      </w:r>
      <w:r>
        <w:rPr>
          <w:rFonts w:hint="eastAsia" w:ascii="宋体" w:hAnsi="Times New Roman" w:eastAsia="宋体"/>
          <w:kern w:val="2"/>
          <w:sz w:val="24"/>
          <w:szCs w:val="24"/>
          <w:lang w:val="en-US" w:eastAsia="zh-CN" w:bidi="ar-SA"/>
        </w:rPr>
        <w:t>3M高强度防脱双面胶；芯片卡采用集成电路芯片和二维码识别数据共通。</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20L+30L带框脚踩垃圾桶由三个部分组成，分别是塑料垃圾桶架、塑料桶与塑料桶盖。桶体采用高密度聚乙烯/聚丙烯原生料一次性注塑而成，技术要求和物理性能达到国家CJ/T280-2008行业标准。</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垃圾桶颜色及图标要求：</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 xml:space="preserve">1、标志颜色和字体 </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1）二分法垃圾桶采用的颜色：易腐垃圾容器采用绿色，色标为c40 y27（PANTONE 557CVC）；其它垃圾容器采用灰色，色标为PAN-TONE 5477CVC。</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2）标志粘贴位置大小及颜色按照要求制作。</w:t>
      </w:r>
    </w:p>
    <w:p>
      <w:pPr>
        <w:pStyle w:val="169"/>
        <w:jc w:val="center"/>
        <w:rPr>
          <w:rFonts w:hint="eastAsia" w:ascii="仿宋" w:hAnsi="仿宋" w:eastAsia="仿宋"/>
          <w:sz w:val="24"/>
          <w:szCs w:val="24"/>
          <w:lang w:eastAsia="zh-CN"/>
        </w:rPr>
      </w:pPr>
      <w:r>
        <w:rPr>
          <w:rFonts w:hint="eastAsia" w:ascii="仿宋" w:hAnsi="仿宋" w:eastAsia="仿宋"/>
          <w:sz w:val="24"/>
          <w:szCs w:val="24"/>
          <w:lang w:eastAsia="zh-CN"/>
        </w:rPr>
        <w:drawing>
          <wp:inline distT="0" distB="0" distL="114300" distR="114300">
            <wp:extent cx="1111250" cy="1416050"/>
            <wp:effectExtent l="0" t="0" r="12700" b="12700"/>
            <wp:docPr id="11" name="图片 4"/>
            <wp:cNvGraphicFramePr/>
            <a:graphic xmlns:a="http://schemas.openxmlformats.org/drawingml/2006/main">
              <a:graphicData uri="http://schemas.openxmlformats.org/drawingml/2006/picture">
                <pic:pic xmlns:pic="http://schemas.openxmlformats.org/drawingml/2006/picture">
                  <pic:nvPicPr>
                    <pic:cNvPr id="11" name="图片 4"/>
                    <pic:cNvPicPr/>
                  </pic:nvPicPr>
                  <pic:blipFill>
                    <a:blip r:embed="rId21"/>
                    <a:stretch>
                      <a:fillRect/>
                    </a:stretch>
                  </pic:blipFill>
                  <pic:spPr>
                    <a:xfrm>
                      <a:off x="0" y="0"/>
                      <a:ext cx="1111250" cy="1416050"/>
                    </a:xfrm>
                    <a:prstGeom prst="rect">
                      <a:avLst/>
                    </a:prstGeom>
                    <a:noFill/>
                    <a:ln>
                      <a:noFill/>
                    </a:ln>
                  </pic:spPr>
                </pic:pic>
              </a:graphicData>
            </a:graphic>
          </wp:inline>
        </w:drawing>
      </w:r>
      <w:r>
        <w:rPr>
          <w:rFonts w:hint="eastAsia" w:ascii="仿宋" w:hAnsi="仿宋" w:eastAsia="仿宋"/>
          <w:sz w:val="24"/>
          <w:szCs w:val="24"/>
          <w:lang w:eastAsia="zh-CN"/>
        </w:rPr>
        <w:drawing>
          <wp:inline distT="0" distB="0" distL="114300" distR="114300">
            <wp:extent cx="1212215" cy="1275715"/>
            <wp:effectExtent l="0" t="0" r="6985" b="635"/>
            <wp:docPr id="10" name="图片 5"/>
            <wp:cNvGraphicFramePr/>
            <a:graphic xmlns:a="http://schemas.openxmlformats.org/drawingml/2006/main">
              <a:graphicData uri="http://schemas.openxmlformats.org/drawingml/2006/picture">
                <pic:pic xmlns:pic="http://schemas.openxmlformats.org/drawingml/2006/picture">
                  <pic:nvPicPr>
                    <pic:cNvPr id="10" name="图片 5"/>
                    <pic:cNvPicPr/>
                  </pic:nvPicPr>
                  <pic:blipFill>
                    <a:blip r:embed="rId22"/>
                    <a:stretch>
                      <a:fillRect/>
                    </a:stretch>
                  </pic:blipFill>
                  <pic:spPr>
                    <a:xfrm>
                      <a:off x="0" y="0"/>
                      <a:ext cx="1212215" cy="127571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Times New Roman" w:eastAsia="宋体" w:cs="Times New Roman"/>
          <w:b/>
          <w:bCs/>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 xml:space="preserve"> </w:t>
      </w:r>
      <w:r>
        <w:rPr>
          <w:rFonts w:hint="eastAsia" w:ascii="宋体" w:hAnsi="Times New Roman" w:eastAsia="宋体" w:cs="Times New Roman"/>
          <w:b/>
          <w:bCs/>
          <w:kern w:val="2"/>
          <w:sz w:val="24"/>
          <w:szCs w:val="24"/>
          <w:highlight w:val="none"/>
          <w:lang w:val="en-US" w:eastAsia="zh-CN" w:bidi="ar-SA"/>
        </w:rPr>
        <w:t>4.产品名称</w:t>
      </w:r>
      <w:r>
        <w:rPr>
          <w:rFonts w:hint="eastAsia" w:ascii="宋体" w:hAnsi="Times New Roman" w:eastAsia="宋体" w:cs="Times New Roman"/>
          <w:b/>
          <w:bCs/>
          <w:kern w:val="2"/>
          <w:sz w:val="24"/>
          <w:szCs w:val="24"/>
          <w:highlight w:val="none"/>
          <w:lang w:val="zh-CN" w:eastAsia="zh-CN" w:bidi="ar-SA"/>
        </w:rPr>
        <w:t>：</w:t>
      </w:r>
      <w:r>
        <w:rPr>
          <w:rFonts w:hint="eastAsia" w:ascii="宋体" w:hAnsi="Times New Roman" w:eastAsia="宋体" w:cs="Times New Roman"/>
          <w:b/>
          <w:bCs/>
          <w:kern w:val="2"/>
          <w:sz w:val="24"/>
          <w:szCs w:val="24"/>
          <w:highlight w:val="none"/>
          <w:lang w:val="en-US" w:eastAsia="zh-CN" w:bidi="ar-SA"/>
        </w:rPr>
        <w:t>垃圾分类收集车</w:t>
      </w:r>
    </w:p>
    <w:tbl>
      <w:tblPr>
        <w:tblStyle w:val="42"/>
        <w:tblW w:w="9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1"/>
        <w:gridCol w:w="1137"/>
        <w:gridCol w:w="1337"/>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restart"/>
            <w:noWrap w:val="0"/>
            <w:vAlign w:val="center"/>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基</w:t>
            </w:r>
          </w:p>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本</w:t>
            </w:r>
          </w:p>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配</w:t>
            </w:r>
          </w:p>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置</w:t>
            </w:r>
          </w:p>
        </w:tc>
        <w:tc>
          <w:tcPr>
            <w:tcW w:w="1137" w:type="dxa"/>
            <w:vMerge w:val="restart"/>
            <w:noWrap w:val="0"/>
            <w:vAlign w:val="center"/>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电器配置</w:t>
            </w: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电机</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60V2000W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控制器</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2200W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电池</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60V铅酸水电池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充电器</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便携式智能全自动充电器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center"/>
          </w:tcPr>
          <w:p>
            <w:pPr>
              <w:widowControl/>
              <w:spacing w:beforeAutospacing="0"/>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灯光及信号</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LED大灯、左右转向灯、刹车灯、行车灯、仪表、警示灯</w:t>
            </w:r>
          </w:p>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电喇叭、倒车喇叭、工作警示灯（选配）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restart"/>
            <w:noWrap w:val="0"/>
            <w:vAlign w:val="center"/>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底盘系统</w:t>
            </w: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车架</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整体车架焊接+酸洗磷化电泳烤漆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动力传动</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后置驱动，配备前进和倒挡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转向</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龙头把式转向机构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center"/>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悬挂</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前悬挂：加粗双筒外加螺旋弹簧式前叉</w:t>
            </w:r>
          </w:p>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后悬架：一体驱动桥加装弹簧钢板非独立悬挂</w:t>
            </w:r>
          </w:p>
          <w:p>
            <w:pPr>
              <w:widowControl/>
              <w:ind w:left="2" w:leftChars="1" w:right="11" w:rightChars="0"/>
              <w:jc w:val="left"/>
              <w:rPr>
                <w:rFonts w:hint="eastAsia" w:ascii="宋体" w:hAnsi="宋体" w:eastAsia="宋体"/>
                <w:color w:val="000000"/>
                <w:sz w:val="24"/>
                <w:szCs w:val="24"/>
                <w:lang w:eastAsia="zh-CN"/>
              </w:rPr>
            </w:pPr>
          </w:p>
          <w:p>
            <w:pPr>
              <w:widowControl/>
              <w:ind w:left="2" w:leftChars="1" w:right="11" w:rightChars="0"/>
              <w:jc w:val="left"/>
              <w:rPr>
                <w:rFonts w:hint="eastAsia" w:ascii="宋体" w:hAnsi="宋体" w:eastAsia="宋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后桥</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一体式差速后桥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制动</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脚踩机械连杆鼓式后轮制动+左手把式软轴前轮制动+手动机械驻车制动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轮胎</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前轮：3.25-16       后轮：4.00-12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restart"/>
            <w:noWrap w:val="0"/>
            <w:vAlign w:val="center"/>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车身配置</w:t>
            </w: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油漆</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高级汽车专用油漆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车体</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钢制车架+钣金成型箱体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仪表台</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电门锁，仪表，组合开关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座椅</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皮革软座椅+皮革软靠背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137"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1337"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箱体</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钢板折弯整体焊接结构，酸洗磷化电泳烤漆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exact"/>
        </w:trPr>
        <w:tc>
          <w:tcPr>
            <w:tcW w:w="511" w:type="dxa"/>
            <w:vMerge w:val="restart"/>
            <w:noWrap w:val="0"/>
            <w:vAlign w:val="center"/>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技</w:t>
            </w:r>
          </w:p>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术</w:t>
            </w:r>
          </w:p>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参</w:t>
            </w:r>
          </w:p>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数</w:t>
            </w: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整车尺寸（长x宽x高）</w:t>
            </w:r>
          </w:p>
        </w:tc>
        <w:tc>
          <w:tcPr>
            <w:tcW w:w="6614" w:type="dxa"/>
            <w:noWrap w:val="0"/>
            <w:vAlign w:val="top"/>
          </w:tcPr>
          <w:p>
            <w:pPr>
              <w:widowControl/>
              <w:ind w:right="11" w:rightChars="0"/>
              <w:jc w:val="left"/>
              <w:rPr>
                <w:rFonts w:ascii="Arial" w:hAnsi="Arial" w:eastAsia="宋体"/>
                <w:color w:val="000000"/>
                <w:sz w:val="24"/>
                <w:szCs w:val="24"/>
                <w:lang w:eastAsia="zh-CN"/>
              </w:rPr>
            </w:pPr>
            <w:r>
              <w:rPr>
                <w:rFonts w:ascii="Arial" w:hAnsi="Arial" w:eastAsia="宋体"/>
                <w:color w:val="000000"/>
                <w:sz w:val="24"/>
                <w:szCs w:val="24"/>
                <w:lang w:eastAsia="zh-CN"/>
              </w:rPr>
              <w:t>≥</w:t>
            </w:r>
            <w:r>
              <w:rPr>
                <w:rFonts w:hint="eastAsia" w:ascii="宋体" w:hAnsi="宋体" w:eastAsia="宋体"/>
                <w:color w:val="000000"/>
                <w:sz w:val="24"/>
                <w:szCs w:val="24"/>
                <w:lang w:eastAsia="zh-CN"/>
              </w:rPr>
              <w:t>3840×1200×1800（mm）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车厢容积</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2x120L垃圾桶(</w:t>
            </w:r>
            <w:r>
              <w:rPr>
                <w:rFonts w:ascii="Arial" w:hAnsi="Arial" w:eastAsia="宋体"/>
                <w:color w:val="000000"/>
                <w:sz w:val="24"/>
                <w:szCs w:val="24"/>
                <w:lang w:eastAsia="zh-CN"/>
              </w:rPr>
              <w:t>≥</w:t>
            </w:r>
            <w:r>
              <w:rPr>
                <w:rFonts w:hint="eastAsia" w:ascii="宋体" w:hAnsi="宋体" w:eastAsia="宋体"/>
                <w:color w:val="000000"/>
                <w:sz w:val="24"/>
                <w:szCs w:val="24"/>
                <w:lang w:eastAsia="zh-CN"/>
              </w:rPr>
              <w:t>1600x1200x1000车厢尺寸)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额定乘员</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轴距</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2650mm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轮距</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1030mm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最小离地间隙</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最小转弯半径</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最小制动距离</w:t>
            </w:r>
          </w:p>
        </w:tc>
        <w:tc>
          <w:tcPr>
            <w:tcW w:w="6614" w:type="dxa"/>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最大运行速度</w:t>
            </w:r>
          </w:p>
        </w:tc>
        <w:tc>
          <w:tcPr>
            <w:tcW w:w="6614" w:type="dxa"/>
            <w:noWrap w:val="0"/>
            <w:vAlign w:val="top"/>
          </w:tcPr>
          <w:p>
            <w:pPr>
              <w:widowControl/>
              <w:ind w:left="2" w:leftChars="1" w:right="11" w:right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w:t>
            </w:r>
            <w:r>
              <w:rPr>
                <w:rFonts w:hint="eastAsia" w:ascii="宋体" w:hAnsi="宋体" w:eastAsia="宋体"/>
                <w:color w:val="000000"/>
                <w:sz w:val="24"/>
                <w:szCs w:val="24"/>
                <w:lang w:eastAsia="zh-CN"/>
              </w:rPr>
              <w:t>25km/h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最大爬坡度</w:t>
            </w:r>
          </w:p>
        </w:tc>
        <w:tc>
          <w:tcPr>
            <w:tcW w:w="6614" w:type="dxa"/>
            <w:noWrap w:val="0"/>
            <w:vAlign w:val="top"/>
          </w:tcPr>
          <w:p>
            <w:pPr>
              <w:widowControl/>
              <w:ind w:left="2" w:leftChars="1" w:right="11" w:right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w:t>
            </w:r>
            <w:r>
              <w:rPr>
                <w:rFonts w:hint="eastAsia" w:ascii="宋体" w:hAnsi="宋体" w:eastAsia="宋体"/>
                <w:color w:val="000000"/>
                <w:sz w:val="24"/>
                <w:szCs w:val="24"/>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整备质量</w:t>
            </w:r>
          </w:p>
        </w:tc>
        <w:tc>
          <w:tcPr>
            <w:tcW w:w="6614" w:type="dxa"/>
            <w:noWrap w:val="0"/>
            <w:vAlign w:val="top"/>
          </w:tcPr>
          <w:p>
            <w:pPr>
              <w:widowControl/>
              <w:ind w:left="2" w:leftChars="1" w:right="11" w:right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w:t>
            </w:r>
            <w:r>
              <w:rPr>
                <w:rFonts w:hint="eastAsia" w:ascii="宋体" w:hAnsi="宋体" w:eastAsia="宋体"/>
                <w:color w:val="000000"/>
                <w:sz w:val="24"/>
                <w:szCs w:val="24"/>
                <w:lang w:eastAsia="zh-CN"/>
              </w:rPr>
              <w:t>420kg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额定载荷</w:t>
            </w:r>
          </w:p>
        </w:tc>
        <w:tc>
          <w:tcPr>
            <w:tcW w:w="6614" w:type="dxa"/>
            <w:noWrap w:val="0"/>
            <w:vAlign w:val="top"/>
          </w:tcPr>
          <w:p>
            <w:pPr>
              <w:widowControl/>
              <w:ind w:left="2" w:leftChars="1" w:right="11" w:right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w:t>
            </w:r>
            <w:r>
              <w:rPr>
                <w:rFonts w:hint="eastAsia" w:ascii="宋体" w:hAnsi="宋体" w:eastAsia="宋体"/>
                <w:color w:val="000000"/>
                <w:sz w:val="24"/>
                <w:szCs w:val="24"/>
                <w:lang w:eastAsia="zh-CN"/>
              </w:rPr>
              <w:t>850kg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续航里程</w:t>
            </w:r>
          </w:p>
        </w:tc>
        <w:tc>
          <w:tcPr>
            <w:tcW w:w="6614" w:type="dxa"/>
            <w:noWrap w:val="0"/>
            <w:vAlign w:val="top"/>
          </w:tcPr>
          <w:p>
            <w:pPr>
              <w:widowControl/>
              <w:ind w:left="2" w:leftChars="1" w:right="11" w:right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w:t>
            </w:r>
            <w:r>
              <w:rPr>
                <w:rFonts w:hint="eastAsia" w:ascii="宋体" w:hAnsi="宋体" w:eastAsia="宋体"/>
                <w:color w:val="000000"/>
                <w:sz w:val="24"/>
                <w:szCs w:val="24"/>
                <w:lang w:eastAsia="zh-CN"/>
              </w:rPr>
              <w:t>80km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511" w:type="dxa"/>
            <w:vMerge w:val="continue"/>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充电时间</w:t>
            </w:r>
          </w:p>
        </w:tc>
        <w:tc>
          <w:tcPr>
            <w:tcW w:w="6614" w:type="dxa"/>
            <w:noWrap w:val="0"/>
            <w:vAlign w:val="top"/>
          </w:tcPr>
          <w:p>
            <w:pPr>
              <w:widowControl/>
              <w:ind w:left="2" w:leftChars="1" w:right="11" w:right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w:t>
            </w:r>
            <w:r>
              <w:rPr>
                <w:rFonts w:hint="eastAsia" w:ascii="宋体" w:hAnsi="宋体" w:eastAsia="宋体"/>
                <w:color w:val="000000"/>
                <w:sz w:val="24"/>
                <w:szCs w:val="24"/>
                <w:lang w:eastAsia="zh-CN"/>
              </w:rPr>
              <w:t>6-8h（放电率80%）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exact"/>
        </w:trPr>
        <w:tc>
          <w:tcPr>
            <w:tcW w:w="511" w:type="dxa"/>
            <w:noWrap w:val="0"/>
            <w:vAlign w:val="top"/>
          </w:tcPr>
          <w:p>
            <w:pPr>
              <w:widowControl/>
              <w:ind w:left="2" w:leftChars="1" w:right="11" w:rightChars="0"/>
              <w:jc w:val="left"/>
              <w:rPr>
                <w:rFonts w:hint="eastAsia" w:ascii="宋体" w:hAnsi="宋体" w:eastAsia="宋体"/>
                <w:color w:val="000000"/>
                <w:sz w:val="24"/>
                <w:szCs w:val="24"/>
                <w:lang w:eastAsia="zh-CN"/>
              </w:rPr>
            </w:pPr>
          </w:p>
        </w:tc>
        <w:tc>
          <w:tcPr>
            <w:tcW w:w="2474" w:type="dxa"/>
            <w:gridSpan w:val="2"/>
            <w:noWrap w:val="0"/>
            <w:vAlign w:val="top"/>
          </w:tcPr>
          <w:p>
            <w:pPr>
              <w:widowControl/>
              <w:ind w:left="2" w:leftChars="1" w:right="11" w:rightChars="0"/>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升降电机</w:t>
            </w:r>
          </w:p>
        </w:tc>
        <w:tc>
          <w:tcPr>
            <w:tcW w:w="6614" w:type="dxa"/>
            <w:noWrap w:val="0"/>
            <w:vAlign w:val="top"/>
          </w:tcPr>
          <w:p>
            <w:pPr>
              <w:widowControl/>
              <w:ind w:left="2" w:leftChars="1" w:right="11" w:rightChars="0"/>
              <w:jc w:val="left"/>
              <w:rPr>
                <w:rFonts w:hint="eastAsia" w:ascii="宋体" w:hAnsi="宋体"/>
                <w:color w:val="000000"/>
                <w:sz w:val="24"/>
                <w:szCs w:val="24"/>
                <w:lang w:val="en-US" w:eastAsia="zh-CN"/>
              </w:rPr>
            </w:pPr>
            <w:r>
              <w:rPr>
                <w:rFonts w:hint="eastAsia" w:ascii="宋体" w:hAnsi="宋体"/>
                <w:color w:val="000000"/>
                <w:sz w:val="24"/>
                <w:szCs w:val="24"/>
                <w:lang w:val="en-US" w:eastAsia="zh-CN"/>
              </w:rPr>
              <w:t>≥</w:t>
            </w:r>
            <w:r>
              <w:rPr>
                <w:rFonts w:hint="eastAsia" w:ascii="宋体" w:hAnsi="宋体" w:eastAsia="宋体"/>
                <w:color w:val="000000"/>
                <w:sz w:val="24"/>
                <w:szCs w:val="24"/>
                <w:lang w:eastAsia="zh-CN"/>
              </w:rPr>
              <w:t>900w</w:t>
            </w:r>
          </w:p>
        </w:tc>
      </w:tr>
    </w:tbl>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bookmarkStart w:id="70" w:name="bookmark76"/>
      <w:bookmarkStart w:id="71" w:name="bookmark75"/>
      <w:bookmarkStart w:id="72" w:name="bookmark78"/>
      <w:r>
        <w:rPr>
          <w:rFonts w:hint="eastAsia" w:ascii="宋体" w:hAnsi="Times New Roman" w:eastAsia="宋体"/>
          <w:kern w:val="2"/>
          <w:sz w:val="24"/>
          <w:szCs w:val="24"/>
          <w:lang w:val="en-US" w:eastAsia="zh-CN" w:bidi="ar-SA"/>
        </w:rPr>
        <w:t>产品功能介绍：</w:t>
      </w:r>
    </w:p>
    <w:p>
      <w:pPr>
        <w:keepNext w:val="0"/>
        <w:keepLines w:val="0"/>
        <w:pageBreakBefore w:val="0"/>
        <w:widowControl w:val="0"/>
        <w:numPr>
          <w:ilvl w:val="0"/>
          <w:numId w:val="0"/>
        </w:numPr>
        <w:kinsoku/>
        <w:wordWrap/>
        <w:overflowPunct/>
        <w:topLinePunct w:val="0"/>
        <w:autoSpaceDE w:val="0"/>
        <w:autoSpaceDN w:val="0"/>
        <w:bidi w:val="0"/>
        <w:snapToGrid/>
        <w:spacing w:line="360" w:lineRule="auto"/>
        <w:ind w:firstLine="480" w:firstLineChars="200"/>
        <w:rPr>
          <w:rFonts w:hint="eastAsia" w:ascii="宋体" w:hAnsi="Times New Roman" w:eastAsia="宋体"/>
          <w:kern w:val="2"/>
          <w:sz w:val="24"/>
          <w:szCs w:val="24"/>
          <w:lang w:val="en-US" w:eastAsia="zh-CN" w:bidi="ar-SA"/>
        </w:rPr>
      </w:pPr>
      <w:r>
        <w:rPr>
          <w:rFonts w:hint="eastAsia" w:ascii="宋体" w:hAnsi="Times New Roman" w:eastAsia="宋体"/>
          <w:kern w:val="2"/>
          <w:sz w:val="24"/>
          <w:szCs w:val="24"/>
          <w:lang w:val="en-US" w:eastAsia="zh-CN" w:bidi="ar-SA"/>
        </w:rPr>
        <w:t>垃圾分类收集车，设计美观。采用尾板式挂桶装置，牢靠坚实耐用，后车厢内可同时装卸2只120L垃圾桶和2000L的车厢，满载可拉800公斤，后箱体尾板分两块左、右侧开，后侧尾门可分开打开，尾板式设计巧妙，背面防滑板设计，装载过程中对尾板起到保护作用。整车超大容量，运输速度快，采用大功率60V2000W无刷电机，爬坡能力强，有效提升道路，广场，公园，小区等保洁及垃圾短距离运输效率，大大减轻了环卫工人的劳动强度，节省了时间，提升了工作效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Times New Roman" w:eastAsia="宋体"/>
          <w:kern w:val="2"/>
          <w:sz w:val="24"/>
          <w:szCs w:val="24"/>
          <w:lang w:val="en-US" w:eastAsia="zh-CN" w:bidi="ar-SA"/>
        </w:rPr>
      </w:pPr>
      <w:r>
        <w:rPr>
          <w:rFonts w:hint="eastAsia" w:ascii="宋体" w:hAnsi="Times New Roman" w:eastAsia="宋体" w:cs="Times New Roman"/>
          <w:b/>
          <w:bCs/>
          <w:kern w:val="2"/>
          <w:sz w:val="24"/>
          <w:szCs w:val="24"/>
          <w:highlight w:val="none"/>
          <w:lang w:val="en-US" w:eastAsia="zh-CN" w:bidi="ar-SA"/>
        </w:rPr>
        <w:t>5.产品名称</w:t>
      </w:r>
      <w:r>
        <w:rPr>
          <w:rFonts w:hint="eastAsia" w:ascii="宋体" w:hAnsi="Times New Roman" w:eastAsia="宋体" w:cs="Times New Roman"/>
          <w:b/>
          <w:bCs/>
          <w:kern w:val="2"/>
          <w:sz w:val="24"/>
          <w:szCs w:val="24"/>
          <w:highlight w:val="none"/>
          <w:lang w:val="zh-CN" w:eastAsia="zh-CN" w:bidi="ar-SA"/>
        </w:rPr>
        <w:t>：</w:t>
      </w:r>
      <w:bookmarkEnd w:id="70"/>
      <w:bookmarkEnd w:id="71"/>
      <w:bookmarkEnd w:id="72"/>
      <w:r>
        <w:rPr>
          <w:rFonts w:hint="eastAsia" w:ascii="宋体" w:hAnsi="Times New Roman" w:eastAsia="宋体" w:cs="Times New Roman"/>
          <w:b/>
          <w:bCs/>
          <w:kern w:val="2"/>
          <w:sz w:val="24"/>
          <w:szCs w:val="24"/>
          <w:highlight w:val="none"/>
          <w:lang w:val="en-US" w:eastAsia="zh-CN" w:bidi="ar-SA"/>
        </w:rPr>
        <w:t>垃圾分类智慧管理平台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5.1显示当前地区最近7天参与率趋势折线图。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5.2当前地区最近分类正确率趋势折线图。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5.3当前地区垃圾重量及占比数据展示。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5.4当前地区当日易腐、其他垃圾，参与率，正确率，空桶率统计。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5.5区域数据统计展示下属区域垃圾分类数据情况，包括参与率，正确率，空桶率。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5.6垃圾分类红黑榜情况。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5.7垃圾分类抽查结果滚动展示，点击每条数据可以查看每条收集数据详情。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5.8平台首页展示当前地区车辆位置定位地图（卫星地图）。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5.9预备好数据端口，能和其它平台兼容或被兼容。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垃圾分类智慧管理平台具有大数据展示、收集员管理、环卫车管理、数据查询、积分管理、回收管理、系统设置等功能，可进行数据可视化操作，实现系统数据及时准确稳定上传。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p>
    <w:tbl>
      <w:tblPr>
        <w:tblStyle w:val="42"/>
        <w:tblpPr w:leftFromText="180" w:rightFromText="180" w:vertAnchor="text" w:horzAnchor="page" w:tblpX="1217" w:tblpY="247"/>
        <w:tblOverlap w:val="never"/>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804"/>
        <w:gridCol w:w="6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9480" w:type="dxa"/>
            <w:gridSpan w:val="3"/>
            <w:noWrap w:val="0"/>
            <w:vAlign w:val="center"/>
          </w:tcPr>
          <w:p>
            <w:pPr>
              <w:pStyle w:val="96"/>
              <w:widowControl/>
              <w:spacing w:line="240" w:lineRule="exact"/>
              <w:ind w:left="2" w:leftChars="1" w:right="11"/>
              <w:jc w:val="center"/>
              <w:rPr>
                <w:rFonts w:hint="eastAsia" w:ascii="宋体" w:hAnsi="Times New Roman" w:eastAsia="宋体"/>
                <w:b/>
                <w:bCs/>
                <w:kern w:val="2"/>
                <w:sz w:val="24"/>
                <w:szCs w:val="24"/>
                <w:lang w:val="en-US" w:eastAsia="zh-CN" w:bidi="ar-SA"/>
              </w:rPr>
            </w:pPr>
            <w:r>
              <w:rPr>
                <w:rFonts w:hint="eastAsia" w:ascii="宋体" w:hAnsi="Times New Roman" w:eastAsia="宋体"/>
                <w:b/>
                <w:bCs/>
                <w:kern w:val="2"/>
                <w:sz w:val="24"/>
                <w:szCs w:val="24"/>
                <w:lang w:val="en-US" w:eastAsia="zh-CN" w:bidi="ar-SA"/>
              </w:rPr>
              <w:t>垃圾分类智慧管理平台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721" w:type="dxa"/>
            <w:noWrap w:val="0"/>
            <w:vAlign w:val="center"/>
          </w:tcPr>
          <w:p>
            <w:pPr>
              <w:widowControl/>
              <w:ind w:left="2" w:leftChars="1" w:right="11"/>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w:t>
            </w:r>
          </w:p>
        </w:tc>
        <w:tc>
          <w:tcPr>
            <w:tcW w:w="1804" w:type="dxa"/>
            <w:noWrap w:val="0"/>
            <w:vAlign w:val="center"/>
          </w:tcPr>
          <w:p>
            <w:pPr>
              <w:widowControl/>
              <w:ind w:left="2" w:leftChars="1" w:right="11"/>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大数据中心</w:t>
            </w:r>
          </w:p>
        </w:tc>
        <w:tc>
          <w:tcPr>
            <w:tcW w:w="6955" w:type="dxa"/>
            <w:noWrap w:val="0"/>
            <w:vAlign w:val="center"/>
          </w:tcPr>
          <w:p>
            <w:pPr>
              <w:widowControl/>
              <w:ind w:left="2" w:leftChars="1" w:right="11"/>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包含大数据展示、垃圾收集展示、不合格数据展示、垃圾分类红黑榜等相关模块（提供界面截图）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21" w:type="dxa"/>
            <w:noWrap w:val="0"/>
            <w:vAlign w:val="center"/>
          </w:tcPr>
          <w:p>
            <w:pPr>
              <w:widowControl/>
              <w:ind w:left="2" w:leftChars="1" w:right="11"/>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w:t>
            </w:r>
          </w:p>
        </w:tc>
        <w:tc>
          <w:tcPr>
            <w:tcW w:w="1804" w:type="dxa"/>
            <w:noWrap w:val="0"/>
            <w:vAlign w:val="center"/>
          </w:tcPr>
          <w:p>
            <w:pPr>
              <w:widowControl/>
              <w:ind w:left="2" w:leftChars="1" w:right="11"/>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收集员管理</w:t>
            </w:r>
          </w:p>
        </w:tc>
        <w:tc>
          <w:tcPr>
            <w:tcW w:w="6955" w:type="dxa"/>
            <w:noWrap w:val="0"/>
            <w:vAlign w:val="center"/>
          </w:tcPr>
          <w:p>
            <w:pPr>
              <w:widowControl/>
              <w:ind w:left="2" w:leftChars="1" w:right="11"/>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包含收集员列表、收集员考勤、收集员统计分析等相关模块（提供界面截图）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21" w:type="dxa"/>
            <w:noWrap w:val="0"/>
            <w:vAlign w:val="center"/>
          </w:tcPr>
          <w:p>
            <w:pPr>
              <w:widowControl/>
              <w:ind w:left="2" w:leftChars="1" w:right="11"/>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w:t>
            </w:r>
          </w:p>
        </w:tc>
        <w:tc>
          <w:tcPr>
            <w:tcW w:w="1804" w:type="dxa"/>
            <w:noWrap w:val="0"/>
            <w:vAlign w:val="center"/>
          </w:tcPr>
          <w:p>
            <w:pPr>
              <w:widowControl/>
              <w:ind w:left="2" w:leftChars="1" w:right="11"/>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环卫车辆管理</w:t>
            </w:r>
          </w:p>
        </w:tc>
        <w:tc>
          <w:tcPr>
            <w:tcW w:w="6955" w:type="dxa"/>
            <w:noWrap w:val="0"/>
            <w:vAlign w:val="center"/>
          </w:tcPr>
          <w:p>
            <w:pPr>
              <w:widowControl/>
              <w:ind w:left="2" w:leftChars="1" w:right="11"/>
              <w:jc w:val="left"/>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包含环卫车列表、环卫车辆轨迹、</w:t>
            </w:r>
            <w:r>
              <w:rPr>
                <w:rFonts w:hint="eastAsia" w:ascii="宋体" w:hAnsi="宋体" w:eastAsia="宋体"/>
                <w:color w:val="000000"/>
                <w:sz w:val="24"/>
                <w:szCs w:val="24"/>
                <w:lang w:val="en-US" w:eastAsia="zh-CN"/>
              </w:rPr>
              <w:t>停车作业轨迹</w:t>
            </w:r>
            <w:r>
              <w:rPr>
                <w:rFonts w:hint="eastAsia" w:ascii="宋体" w:hAnsi="宋体" w:eastAsia="宋体"/>
                <w:color w:val="000000"/>
                <w:sz w:val="24"/>
                <w:szCs w:val="24"/>
                <w:lang w:eastAsia="zh-CN"/>
              </w:rPr>
              <w:t>等相关模块（提供界面截图）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721" w:type="dxa"/>
            <w:noWrap w:val="0"/>
            <w:vAlign w:val="center"/>
          </w:tcPr>
          <w:p>
            <w:pPr>
              <w:widowControl/>
              <w:ind w:left="2" w:leftChars="1" w:right="11" w:rightChars="0"/>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4</w:t>
            </w:r>
          </w:p>
        </w:tc>
        <w:tc>
          <w:tcPr>
            <w:tcW w:w="1804" w:type="dxa"/>
            <w:noWrap w:val="0"/>
            <w:vAlign w:val="center"/>
          </w:tcPr>
          <w:p>
            <w:pPr>
              <w:widowControl/>
              <w:ind w:left="2" w:leftChars="1" w:right="11"/>
              <w:jc w:val="lef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设备监测</w:t>
            </w:r>
          </w:p>
        </w:tc>
        <w:tc>
          <w:tcPr>
            <w:tcW w:w="6955" w:type="dxa"/>
            <w:noWrap w:val="0"/>
            <w:vAlign w:val="center"/>
          </w:tcPr>
          <w:p>
            <w:pPr>
              <w:widowControl/>
              <w:ind w:left="2" w:leftChars="1" w:right="11"/>
              <w:jc w:val="left"/>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上门收集秤设备运行状态监测，包括摄像头、读卡器、称重模块、按键、GPS、网络信号、错误数据等</w:t>
            </w:r>
            <w:r>
              <w:rPr>
                <w:rFonts w:hint="eastAsia" w:ascii="宋体" w:hAnsi="宋体" w:eastAsia="宋体"/>
                <w:color w:val="000000"/>
                <w:sz w:val="24"/>
                <w:szCs w:val="24"/>
                <w:lang w:eastAsia="zh-CN"/>
              </w:rPr>
              <w:t>（提供界面截图）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721" w:type="dxa"/>
            <w:noWrap w:val="0"/>
            <w:vAlign w:val="center"/>
          </w:tcPr>
          <w:p>
            <w:pPr>
              <w:widowControl/>
              <w:ind w:left="2" w:leftChars="1" w:right="11" w:rightChars="0"/>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5</w:t>
            </w:r>
          </w:p>
        </w:tc>
        <w:tc>
          <w:tcPr>
            <w:tcW w:w="1804" w:type="dxa"/>
            <w:noWrap w:val="0"/>
            <w:vAlign w:val="center"/>
          </w:tcPr>
          <w:p>
            <w:pPr>
              <w:widowControl/>
              <w:ind w:left="2" w:leftChars="1" w:right="11"/>
              <w:jc w:val="both"/>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数据查询</w:t>
            </w:r>
          </w:p>
        </w:tc>
        <w:tc>
          <w:tcPr>
            <w:tcW w:w="6955" w:type="dxa"/>
            <w:noWrap w:val="0"/>
            <w:vAlign w:val="center"/>
          </w:tcPr>
          <w:p>
            <w:pPr>
              <w:widowControl/>
              <w:ind w:left="2" w:leftChars="1" w:right="11"/>
              <w:jc w:val="both"/>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包含垃圾分类收集管理、未收集用户报表、用户统计分析、垃圾收集统计分析、分类红黑榜、垃圾收集审核记录、巡检信息管理等相关模块（提供界面截图）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21" w:type="dxa"/>
            <w:noWrap w:val="0"/>
            <w:vAlign w:val="center"/>
          </w:tcPr>
          <w:p>
            <w:pPr>
              <w:widowControl/>
              <w:ind w:left="2" w:leftChars="1" w:right="11" w:rightChars="0"/>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6</w:t>
            </w:r>
          </w:p>
        </w:tc>
        <w:tc>
          <w:tcPr>
            <w:tcW w:w="1804" w:type="dxa"/>
            <w:noWrap w:val="0"/>
            <w:vAlign w:val="center"/>
          </w:tcPr>
          <w:p>
            <w:pPr>
              <w:widowControl/>
              <w:ind w:left="2" w:leftChars="1" w:right="11"/>
              <w:jc w:val="both"/>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抽查管理</w:t>
            </w:r>
          </w:p>
        </w:tc>
        <w:tc>
          <w:tcPr>
            <w:tcW w:w="6955" w:type="dxa"/>
            <w:noWrap w:val="0"/>
            <w:vAlign w:val="center"/>
          </w:tcPr>
          <w:p>
            <w:pPr>
              <w:widowControl/>
              <w:ind w:left="2" w:leftChars="1" w:right="11"/>
              <w:jc w:val="both"/>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包含数据收集抽查、抽查考核报表等相关模块（提供界面截图）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jc w:val="center"/>
        </w:trPr>
        <w:tc>
          <w:tcPr>
            <w:tcW w:w="721" w:type="dxa"/>
            <w:noWrap w:val="0"/>
            <w:vAlign w:val="center"/>
          </w:tcPr>
          <w:p>
            <w:pPr>
              <w:widowControl/>
              <w:ind w:left="2" w:leftChars="1" w:right="11" w:rightChars="0"/>
              <w:jc w:val="center"/>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7</w:t>
            </w:r>
          </w:p>
        </w:tc>
        <w:tc>
          <w:tcPr>
            <w:tcW w:w="1804" w:type="dxa"/>
            <w:noWrap w:val="0"/>
            <w:vAlign w:val="center"/>
          </w:tcPr>
          <w:p>
            <w:pPr>
              <w:widowControl/>
              <w:ind w:left="2" w:leftChars="1" w:right="11"/>
              <w:jc w:val="both"/>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积分管理</w:t>
            </w:r>
          </w:p>
        </w:tc>
        <w:tc>
          <w:tcPr>
            <w:tcW w:w="6955" w:type="dxa"/>
            <w:noWrap w:val="0"/>
            <w:vAlign w:val="center"/>
          </w:tcPr>
          <w:p>
            <w:pPr>
              <w:widowControl/>
              <w:ind w:left="2" w:leftChars="1" w:right="11"/>
              <w:jc w:val="both"/>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包含积分排行榜（可根据每个村为单位生成报表打印）、商品类型管理、积分商品管理、商品兑换、商品兑换记录、积分线下扣减等模块（提供界面截图）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721" w:type="dxa"/>
            <w:noWrap w:val="0"/>
            <w:vAlign w:val="center"/>
          </w:tcPr>
          <w:p>
            <w:pPr>
              <w:widowControl/>
              <w:ind w:left="2" w:leftChars="1" w:right="11" w:rightChars="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8</w:t>
            </w:r>
          </w:p>
        </w:tc>
        <w:tc>
          <w:tcPr>
            <w:tcW w:w="1804" w:type="dxa"/>
            <w:noWrap w:val="0"/>
            <w:vAlign w:val="center"/>
          </w:tcPr>
          <w:p>
            <w:pPr>
              <w:widowControl/>
              <w:ind w:left="2" w:leftChars="1" w:right="11"/>
              <w:jc w:val="both"/>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回收管理</w:t>
            </w:r>
          </w:p>
        </w:tc>
        <w:tc>
          <w:tcPr>
            <w:tcW w:w="6955" w:type="dxa"/>
            <w:noWrap w:val="0"/>
            <w:vAlign w:val="center"/>
          </w:tcPr>
          <w:p>
            <w:pPr>
              <w:widowControl/>
              <w:ind w:left="2" w:leftChars="1" w:right="11"/>
              <w:jc w:val="both"/>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包含回收管理订单、上门回收有害垃圾、上门回收可回收物、上门回收大件垃圾等模块（提供界面截图）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721" w:type="dxa"/>
            <w:noWrap w:val="0"/>
            <w:vAlign w:val="center"/>
          </w:tcPr>
          <w:p>
            <w:pPr>
              <w:widowControl/>
              <w:ind w:left="2" w:leftChars="1" w:right="11" w:rightChars="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9</w:t>
            </w:r>
          </w:p>
        </w:tc>
        <w:tc>
          <w:tcPr>
            <w:tcW w:w="1804" w:type="dxa"/>
            <w:noWrap w:val="0"/>
            <w:vAlign w:val="center"/>
          </w:tcPr>
          <w:p>
            <w:pPr>
              <w:widowControl/>
              <w:ind w:left="2" w:leftChars="1" w:right="11"/>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售后巡检</w:t>
            </w:r>
          </w:p>
        </w:tc>
        <w:tc>
          <w:tcPr>
            <w:tcW w:w="6955" w:type="dxa"/>
            <w:noWrap w:val="0"/>
            <w:vAlign w:val="center"/>
          </w:tcPr>
          <w:p>
            <w:pPr>
              <w:widowControl/>
              <w:ind w:left="2" w:leftChars="1" w:right="11"/>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可查询采购设备售后巡检记录，获取采购设备巡检情况，是否存在问题，以及解决情况（</w:t>
            </w:r>
            <w:r>
              <w:rPr>
                <w:rFonts w:hint="eastAsia" w:ascii="宋体" w:hAnsi="宋体" w:eastAsia="宋体"/>
                <w:color w:val="000000"/>
                <w:sz w:val="24"/>
                <w:szCs w:val="24"/>
                <w:lang w:eastAsia="zh-CN"/>
              </w:rPr>
              <w:t>提供界面截图）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721" w:type="dxa"/>
            <w:noWrap w:val="0"/>
            <w:vAlign w:val="center"/>
          </w:tcPr>
          <w:p>
            <w:pPr>
              <w:widowControl/>
              <w:ind w:left="2" w:leftChars="1" w:right="11"/>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10</w:t>
            </w:r>
          </w:p>
        </w:tc>
        <w:tc>
          <w:tcPr>
            <w:tcW w:w="1804" w:type="dxa"/>
            <w:noWrap w:val="0"/>
            <w:vAlign w:val="center"/>
          </w:tcPr>
          <w:p>
            <w:pPr>
              <w:widowControl/>
              <w:ind w:left="2" w:leftChars="1" w:right="11"/>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电子围栏</w:t>
            </w:r>
          </w:p>
        </w:tc>
        <w:tc>
          <w:tcPr>
            <w:tcW w:w="6955" w:type="dxa"/>
            <w:noWrap w:val="0"/>
            <w:vAlign w:val="center"/>
          </w:tcPr>
          <w:p>
            <w:pPr>
              <w:widowControl/>
              <w:ind w:left="2" w:leftChars="1" w:right="11"/>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可查询收集员驾驶收集车超出收集范围告警记录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721" w:type="dxa"/>
            <w:noWrap w:val="0"/>
            <w:vAlign w:val="center"/>
          </w:tcPr>
          <w:p>
            <w:pPr>
              <w:widowControl/>
              <w:ind w:left="2" w:leftChars="1" w:right="11"/>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w:t>
            </w:r>
            <w:r>
              <w:rPr>
                <w:rFonts w:hint="eastAsia" w:ascii="宋体" w:hAnsi="宋体"/>
                <w:color w:val="000000"/>
                <w:sz w:val="24"/>
                <w:szCs w:val="24"/>
                <w:lang w:val="en-US" w:eastAsia="zh-CN"/>
              </w:rPr>
              <w:t>1</w:t>
            </w:r>
          </w:p>
        </w:tc>
        <w:tc>
          <w:tcPr>
            <w:tcW w:w="8759" w:type="dxa"/>
            <w:gridSpan w:val="2"/>
            <w:noWrap w:val="0"/>
            <w:vAlign w:val="center"/>
          </w:tcPr>
          <w:p>
            <w:pPr>
              <w:widowControl/>
              <w:ind w:left="2" w:leftChars="1" w:right="11"/>
              <w:jc w:val="center"/>
              <w:rPr>
                <w:rFonts w:hint="eastAsia" w:ascii="宋体" w:hAnsi="宋体" w:eastAsia="宋体"/>
                <w:color w:val="000000"/>
                <w:sz w:val="24"/>
                <w:szCs w:val="24"/>
                <w:shd w:val="clear" w:color="auto" w:fill="auto"/>
                <w:lang w:val="en-US" w:eastAsia="zh-CN"/>
              </w:rPr>
            </w:pPr>
            <w:r>
              <w:rPr>
                <w:rFonts w:hint="eastAsia" w:ascii="宋体" w:hAnsi="宋体" w:eastAsia="宋体"/>
                <w:color w:val="000000"/>
                <w:sz w:val="24"/>
                <w:szCs w:val="24"/>
                <w:shd w:val="clear" w:color="auto" w:fill="auto"/>
                <w:lang w:val="en-US" w:eastAsia="zh-CN"/>
              </w:rPr>
              <w:t>平台须根据业主要求接入市县相关平台，</w:t>
            </w:r>
            <w:r>
              <w:rPr>
                <w:rFonts w:hint="eastAsia" w:ascii="宋体" w:hAnsi="宋体" w:eastAsia="宋体" w:cs="Times New Roman"/>
                <w:color w:val="000000"/>
                <w:sz w:val="24"/>
                <w:szCs w:val="24"/>
                <w:shd w:val="clear" w:color="auto" w:fill="auto"/>
                <w:lang w:val="en-US" w:eastAsia="zh-CN"/>
              </w:rPr>
              <w:t>平台采集的相关数据归业主所有，并按要求做好数据归集、数据安全等工作。</w:t>
            </w:r>
          </w:p>
        </w:tc>
      </w:tr>
    </w:tbl>
    <w:p>
      <w:pPr>
        <w:pStyle w:val="172"/>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420" w:leftChars="0"/>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其他要求</w:t>
      </w:r>
    </w:p>
    <w:p>
      <w:pPr>
        <w:pStyle w:val="4"/>
        <w:pageBreakBefore w:val="0"/>
        <w:widowControl w:val="0"/>
        <w:tabs>
          <w:tab w:val="left" w:pos="900"/>
        </w:tabs>
        <w:kinsoku/>
        <w:wordWrap/>
        <w:overflowPunct/>
        <w:topLinePunct w:val="0"/>
        <w:autoSpaceDE/>
        <w:autoSpaceDN/>
        <w:bidi w:val="0"/>
        <w:snapToGrid/>
        <w:spacing w:before="0" w:beforeAutospacing="0" w:after="0" w:afterAutospacing="0"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（1）交货</w:t>
      </w:r>
      <w:r>
        <w:rPr>
          <w:rFonts w:hint="eastAsia" w:ascii="宋体" w:hAnsi="Times New Roman" w:eastAsia="宋体" w:cs="Times New Roman"/>
          <w:spacing w:val="0"/>
          <w:kern w:val="2"/>
          <w:sz w:val="24"/>
          <w:szCs w:val="24"/>
          <w:lang w:val="zh-CN" w:eastAsia="zh-CN" w:bidi="ar-SA"/>
        </w:rPr>
        <w:t>要求</w:t>
      </w:r>
    </w:p>
    <w:p>
      <w:pPr>
        <w:pageBreakBefore w:val="0"/>
        <w:widowControl w:val="0"/>
        <w:kinsoku/>
        <w:wordWrap/>
        <w:overflowPunct/>
        <w:topLinePunct w:val="0"/>
        <w:autoSpaceDE/>
        <w:autoSpaceDN/>
        <w:bidi w:val="0"/>
        <w:snapToGrid/>
        <w:spacing w:beforeAutospacing="0"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1）</w:t>
      </w:r>
      <w:r>
        <w:rPr>
          <w:rFonts w:hint="eastAsia" w:ascii="宋体" w:hAnsi="Times New Roman" w:eastAsia="宋体" w:cs="Times New Roman"/>
          <w:spacing w:val="0"/>
          <w:kern w:val="2"/>
          <w:sz w:val="24"/>
          <w:szCs w:val="24"/>
          <w:lang w:val="zh-CN" w:eastAsia="zh-CN" w:bidi="ar-SA"/>
        </w:rPr>
        <w:t>工期要求：</w:t>
      </w:r>
      <w:r>
        <w:rPr>
          <w:rFonts w:hint="eastAsia" w:ascii="宋体" w:hAnsi="Times New Roman" w:eastAsia="宋体" w:cs="Times New Roman"/>
          <w:spacing w:val="0"/>
          <w:kern w:val="2"/>
          <w:sz w:val="24"/>
          <w:szCs w:val="24"/>
          <w:lang w:val="en-US" w:eastAsia="zh-CN" w:bidi="ar-SA"/>
        </w:rPr>
        <w:t>合同签订后，接采购人通知后的30天内完成供货、安装并通过业主验收。</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2）</w:t>
      </w:r>
      <w:r>
        <w:rPr>
          <w:rFonts w:hint="eastAsia" w:ascii="宋体" w:hAnsi="Times New Roman" w:eastAsia="宋体" w:cs="Times New Roman"/>
          <w:spacing w:val="0"/>
          <w:kern w:val="2"/>
          <w:sz w:val="24"/>
          <w:szCs w:val="24"/>
          <w:lang w:val="zh-CN" w:eastAsia="zh-CN" w:bidi="ar-SA"/>
        </w:rPr>
        <w:t>交货地点：由中标人负责送到采购人指定地点。</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3）运营服务期：1年（通过最终验收，正式交付之日起）。</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4）中标人</w:t>
      </w:r>
      <w:r>
        <w:rPr>
          <w:rFonts w:hint="eastAsia" w:ascii="宋体" w:hAnsi="Times New Roman" w:eastAsia="宋体" w:cs="Times New Roman"/>
          <w:spacing w:val="0"/>
          <w:kern w:val="2"/>
          <w:sz w:val="24"/>
          <w:szCs w:val="24"/>
          <w:lang w:val="zh-CN" w:eastAsia="zh-CN" w:bidi="ar-SA"/>
        </w:rPr>
        <w:t>应在货物发运前对其进行满足运输距离、防潮、防震、防锈和防破损装卸等要求包装，以保证货物安全运达</w:t>
      </w:r>
      <w:r>
        <w:rPr>
          <w:rFonts w:hint="eastAsia" w:ascii="宋体" w:hAnsi="Times New Roman" w:eastAsia="宋体" w:cs="Times New Roman"/>
          <w:spacing w:val="0"/>
          <w:kern w:val="2"/>
          <w:sz w:val="24"/>
          <w:szCs w:val="24"/>
          <w:lang w:val="en-US" w:eastAsia="zh-CN" w:bidi="ar-SA"/>
        </w:rPr>
        <w:t>采购人</w:t>
      </w:r>
      <w:r>
        <w:rPr>
          <w:rFonts w:hint="eastAsia" w:ascii="宋体" w:hAnsi="Times New Roman" w:eastAsia="宋体" w:cs="Times New Roman"/>
          <w:spacing w:val="0"/>
          <w:kern w:val="2"/>
          <w:sz w:val="24"/>
          <w:szCs w:val="24"/>
          <w:lang w:val="zh-CN" w:eastAsia="zh-CN" w:bidi="ar-SA"/>
        </w:rPr>
        <w:t>指定地点，对提供的设备必须按招标文件要求。</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5）</w:t>
      </w:r>
      <w:r>
        <w:rPr>
          <w:rFonts w:hint="eastAsia" w:ascii="宋体" w:hAnsi="Times New Roman" w:eastAsia="宋体" w:cs="Times New Roman"/>
          <w:spacing w:val="0"/>
          <w:kern w:val="2"/>
          <w:sz w:val="24"/>
          <w:szCs w:val="24"/>
          <w:lang w:val="zh-CN" w:eastAsia="zh-CN" w:bidi="ar-SA"/>
        </w:rPr>
        <w:t>使用说明书、质量检验证明书、随配附件和工具以及清单一并附于货物内。</w:t>
      </w:r>
    </w:p>
    <w:p>
      <w:pPr>
        <w:pageBreakBefore w:val="0"/>
        <w:widowControl w:val="0"/>
        <w:kinsoku/>
        <w:wordWrap/>
        <w:overflowPunct/>
        <w:topLinePunct w:val="0"/>
        <w:autoSpaceDE/>
        <w:autoSpaceDN/>
        <w:bidi w:val="0"/>
        <w:snapToGrid/>
        <w:spacing w:afterAutospacing="0"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6）</w:t>
      </w:r>
      <w:r>
        <w:rPr>
          <w:rFonts w:hint="eastAsia" w:ascii="宋体" w:hAnsi="Times New Roman" w:eastAsia="宋体" w:cs="Times New Roman"/>
          <w:spacing w:val="0"/>
          <w:kern w:val="2"/>
          <w:sz w:val="24"/>
          <w:szCs w:val="24"/>
          <w:lang w:val="zh-CN" w:eastAsia="zh-CN" w:bidi="ar-SA"/>
        </w:rPr>
        <w:t>采购人在中标人送货后需进行检查，如果发现数量不足或有质量、技术等问题，中标人应负责根据合同及采购要求采取补足或更换等处理措施，并承担由此发生的一切损失和费用。</w:t>
      </w:r>
    </w:p>
    <w:p>
      <w:pPr>
        <w:pStyle w:val="4"/>
        <w:pageBreakBefore w:val="0"/>
        <w:widowControl w:val="0"/>
        <w:tabs>
          <w:tab w:val="left" w:pos="900"/>
        </w:tabs>
        <w:kinsoku/>
        <w:wordWrap/>
        <w:overflowPunct/>
        <w:topLinePunct w:val="0"/>
        <w:autoSpaceDE/>
        <w:autoSpaceDN/>
        <w:bidi w:val="0"/>
        <w:snapToGrid/>
        <w:spacing w:before="0" w:beforeAutospacing="0" w:after="0" w:afterAutospacing="0"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zh-CN" w:eastAsia="zh-CN" w:bidi="ar-SA"/>
        </w:rPr>
        <w:t>（</w:t>
      </w:r>
      <w:r>
        <w:rPr>
          <w:rFonts w:hint="eastAsia" w:ascii="宋体" w:hAnsi="Times New Roman" w:eastAsia="宋体" w:cs="Times New Roman"/>
          <w:spacing w:val="0"/>
          <w:kern w:val="2"/>
          <w:sz w:val="24"/>
          <w:szCs w:val="24"/>
          <w:lang w:val="en-US" w:eastAsia="zh-CN" w:bidi="ar-SA"/>
        </w:rPr>
        <w:t>2）</w:t>
      </w:r>
      <w:r>
        <w:rPr>
          <w:rFonts w:hint="eastAsia" w:ascii="宋体" w:hAnsi="Times New Roman" w:eastAsia="宋体" w:cs="Times New Roman"/>
          <w:spacing w:val="0"/>
          <w:kern w:val="2"/>
          <w:sz w:val="24"/>
          <w:szCs w:val="24"/>
          <w:lang w:val="zh-CN" w:eastAsia="zh-CN" w:bidi="ar-SA"/>
        </w:rPr>
        <w:t>调试和验收</w:t>
      </w:r>
    </w:p>
    <w:p>
      <w:pPr>
        <w:pageBreakBefore w:val="0"/>
        <w:widowControl w:val="0"/>
        <w:kinsoku/>
        <w:wordWrap/>
        <w:overflowPunct/>
        <w:topLinePunct w:val="0"/>
        <w:autoSpaceDE/>
        <w:autoSpaceDN/>
        <w:bidi w:val="0"/>
        <w:snapToGrid/>
        <w:spacing w:beforeAutospacing="0"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1）中标人必须向采购人提供本项目全部软硬件清单，并配合完成整个项目的调试工作。软硬件安装并调试完成后，由采购人组织初验，通过初步验收后，投入试运行。</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2）在试运行期间，中标人应使任何故障或问题都能在收到故障通知后尽快（节假日也不例外）被修复和解决，并给出详细修复细节报告，所有试运行期间的修改和变化都应在试运行结束后提供书面和电子文档给采购人。试运行之后若无功能性缺陷及重大故障，由采购人组织终验。</w:t>
      </w:r>
    </w:p>
    <w:p>
      <w:pPr>
        <w:pageBreakBefore w:val="0"/>
        <w:widowControl w:val="0"/>
        <w:kinsoku/>
        <w:wordWrap/>
        <w:overflowPunct/>
        <w:topLinePunct w:val="0"/>
        <w:autoSpaceDE/>
        <w:autoSpaceDN/>
        <w:bidi w:val="0"/>
        <w:snapToGrid/>
        <w:spacing w:afterAutospacing="0"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3）验收以国家行业标准为基础，结合本次招标文件和正式合同为依据进行。如不符要求，一律返工，直到符合要求为止，否则拒付货款。</w:t>
      </w:r>
    </w:p>
    <w:p>
      <w:pPr>
        <w:pStyle w:val="4"/>
        <w:pageBreakBefore w:val="0"/>
        <w:widowControl w:val="0"/>
        <w:tabs>
          <w:tab w:val="left" w:pos="900"/>
        </w:tabs>
        <w:kinsoku/>
        <w:wordWrap/>
        <w:overflowPunct/>
        <w:topLinePunct w:val="0"/>
        <w:autoSpaceDE/>
        <w:autoSpaceDN/>
        <w:bidi w:val="0"/>
        <w:snapToGrid/>
        <w:spacing w:before="0" w:beforeAutospacing="0" w:after="0" w:afterAutospacing="0"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（3）售后服务要求</w:t>
      </w:r>
    </w:p>
    <w:p>
      <w:pPr>
        <w:pageBreakBefore w:val="0"/>
        <w:widowControl w:val="0"/>
        <w:kinsoku/>
        <w:wordWrap/>
        <w:overflowPunct/>
        <w:topLinePunct w:val="0"/>
        <w:autoSpaceDE/>
        <w:autoSpaceDN/>
        <w:bidi w:val="0"/>
        <w:snapToGrid/>
        <w:spacing w:beforeAutospacing="0"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1）质保期：</w:t>
      </w:r>
      <w:r>
        <w:rPr>
          <w:rFonts w:hint="eastAsia" w:ascii="宋体" w:hAnsi="Times New Roman" w:eastAsia="宋体" w:cs="Times New Roman"/>
          <w:spacing w:val="0"/>
          <w:kern w:val="2"/>
          <w:sz w:val="24"/>
          <w:szCs w:val="24"/>
          <w:lang w:val="zh-CN" w:eastAsia="zh-CN" w:bidi="ar-SA"/>
        </w:rPr>
        <w:t>通过最终验收</w:t>
      </w:r>
      <w:r>
        <w:rPr>
          <w:rFonts w:hint="eastAsia" w:ascii="宋体" w:hAnsi="Times New Roman" w:eastAsia="宋体" w:cs="Times New Roman"/>
          <w:spacing w:val="0"/>
          <w:kern w:val="2"/>
          <w:sz w:val="24"/>
          <w:szCs w:val="24"/>
          <w:lang w:val="en-US" w:eastAsia="zh-CN" w:bidi="ar-SA"/>
        </w:rPr>
        <w:t>并</w:t>
      </w:r>
      <w:r>
        <w:rPr>
          <w:rFonts w:hint="eastAsia" w:ascii="宋体" w:hAnsi="Times New Roman" w:eastAsia="宋体" w:cs="Times New Roman"/>
          <w:spacing w:val="0"/>
          <w:kern w:val="2"/>
          <w:sz w:val="24"/>
          <w:szCs w:val="24"/>
          <w:lang w:val="zh-CN" w:eastAsia="zh-CN" w:bidi="ar-SA"/>
        </w:rPr>
        <w:t>正式</w:t>
      </w:r>
      <w:r>
        <w:rPr>
          <w:rFonts w:hint="eastAsia" w:ascii="宋体" w:hAnsi="Times New Roman" w:eastAsia="宋体" w:cs="Times New Roman"/>
          <w:spacing w:val="0"/>
          <w:kern w:val="2"/>
          <w:sz w:val="24"/>
          <w:szCs w:val="24"/>
          <w:lang w:val="en-US" w:eastAsia="zh-CN" w:bidi="ar-SA"/>
        </w:rPr>
        <w:t>交付</w:t>
      </w:r>
      <w:r>
        <w:rPr>
          <w:rFonts w:hint="eastAsia" w:ascii="宋体" w:hAnsi="Times New Roman" w:eastAsia="宋体" w:cs="Times New Roman"/>
          <w:spacing w:val="0"/>
          <w:kern w:val="2"/>
          <w:sz w:val="24"/>
          <w:szCs w:val="24"/>
          <w:lang w:val="zh-CN" w:eastAsia="zh-CN" w:bidi="ar-SA"/>
        </w:rPr>
        <w:t>之日起</w:t>
      </w:r>
      <w:r>
        <w:rPr>
          <w:rFonts w:hint="eastAsia" w:ascii="宋体" w:hAnsi="Times New Roman" w:eastAsia="宋体" w:cs="Times New Roman"/>
          <w:spacing w:val="0"/>
          <w:kern w:val="2"/>
          <w:sz w:val="24"/>
          <w:szCs w:val="24"/>
          <w:lang w:val="en-US" w:eastAsia="zh-CN" w:bidi="ar-SA"/>
        </w:rPr>
        <w:t>贰年，（自验收使用之日起计，按投标文件承诺时间）自验收之日起算。</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2）服务响应及维护：</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2.1能够提供完善可靠的技术支持，当出现故障半小时响应，现场服务能在4小时内到达，24小时解决问题。</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2.2系统维护期内包括故障排除、性能调优、技术咨询、系统与硬件优化、技术培训以及其他协调维护工作。</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2.3在维护期内，除不可抗力等因素所造成的损害外，中标人必须免费提供维修服务。要求对所投产品应提供长期技术支持。</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2.4如对产品有新的改进、增加新功能或者未适应最新标准所形成的最新版本，免费提供给采购单位。</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3）提供网络安全应急响应服务，建立网络安全事件应急响应机制，对出现的安全事件快速响应处置，以最大限度保障业务数据安全，减少或挽回业务损失。协助调查取证：包括对文件、痕迹、日志等信息进行协助调查取证。</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4）服务期间采购人进行组织重大活动时，中标人必须免费提供现场技术人员支持，保障活动正常有序的进行。</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5）备品备件：</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系统使用、维修保养过程中所必须的备品备件（备件数量不低于采购量的5%）。</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6）投标人应在投标文件中应详细说明其服务计划。</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7）出现故障后，中标人如未按上述要求进行响应，采购人可以采取必要的补救措施，由此产生的风险和费用将由中标人承担。</w:t>
      </w:r>
    </w:p>
    <w:p>
      <w:pPr>
        <w:pageBreakBefore w:val="0"/>
        <w:widowControl w:val="0"/>
        <w:kinsoku/>
        <w:wordWrap/>
        <w:overflowPunct/>
        <w:topLinePunct w:val="0"/>
        <w:autoSpaceDE/>
        <w:autoSpaceDN/>
        <w:bidi w:val="0"/>
        <w:snapToGrid/>
        <w:spacing w:afterAutospacing="0"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8）中标人应对所供货物实行终身维修。</w:t>
      </w:r>
    </w:p>
    <w:p>
      <w:pPr>
        <w:pStyle w:val="4"/>
        <w:pageBreakBefore w:val="0"/>
        <w:widowControl w:val="0"/>
        <w:tabs>
          <w:tab w:val="left" w:pos="900"/>
        </w:tabs>
        <w:kinsoku/>
        <w:wordWrap/>
        <w:overflowPunct/>
        <w:topLinePunct w:val="0"/>
        <w:autoSpaceDE/>
        <w:autoSpaceDN/>
        <w:bidi w:val="0"/>
        <w:snapToGrid/>
        <w:spacing w:before="0" w:beforeAutospacing="0" w:after="0" w:afterAutospacing="0" w:line="360" w:lineRule="auto"/>
        <w:textAlignment w:val="auto"/>
        <w:rPr>
          <w:rFonts w:hint="eastAsia" w:ascii="宋体" w:hAnsi="Times New Roman" w:eastAsia="宋体" w:cs="Times New Roman"/>
          <w:spacing w:val="0"/>
          <w:kern w:val="2"/>
          <w:sz w:val="24"/>
          <w:szCs w:val="24"/>
          <w:lang w:val="zh-CN" w:eastAsia="zh-CN" w:bidi="ar-SA"/>
        </w:rPr>
      </w:pPr>
      <w:bookmarkStart w:id="73" w:name="_Toc514333568"/>
      <w:bookmarkStart w:id="74" w:name="_Toc2564"/>
      <w:bookmarkStart w:id="75" w:name="_Toc14908812"/>
      <w:r>
        <w:rPr>
          <w:rFonts w:hint="eastAsia" w:ascii="宋体" w:hAnsi="Times New Roman" w:eastAsia="宋体" w:cs="Times New Roman"/>
          <w:spacing w:val="0"/>
          <w:kern w:val="2"/>
          <w:sz w:val="24"/>
          <w:szCs w:val="24"/>
          <w:lang w:val="en-US" w:eastAsia="zh-CN" w:bidi="ar-SA"/>
        </w:rPr>
        <w:t>（4）宣传和</w:t>
      </w:r>
      <w:r>
        <w:rPr>
          <w:rFonts w:hint="eastAsia" w:ascii="宋体" w:hAnsi="Times New Roman" w:eastAsia="宋体" w:cs="Times New Roman"/>
          <w:spacing w:val="0"/>
          <w:kern w:val="2"/>
          <w:sz w:val="24"/>
          <w:szCs w:val="24"/>
          <w:lang w:val="zh-CN" w:eastAsia="zh-CN" w:bidi="ar-SA"/>
        </w:rPr>
        <w:t>培训要求</w:t>
      </w:r>
    </w:p>
    <w:p>
      <w:pPr>
        <w:pageBreakBefore w:val="0"/>
        <w:widowControl w:val="0"/>
        <w:kinsoku/>
        <w:wordWrap/>
        <w:overflowPunct/>
        <w:topLinePunct w:val="0"/>
        <w:autoSpaceDE/>
        <w:autoSpaceDN/>
        <w:bidi w:val="0"/>
        <w:snapToGrid/>
        <w:spacing w:beforeAutospacing="0"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1）投标人</w:t>
      </w:r>
      <w:r>
        <w:rPr>
          <w:rFonts w:hint="eastAsia" w:ascii="宋体" w:hAnsi="Times New Roman" w:eastAsia="宋体" w:cs="Times New Roman"/>
          <w:spacing w:val="0"/>
          <w:kern w:val="2"/>
          <w:sz w:val="24"/>
          <w:szCs w:val="24"/>
          <w:lang w:val="zh-CN" w:eastAsia="zh-CN" w:bidi="ar-SA"/>
        </w:rPr>
        <w:t>需提供详细的垃圾分类工作宣传和培训计划、内容；</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2）</w:t>
      </w:r>
      <w:r>
        <w:rPr>
          <w:rFonts w:hint="eastAsia" w:ascii="宋体" w:hAnsi="Times New Roman" w:eastAsia="宋体" w:cs="Times New Roman"/>
          <w:spacing w:val="0"/>
          <w:kern w:val="2"/>
          <w:sz w:val="24"/>
          <w:szCs w:val="24"/>
          <w:lang w:val="zh-CN" w:eastAsia="zh-CN" w:bidi="ar-SA"/>
        </w:rPr>
        <w:t>系统操作培训：主要面向设备现场实际操作、维修人员等使用人员，使其具备独立进行系统日常</w:t>
      </w:r>
      <w:r>
        <w:rPr>
          <w:rFonts w:hint="eastAsia" w:ascii="宋体" w:hAnsi="Times New Roman" w:eastAsia="宋体" w:cs="Times New Roman"/>
          <w:spacing w:val="0"/>
          <w:kern w:val="2"/>
          <w:sz w:val="24"/>
          <w:szCs w:val="24"/>
          <w:lang w:val="en-US" w:eastAsia="zh-CN" w:bidi="ar-SA"/>
        </w:rPr>
        <w:t>操作、维修</w:t>
      </w:r>
      <w:r>
        <w:rPr>
          <w:rFonts w:hint="eastAsia" w:ascii="宋体" w:hAnsi="Times New Roman" w:eastAsia="宋体" w:cs="Times New Roman"/>
          <w:spacing w:val="0"/>
          <w:kern w:val="2"/>
          <w:sz w:val="24"/>
          <w:szCs w:val="24"/>
          <w:lang w:val="zh-CN" w:eastAsia="zh-CN" w:bidi="ar-SA"/>
        </w:rPr>
        <w:t>的能力，所有培训费用包含在投标总价中。</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3）运营期内，每月至少组织一次收集员、保洁员垃圾分类相关培训。</w:t>
      </w:r>
    </w:p>
    <w:p>
      <w:pPr>
        <w:pageBreakBefore w:val="0"/>
        <w:widowControl w:val="0"/>
        <w:kinsoku/>
        <w:wordWrap/>
        <w:overflowPunct/>
        <w:topLinePunct w:val="0"/>
        <w:autoSpaceDE/>
        <w:autoSpaceDN/>
        <w:bidi w:val="0"/>
        <w:snapToGrid/>
        <w:spacing w:afterAutospacing="0" w:line="360" w:lineRule="auto"/>
        <w:textAlignment w:val="auto"/>
        <w:rPr>
          <w:rFonts w:hint="default"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4）每个村至少开展一次面向普通村民的宣传培训活动，要求2个月内14个行政村全覆盖。</w:t>
      </w:r>
    </w:p>
    <w:p>
      <w:pPr>
        <w:pStyle w:val="4"/>
        <w:pageBreakBefore w:val="0"/>
        <w:widowControl w:val="0"/>
        <w:tabs>
          <w:tab w:val="left" w:pos="900"/>
        </w:tabs>
        <w:kinsoku/>
        <w:wordWrap/>
        <w:overflowPunct/>
        <w:topLinePunct w:val="0"/>
        <w:autoSpaceDE/>
        <w:autoSpaceDN/>
        <w:bidi w:val="0"/>
        <w:snapToGrid/>
        <w:spacing w:before="0" w:beforeAutospacing="0" w:after="0" w:afterAutospacing="0"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（5）其他要求</w:t>
      </w:r>
    </w:p>
    <w:p>
      <w:pPr>
        <w:pageBreakBefore w:val="0"/>
        <w:widowControl w:val="0"/>
        <w:kinsoku/>
        <w:wordWrap/>
        <w:overflowPunct/>
        <w:topLinePunct w:val="0"/>
        <w:autoSpaceDE/>
        <w:autoSpaceDN/>
        <w:bidi w:val="0"/>
        <w:snapToGrid/>
        <w:spacing w:beforeAutospacing="0"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1）中标人须保证所提供产品符合国家有关规定，须保证所提供产品具有合法的版权或使用权，本项目采购的产品，如在本项目范围内使用过程中出现版权或使用权纠纷，应由中标人负责，采购人不承担责任。</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2）中标人必须保证解决项目所涉及的技术问题，如因技术原因无法满足采购人需求，由此产生的风险由中标人承担。</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3）投标人认为完成该项目需具备的其他设备、配件或服务，请投标人在投标文件中指出。</w:t>
      </w:r>
    </w:p>
    <w:p>
      <w:pPr>
        <w:pageBreakBefore w:val="0"/>
        <w:widowControl w:val="0"/>
        <w:kinsoku/>
        <w:wordWrap/>
        <w:overflowPunct/>
        <w:topLinePunct w:val="0"/>
        <w:autoSpaceDE/>
        <w:autoSpaceDN/>
        <w:bidi w:val="0"/>
        <w:snapToGrid/>
        <w:spacing w:line="360" w:lineRule="auto"/>
        <w:textAlignment w:val="auto"/>
        <w:rPr>
          <w:rFonts w:hint="eastAsia" w:ascii="宋体" w:hAnsi="Times New Roman" w:eastAsia="宋体" w:cs="Times New Roman"/>
          <w:spacing w:val="0"/>
          <w:kern w:val="2"/>
          <w:sz w:val="24"/>
          <w:szCs w:val="24"/>
          <w:lang w:val="zh-CN" w:eastAsia="zh-CN" w:bidi="ar-SA"/>
        </w:rPr>
      </w:pPr>
      <w:r>
        <w:rPr>
          <w:rFonts w:hint="eastAsia" w:ascii="宋体" w:hAnsi="Times New Roman" w:eastAsia="宋体" w:cs="Times New Roman"/>
          <w:spacing w:val="0"/>
          <w:kern w:val="2"/>
          <w:sz w:val="24"/>
          <w:szCs w:val="24"/>
          <w:lang w:val="en-US" w:eastAsia="zh-CN" w:bidi="ar-SA"/>
        </w:rPr>
        <w:t>4）投标人</w:t>
      </w:r>
      <w:r>
        <w:rPr>
          <w:rFonts w:hint="eastAsia" w:ascii="宋体" w:hAnsi="Times New Roman" w:eastAsia="宋体" w:cs="Times New Roman"/>
          <w:spacing w:val="0"/>
          <w:kern w:val="2"/>
          <w:sz w:val="24"/>
          <w:szCs w:val="24"/>
          <w:lang w:val="zh-CN" w:eastAsia="zh-CN" w:bidi="ar-SA"/>
        </w:rPr>
        <w:t>应对派遣该项目实施人员购买养老保险、医疗保险、意外伤害保险等。</w:t>
      </w:r>
      <w:r>
        <w:rPr>
          <w:rFonts w:hint="eastAsia" w:ascii="宋体" w:hAnsi="Times New Roman" w:eastAsia="宋体" w:cs="Times New Roman"/>
          <w:spacing w:val="0"/>
          <w:kern w:val="2"/>
          <w:sz w:val="24"/>
          <w:szCs w:val="24"/>
          <w:lang w:val="en-US" w:eastAsia="zh-CN" w:bidi="ar-SA"/>
        </w:rPr>
        <w:t>投标人</w:t>
      </w:r>
      <w:r>
        <w:rPr>
          <w:rFonts w:hint="eastAsia" w:ascii="宋体" w:hAnsi="Times New Roman" w:eastAsia="宋体" w:cs="Times New Roman"/>
          <w:spacing w:val="0"/>
          <w:kern w:val="2"/>
          <w:sz w:val="24"/>
          <w:szCs w:val="24"/>
          <w:lang w:val="zh-CN" w:eastAsia="zh-CN" w:bidi="ar-SA"/>
        </w:rPr>
        <w:t>在该项目实施过程中所发生的事故伤害、人员伤亡或导致采购人、第三人受损等情形的，由</w:t>
      </w:r>
      <w:r>
        <w:rPr>
          <w:rFonts w:hint="eastAsia" w:ascii="宋体" w:hAnsi="Times New Roman" w:eastAsia="宋体" w:cs="Times New Roman"/>
          <w:spacing w:val="0"/>
          <w:kern w:val="2"/>
          <w:sz w:val="24"/>
          <w:szCs w:val="24"/>
          <w:lang w:val="en-US" w:eastAsia="zh-CN" w:bidi="ar-SA"/>
        </w:rPr>
        <w:t>投标人</w:t>
      </w:r>
      <w:r>
        <w:rPr>
          <w:rFonts w:hint="eastAsia" w:ascii="宋体" w:hAnsi="Times New Roman" w:eastAsia="宋体" w:cs="Times New Roman"/>
          <w:spacing w:val="0"/>
          <w:kern w:val="2"/>
          <w:sz w:val="24"/>
          <w:szCs w:val="24"/>
          <w:lang w:val="zh-CN" w:eastAsia="zh-CN" w:bidi="ar-SA"/>
        </w:rPr>
        <w:t>承担全部责任；如发生债权债务、劳动纠纷、劳动报酬等相关劳动争议的，由</w:t>
      </w:r>
      <w:r>
        <w:rPr>
          <w:rFonts w:hint="eastAsia" w:ascii="宋体" w:hAnsi="Times New Roman" w:eastAsia="宋体" w:cs="Times New Roman"/>
          <w:spacing w:val="0"/>
          <w:kern w:val="2"/>
          <w:sz w:val="24"/>
          <w:szCs w:val="24"/>
          <w:lang w:val="en-US" w:eastAsia="zh-CN" w:bidi="ar-SA"/>
        </w:rPr>
        <w:t>投标人</w:t>
      </w:r>
      <w:r>
        <w:rPr>
          <w:rFonts w:hint="eastAsia" w:ascii="宋体" w:hAnsi="Times New Roman" w:eastAsia="宋体" w:cs="Times New Roman"/>
          <w:spacing w:val="0"/>
          <w:kern w:val="2"/>
          <w:sz w:val="24"/>
          <w:szCs w:val="24"/>
          <w:lang w:val="zh-CN" w:eastAsia="zh-CN" w:bidi="ar-SA"/>
        </w:rPr>
        <w:t>负责处置并承担全部责任，与采购人无关。</w:t>
      </w:r>
    </w:p>
    <w:p>
      <w:pPr>
        <w:pageBreakBefore w:val="0"/>
        <w:widowControl w:val="0"/>
        <w:kinsoku/>
        <w:wordWrap/>
        <w:overflowPunct/>
        <w:topLinePunct w:val="0"/>
        <w:autoSpaceDE/>
        <w:autoSpaceDN/>
        <w:bidi w:val="0"/>
        <w:snapToGrid/>
        <w:spacing w:afterAutospacing="0" w:line="360" w:lineRule="auto"/>
        <w:textAlignment w:val="auto"/>
        <w:rPr>
          <w:rFonts w:hint="default" w:ascii="宋体" w:hAnsi="Times New Roman" w:eastAsia="宋体" w:cs="Times New Roman"/>
          <w:spacing w:val="0"/>
          <w:kern w:val="2"/>
          <w:sz w:val="24"/>
          <w:szCs w:val="24"/>
          <w:lang w:val="en-US" w:eastAsia="zh-CN" w:bidi="ar-SA"/>
        </w:rPr>
      </w:pPr>
      <w:r>
        <w:rPr>
          <w:rFonts w:hint="eastAsia" w:ascii="宋体" w:hAnsi="Times New Roman" w:eastAsia="宋体" w:cs="Times New Roman"/>
          <w:spacing w:val="0"/>
          <w:kern w:val="2"/>
          <w:sz w:val="24"/>
          <w:szCs w:val="24"/>
          <w:lang w:val="en-US" w:eastAsia="zh-CN" w:bidi="ar-SA"/>
        </w:rPr>
        <w:t>5）中标人要配合采购人完成县级验收，配套材料、台账资料等必须收集齐全。</w:t>
      </w:r>
    </w:p>
    <w:p>
      <w:pPr>
        <w:pStyle w:val="3"/>
        <w:pageBreakBefore w:val="0"/>
        <w:widowControl w:val="0"/>
        <w:tabs>
          <w:tab w:val="left" w:pos="432"/>
        </w:tabs>
        <w:kinsoku/>
        <w:wordWrap/>
        <w:overflowPunct/>
        <w:topLinePunct w:val="0"/>
        <w:autoSpaceDE/>
        <w:autoSpaceDN/>
        <w:bidi w:val="0"/>
        <w:snapToGrid/>
        <w:spacing w:before="0" w:beforeAutospacing="0" w:after="0" w:afterAutospacing="0" w:line="360" w:lineRule="auto"/>
        <w:textAlignment w:val="auto"/>
        <w:rPr>
          <w:rFonts w:hint="eastAsia" w:ascii="宋体" w:hAnsi="Times New Roman" w:eastAsia="宋体" w:cs="Times New Roman"/>
          <w:spacing w:val="0"/>
          <w:kern w:val="2"/>
          <w:sz w:val="24"/>
          <w:szCs w:val="24"/>
          <w:lang w:val="zh-CN" w:eastAsia="zh-CN" w:bidi="ar-SA"/>
        </w:rPr>
      </w:pPr>
      <w:bookmarkStart w:id="76" w:name="_Toc25811"/>
      <w:bookmarkStart w:id="77" w:name="_Toc5105"/>
      <w:bookmarkStart w:id="78" w:name="_Toc9770"/>
      <w:r>
        <w:rPr>
          <w:rFonts w:hint="eastAsia" w:ascii="宋体" w:hAnsi="Times New Roman" w:eastAsia="宋体" w:cs="Times New Roman"/>
          <w:spacing w:val="0"/>
          <w:kern w:val="2"/>
          <w:sz w:val="24"/>
          <w:szCs w:val="24"/>
          <w:lang w:val="en-US" w:eastAsia="zh-CN" w:bidi="ar-SA"/>
        </w:rPr>
        <w:t>五、</w:t>
      </w:r>
      <w:r>
        <w:rPr>
          <w:rFonts w:hint="eastAsia" w:ascii="宋体" w:hAnsi="Times New Roman" w:eastAsia="宋体" w:cs="Times New Roman"/>
          <w:spacing w:val="0"/>
          <w:kern w:val="2"/>
          <w:sz w:val="24"/>
          <w:szCs w:val="24"/>
          <w:lang w:val="zh-CN" w:eastAsia="zh-CN" w:bidi="ar-SA"/>
        </w:rPr>
        <w:t>付款方式</w:t>
      </w:r>
      <w:bookmarkEnd w:id="73"/>
      <w:bookmarkEnd w:id="74"/>
      <w:bookmarkEnd w:id="75"/>
      <w:bookmarkEnd w:id="76"/>
      <w:bookmarkEnd w:id="77"/>
      <w:bookmarkEnd w:id="78"/>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1.合同签订完成且具备实施条件后7个工作日内支付合同款的40%，作为项目预付款；</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2.乙方完成项目供货、安装、调试并终验通过且正式交付后30日内支付合同合同总价的</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w:t>
      </w:r>
      <w:bookmarkStart w:id="79" w:name="_Toc55237637"/>
    </w:p>
    <w:p>
      <w:pPr>
        <w:rPr>
          <w:rFonts w:hint="eastAsia" w:ascii="宋体" w:hAnsi="宋体" w:cs="宋体"/>
          <w:sz w:val="24"/>
          <w:szCs w:val="24"/>
          <w:lang w:val="en-US" w:eastAsia="zh-CN"/>
        </w:rPr>
      </w:pPr>
      <w:r>
        <w:rPr>
          <w:rFonts w:hint="eastAsia" w:ascii="宋体" w:hAnsi="宋体" w:cs="宋体"/>
          <w:sz w:val="24"/>
          <w:szCs w:val="24"/>
          <w:lang w:val="en-US" w:eastAsia="zh-CN"/>
        </w:rPr>
        <w:br w:type="page"/>
      </w:r>
    </w:p>
    <w:p>
      <w:pPr>
        <w:pStyle w:val="6"/>
        <w:tabs>
          <w:tab w:val="left" w:pos="1050"/>
        </w:tabs>
        <w:adjustRightInd w:val="0"/>
        <w:snapToGrid w:val="0"/>
        <w:spacing w:beforeLines="0" w:afterLines="0" w:line="360" w:lineRule="auto"/>
        <w:jc w:val="center"/>
        <w:outlineLvl w:val="0"/>
        <w:rPr>
          <w:rFonts w:hint="default" w:ascii="Times New Roman" w:hAnsi="Times New Roman"/>
          <w:b/>
          <w:color w:val="000000" w:themeColor="text1"/>
          <w:sz w:val="36"/>
          <w:szCs w:val="36"/>
          <w14:textFill>
            <w14:solidFill>
              <w14:schemeClr w14:val="tx1"/>
            </w14:solidFill>
          </w14:textFill>
        </w:rPr>
      </w:pPr>
      <w:bookmarkStart w:id="80" w:name="_Toc15694"/>
      <w:r>
        <w:rPr>
          <w:rFonts w:ascii="Times New Roman" w:hAnsi="Times New Roman"/>
          <w:b/>
          <w:color w:val="000000" w:themeColor="text1"/>
          <w:sz w:val="36"/>
          <w:szCs w:val="36"/>
          <w14:textFill>
            <w14:solidFill>
              <w14:schemeClr w14:val="tx1"/>
            </w14:solidFill>
          </w14:textFill>
        </w:rPr>
        <w:t>第五章</w:t>
      </w:r>
      <w:r>
        <w:rPr>
          <w:rFonts w:hint="default" w:ascii="Times New Roman" w:hAnsi="Times New Roman"/>
          <w:b/>
          <w:color w:val="000000" w:themeColor="text1"/>
          <w:sz w:val="36"/>
          <w:szCs w:val="36"/>
          <w14:textFill>
            <w14:solidFill>
              <w14:schemeClr w14:val="tx1"/>
            </w14:solidFill>
          </w14:textFill>
        </w:rPr>
        <w:t xml:space="preserve"> 合同主要条款</w:t>
      </w:r>
      <w:bookmarkEnd w:id="80"/>
    </w:p>
    <w:p>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浙江省政府采购合同指引</w:t>
      </w:r>
    </w:p>
    <w:p>
      <w:pPr>
        <w:pageBreakBefore w:val="0"/>
        <w:widowControl w:val="0"/>
        <w:kinsoku/>
        <w:wordWrap/>
        <w:overflowPunct/>
        <w:topLinePunct w:val="0"/>
        <w:autoSpaceDE/>
        <w:autoSpaceDN/>
        <w:bidi w:val="0"/>
        <w:adjustRightInd/>
        <w:snapToGrid/>
        <w:spacing w:line="360" w:lineRule="auto"/>
        <w:ind w:left="1620" w:leftChars="200" w:hanging="1200" w:hangingChars="500"/>
        <w:jc w:val="left"/>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龙游县横山镇数字赋能农村生活垃圾分类设备采购项目</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项目编号：</w:t>
      </w:r>
      <w:r>
        <w:rPr>
          <w:rFonts w:hint="eastAsia" w:ascii="宋体" w:hAnsi="宋体" w:cs="宋体"/>
          <w:color w:val="000000" w:themeColor="text1"/>
          <w:sz w:val="24"/>
          <w:szCs w:val="24"/>
          <w:lang w:eastAsia="zh-CN"/>
          <w14:textFill>
            <w14:solidFill>
              <w14:schemeClr w14:val="tx1"/>
            </w14:solidFill>
          </w14:textFill>
        </w:rPr>
        <w:t>LYCG2024TY-044</w:t>
      </w:r>
    </w:p>
    <w:p>
      <w:pPr>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  方：龙游县横山镇人民政府</w:t>
      </w:r>
    </w:p>
    <w:p>
      <w:pPr>
        <w:pageBreakBefore w:val="0"/>
        <w:widowControl w:val="0"/>
        <w:kinsoku/>
        <w:wordWrap/>
        <w:overflowPunct/>
        <w:topLinePunct w:val="0"/>
        <w:autoSpaceDE/>
        <w:autoSpaceDN/>
        <w:bidi w:val="0"/>
        <w:adjustRightInd/>
        <w:snapToGrid/>
        <w:spacing w:afterAutospacing="0" w:line="360" w:lineRule="auto"/>
        <w:ind w:firstLine="48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乙  方：</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bookmarkStart w:id="81" w:name="_Toc25791"/>
      <w:bookmarkStart w:id="82" w:name="_Toc25027"/>
      <w:r>
        <w:rPr>
          <w:rFonts w:hint="eastAsia" w:ascii="宋体" w:hAnsi="宋体" w:eastAsia="宋体" w:cs="宋体"/>
          <w:sz w:val="24"/>
          <w:szCs w:val="24"/>
        </w:rPr>
        <w:t>一、说明</w:t>
      </w:r>
      <w:bookmarkEnd w:id="81"/>
      <w:bookmarkEnd w:id="82"/>
    </w:p>
    <w:p>
      <w:pPr>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1.合同基本条款是指采购人（以下简称甲方）和中标人（以下简称乙方）应共同遵守的基本原则，并作为双方签约的依据。对于合同的其他条款，双方应本着互谅互让的精神协商解决。</w:t>
      </w:r>
    </w:p>
    <w:p>
      <w:pPr>
        <w:pageBreakBefore w:val="0"/>
        <w:widowControl w:val="0"/>
        <w:kinsoku/>
        <w:wordWrap/>
        <w:overflowPunct/>
        <w:topLinePunct w:val="0"/>
        <w:autoSpaceDE/>
        <w:autoSpaceDN/>
        <w:bidi w:val="0"/>
        <w:adjustRightInd/>
        <w:snapToGrid/>
        <w:spacing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2.制定“合同主要条款”的依据是《中华人民共和国民法典》。</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bookmarkStart w:id="83" w:name="_Toc32674"/>
      <w:bookmarkStart w:id="84" w:name="_Toc18746"/>
      <w:r>
        <w:rPr>
          <w:rFonts w:hint="eastAsia" w:ascii="宋体" w:hAnsi="宋体" w:eastAsia="宋体" w:cs="宋体"/>
          <w:sz w:val="24"/>
          <w:szCs w:val="24"/>
        </w:rPr>
        <w:t>二、中标金额</w:t>
      </w:r>
      <w:bookmarkEnd w:id="83"/>
      <w:bookmarkEnd w:id="84"/>
    </w:p>
    <w:p>
      <w:pPr>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s="宋体"/>
          <w:sz w:val="24"/>
          <w:szCs w:val="24"/>
        </w:rPr>
      </w:pPr>
      <w:bookmarkStart w:id="85" w:name="_Toc29631"/>
      <w:r>
        <w:rPr>
          <w:rFonts w:hint="eastAsia" w:ascii="宋体" w:hAnsi="宋体" w:eastAsia="宋体" w:cs="宋体"/>
          <w:sz w:val="24"/>
          <w:szCs w:val="24"/>
        </w:rPr>
        <w:t>本合同中标价为（大写）：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default" w:ascii="Arial" w:hAnsi="Arial" w:eastAsia="宋体" w:cs="Arial"/>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）人民币。</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附件：报价明细清单</w:t>
      </w:r>
    </w:p>
    <w:p>
      <w:pPr>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合同价是乙方在正确地完全履行合同义务后甲方应支付的合同价格，包括货物价格、标准附件、备品备件、专用工具、人员工资、运输、装卸、招标代理费、安装调试、技术服务、平台运营1年服务费、验收合格所需的各种费用及必要的保险费用和各项税金等一切直接、间接成本和费用以及利润的全部。如有漏项，视为已包含在其它项目中。</w:t>
      </w:r>
    </w:p>
    <w:bookmarkEnd w:id="85"/>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bookmarkStart w:id="86" w:name="_Toc11232"/>
      <w:bookmarkStart w:id="87" w:name="_Toc30098"/>
      <w:bookmarkStart w:id="88" w:name="_Toc19216"/>
      <w:bookmarkStart w:id="89" w:name="_Toc21908"/>
      <w:bookmarkStart w:id="90" w:name="_Toc773"/>
      <w:r>
        <w:rPr>
          <w:rFonts w:hint="eastAsia" w:ascii="宋体" w:hAnsi="宋体" w:eastAsia="宋体" w:cs="宋体"/>
          <w:sz w:val="24"/>
          <w:szCs w:val="24"/>
        </w:rPr>
        <w:t>三、</w:t>
      </w:r>
      <w:bookmarkEnd w:id="86"/>
      <w:bookmarkEnd w:id="87"/>
      <w:bookmarkEnd w:id="88"/>
      <w:bookmarkEnd w:id="89"/>
      <w:bookmarkStart w:id="91" w:name="_Toc3402"/>
      <w:r>
        <w:rPr>
          <w:rFonts w:hint="eastAsia" w:ascii="宋体" w:hAnsi="宋体" w:eastAsia="宋体" w:cs="宋体"/>
          <w:sz w:val="24"/>
          <w:szCs w:val="24"/>
        </w:rPr>
        <w:t>技术资料</w:t>
      </w:r>
      <w:bookmarkEnd w:id="90"/>
      <w:bookmarkEnd w:id="91"/>
    </w:p>
    <w:p>
      <w:pPr>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1.乙方向甲方提供所招标采购的货物、配套设施、所属装置等有关技术资；</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2.乙方应按招标文件规定的时间向甲方提供使用产品的有关技术资料；</w:t>
      </w:r>
    </w:p>
    <w:p>
      <w:pPr>
        <w:pageBreakBefore w:val="0"/>
        <w:widowControl w:val="0"/>
        <w:kinsoku/>
        <w:wordWrap/>
        <w:overflowPunct/>
        <w:topLinePunct w:val="0"/>
        <w:autoSpaceDE/>
        <w:autoSpaceDN/>
        <w:bidi w:val="0"/>
        <w:adjustRightInd/>
        <w:snapToGrid/>
        <w:spacing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bookmarkStart w:id="92" w:name="_Toc22979"/>
      <w:bookmarkStart w:id="93" w:name="_Toc13266"/>
      <w:bookmarkStart w:id="94" w:name="_Toc13347"/>
      <w:bookmarkStart w:id="95" w:name="_Toc27644"/>
      <w:bookmarkStart w:id="96" w:name="_Toc12768"/>
      <w:bookmarkStart w:id="97" w:name="_Toc14457"/>
      <w:bookmarkStart w:id="98" w:name="_Toc15445"/>
      <w:bookmarkStart w:id="99" w:name="_Toc17099"/>
      <w:bookmarkStart w:id="100" w:name="_Toc25614"/>
      <w:r>
        <w:rPr>
          <w:rFonts w:hint="eastAsia" w:ascii="宋体" w:hAnsi="宋体" w:eastAsia="宋体" w:cs="宋体"/>
          <w:sz w:val="24"/>
          <w:szCs w:val="24"/>
        </w:rPr>
        <w:t>四、</w:t>
      </w:r>
      <w:bookmarkEnd w:id="92"/>
      <w:bookmarkEnd w:id="93"/>
      <w:bookmarkEnd w:id="94"/>
      <w:bookmarkEnd w:id="95"/>
      <w:bookmarkEnd w:id="96"/>
      <w:bookmarkEnd w:id="97"/>
      <w:bookmarkEnd w:id="98"/>
      <w:bookmarkEnd w:id="99"/>
      <w:bookmarkEnd w:id="100"/>
      <w:r>
        <w:rPr>
          <w:rFonts w:hint="eastAsia" w:ascii="宋体" w:hAnsi="宋体" w:eastAsia="宋体" w:cs="宋体"/>
          <w:sz w:val="24"/>
          <w:szCs w:val="24"/>
          <w:lang w:val="en-US" w:eastAsia="zh-CN"/>
        </w:rPr>
        <w:t>供货期限及工期要求</w:t>
      </w:r>
    </w:p>
    <w:p>
      <w:pPr>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合同签订后，接</w:t>
      </w:r>
      <w:r>
        <w:rPr>
          <w:rFonts w:hint="eastAsia" w:ascii="宋体" w:hAnsi="宋体" w:eastAsia="宋体" w:cs="宋体"/>
          <w:color w:val="000000" w:themeColor="text1"/>
          <w:sz w:val="24"/>
          <w:szCs w:val="24"/>
          <w:lang w:val="en-US" w:eastAsia="zh-CN"/>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通知后的30天内完成供货、安装并通过业主验收。</w:t>
      </w:r>
    </w:p>
    <w:p>
      <w:pPr>
        <w:pageBreakBefore w:val="0"/>
        <w:widowControl w:val="0"/>
        <w:kinsoku/>
        <w:wordWrap/>
        <w:overflowPunct/>
        <w:topLinePunct w:val="0"/>
        <w:autoSpaceDE/>
        <w:autoSpaceDN/>
        <w:bidi w:val="0"/>
        <w:adjustRightInd/>
        <w:snapToGrid/>
        <w:spacing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运营服务期：1年（通过最终验收，正式交付之日起）。</w:t>
      </w:r>
    </w:p>
    <w:p>
      <w:pPr>
        <w:pStyle w:val="3"/>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bookmarkStart w:id="101" w:name="_Toc14557"/>
      <w:bookmarkStart w:id="102" w:name="_Toc8463"/>
      <w:bookmarkStart w:id="103" w:name="_Toc8859"/>
      <w:r>
        <w:rPr>
          <w:rFonts w:hint="eastAsia" w:ascii="宋体" w:hAnsi="宋体" w:eastAsia="宋体" w:cs="宋体"/>
          <w:sz w:val="24"/>
          <w:szCs w:val="24"/>
          <w:lang w:val="en-US" w:eastAsia="zh-CN"/>
        </w:rPr>
        <w:t>服务地点</w:t>
      </w:r>
    </w:p>
    <w:p>
      <w:pPr>
        <w:pageBreakBefore w:val="0"/>
        <w:widowControl w:val="0"/>
        <w:kinsoku/>
        <w:wordWrap/>
        <w:overflowPunct/>
        <w:topLinePunct w:val="0"/>
        <w:autoSpaceDE/>
        <w:autoSpaceDN/>
        <w:bidi w:val="0"/>
        <w:adjustRightInd/>
        <w:snapToGrid/>
        <w:spacing w:beforeAutospacing="0"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由甲方指定地点。</w:t>
      </w:r>
    </w:p>
    <w:p>
      <w:pPr>
        <w:pStyle w:val="3"/>
        <w:pageBreakBefore w:val="0"/>
        <w:widowControl w:val="0"/>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六、履约保证金</w:t>
      </w:r>
      <w:bookmarkEnd w:id="101"/>
      <w:bookmarkEnd w:id="102"/>
      <w:bookmarkEnd w:id="103"/>
    </w:p>
    <w:p>
      <w:pPr>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无。</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bookmarkStart w:id="104" w:name="_Toc12129"/>
      <w:bookmarkStart w:id="105" w:name="_Toc12003"/>
      <w:bookmarkStart w:id="106" w:name="_Toc9959"/>
      <w:r>
        <w:rPr>
          <w:rFonts w:hint="eastAsia" w:ascii="宋体" w:hAnsi="宋体" w:eastAsia="宋体" w:cs="宋体"/>
          <w:sz w:val="24"/>
          <w:szCs w:val="24"/>
        </w:rPr>
        <w:t>七、转包或分包</w:t>
      </w:r>
      <w:bookmarkEnd w:id="104"/>
      <w:bookmarkEnd w:id="105"/>
      <w:bookmarkEnd w:id="106"/>
    </w:p>
    <w:p>
      <w:pPr>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1.本合同范围的货物和服务，应由乙方直接承接服务供应，不得向他人转让，也不得肢解后分别向他人转让。</w:t>
      </w:r>
    </w:p>
    <w:p>
      <w:pPr>
        <w:pageBreakBefore w:val="0"/>
        <w:widowControl w:val="0"/>
        <w:kinsoku/>
        <w:wordWrap/>
        <w:overflowPunct/>
        <w:topLinePunct w:val="0"/>
        <w:autoSpaceDE/>
        <w:autoSpaceDN/>
        <w:bidi w:val="0"/>
        <w:adjustRightInd/>
        <w:snapToGrid/>
        <w:spacing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2.如有转让和未经甲方同意的分包行为，甲方有权解除合同并追究乙方的违约责任。</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八、本次数字赋能农村生活垃圾分类行政村名单（12个）</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Times New Roman" w:eastAsia="宋体" w:cs="Times New Roman"/>
          <w:snapToGrid/>
          <w:kern w:val="2"/>
          <w:sz w:val="24"/>
          <w:szCs w:val="24"/>
          <w:highlight w:val="none"/>
          <w:lang w:val="en-US" w:eastAsia="zh-CN" w:bidi="ar-SA"/>
        </w:rPr>
        <w:t>天池村、志棠村、塔下叶村、腰塘边村、河宗村、上向徐村、白鹤桥村、会泽里村、上宾村、八石坂村、脉元村、下宅村</w:t>
      </w:r>
      <w:r>
        <w:rPr>
          <w:rFonts w:hint="eastAsia" w:ascii="宋体" w:hAnsi="宋体" w:eastAsia="宋体" w:cs="宋体"/>
          <w:sz w:val="24"/>
          <w:szCs w:val="24"/>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九、质保期</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货物质保期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年（自验收使用之日起计，按投标文件承诺时间）自验收之日起算。</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相关设备原厂质保期限高于本项目承诺质保期的按原厂质保期限执行</w:t>
      </w:r>
      <w:r>
        <w:rPr>
          <w:rFonts w:hint="eastAsia" w:ascii="宋体" w:hAnsi="宋体" w:eastAsia="宋体" w:cs="宋体"/>
          <w:sz w:val="24"/>
          <w:szCs w:val="24"/>
          <w:lang w:val="zh-CN" w:eastAsia="zh-CN"/>
        </w:rPr>
        <w:t>）</w:t>
      </w:r>
    </w:p>
    <w:p>
      <w:pPr>
        <w:pStyle w:val="3"/>
        <w:pageBreakBefore w:val="0"/>
        <w:widowControl w:val="0"/>
        <w:tabs>
          <w:tab w:val="right" w:pos="8306"/>
        </w:tabs>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07" w:name="_Toc20210"/>
      <w:bookmarkStart w:id="108" w:name="_Toc30810"/>
      <w:r>
        <w:rPr>
          <w:rFonts w:hint="eastAsia" w:ascii="宋体" w:hAnsi="宋体" w:eastAsia="宋体" w:cs="宋体"/>
          <w:color w:val="000000" w:themeColor="text1"/>
          <w:sz w:val="24"/>
          <w:szCs w:val="24"/>
          <w14:textFill>
            <w14:solidFill>
              <w14:schemeClr w14:val="tx1"/>
            </w14:solidFill>
          </w14:textFill>
        </w:rPr>
        <w:t>八、款项支付</w:t>
      </w:r>
      <w:bookmarkEnd w:id="107"/>
      <w:bookmarkEnd w:id="108"/>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1.合同签订完成且具备实施条件后7个工作日内支付合同款的40%，作为项目预付款；</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2.乙方完成项目供货、安装、调试并终验通过且正式交付后30日内支付合同合同总价的</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乙方必须提供给甲方合法、有效</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增值税发票及支付申请单，否则甲方有权延期付款，直至收到乙方相应增值税发票为止。</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注：甲方可根据项目特点、乙方诚信等因素，可以要求乙方提交银行、保险公司等金融机构出具的预付款保函或其他担保措施。</w:t>
      </w:r>
    </w:p>
    <w:p>
      <w:pPr>
        <w:pageBreakBefore w:val="0"/>
        <w:widowControl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当采购数量与实际</w:t>
      </w:r>
      <w:r>
        <w:rPr>
          <w:rFonts w:hint="eastAsia" w:ascii="宋体" w:hAnsi="宋体" w:eastAsia="宋体" w:cs="宋体"/>
          <w:sz w:val="24"/>
          <w:szCs w:val="24"/>
          <w:lang w:val="en-US" w:eastAsia="zh-CN"/>
        </w:rPr>
        <w:t>供货</w:t>
      </w:r>
      <w:r>
        <w:rPr>
          <w:rFonts w:hint="eastAsia" w:ascii="宋体" w:hAnsi="宋体" w:eastAsia="宋体" w:cs="宋体"/>
          <w:sz w:val="24"/>
          <w:szCs w:val="24"/>
          <w:lang w:val="zh-CN" w:eastAsia="zh-CN"/>
        </w:rPr>
        <w:t>数量不一致时，乙方应根据实际供货</w:t>
      </w:r>
      <w:r>
        <w:rPr>
          <w:rFonts w:hint="eastAsia" w:ascii="宋体" w:hAnsi="宋体" w:eastAsia="宋体" w:cs="宋体"/>
          <w:sz w:val="24"/>
          <w:szCs w:val="24"/>
          <w:lang w:val="en-US" w:eastAsia="zh-CN"/>
        </w:rPr>
        <w:t>数量结算</w:t>
      </w:r>
      <w:r>
        <w:rPr>
          <w:rFonts w:hint="eastAsia" w:ascii="宋体" w:hAnsi="宋体" w:eastAsia="宋体" w:cs="宋体"/>
          <w:sz w:val="24"/>
          <w:szCs w:val="24"/>
          <w:lang w:val="zh-CN" w:eastAsia="zh-CN"/>
        </w:rPr>
        <w:t>，合同的最终结算金额按实际</w:t>
      </w:r>
      <w:r>
        <w:rPr>
          <w:rFonts w:hint="eastAsia" w:ascii="宋体" w:hAnsi="宋体" w:eastAsia="宋体" w:cs="宋体"/>
          <w:sz w:val="24"/>
          <w:szCs w:val="24"/>
          <w:lang w:val="en-US" w:eastAsia="zh-CN"/>
        </w:rPr>
        <w:t>供货数量</w:t>
      </w:r>
      <w:r>
        <w:rPr>
          <w:rFonts w:hint="eastAsia" w:ascii="宋体" w:hAnsi="宋体" w:eastAsia="宋体" w:cs="宋体"/>
          <w:sz w:val="24"/>
          <w:szCs w:val="24"/>
          <w:lang w:val="zh-CN" w:eastAsia="zh-CN"/>
        </w:rPr>
        <w:t>乘以成交单价进行计算；并签订补充合同；补充合同的采购金额不得超过原采购金额的10%。</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109" w:name="_Toc5180"/>
      <w:bookmarkStart w:id="110" w:name="_Toc31300"/>
      <w:r>
        <w:rPr>
          <w:rFonts w:hint="eastAsia" w:ascii="宋体" w:hAnsi="宋体" w:eastAsia="宋体" w:cs="宋体"/>
          <w:color w:val="000000" w:themeColor="text1"/>
          <w:sz w:val="24"/>
          <w:szCs w:val="24"/>
          <w14:textFill>
            <w14:solidFill>
              <w14:schemeClr w14:val="tx1"/>
            </w14:solidFill>
          </w14:textFill>
        </w:rPr>
        <w:t>九、税费</w:t>
      </w:r>
      <w:bookmarkEnd w:id="109"/>
      <w:bookmarkEnd w:id="110"/>
    </w:p>
    <w:p>
      <w:pPr>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本合同执行中相关的一切税费均由乙方负担。（须按照甲方要求开具相应的发票）</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4"/>
          <w:szCs w:val="24"/>
          <w:highlight w:val="none"/>
          <w:lang w:val="zh-CN" w:eastAsia="zh-CN"/>
        </w:rPr>
      </w:pPr>
      <w:bookmarkStart w:id="111" w:name="_Toc9302"/>
      <w:bookmarkStart w:id="112" w:name="_Toc8906"/>
      <w:bookmarkStart w:id="113" w:name="_Toc1835"/>
      <w:r>
        <w:rPr>
          <w:rFonts w:hint="eastAsia" w:ascii="宋体" w:hAnsi="宋体" w:eastAsia="宋体" w:cs="宋体"/>
          <w:sz w:val="24"/>
          <w:szCs w:val="24"/>
        </w:rPr>
        <w:t>十</w:t>
      </w:r>
      <w:bookmarkStart w:id="114" w:name="_Toc30017"/>
      <w:bookmarkStart w:id="115" w:name="_Toc6430"/>
      <w:r>
        <w:rPr>
          <w:rFonts w:hint="eastAsia" w:ascii="宋体" w:hAnsi="宋体" w:eastAsia="宋体" w:cs="宋体"/>
          <w:sz w:val="24"/>
          <w:szCs w:val="24"/>
        </w:rPr>
        <w:t>、</w:t>
      </w:r>
      <w:bookmarkEnd w:id="111"/>
      <w:bookmarkEnd w:id="114"/>
      <w:bookmarkEnd w:id="115"/>
      <w:r>
        <w:rPr>
          <w:rFonts w:hint="eastAsia" w:ascii="宋体" w:hAnsi="宋体" w:eastAsia="宋体" w:cs="宋体"/>
          <w:sz w:val="24"/>
          <w:szCs w:val="24"/>
          <w:lang w:val="en-US" w:eastAsia="zh-CN"/>
        </w:rPr>
        <w:t>售后服务要求</w:t>
      </w:r>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1.服务响应及维护：</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1.1能够提供完善可靠的技术支持，当出现故障半小时响应，现场服务能在4小时内到达，24小时解决问题。</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系统维护期内包括故障排除、性能调优、技术咨询、系统与硬件优化、技术培训以及其他协调维护工作。</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在维护期内，除不可抗力等因素所造成的损害外，乙方必须免费提供维修服务。要求对所投产品应提供长期技术支持。</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1.4如对产品有新的改进、增加新功能或者未适应最新标准所形成的最新版本，免费提供给甲方。</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提供网络安全应急响应服务，建立网络安全事件应急响应机制，对出现的安全事件快速响应处置，以最大限度保障业务数据安全，减少或挽回业务损失。协助调查取证：包括对文件、痕迹、日志等信息进行协助调查取证。</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1.6服务期间甲方进行组织重大活动时，乙方必须免费提供现场技术人员支持，保障活动正常有序的进行。</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2.备品备件：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系统使用、维修保养过程中所必须的备品备件（备件数量不低于采购量的5%）。</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3.服务计划：</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3.1出现故障后，乙方如未按上述要求进行响应，甲方可以采取必要的补救措施，由此产生的风险和费用将由乙方承担。</w:t>
      </w:r>
    </w:p>
    <w:p>
      <w:pPr>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3.2乙方应对所供货物实行终身维修。</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4"/>
          <w:szCs w:val="24"/>
          <w:highlight w:val="none"/>
          <w:lang w:val="en-US" w:eastAsia="zh-CN"/>
        </w:rPr>
      </w:pPr>
      <w:bookmarkStart w:id="116" w:name="_Toc19317"/>
      <w:r>
        <w:rPr>
          <w:rFonts w:hint="eastAsia" w:ascii="宋体" w:hAnsi="宋体" w:eastAsia="宋体" w:cs="宋体"/>
          <w:sz w:val="24"/>
          <w:szCs w:val="24"/>
        </w:rPr>
        <w:t>十一</w:t>
      </w:r>
      <w:bookmarkEnd w:id="112"/>
      <w:bookmarkEnd w:id="113"/>
      <w:bookmarkEnd w:id="116"/>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质量保证</w:t>
      </w:r>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1.乙方应按采购文件规定的货物性能、技术要求、质量标准向甲方提供未经使用的全新产品。</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2.乙方提供的货物在质量期内因货物本身的质量问题发生故障 ，乙方应负责免费更换。对达不到技术要求着，根据实际情况，经双方协商，可按以下办法处理：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2.1更换。由乙方承担所发生的全部费用。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2.2贬值处理。由甲乙双方合议定价。</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2.3退货处理。乙方应退还甲方支付的合同款，同时应承担该货物的直接费用、运输、保险、检验、货款利息及银行手续费等。</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3.如在使用过程中发生质量问题，乙方在接到甲方通知后在12小时内到达甲方现场。</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4.在质保期内，乙方应对货物出现的质量及安全问题负责处理解决并承担一切费用。</w:t>
      </w:r>
    </w:p>
    <w:p>
      <w:pPr>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5.上述的货物免费保修期不得少于   年（按投标文件承诺时间），因人为因素出现的故障不在免费保修范围内。超过保修期的机器设备，终生维修，维修时只收部件成本费。</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4"/>
          <w:szCs w:val="24"/>
          <w:lang w:val="zh-CN" w:eastAsia="zh-CN"/>
        </w:rPr>
      </w:pPr>
      <w:r>
        <w:rPr>
          <w:rFonts w:hint="eastAsia" w:ascii="宋体" w:hAnsi="宋体" w:eastAsia="宋体" w:cs="宋体"/>
          <w:sz w:val="24"/>
          <w:szCs w:val="24"/>
          <w:lang w:val="en-US" w:eastAsia="zh-CN"/>
        </w:rPr>
        <w:t>十二、</w:t>
      </w:r>
      <w:r>
        <w:rPr>
          <w:rFonts w:hint="eastAsia" w:ascii="宋体" w:hAnsi="宋体" w:eastAsia="宋体" w:cs="宋体"/>
          <w:sz w:val="24"/>
          <w:szCs w:val="24"/>
          <w:lang w:val="zh-CN" w:eastAsia="zh-CN"/>
        </w:rPr>
        <w:t>培训要求</w:t>
      </w:r>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1.乙方</w:t>
      </w:r>
      <w:r>
        <w:rPr>
          <w:rFonts w:hint="eastAsia" w:ascii="宋体" w:hAnsi="宋体" w:eastAsia="宋体" w:cs="宋体"/>
          <w:sz w:val="24"/>
          <w:szCs w:val="24"/>
          <w:lang w:val="zh-CN" w:eastAsia="zh-CN"/>
        </w:rPr>
        <w:t>需提供详细的培训计划和内容；</w:t>
      </w:r>
    </w:p>
    <w:p>
      <w:pPr>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系统操作培训：主要面向设备现场实际操作、维修人员等使用人员，使其具备独立进行系统日常</w:t>
      </w:r>
      <w:r>
        <w:rPr>
          <w:rFonts w:hint="eastAsia" w:ascii="宋体" w:hAnsi="宋体" w:eastAsia="宋体" w:cs="宋体"/>
          <w:sz w:val="24"/>
          <w:szCs w:val="24"/>
          <w:lang w:val="en-US" w:eastAsia="zh-CN"/>
        </w:rPr>
        <w:t>操作、维修</w:t>
      </w:r>
      <w:r>
        <w:rPr>
          <w:rFonts w:hint="eastAsia" w:ascii="宋体" w:hAnsi="宋体" w:eastAsia="宋体" w:cs="宋体"/>
          <w:sz w:val="24"/>
          <w:szCs w:val="24"/>
          <w:lang w:val="zh-CN" w:eastAsia="zh-CN"/>
        </w:rPr>
        <w:t>的能力，所有培训费用包含在</w:t>
      </w:r>
      <w:r>
        <w:rPr>
          <w:rFonts w:hint="eastAsia" w:ascii="宋体" w:hAnsi="宋体" w:eastAsia="宋体" w:cs="宋体"/>
          <w:sz w:val="24"/>
          <w:szCs w:val="24"/>
          <w:lang w:val="en-US" w:eastAsia="zh-CN"/>
        </w:rPr>
        <w:t>合同</w:t>
      </w:r>
      <w:r>
        <w:rPr>
          <w:rFonts w:hint="eastAsia" w:ascii="宋体" w:hAnsi="宋体" w:eastAsia="宋体" w:cs="宋体"/>
          <w:sz w:val="24"/>
          <w:szCs w:val="24"/>
          <w:lang w:val="zh-CN" w:eastAsia="zh-CN"/>
        </w:rPr>
        <w:t>总价中。</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w w:val="100"/>
          <w:sz w:val="24"/>
          <w:szCs w:val="24"/>
          <w:lang w:val="en-US" w:eastAsia="zh-CN"/>
        </w:rPr>
      </w:pPr>
      <w:r>
        <w:rPr>
          <w:rFonts w:hint="eastAsia" w:ascii="宋体" w:hAnsi="宋体" w:eastAsia="宋体" w:cs="宋体"/>
          <w:sz w:val="24"/>
          <w:szCs w:val="24"/>
          <w:lang w:val="en-US" w:eastAsia="zh-CN"/>
        </w:rPr>
        <w:t>十三、调试和验收</w:t>
      </w:r>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1.乙方</w:t>
      </w:r>
      <w:r>
        <w:rPr>
          <w:rFonts w:hint="eastAsia" w:ascii="宋体" w:hAnsi="宋体" w:eastAsia="宋体" w:cs="宋体"/>
          <w:sz w:val="24"/>
          <w:szCs w:val="24"/>
          <w:lang w:val="zh-CN" w:eastAsia="zh-CN"/>
        </w:rPr>
        <w:t>必须向</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提供</w:t>
      </w:r>
      <w:r>
        <w:rPr>
          <w:rFonts w:hint="eastAsia" w:ascii="宋体" w:hAnsi="宋体" w:eastAsia="宋体" w:cs="宋体"/>
          <w:sz w:val="24"/>
          <w:szCs w:val="24"/>
          <w:lang w:val="en-US" w:eastAsia="zh-CN"/>
        </w:rPr>
        <w:t>本项目全部软硬件清单</w:t>
      </w:r>
      <w:r>
        <w:rPr>
          <w:rFonts w:hint="eastAsia" w:ascii="宋体" w:hAnsi="宋体" w:eastAsia="宋体" w:cs="宋体"/>
          <w:sz w:val="24"/>
          <w:szCs w:val="24"/>
          <w:lang w:val="zh-CN" w:eastAsia="zh-CN"/>
        </w:rPr>
        <w:t>，并配合完成整个</w:t>
      </w:r>
      <w:r>
        <w:rPr>
          <w:rFonts w:hint="eastAsia" w:ascii="宋体" w:hAnsi="宋体" w:eastAsia="宋体" w:cs="宋体"/>
          <w:sz w:val="24"/>
          <w:szCs w:val="24"/>
          <w:lang w:val="en-US" w:eastAsia="zh-CN"/>
        </w:rPr>
        <w:t>项目</w:t>
      </w:r>
      <w:r>
        <w:rPr>
          <w:rFonts w:hint="eastAsia" w:ascii="宋体" w:hAnsi="宋体" w:eastAsia="宋体" w:cs="宋体"/>
          <w:sz w:val="24"/>
          <w:szCs w:val="24"/>
          <w:lang w:val="zh-CN" w:eastAsia="zh-CN"/>
        </w:rPr>
        <w:t>的调试工作。</w:t>
      </w:r>
      <w:r>
        <w:rPr>
          <w:rFonts w:hint="eastAsia" w:ascii="宋体" w:hAnsi="宋体" w:eastAsia="宋体" w:cs="宋体"/>
          <w:sz w:val="24"/>
          <w:szCs w:val="24"/>
          <w:lang w:val="en-US" w:eastAsia="zh-CN"/>
        </w:rPr>
        <w:t>软硬件</w:t>
      </w:r>
      <w:r>
        <w:rPr>
          <w:rFonts w:hint="eastAsia" w:ascii="宋体" w:hAnsi="宋体" w:eastAsia="宋体" w:cs="宋体"/>
          <w:sz w:val="24"/>
          <w:szCs w:val="24"/>
          <w:lang w:val="zh-CN" w:eastAsia="zh-CN"/>
        </w:rPr>
        <w:t>安装并调试完成后，由</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组织初验，通过初步验收后，投入试运行。</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在试运行期间，</w:t>
      </w:r>
      <w:r>
        <w:rPr>
          <w:rFonts w:hint="eastAsia" w:ascii="宋体" w:hAnsi="宋体" w:eastAsia="宋体" w:cs="宋体"/>
          <w:sz w:val="24"/>
          <w:szCs w:val="24"/>
          <w:lang w:val="en-US" w:eastAsia="zh-CN"/>
        </w:rPr>
        <w:t>乙方</w:t>
      </w:r>
      <w:r>
        <w:rPr>
          <w:rFonts w:hint="eastAsia" w:ascii="宋体" w:hAnsi="宋体" w:eastAsia="宋体" w:cs="宋体"/>
          <w:sz w:val="24"/>
          <w:szCs w:val="24"/>
          <w:lang w:val="zh-CN" w:eastAsia="zh-CN"/>
        </w:rPr>
        <w:t>应使任何故障或问题都能在收到故障通知后尽快（节假日也不例外）被修复和解决，并给出详细修复细节报告，所有试运行期间的修改和变化都应在试运行结束后提供书面和电子文档给</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。试运行之后若无功能性缺陷及重大故障，由</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组织终验。</w:t>
      </w:r>
    </w:p>
    <w:p>
      <w:pPr>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验收以国家行业标准为基础，结合本次招标文件和正式合同为依据进行。如不符要求，一律返工，直到符合要求为止，否则拒付货款。</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w w:val="100"/>
          <w:sz w:val="24"/>
          <w:szCs w:val="24"/>
          <w:lang w:val="en-US" w:eastAsia="zh-CN"/>
        </w:rPr>
      </w:pPr>
      <w:r>
        <w:rPr>
          <w:rFonts w:hint="eastAsia" w:ascii="宋体" w:hAnsi="宋体" w:eastAsia="宋体" w:cs="宋体"/>
          <w:sz w:val="24"/>
          <w:szCs w:val="24"/>
          <w:lang w:val="en-US" w:eastAsia="zh-CN"/>
        </w:rPr>
        <w:t>十四、货物包装、发运及运输</w:t>
      </w:r>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1.乙方应在货物发运前对其进行满足运输距离、防潮、防震、防锈和防破损装卸等要求包装，以保证货物安全运达甲方指定地点。</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2.使用说明书、质量检验证明书、随配附件和工具以及清单一并附于货物内。</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3.乙方在货物发运手续办理完毕后24小时内或货到甲方48小时前通知甲方，以准备接货。</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4.货物在交付甲方前发生的风险均由乙方负责。</w:t>
      </w:r>
    </w:p>
    <w:p>
      <w:pPr>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5.货物在规定的交付期限内由乙方送达甲方指定的地点视为交付，乙方同时需通知甲方货物已送达。</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bookmarkStart w:id="117" w:name="_Toc16416"/>
      <w:bookmarkStart w:id="118" w:name="_Toc27922"/>
      <w:bookmarkStart w:id="119" w:name="_Toc1985"/>
      <w:r>
        <w:rPr>
          <w:rFonts w:hint="eastAsia" w:ascii="宋体" w:hAnsi="宋体" w:eastAsia="宋体" w:cs="宋体"/>
          <w:sz w:val="24"/>
          <w:szCs w:val="24"/>
        </w:rPr>
        <w:t>十</w:t>
      </w:r>
      <w:r>
        <w:rPr>
          <w:rFonts w:hint="eastAsia" w:ascii="宋体" w:hAnsi="宋体" w:eastAsia="宋体" w:cs="宋体"/>
          <w:sz w:val="24"/>
          <w:szCs w:val="24"/>
          <w:lang w:val="en-US" w:eastAsia="zh-CN"/>
        </w:rPr>
        <w:t>五</w:t>
      </w:r>
      <w:r>
        <w:rPr>
          <w:rFonts w:hint="eastAsia" w:ascii="宋体" w:hAnsi="宋体" w:eastAsia="宋体" w:cs="宋体"/>
          <w:sz w:val="24"/>
          <w:szCs w:val="24"/>
        </w:rPr>
        <w:t>、违约责任</w:t>
      </w:r>
      <w:bookmarkEnd w:id="117"/>
      <w:bookmarkEnd w:id="118"/>
      <w:bookmarkEnd w:id="119"/>
    </w:p>
    <w:p>
      <w:pPr>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1.甲方无正当理由拒绝接受</w:t>
      </w:r>
      <w:r>
        <w:rPr>
          <w:rFonts w:hint="eastAsia" w:ascii="宋体" w:hAnsi="宋体" w:eastAsia="宋体" w:cs="宋体"/>
          <w:sz w:val="24"/>
          <w:szCs w:val="24"/>
          <w:lang w:val="en-US" w:eastAsia="zh-CN"/>
        </w:rPr>
        <w:t>货物</w:t>
      </w:r>
      <w:r>
        <w:rPr>
          <w:rFonts w:hint="eastAsia" w:ascii="宋体" w:hAnsi="宋体" w:eastAsia="宋体" w:cs="宋体"/>
          <w:sz w:val="24"/>
          <w:szCs w:val="24"/>
        </w:rPr>
        <w:t>的，甲方向乙方偿付合同款项百分之五作为违约金。</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2.甲方无故逾期验收和办理货款支付手续的，甲方应按逾期付款总额每日万分之五向乙方支付违约金。</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3"/>
        <w:pageBreakBefore w:val="0"/>
        <w:widowControl w:val="0"/>
        <w:kinsoku/>
        <w:wordWrap/>
        <w:overflowPunct/>
        <w:topLinePunct w:val="0"/>
        <w:autoSpaceDE/>
        <w:autoSpaceDN/>
        <w:bidi w:val="0"/>
        <w:adjustRightInd/>
        <w:snapToGrid/>
        <w:spacing w:after="0" w:afterAutospacing="0" w:line="360" w:lineRule="auto"/>
        <w:textAlignment w:val="auto"/>
        <w:rPr>
          <w:rFonts w:hint="eastAsia" w:ascii="宋体" w:hAnsi="宋体" w:eastAsia="宋体" w:cs="宋体"/>
          <w:b/>
          <w:bCs/>
          <w:w w:val="100"/>
          <w:sz w:val="24"/>
          <w:szCs w:val="24"/>
          <w:lang w:val="en-US" w:eastAsia="zh-CN"/>
        </w:rPr>
      </w:pPr>
      <w:bookmarkStart w:id="120" w:name="_Toc10748"/>
      <w:bookmarkStart w:id="121" w:name="_Toc21728"/>
      <w:bookmarkStart w:id="122" w:name="_Toc22037"/>
      <w:r>
        <w:rPr>
          <w:rFonts w:hint="eastAsia" w:ascii="宋体" w:hAnsi="宋体" w:eastAsia="宋体" w:cs="宋体"/>
          <w:sz w:val="24"/>
          <w:szCs w:val="24"/>
          <w:lang w:val="en-US" w:eastAsia="zh-CN"/>
        </w:rPr>
        <w:t>十六、安全约定</w:t>
      </w:r>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1.乙方在项目实施过程中应加强安全管理。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2.乙方在项目实施过程中</w:t>
      </w:r>
      <w:r>
        <w:rPr>
          <w:rFonts w:hint="eastAsia" w:ascii="宋体" w:hAnsi="宋体" w:eastAsia="宋体" w:cs="宋体"/>
          <w:sz w:val="24"/>
          <w:szCs w:val="24"/>
          <w:lang w:val="zh-CN" w:eastAsia="zh-CN"/>
        </w:rPr>
        <w:t>应自行承担项目</w:t>
      </w:r>
      <w:r>
        <w:rPr>
          <w:rFonts w:hint="eastAsia" w:ascii="宋体" w:hAnsi="宋体" w:eastAsia="宋体" w:cs="宋体"/>
          <w:sz w:val="24"/>
          <w:szCs w:val="24"/>
          <w:lang w:val="en-US" w:eastAsia="zh-CN"/>
        </w:rPr>
        <w:t>派遣人员的安全</w:t>
      </w:r>
      <w:r>
        <w:rPr>
          <w:rFonts w:hint="eastAsia" w:ascii="宋体" w:hAnsi="宋体" w:eastAsia="宋体" w:cs="宋体"/>
          <w:sz w:val="24"/>
          <w:szCs w:val="24"/>
          <w:lang w:val="zh-CN" w:eastAsia="zh-CN"/>
        </w:rPr>
        <w:t>责任，</w:t>
      </w:r>
      <w:r>
        <w:rPr>
          <w:rFonts w:hint="eastAsia" w:ascii="宋体" w:hAnsi="宋体" w:eastAsia="宋体" w:cs="宋体"/>
          <w:sz w:val="24"/>
          <w:szCs w:val="24"/>
          <w:lang w:val="en-US" w:eastAsia="zh-CN"/>
        </w:rPr>
        <w:t>凡发生工伤及死亡事故均由乙方自行负责，甲方</w:t>
      </w:r>
      <w:r>
        <w:rPr>
          <w:rFonts w:hint="eastAsia" w:ascii="宋体" w:hAnsi="宋体" w:eastAsia="宋体" w:cs="宋体"/>
          <w:sz w:val="24"/>
          <w:szCs w:val="24"/>
          <w:lang w:val="zh-CN" w:eastAsia="zh-CN"/>
        </w:rPr>
        <w:t>任何情况下均不承担因此产生的任何法律责任和经济责任。</w:t>
      </w:r>
    </w:p>
    <w:p>
      <w:pPr>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3.乙方应在服务期限内，办理本项目派遣人员的人身和自备财产的有关保险，乙方</w:t>
      </w:r>
      <w:r>
        <w:rPr>
          <w:rFonts w:hint="eastAsia" w:ascii="宋体" w:hAnsi="宋体" w:eastAsia="宋体" w:cs="宋体"/>
          <w:sz w:val="24"/>
          <w:szCs w:val="24"/>
          <w:lang w:val="zh-CN" w:eastAsia="zh-CN"/>
        </w:rPr>
        <w:t>在该项目实施过程中所发生的事故伤害、人员伤亡或导致</w:t>
      </w:r>
      <w:r>
        <w:rPr>
          <w:rFonts w:hint="eastAsia" w:ascii="宋体" w:hAnsi="宋体" w:eastAsia="宋体" w:cs="宋体"/>
          <w:sz w:val="24"/>
          <w:szCs w:val="24"/>
          <w:lang w:val="en-US" w:eastAsia="zh-CN"/>
        </w:rPr>
        <w:t>甲方或</w:t>
      </w:r>
      <w:r>
        <w:rPr>
          <w:rFonts w:hint="eastAsia" w:ascii="宋体" w:hAnsi="宋体" w:eastAsia="宋体" w:cs="宋体"/>
          <w:sz w:val="24"/>
          <w:szCs w:val="24"/>
          <w:lang w:val="zh-CN" w:eastAsia="zh-CN"/>
        </w:rPr>
        <w:t>第三人受损等情形的，由</w:t>
      </w:r>
      <w:r>
        <w:rPr>
          <w:rFonts w:hint="eastAsia" w:ascii="宋体" w:hAnsi="宋体" w:eastAsia="宋体" w:cs="宋体"/>
          <w:sz w:val="24"/>
          <w:szCs w:val="24"/>
          <w:lang w:val="en-US" w:eastAsia="zh-CN"/>
        </w:rPr>
        <w:t>乙方</w:t>
      </w:r>
      <w:r>
        <w:rPr>
          <w:rFonts w:hint="eastAsia" w:ascii="宋体" w:hAnsi="宋体" w:eastAsia="宋体" w:cs="宋体"/>
          <w:sz w:val="24"/>
          <w:szCs w:val="24"/>
          <w:lang w:val="zh-CN" w:eastAsia="zh-CN"/>
        </w:rPr>
        <w:t>承担全部责任。</w:t>
      </w:r>
      <w:r>
        <w:rPr>
          <w:rFonts w:hint="eastAsia" w:ascii="宋体" w:hAnsi="宋体" w:eastAsia="宋体" w:cs="宋体"/>
          <w:sz w:val="24"/>
          <w:szCs w:val="24"/>
          <w:lang w:val="en-US" w:eastAsia="zh-CN"/>
        </w:rPr>
        <w:t>保险时间应随服务时间的延长而顺延，并在出险后自行办理索赔。如乙方不办理相关保险，则应对有关风险及后果自负其责。</w:t>
      </w:r>
      <w:r>
        <w:rPr>
          <w:rFonts w:hint="eastAsia" w:ascii="宋体" w:hAnsi="宋体" w:eastAsia="宋体" w:cs="宋体"/>
          <w:sz w:val="24"/>
          <w:szCs w:val="24"/>
          <w:lang w:val="zh-CN" w:eastAsia="zh-CN"/>
        </w:rPr>
        <w:t>如发生债权债务、劳动纠纷、劳动报酬等相关劳动争议的，由</w:t>
      </w:r>
      <w:r>
        <w:rPr>
          <w:rFonts w:hint="eastAsia" w:ascii="宋体" w:hAnsi="宋体" w:eastAsia="宋体" w:cs="宋体"/>
          <w:sz w:val="24"/>
          <w:szCs w:val="24"/>
          <w:lang w:val="en-US" w:eastAsia="zh-CN"/>
        </w:rPr>
        <w:t>乙方</w:t>
      </w:r>
      <w:r>
        <w:rPr>
          <w:rFonts w:hint="eastAsia" w:ascii="宋体" w:hAnsi="宋体" w:eastAsia="宋体" w:cs="宋体"/>
          <w:sz w:val="24"/>
          <w:szCs w:val="24"/>
          <w:lang w:val="zh-CN" w:eastAsia="zh-CN"/>
        </w:rPr>
        <w:t>负责处置并承担全部责任，与</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无关。</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w w:val="100"/>
          <w:sz w:val="24"/>
          <w:szCs w:val="24"/>
          <w:lang w:val="en-US" w:eastAsia="zh-CN"/>
        </w:rPr>
      </w:pPr>
      <w:r>
        <w:rPr>
          <w:rFonts w:hint="eastAsia" w:ascii="宋体" w:hAnsi="宋体" w:eastAsia="宋体" w:cs="宋体"/>
          <w:sz w:val="24"/>
          <w:szCs w:val="24"/>
          <w:lang w:val="en-US" w:eastAsia="zh-CN"/>
        </w:rPr>
        <w:t>十七、其他要求</w:t>
      </w:r>
    </w:p>
    <w:p>
      <w:pPr>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1.乙方须保证所提供产品符合国家有关规定，须保证所提供产品具有合法的版权或使用权，本项目采购的产品，如在本项目范围内使用过程中出现版权或使用权纠纷，应由乙方负责，甲方不承担责任。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2.乙方必须保证解决项目所涉及的技术问题，如因技术原因无法满足甲方需求，由此产生的风险由乙方承担。</w:t>
      </w:r>
    </w:p>
    <w:p>
      <w:pPr>
        <w:pageBreakBefore w:val="0"/>
        <w:widowControl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3.乙方认为完成该项目需具备的其他设备、配件或服务，请乙方在投标文件中指出。</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八</w:t>
      </w:r>
      <w:r>
        <w:rPr>
          <w:rFonts w:hint="eastAsia" w:ascii="宋体" w:hAnsi="宋体" w:eastAsia="宋体" w:cs="宋体"/>
          <w:sz w:val="24"/>
          <w:szCs w:val="24"/>
        </w:rPr>
        <w:t>、不可抗力事件处理</w:t>
      </w:r>
      <w:bookmarkEnd w:id="120"/>
      <w:bookmarkEnd w:id="121"/>
      <w:bookmarkEnd w:id="122"/>
    </w:p>
    <w:p>
      <w:pPr>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pPr>
        <w:pageBreakBefore w:val="0"/>
        <w:widowControl w:val="0"/>
        <w:kinsoku/>
        <w:wordWrap/>
        <w:overflowPunct/>
        <w:topLinePunct w:val="0"/>
        <w:autoSpaceDE/>
        <w:autoSpaceDN/>
        <w:bidi w:val="0"/>
        <w:adjustRightInd/>
        <w:snapToGrid/>
        <w:spacing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3.不可抗力事件延续120天以上，双方应通过友好协商，确定是否继续履行合同。</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bookmarkStart w:id="123" w:name="_Toc22756"/>
      <w:bookmarkStart w:id="124" w:name="_Toc15300"/>
      <w:bookmarkStart w:id="125" w:name="_Toc10762"/>
      <w:r>
        <w:rPr>
          <w:rFonts w:hint="eastAsia" w:ascii="宋体" w:hAnsi="宋体" w:eastAsia="宋体" w:cs="宋体"/>
          <w:sz w:val="24"/>
          <w:szCs w:val="24"/>
        </w:rPr>
        <w:t>十四、诉讼</w:t>
      </w:r>
      <w:bookmarkEnd w:id="123"/>
      <w:bookmarkEnd w:id="124"/>
      <w:bookmarkEnd w:id="125"/>
    </w:p>
    <w:p>
      <w:pPr>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双方在执行合同中所发生的一切争议，应通过协商解决。如协商不成，可向甲方所在地法院起诉。</w:t>
      </w:r>
    </w:p>
    <w:p>
      <w:pPr>
        <w:pStyle w:val="3"/>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rPr>
      </w:pPr>
      <w:bookmarkStart w:id="126" w:name="_Toc24774"/>
      <w:bookmarkStart w:id="127" w:name="_Toc15721"/>
      <w:bookmarkStart w:id="128" w:name="_Toc5468"/>
      <w:r>
        <w:rPr>
          <w:rFonts w:hint="eastAsia" w:ascii="宋体" w:hAnsi="宋体" w:eastAsia="宋体" w:cs="宋体"/>
          <w:sz w:val="24"/>
          <w:szCs w:val="24"/>
        </w:rPr>
        <w:t>十五、合同生效及其它</w:t>
      </w:r>
      <w:bookmarkEnd w:id="126"/>
      <w:bookmarkEnd w:id="127"/>
      <w:bookmarkEnd w:id="128"/>
    </w:p>
    <w:p>
      <w:pPr>
        <w:pageBreakBefore w:val="0"/>
        <w:widowControl w:val="0"/>
        <w:kinsoku/>
        <w:wordWrap/>
        <w:overflowPunct/>
        <w:topLinePunct w:val="0"/>
        <w:autoSpaceDE/>
        <w:autoSpaceDN/>
        <w:bidi w:val="0"/>
        <w:adjustRightInd/>
        <w:snapToGrid/>
        <w:spacing w:beforeAutospacing="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1.合同经双方法定代表人或授权代表签字并加盖单位公章，</w:t>
      </w:r>
      <w:r>
        <w:rPr>
          <w:rFonts w:hint="eastAsia" w:ascii="宋体" w:hAnsi="宋体" w:eastAsia="宋体" w:cs="宋体"/>
          <w:sz w:val="24"/>
          <w:szCs w:val="24"/>
          <w:lang w:eastAsia="zh-CN"/>
        </w:rPr>
        <w:t>泰宇建筑工程技术咨询有限公司</w:t>
      </w:r>
      <w:r>
        <w:rPr>
          <w:rFonts w:hint="eastAsia" w:ascii="宋体" w:hAnsi="宋体" w:eastAsia="宋体" w:cs="宋体"/>
          <w:sz w:val="24"/>
          <w:szCs w:val="24"/>
        </w:rPr>
        <w:t>加盖鉴证章后生效。</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2.本合同未尽事宜，遵照《中华人民共和国民法典》有关条文执行。</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3.本合同正本一式七份，具有同等法律效力，甲乙双方各执三份，</w:t>
      </w:r>
      <w:r>
        <w:rPr>
          <w:rFonts w:hint="eastAsia" w:ascii="宋体" w:hAnsi="宋体" w:eastAsia="宋体" w:cs="宋体"/>
          <w:sz w:val="24"/>
          <w:szCs w:val="24"/>
          <w:lang w:eastAsia="zh-CN"/>
        </w:rPr>
        <w:t>泰宇建筑工程技术咨询有限公司</w:t>
      </w:r>
      <w:r>
        <w:rPr>
          <w:rFonts w:hint="eastAsia" w:ascii="宋体" w:hAnsi="宋体" w:eastAsia="宋体" w:cs="宋体"/>
          <w:sz w:val="24"/>
          <w:szCs w:val="24"/>
        </w:rPr>
        <w:t>执一份。</w:t>
      </w:r>
    </w:p>
    <w:p>
      <w:pPr>
        <w:pStyle w:val="12"/>
        <w:ind w:firstLine="480"/>
      </w:pPr>
    </w:p>
    <w:p>
      <w:pPr>
        <w:pStyle w:val="6"/>
        <w:snapToGrid w:val="0"/>
        <w:spacing w:beforeLines="0" w:afterLines="0" w:line="360" w:lineRule="auto"/>
        <w:rPr>
          <w:rFonts w:hint="default" w:hAnsi="宋体"/>
          <w:color w:val="000000" w:themeColor="text1"/>
          <w14:textFill>
            <w14:solidFill>
              <w14:schemeClr w14:val="tx1"/>
            </w14:solidFill>
          </w14:textFill>
        </w:rPr>
      </w:pPr>
    </w:p>
    <w:p>
      <w:pPr>
        <w:pStyle w:val="6"/>
        <w:snapToGrid w:val="0"/>
        <w:spacing w:beforeLines="0" w:afterLines="0" w:line="360" w:lineRule="auto"/>
        <w:ind w:left="0" w:leftChars="0" w:firstLine="420" w:firstLineChars="175"/>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甲方：                                   乙方： </w:t>
      </w:r>
    </w:p>
    <w:p>
      <w:pPr>
        <w:pStyle w:val="6"/>
        <w:snapToGrid w:val="0"/>
        <w:spacing w:beforeLines="0" w:afterLines="0" w:line="360" w:lineRule="auto"/>
        <w:ind w:left="0" w:leftChars="0" w:firstLine="420" w:firstLineChars="175"/>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地址：                                   地址： </w:t>
      </w:r>
    </w:p>
    <w:p>
      <w:pPr>
        <w:pStyle w:val="6"/>
        <w:snapToGrid w:val="0"/>
        <w:spacing w:beforeLines="0" w:afterLines="0" w:line="360" w:lineRule="auto"/>
        <w:ind w:left="0" w:leftChars="0" w:firstLine="420" w:firstLineChars="175"/>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开户行：                                 开户行：</w:t>
      </w:r>
    </w:p>
    <w:p>
      <w:pPr>
        <w:pStyle w:val="6"/>
        <w:snapToGrid w:val="0"/>
        <w:spacing w:beforeLines="0" w:afterLines="0" w:line="360" w:lineRule="auto"/>
        <w:ind w:left="0" w:leftChars="0" w:firstLine="420" w:firstLineChars="175"/>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账号：                                   账号：</w:t>
      </w:r>
    </w:p>
    <w:p>
      <w:pPr>
        <w:pStyle w:val="6"/>
        <w:snapToGrid w:val="0"/>
        <w:spacing w:beforeLines="0" w:afterLines="0" w:line="360" w:lineRule="auto"/>
        <w:ind w:left="0" w:leftChars="0" w:firstLine="420" w:firstLineChars="175"/>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法定（授权）代表人：                     法定（授权）代表人：</w:t>
      </w:r>
    </w:p>
    <w:p>
      <w:pPr>
        <w:pStyle w:val="6"/>
        <w:snapToGrid w:val="0"/>
        <w:spacing w:beforeLines="0" w:afterLines="0" w:line="360" w:lineRule="auto"/>
        <w:ind w:left="0" w:leftChars="0" w:firstLine="420" w:firstLineChars="175"/>
        <w:rPr>
          <w:rFonts w:hint="default" w:hAnsi="宋体"/>
          <w:color w:val="000000" w:themeColor="text1"/>
          <w14:textFill>
            <w14:solidFill>
              <w14:schemeClr w14:val="tx1"/>
            </w14:solidFill>
          </w14:textFill>
        </w:rPr>
      </w:pPr>
      <w:r>
        <w:rPr>
          <w:rFonts w:hAnsi="宋体"/>
          <w:color w:val="000000" w:themeColor="text1"/>
          <w14:textFill>
            <w14:solidFill>
              <w14:schemeClr w14:val="tx1"/>
            </w14:solidFill>
          </w14:textFill>
        </w:rPr>
        <w:t>签字日期：      年  月  日               签字日期：      年  月  日</w:t>
      </w:r>
    </w:p>
    <w:p>
      <w:pPr>
        <w:pStyle w:val="6"/>
        <w:snapToGrid w:val="0"/>
        <w:spacing w:beforeLines="0" w:afterLines="0" w:line="360" w:lineRule="auto"/>
        <w:ind w:left="0" w:leftChars="0" w:firstLine="420" w:firstLineChars="175"/>
        <w:rPr>
          <w:rFonts w:hint="default" w:hAnsi="宋体"/>
          <w:color w:val="000000" w:themeColor="text1"/>
          <w14:textFill>
            <w14:solidFill>
              <w14:schemeClr w14:val="tx1"/>
            </w14:solidFill>
          </w14:textFill>
        </w:rPr>
      </w:pPr>
    </w:p>
    <w:p>
      <w:pPr>
        <w:pStyle w:val="6"/>
        <w:snapToGrid w:val="0"/>
        <w:spacing w:beforeLines="0" w:afterLines="0" w:line="360" w:lineRule="auto"/>
        <w:ind w:left="0" w:leftChars="0" w:firstLine="420" w:firstLineChars="175"/>
        <w:rPr>
          <w:rFonts w:hint="eastAsia" w:hAnsi="宋体" w:eastAsia="宋体"/>
          <w:color w:val="000000" w:themeColor="text1"/>
          <w:lang w:eastAsia="zh-CN"/>
          <w14:textFill>
            <w14:solidFill>
              <w14:schemeClr w14:val="tx1"/>
            </w14:solidFill>
          </w14:textFill>
        </w:rPr>
      </w:pPr>
      <w:r>
        <w:rPr>
          <w:rFonts w:hAnsi="宋体"/>
          <w:color w:val="000000" w:themeColor="text1"/>
          <w14:textFill>
            <w14:solidFill>
              <w14:schemeClr w14:val="tx1"/>
            </w14:solidFill>
          </w14:textFill>
        </w:rPr>
        <w:t>合同鉴证方：</w:t>
      </w:r>
      <w:r>
        <w:rPr>
          <w:rFonts w:hint="eastAsia" w:hAnsi="宋体"/>
          <w:color w:val="000000" w:themeColor="text1"/>
          <w:lang w:eastAsia="zh-CN"/>
          <w14:textFill>
            <w14:solidFill>
              <w14:schemeClr w14:val="tx1"/>
            </w14:solidFill>
          </w14:textFill>
        </w:rPr>
        <w:t>泰宇建筑工程技术咨询有限公司</w:t>
      </w:r>
    </w:p>
    <w:p>
      <w:pPr>
        <w:pStyle w:val="6"/>
        <w:snapToGrid w:val="0"/>
        <w:spacing w:beforeLines="0" w:afterLines="0" w:line="360" w:lineRule="auto"/>
        <w:ind w:left="0" w:leftChars="0" w:firstLine="420" w:firstLineChars="175"/>
        <w:jc w:val="left"/>
        <w:rPr>
          <w:rFonts w:hint="default" w:ascii="Times New Roman" w:hAnsi="Times New Roman"/>
          <w:snapToGrid w:val="0"/>
          <w:color w:val="000000" w:themeColor="text1"/>
          <w:szCs w:val="24"/>
          <w14:textFill>
            <w14:solidFill>
              <w14:schemeClr w14:val="tx1"/>
            </w14:solidFill>
          </w14:textFill>
        </w:rPr>
      </w:pPr>
      <w:r>
        <w:rPr>
          <w:rFonts w:hAnsi="宋体"/>
          <w:color w:val="000000" w:themeColor="text1"/>
          <w14:textFill>
            <w14:solidFill>
              <w14:schemeClr w14:val="tx1"/>
            </w14:solidFill>
          </w14:textFill>
        </w:rPr>
        <w:t>鉴证日期：</w:t>
      </w:r>
    </w:p>
    <w:p>
      <w:pPr>
        <w:spacing w:line="360" w:lineRule="auto"/>
        <w:ind w:left="0" w:leftChars="0" w:firstLine="420" w:firstLineChars="175"/>
        <w:rPr>
          <w:rFonts w:hint="default"/>
          <w:color w:val="000000" w:themeColor="text1"/>
          <w:sz w:val="24"/>
          <w14:textFill>
            <w14:solidFill>
              <w14:schemeClr w14:val="tx1"/>
            </w14:solidFill>
          </w14:textFill>
        </w:rPr>
        <w:sectPr>
          <w:headerReference r:id="rId10" w:type="default"/>
          <w:footerReference r:id="rId11" w:type="default"/>
          <w:pgSz w:w="11906" w:h="16838"/>
          <w:pgMar w:top="1134" w:right="1247" w:bottom="1247" w:left="1304" w:header="794" w:footer="794" w:gutter="0"/>
          <w:pgNumType w:start="1"/>
          <w:cols w:space="720" w:num="1"/>
          <w:docGrid w:linePitch="312" w:charSpace="0"/>
        </w:sectPr>
      </w:pPr>
    </w:p>
    <w:p>
      <w:pPr>
        <w:rPr>
          <w:rFonts w:hint="default" w:ascii="Times New Roman" w:hAnsi="Times New Roman"/>
          <w:b/>
          <w:color w:val="000000" w:themeColor="text1"/>
          <w:sz w:val="36"/>
          <w:szCs w:val="36"/>
          <w14:textFill>
            <w14:solidFill>
              <w14:schemeClr w14:val="tx1"/>
            </w14:solidFill>
          </w14:textFill>
        </w:rPr>
      </w:pPr>
      <w:bookmarkStart w:id="129" w:name="_Toc8794"/>
    </w:p>
    <w:p>
      <w:pPr>
        <w:pStyle w:val="6"/>
        <w:snapToGrid w:val="0"/>
        <w:spacing w:before="120" w:after="120" w:line="360" w:lineRule="auto"/>
        <w:jc w:val="center"/>
        <w:outlineLvl w:val="0"/>
        <w:rPr>
          <w:rFonts w:hint="default" w:ascii="Times New Roman" w:hAnsi="Times New Roman"/>
          <w:b/>
          <w:color w:val="000000" w:themeColor="text1"/>
          <w:sz w:val="36"/>
          <w:szCs w:val="36"/>
          <w14:textFill>
            <w14:solidFill>
              <w14:schemeClr w14:val="tx1"/>
            </w14:solidFill>
          </w14:textFill>
        </w:rPr>
      </w:pPr>
      <w:r>
        <w:rPr>
          <w:rFonts w:hint="default" w:ascii="Times New Roman" w:hAnsi="Times New Roman"/>
          <w:b/>
          <w:color w:val="000000" w:themeColor="text1"/>
          <w:sz w:val="36"/>
          <w:szCs w:val="36"/>
          <w14:textFill>
            <w14:solidFill>
              <w14:schemeClr w14:val="tx1"/>
            </w14:solidFill>
          </w14:textFill>
        </w:rPr>
        <w:t>第六章　投标文件格式</w:t>
      </w:r>
      <w:bookmarkEnd w:id="129"/>
    </w:p>
    <w:p>
      <w:pPr>
        <w:snapToGrid w:val="0"/>
        <w:spacing w:before="120" w:beforeLines="50" w:after="50" w:line="360" w:lineRule="auto"/>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t>1.电子备份投标文件的外包装封面格式</w:t>
      </w:r>
    </w:p>
    <w:p>
      <w:pPr>
        <w:snapToGrid w:val="0"/>
        <w:spacing w:before="120" w:beforeLines="50" w:after="50" w:line="360" w:lineRule="auto"/>
        <w:rPr>
          <w:rFonts w:hint="default"/>
          <w:bCs/>
          <w:color w:val="000000" w:themeColor="text1"/>
          <w:sz w:val="24"/>
          <w14:textFill>
            <w14:solidFill>
              <w14:schemeClr w14:val="tx1"/>
            </w14:solidFill>
          </w14:textFill>
        </w:rPr>
      </w:pPr>
    </w:p>
    <w:p>
      <w:pPr>
        <w:snapToGrid w:val="0"/>
        <w:spacing w:before="120" w:beforeLines="50" w:after="50" w:line="360" w:lineRule="auto"/>
        <w:jc w:val="center"/>
        <w:rPr>
          <w:rFonts w:hint="default"/>
          <w:b/>
          <w:bCs/>
          <w:color w:val="000000" w:themeColor="text1"/>
          <w:sz w:val="52"/>
          <w:szCs w:val="52"/>
          <w14:textFill>
            <w14:solidFill>
              <w14:schemeClr w14:val="tx1"/>
            </w14:solidFill>
          </w14:textFill>
        </w:rPr>
      </w:pPr>
      <w:r>
        <w:rPr>
          <w:rFonts w:hint="default"/>
          <w:b/>
          <w:bCs/>
          <w:color w:val="000000" w:themeColor="text1"/>
          <w:sz w:val="52"/>
          <w:szCs w:val="52"/>
          <w14:textFill>
            <w14:solidFill>
              <w14:schemeClr w14:val="tx1"/>
            </w14:solidFill>
          </w14:textFill>
        </w:rPr>
        <w:t>电子备份投标文件</w:t>
      </w:r>
    </w:p>
    <w:p>
      <w:pPr>
        <w:snapToGrid w:val="0"/>
        <w:spacing w:before="120" w:beforeLines="50" w:after="50" w:line="360" w:lineRule="auto"/>
        <w:rPr>
          <w:rFonts w:hint="default"/>
          <w:bCs/>
          <w:color w:val="000000" w:themeColor="text1"/>
          <w:sz w:val="24"/>
          <w14:textFill>
            <w14:solidFill>
              <w14:schemeClr w14:val="tx1"/>
            </w14:solidFill>
          </w14:textFill>
        </w:rPr>
      </w:pPr>
    </w:p>
    <w:p>
      <w:pPr>
        <w:snapToGrid w:val="0"/>
        <w:spacing w:before="120" w:beforeLines="50" w:after="50" w:line="360" w:lineRule="auto"/>
        <w:ind w:firstLine="1120" w:firstLineChars="400"/>
        <w:jc w:val="center"/>
        <w:rPr>
          <w:rFonts w:hint="eastAsia" w:eastAsia="宋体"/>
          <w:bCs/>
          <w:color w:val="000000" w:themeColor="text1"/>
          <w:sz w:val="28"/>
          <w:szCs w:val="28"/>
          <w:lang w:eastAsia="zh-CN"/>
          <w14:textFill>
            <w14:solidFill>
              <w14:schemeClr w14:val="tx1"/>
            </w14:solidFill>
          </w14:textFill>
        </w:rPr>
      </w:pPr>
      <w:r>
        <w:rPr>
          <w:rFonts w:hint="default"/>
          <w:bCs/>
          <w:color w:val="000000" w:themeColor="text1"/>
          <w:sz w:val="28"/>
          <w:szCs w:val="28"/>
          <w14:textFill>
            <w14:solidFill>
              <w14:schemeClr w14:val="tx1"/>
            </w14:solidFill>
          </w14:textFill>
        </w:rPr>
        <w:t>项目名称：</w:t>
      </w:r>
      <w:r>
        <w:rPr>
          <w:rFonts w:hint="eastAsia"/>
          <w:bCs/>
          <w:color w:val="000000" w:themeColor="text1"/>
          <w:sz w:val="28"/>
          <w:szCs w:val="28"/>
          <w:lang w:eastAsia="zh-CN"/>
          <w14:textFill>
            <w14:solidFill>
              <w14:schemeClr w14:val="tx1"/>
            </w14:solidFill>
          </w14:textFill>
        </w:rPr>
        <w:t>龙游县横山镇数字赋能农村生活垃圾分类设备采购项目</w:t>
      </w:r>
    </w:p>
    <w:p>
      <w:pPr>
        <w:snapToGrid w:val="0"/>
        <w:spacing w:before="120" w:beforeLines="50" w:after="50" w:line="360" w:lineRule="auto"/>
        <w:ind w:firstLine="1120" w:firstLineChars="400"/>
        <w:rPr>
          <w:rFonts w:hint="default"/>
          <w:bCs/>
          <w:color w:val="000000" w:themeColor="text1"/>
          <w:sz w:val="28"/>
          <w:szCs w:val="28"/>
          <w14:textFill>
            <w14:solidFill>
              <w14:schemeClr w14:val="tx1"/>
            </w14:solidFill>
          </w14:textFill>
        </w:rPr>
      </w:pPr>
      <w:r>
        <w:rPr>
          <w:rFonts w:hint="default"/>
          <w:bCs/>
          <w:color w:val="000000" w:themeColor="text1"/>
          <w:sz w:val="28"/>
          <w:szCs w:val="28"/>
          <w14:textFill>
            <w14:solidFill>
              <w14:schemeClr w14:val="tx1"/>
            </w14:solidFill>
          </w14:textFill>
        </w:rPr>
        <w:t>项目编号：</w:t>
      </w:r>
    </w:p>
    <w:p>
      <w:pPr>
        <w:snapToGrid w:val="0"/>
        <w:spacing w:before="120" w:beforeLines="50" w:after="50" w:line="360" w:lineRule="auto"/>
        <w:ind w:firstLine="1260" w:firstLineChars="450"/>
        <w:rPr>
          <w:rFonts w:hint="default"/>
          <w:bCs/>
          <w:color w:val="000000" w:themeColor="text1"/>
          <w:sz w:val="28"/>
          <w:szCs w:val="28"/>
          <w14:textFill>
            <w14:solidFill>
              <w14:schemeClr w14:val="tx1"/>
            </w14:solidFill>
          </w14:textFill>
        </w:rPr>
      </w:pPr>
    </w:p>
    <w:p>
      <w:pPr>
        <w:snapToGrid w:val="0"/>
        <w:spacing w:before="120" w:beforeLines="50" w:after="50" w:line="360" w:lineRule="auto"/>
        <w:ind w:firstLine="1260" w:firstLineChars="450"/>
        <w:rPr>
          <w:rFonts w:hint="default"/>
          <w:bCs/>
          <w:color w:val="000000" w:themeColor="text1"/>
          <w:sz w:val="28"/>
          <w:szCs w:val="28"/>
          <w14:textFill>
            <w14:solidFill>
              <w14:schemeClr w14:val="tx1"/>
            </w14:solidFill>
          </w14:textFill>
        </w:rPr>
      </w:pPr>
    </w:p>
    <w:p>
      <w:pPr>
        <w:snapToGrid w:val="0"/>
        <w:spacing w:before="120" w:beforeLines="50" w:after="50" w:line="360" w:lineRule="auto"/>
        <w:ind w:firstLine="1260" w:firstLineChars="45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r>
        <w:rPr>
          <w:rFonts w:hint="default"/>
          <w:bCs/>
          <w:color w:val="000000" w:themeColor="text1"/>
          <w:sz w:val="28"/>
          <w:szCs w:val="28"/>
          <w14:textFill>
            <w14:solidFill>
              <w14:schemeClr w14:val="tx1"/>
            </w14:solidFill>
          </w14:textFill>
        </w:rPr>
        <w:t>投标人名称：</w:t>
      </w: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r>
        <w:rPr>
          <w:rFonts w:hint="default"/>
          <w:bCs/>
          <w:color w:val="000000" w:themeColor="text1"/>
          <w:sz w:val="28"/>
          <w:szCs w:val="28"/>
          <w14:textFill>
            <w14:solidFill>
              <w14:schemeClr w14:val="tx1"/>
            </w14:solidFill>
          </w14:textFill>
        </w:rPr>
        <w:t>投标人地址：</w:t>
      </w: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r>
        <w:rPr>
          <w:rFonts w:hint="default"/>
          <w:bCs/>
          <w:color w:val="000000" w:themeColor="text1"/>
          <w:sz w:val="28"/>
          <w:szCs w:val="28"/>
          <w14:textFill>
            <w14:solidFill>
              <w14:schemeClr w14:val="tx1"/>
            </w14:solidFill>
          </w14:textFill>
        </w:rPr>
        <w:t>在  年  月  日  时  分之前不得启封</w:t>
      </w:r>
    </w:p>
    <w:p>
      <w:pPr>
        <w:pStyle w:val="10"/>
        <w:snapToGrid w:val="0"/>
        <w:spacing w:before="50" w:after="50" w:line="360" w:lineRule="auto"/>
        <w:ind w:firstLine="1164" w:firstLineChars="416"/>
        <w:rPr>
          <w:rFonts w:hint="default"/>
          <w:color w:val="000000" w:themeColor="text1"/>
          <w:sz w:val="28"/>
          <w:szCs w:val="28"/>
          <w14:textFill>
            <w14:solidFill>
              <w14:schemeClr w14:val="tx1"/>
            </w14:solidFill>
          </w14:textFill>
        </w:rPr>
      </w:pPr>
    </w:p>
    <w:p>
      <w:pPr>
        <w:snapToGrid w:val="0"/>
        <w:spacing w:before="120" w:beforeLines="50" w:after="50" w:line="360" w:lineRule="auto"/>
        <w:ind w:firstLine="645"/>
        <w:rPr>
          <w:rFonts w:hint="default"/>
          <w:color w:val="000000" w:themeColor="text1"/>
          <w:sz w:val="28"/>
          <w:szCs w:val="28"/>
          <w14:textFill>
            <w14:solidFill>
              <w14:schemeClr w14:val="tx1"/>
            </w14:solidFill>
          </w14:textFill>
        </w:rPr>
      </w:pPr>
      <w:r>
        <w:rPr>
          <w:rFonts w:hint="default"/>
          <w:color w:val="000000" w:themeColor="text1"/>
          <w:sz w:val="28"/>
          <w:szCs w:val="28"/>
          <w14:textFill>
            <w14:solidFill>
              <w14:schemeClr w14:val="tx1"/>
            </w14:solidFill>
          </w14:textFill>
        </w:rPr>
        <w:t xml:space="preserve">                        年  月  日</w:t>
      </w:r>
    </w:p>
    <w:p>
      <w:pPr>
        <w:snapToGrid w:val="0"/>
        <w:spacing w:before="120" w:beforeLines="50" w:after="50" w:line="360" w:lineRule="auto"/>
        <w:rPr>
          <w:rFonts w:hint="default"/>
          <w:b/>
          <w:color w:val="000000" w:themeColor="text1"/>
          <w:sz w:val="24"/>
          <w14:textFill>
            <w14:solidFill>
              <w14:schemeClr w14:val="tx1"/>
            </w14:solidFill>
          </w14:textFill>
        </w:rPr>
      </w:pPr>
      <w:r>
        <w:rPr>
          <w:rFonts w:hint="default"/>
          <w:color w:val="000000" w:themeColor="text1"/>
          <w:sz w:val="28"/>
          <w:szCs w:val="28"/>
          <w14:textFill>
            <w14:solidFill>
              <w14:schemeClr w14:val="tx1"/>
            </w14:solidFill>
          </w14:textFill>
        </w:rPr>
        <w:br w:type="page"/>
      </w:r>
      <w:r>
        <w:rPr>
          <w:rFonts w:hint="default"/>
          <w:b/>
          <w:color w:val="000000" w:themeColor="text1"/>
          <w:sz w:val="24"/>
          <w14:textFill>
            <w14:solidFill>
              <w14:schemeClr w14:val="tx1"/>
            </w14:solidFill>
          </w14:textFill>
        </w:rPr>
        <w:t>2.资格证明/商务技术/报价</w:t>
      </w:r>
      <w:r>
        <w:rPr>
          <w:rFonts w:hint="default"/>
          <w:b/>
          <w:bCs/>
          <w:color w:val="000000" w:themeColor="text1"/>
          <w:sz w:val="24"/>
          <w14:textFill>
            <w14:solidFill>
              <w14:schemeClr w14:val="tx1"/>
            </w14:solidFill>
          </w14:textFill>
        </w:rPr>
        <w:t>文件</w:t>
      </w:r>
      <w:r>
        <w:rPr>
          <w:rFonts w:hint="default"/>
          <w:b/>
          <w:color w:val="000000" w:themeColor="text1"/>
          <w:sz w:val="24"/>
          <w14:textFill>
            <w14:solidFill>
              <w14:schemeClr w14:val="tx1"/>
            </w14:solidFill>
          </w14:textFill>
        </w:rPr>
        <w:t xml:space="preserve">封面格式 </w:t>
      </w:r>
    </w:p>
    <w:p>
      <w:pPr>
        <w:snapToGrid w:val="0"/>
        <w:spacing w:before="120" w:beforeLines="50" w:after="50" w:line="360" w:lineRule="auto"/>
        <w:rPr>
          <w:rFonts w:hint="default"/>
          <w:color w:val="000000" w:themeColor="text1"/>
          <w:sz w:val="24"/>
          <w14:textFill>
            <w14:solidFill>
              <w14:schemeClr w14:val="tx1"/>
            </w14:solidFill>
          </w14:textFill>
        </w:rPr>
      </w:pPr>
    </w:p>
    <w:p>
      <w:pPr>
        <w:snapToGrid w:val="0"/>
        <w:spacing w:before="120" w:beforeLines="50" w:after="50" w:line="360" w:lineRule="auto"/>
        <w:rPr>
          <w:rFonts w:hint="default"/>
          <w:b/>
          <w:bCs/>
          <w:color w:val="000000" w:themeColor="text1"/>
          <w:sz w:val="32"/>
          <w14:textFill>
            <w14:solidFill>
              <w14:schemeClr w14:val="tx1"/>
            </w14:solidFill>
          </w14:textFill>
        </w:rPr>
      </w:pPr>
    </w:p>
    <w:p>
      <w:pPr>
        <w:snapToGrid w:val="0"/>
        <w:spacing w:before="120" w:beforeLines="50" w:after="50" w:line="360" w:lineRule="auto"/>
        <w:jc w:val="center"/>
        <w:rPr>
          <w:rFonts w:hint="default"/>
          <w:bCs/>
          <w:color w:val="000000" w:themeColor="text1"/>
          <w:sz w:val="24"/>
          <w14:textFill>
            <w14:solidFill>
              <w14:schemeClr w14:val="tx1"/>
            </w14:solidFill>
          </w14:textFill>
        </w:rPr>
      </w:pPr>
    </w:p>
    <w:p>
      <w:pPr>
        <w:snapToGrid w:val="0"/>
        <w:spacing w:before="120" w:beforeLines="50" w:after="50" w:line="360" w:lineRule="auto"/>
        <w:jc w:val="center"/>
        <w:rPr>
          <w:rFonts w:hint="default"/>
          <w:b/>
          <w:bCs/>
          <w:color w:val="000000" w:themeColor="text1"/>
          <w:sz w:val="52"/>
          <w:szCs w:val="52"/>
          <w14:textFill>
            <w14:solidFill>
              <w14:schemeClr w14:val="tx1"/>
            </w14:solidFill>
          </w14:textFill>
        </w:rPr>
      </w:pPr>
      <w:r>
        <w:rPr>
          <w:rFonts w:hint="default"/>
          <w:b/>
          <w:bCs/>
          <w:color w:val="000000" w:themeColor="text1"/>
          <w:sz w:val="52"/>
          <w:szCs w:val="52"/>
          <w14:textFill>
            <w14:solidFill>
              <w14:schemeClr w14:val="tx1"/>
            </w14:solidFill>
          </w14:textFill>
        </w:rPr>
        <w:t>资格证明/商务技术/报价文件</w:t>
      </w:r>
    </w:p>
    <w:p>
      <w:pPr>
        <w:snapToGrid w:val="0"/>
        <w:spacing w:before="120" w:beforeLines="50" w:after="50" w:line="360" w:lineRule="auto"/>
        <w:rPr>
          <w:rFonts w:hint="default"/>
          <w:bCs/>
          <w:color w:val="000000" w:themeColor="text1"/>
          <w:sz w:val="24"/>
          <w14:textFill>
            <w14:solidFill>
              <w14:schemeClr w14:val="tx1"/>
            </w14:solidFill>
          </w14:textFill>
        </w:rPr>
      </w:pPr>
    </w:p>
    <w:p>
      <w:pPr>
        <w:snapToGrid w:val="0"/>
        <w:spacing w:before="120" w:beforeLines="50" w:after="50" w:line="360" w:lineRule="auto"/>
        <w:ind w:firstLine="1120" w:firstLineChars="400"/>
        <w:jc w:val="center"/>
        <w:rPr>
          <w:rFonts w:hint="eastAsia" w:eastAsia="宋体"/>
          <w:bCs/>
          <w:color w:val="000000" w:themeColor="text1"/>
          <w:sz w:val="28"/>
          <w:szCs w:val="28"/>
          <w:lang w:eastAsia="zh-CN"/>
          <w14:textFill>
            <w14:solidFill>
              <w14:schemeClr w14:val="tx1"/>
            </w14:solidFill>
          </w14:textFill>
        </w:rPr>
      </w:pPr>
      <w:r>
        <w:rPr>
          <w:rFonts w:hint="default"/>
          <w:bCs/>
          <w:color w:val="000000" w:themeColor="text1"/>
          <w:sz w:val="28"/>
          <w:szCs w:val="28"/>
          <w14:textFill>
            <w14:solidFill>
              <w14:schemeClr w14:val="tx1"/>
            </w14:solidFill>
          </w14:textFill>
        </w:rPr>
        <w:t>项目名称：</w:t>
      </w:r>
      <w:r>
        <w:rPr>
          <w:rFonts w:hint="eastAsia"/>
          <w:bCs/>
          <w:color w:val="000000" w:themeColor="text1"/>
          <w:sz w:val="28"/>
          <w:szCs w:val="28"/>
          <w:lang w:eastAsia="zh-CN"/>
          <w14:textFill>
            <w14:solidFill>
              <w14:schemeClr w14:val="tx1"/>
            </w14:solidFill>
          </w14:textFill>
        </w:rPr>
        <w:t>龙游县横山镇数字赋能农村生活垃圾分类设备采购项目</w:t>
      </w:r>
    </w:p>
    <w:p>
      <w:pPr>
        <w:snapToGrid w:val="0"/>
        <w:spacing w:before="120" w:beforeLines="50" w:after="50" w:line="360" w:lineRule="auto"/>
        <w:ind w:firstLine="1120" w:firstLineChars="400"/>
        <w:rPr>
          <w:rFonts w:hint="default"/>
          <w:bCs/>
          <w:color w:val="000000" w:themeColor="text1"/>
          <w:sz w:val="28"/>
          <w:szCs w:val="28"/>
          <w14:textFill>
            <w14:solidFill>
              <w14:schemeClr w14:val="tx1"/>
            </w14:solidFill>
          </w14:textFill>
        </w:rPr>
      </w:pPr>
      <w:r>
        <w:rPr>
          <w:rFonts w:hint="default"/>
          <w:bCs/>
          <w:color w:val="000000" w:themeColor="text1"/>
          <w:sz w:val="28"/>
          <w:szCs w:val="28"/>
          <w14:textFill>
            <w14:solidFill>
              <w14:schemeClr w14:val="tx1"/>
            </w14:solidFill>
          </w14:textFill>
        </w:rPr>
        <w:t>项目编号：</w:t>
      </w:r>
    </w:p>
    <w:p>
      <w:pPr>
        <w:snapToGrid w:val="0"/>
        <w:spacing w:before="120" w:beforeLines="50" w:after="50" w:line="360" w:lineRule="auto"/>
        <w:ind w:firstLine="560" w:firstLineChars="200"/>
        <w:rPr>
          <w:rFonts w:hint="default"/>
          <w:bCs/>
          <w:color w:val="000000" w:themeColor="text1"/>
          <w:sz w:val="28"/>
          <w:szCs w:val="28"/>
          <w14:textFill>
            <w14:solidFill>
              <w14:schemeClr w14:val="tx1"/>
            </w14:solidFill>
          </w14:textFill>
        </w:rPr>
      </w:pPr>
    </w:p>
    <w:p>
      <w:pPr>
        <w:snapToGrid w:val="0"/>
        <w:spacing w:before="120" w:beforeLines="50" w:after="50" w:line="360" w:lineRule="auto"/>
        <w:ind w:firstLine="560" w:firstLineChars="20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r>
        <w:rPr>
          <w:rFonts w:hint="default"/>
          <w:bCs/>
          <w:color w:val="000000" w:themeColor="text1"/>
          <w:sz w:val="28"/>
          <w:szCs w:val="28"/>
          <w14:textFill>
            <w14:solidFill>
              <w14:schemeClr w14:val="tx1"/>
            </w14:solidFill>
          </w14:textFill>
        </w:rPr>
        <w:t>投标人名称：</w:t>
      </w:r>
    </w:p>
    <w:p>
      <w:pPr>
        <w:pStyle w:val="10"/>
        <w:snapToGrid w:val="0"/>
        <w:spacing w:before="50" w:after="50" w:line="360" w:lineRule="auto"/>
        <w:ind w:firstLine="1260" w:firstLineChars="450"/>
        <w:rPr>
          <w:rFonts w:hint="default"/>
          <w:bCs/>
          <w:color w:val="000000" w:themeColor="text1"/>
          <w:sz w:val="28"/>
          <w:szCs w:val="28"/>
          <w14:textFill>
            <w14:solidFill>
              <w14:schemeClr w14:val="tx1"/>
            </w14:solidFill>
          </w14:textFill>
        </w:rPr>
      </w:pPr>
      <w:r>
        <w:rPr>
          <w:rFonts w:hint="default"/>
          <w:bCs/>
          <w:color w:val="000000" w:themeColor="text1"/>
          <w:sz w:val="28"/>
          <w:szCs w:val="28"/>
          <w14:textFill>
            <w14:solidFill>
              <w14:schemeClr w14:val="tx1"/>
            </w14:solidFill>
          </w14:textFill>
        </w:rPr>
        <w:t>投标人地址：</w:t>
      </w:r>
    </w:p>
    <w:p>
      <w:pPr>
        <w:snapToGrid w:val="0"/>
        <w:spacing w:before="120" w:beforeLines="50" w:after="50" w:line="360" w:lineRule="auto"/>
        <w:ind w:firstLine="645"/>
        <w:jc w:val="center"/>
        <w:rPr>
          <w:rFonts w:hint="default"/>
          <w:color w:val="000000" w:themeColor="text1"/>
          <w:sz w:val="28"/>
          <w:szCs w:val="28"/>
          <w14:textFill>
            <w14:solidFill>
              <w14:schemeClr w14:val="tx1"/>
            </w14:solidFill>
          </w14:textFill>
        </w:rPr>
      </w:pPr>
    </w:p>
    <w:p>
      <w:pPr>
        <w:snapToGrid w:val="0"/>
        <w:spacing w:before="120" w:beforeLines="50" w:after="50" w:line="360" w:lineRule="auto"/>
        <w:ind w:firstLine="645"/>
        <w:jc w:val="center"/>
        <w:outlineLvl w:val="0"/>
        <w:rPr>
          <w:rFonts w:hint="default"/>
          <w:color w:val="000000" w:themeColor="text1"/>
          <w:sz w:val="24"/>
          <w14:textFill>
            <w14:solidFill>
              <w14:schemeClr w14:val="tx1"/>
            </w14:solidFill>
          </w14:textFill>
        </w:rPr>
      </w:pPr>
      <w:bookmarkStart w:id="130" w:name="_Toc29931"/>
      <w:bookmarkStart w:id="131" w:name="_Toc32368"/>
      <w:bookmarkStart w:id="132" w:name="_Toc22374"/>
      <w:bookmarkStart w:id="133" w:name="_Toc20164"/>
      <w:bookmarkStart w:id="134" w:name="_Toc29838"/>
      <w:bookmarkStart w:id="135" w:name="_Toc25091"/>
      <w:r>
        <w:rPr>
          <w:rFonts w:hint="default"/>
          <w:color w:val="000000" w:themeColor="text1"/>
          <w:sz w:val="28"/>
          <w:szCs w:val="28"/>
          <w14:textFill>
            <w14:solidFill>
              <w14:schemeClr w14:val="tx1"/>
            </w14:solidFill>
          </w14:textFill>
        </w:rPr>
        <w:t>年  月  日</w:t>
      </w:r>
      <w:bookmarkEnd w:id="130"/>
      <w:bookmarkEnd w:id="131"/>
      <w:bookmarkEnd w:id="132"/>
      <w:bookmarkEnd w:id="133"/>
      <w:bookmarkEnd w:id="134"/>
      <w:bookmarkEnd w:id="135"/>
    </w:p>
    <w:p>
      <w:pPr>
        <w:pStyle w:val="17"/>
        <w:rPr>
          <w:rFonts w:hint="default"/>
          <w:color w:val="000000" w:themeColor="text1"/>
          <w14:textFill>
            <w14:solidFill>
              <w14:schemeClr w14:val="tx1"/>
            </w14:solidFill>
          </w14:textFill>
        </w:rPr>
      </w:pPr>
    </w:p>
    <w:p>
      <w:pPr>
        <w:pageBreakBefore/>
        <w:snapToGrid w:val="0"/>
        <w:spacing w:line="360" w:lineRule="auto"/>
        <w:jc w:val="center"/>
        <w:outlineLvl w:val="1"/>
        <w:rPr>
          <w:rFonts w:hint="default"/>
          <w:b/>
          <w:bCs/>
          <w:color w:val="000000" w:themeColor="text1"/>
          <w:kern w:val="0"/>
          <w:sz w:val="36"/>
          <w:szCs w:val="36"/>
          <w14:textFill>
            <w14:solidFill>
              <w14:schemeClr w14:val="tx1"/>
            </w14:solidFill>
          </w14:textFill>
        </w:rPr>
      </w:pPr>
      <w:r>
        <w:rPr>
          <w:rFonts w:hint="default"/>
          <w:b/>
          <w:bCs/>
          <w:color w:val="000000" w:themeColor="text1"/>
          <w:kern w:val="0"/>
          <w:sz w:val="36"/>
          <w:szCs w:val="36"/>
          <w14:textFill>
            <w14:solidFill>
              <w14:schemeClr w14:val="tx1"/>
            </w14:solidFill>
          </w14:textFill>
        </w:rPr>
        <w:t>资格文件</w:t>
      </w:r>
      <w:bookmarkEnd w:id="79"/>
    </w:p>
    <w:p>
      <w:pPr>
        <w:pStyle w:val="41"/>
        <w:rPr>
          <w:rFonts w:hint="default"/>
          <w:color w:val="000000" w:themeColor="text1"/>
          <w14:textFill>
            <w14:solidFill>
              <w14:schemeClr w14:val="tx1"/>
            </w14:solidFill>
          </w14:textFill>
        </w:rPr>
      </w:pPr>
    </w:p>
    <w:p>
      <w:pPr>
        <w:snapToGrid w:val="0"/>
        <w:spacing w:line="300" w:lineRule="auto"/>
        <w:jc w:val="center"/>
        <w:rPr>
          <w:rFonts w:hint="default" w:ascii="Arial" w:hAnsi="Arial" w:cs="Arial"/>
          <w:b/>
          <w:color w:val="000000" w:themeColor="text1"/>
          <w:kern w:val="0"/>
          <w:sz w:val="28"/>
          <w:szCs w:val="28"/>
          <w14:textFill>
            <w14:solidFill>
              <w14:schemeClr w14:val="tx1"/>
            </w14:solidFill>
          </w14:textFill>
        </w:rPr>
      </w:pPr>
      <w:r>
        <w:rPr>
          <w:rFonts w:ascii="Arial" w:hAnsi="Arial" w:cs="Arial"/>
          <w:b/>
          <w:color w:val="000000" w:themeColor="text1"/>
          <w:kern w:val="0"/>
          <w:sz w:val="28"/>
          <w:szCs w:val="28"/>
          <w14:textFill>
            <w14:solidFill>
              <w14:schemeClr w14:val="tx1"/>
            </w14:solidFill>
          </w14:textFill>
        </w:rPr>
        <w:t>一、符合参加政府采购活动应当具备的一般条件的承诺函</w:t>
      </w:r>
    </w:p>
    <w:p>
      <w:pPr>
        <w:snapToGrid w:val="0"/>
        <w:spacing w:line="360" w:lineRule="auto"/>
        <w:jc w:val="center"/>
        <w:rPr>
          <w:rFonts w:hint="default" w:ascii="Arial" w:hAnsi="Arial" w:cs="Arial"/>
          <w:b/>
          <w:color w:val="000000" w:themeColor="text1"/>
          <w:kern w:val="0"/>
          <w:sz w:val="28"/>
          <w:szCs w:val="28"/>
          <w14:textFill>
            <w14:solidFill>
              <w14:schemeClr w14:val="tx1"/>
            </w14:solidFill>
          </w14:textFill>
        </w:rPr>
      </w:pPr>
    </w:p>
    <w:p>
      <w:pPr>
        <w:pStyle w:val="88"/>
        <w:spacing w:line="360" w:lineRule="auto"/>
        <w:rPr>
          <w:rFonts w:hint="default"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龙游县横山镇人民政府</w:t>
      </w:r>
      <w:r>
        <w:rPr>
          <w:rFonts w:ascii="宋体" w:hAnsi="宋体" w:eastAsia="宋体" w:cs="宋体"/>
          <w:color w:val="000000" w:themeColor="text1"/>
          <w:u w:val="single"/>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泰宇建筑工程技术咨询有限公司</w:t>
      </w:r>
      <w:r>
        <w:rPr>
          <w:rFonts w:ascii="宋体" w:hAnsi="宋体" w:eastAsia="宋体" w:cs="宋体"/>
          <w:color w:val="000000" w:themeColor="text1"/>
          <w:u w:val="single"/>
          <w14:textFill>
            <w14:solidFill>
              <w14:schemeClr w14:val="tx1"/>
            </w14:solidFill>
          </w14:textFill>
        </w:rPr>
        <w:t>：</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我方参与项目名称【项目编号：</w:t>
      </w:r>
      <w:r>
        <w:rPr>
          <w:rFonts w:hint="eastAsia" w:ascii="宋体" w:hAnsi="宋体" w:eastAsia="宋体" w:cs="宋体"/>
          <w:color w:val="000000" w:themeColor="text1"/>
          <w:lang w:val="en-US" w:eastAsia="zh-CN"/>
          <w14:textFill>
            <w14:solidFill>
              <w14:schemeClr w14:val="tx1"/>
            </w14:solidFill>
          </w14:textFill>
        </w:rPr>
        <w:t xml:space="preserve">    </w:t>
      </w:r>
      <w:r>
        <w:rPr>
          <w:rFonts w:ascii="宋体" w:hAnsi="宋体" w:eastAsia="宋体" w:cs="宋体"/>
          <w:color w:val="000000" w:themeColor="text1"/>
          <w14:textFill>
            <w14:solidFill>
              <w14:schemeClr w14:val="tx1"/>
            </w14:solidFill>
          </w14:textFill>
        </w:rPr>
        <w:t>】政府采购活动，郑重承诺：</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（一）具备《中华人民共和国政府采购法》第二十二条第一款规定的条件：</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1、具有独立承担民事责任的能力；</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 xml:space="preserve">2、具有良好的商业信誉和健全的财务会计制度； </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3、具有履行合同所必需的设备和专业技术能力；</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4、有依法缴纳税收和社会保障资金的良好记录；</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5、参加政府采购活动前三年内，在经营活动中没有重大违法记录；</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6、具有法律、行政法规规定的其他条件。</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（二）未被信用中国（www.creditchina.gov.cn)、中国政府采购网（www.ccgp.gov.cn）列入失信被执行人、重大税收违法失信主体、政府采购严重违法失信行为记录名单。</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（三）不存在以下情况：</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1、单位负责人为同一人或者存在直接控股、管理关系的不同供应商参加同一合同项下的政府采购活动的；</w:t>
      </w:r>
    </w:p>
    <w:p>
      <w:pPr>
        <w:pStyle w:val="88"/>
        <w:spacing w:line="360" w:lineRule="auto"/>
        <w:ind w:firstLine="420" w:firstLineChars="175"/>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2、为采购项目提供整体设计、规范编制或者项目管理、监理、检测等服务后再参加该采购项目的其他采购活动的。</w:t>
      </w:r>
    </w:p>
    <w:p>
      <w:pPr>
        <w:pStyle w:val="28"/>
        <w:tabs>
          <w:tab w:val="right" w:leader="dot" w:pos="9403"/>
        </w:tabs>
        <w:spacing w:line="360" w:lineRule="auto"/>
        <w:rPr>
          <w:rFonts w:hint="default" w:ascii="Arial" w:hAnsi="Arial" w:cs="Arial"/>
          <w:color w:val="000000" w:themeColor="text1"/>
          <w:sz w:val="24"/>
          <w:szCs w:val="24"/>
          <w14:textFill>
            <w14:solidFill>
              <w14:schemeClr w14:val="tx1"/>
            </w14:solidFill>
          </w14:textFill>
        </w:rPr>
      </w:pPr>
      <w:bookmarkStart w:id="136" w:name="_Toc2249"/>
      <w:bookmarkStart w:id="137" w:name="_Toc10512"/>
    </w:p>
    <w:p>
      <w:pPr>
        <w:spacing w:line="360" w:lineRule="auto"/>
        <w:rPr>
          <w:rFonts w:hint="default"/>
          <w:color w:val="000000" w:themeColor="text1"/>
          <w:sz w:val="24"/>
          <w:szCs w:val="24"/>
          <w14:textFill>
            <w14:solidFill>
              <w14:schemeClr w14:val="tx1"/>
            </w14:solidFill>
          </w14:textFill>
        </w:rPr>
      </w:pPr>
    </w:p>
    <w:p>
      <w:pPr>
        <w:pStyle w:val="88"/>
        <w:spacing w:line="360" w:lineRule="auto"/>
        <w:rPr>
          <w:rFonts w:hint="default" w:ascii="Times New Roman" w:eastAsia="宋体" w:cs="Times New Roman"/>
          <w:color w:val="000000" w:themeColor="text1"/>
          <w14:textFill>
            <w14:solidFill>
              <w14:schemeClr w14:val="tx1"/>
            </w14:solidFill>
          </w14:textFill>
        </w:rPr>
      </w:pPr>
    </w:p>
    <w:p>
      <w:pPr>
        <w:widowControl/>
        <w:spacing w:line="360" w:lineRule="auto"/>
        <w:ind w:firstLine="480" w:firstLineChars="200"/>
        <w:rPr>
          <w:rFonts w:hint="default" w:ascii="Arial" w:hAnsi="Arial" w:cs="Arial"/>
          <w:color w:val="000000" w:themeColor="text1"/>
          <w:sz w:val="24"/>
          <w:szCs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r>
        <w:rPr>
          <w:rFonts w:ascii="Arial" w:hAnsi="Arial" w:cs="Arial"/>
          <w:color w:val="000000" w:themeColor="text1"/>
          <w:sz w:val="24"/>
          <w:szCs w:val="24"/>
          <w14:textFill>
            <w14:solidFill>
              <w14:schemeClr w14:val="tx1"/>
            </w14:solidFill>
          </w14:textFill>
        </w:rPr>
        <w:t>：</w:t>
      </w:r>
    </w:p>
    <w:p>
      <w:pPr>
        <w:widowControl/>
        <w:spacing w:line="360" w:lineRule="auto"/>
        <w:ind w:firstLine="480" w:firstLineChars="200"/>
        <w:rPr>
          <w:rFonts w:hint="default"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日期：</w:t>
      </w:r>
    </w:p>
    <w:p>
      <w:pPr>
        <w:pStyle w:val="41"/>
        <w:ind w:firstLine="480"/>
        <w:rPr>
          <w:rFonts w:hint="default" w:ascii="宋体" w:hAnsi="宋体" w:cs="宋体"/>
          <w:color w:val="000000" w:themeColor="text1"/>
          <w:sz w:val="24"/>
          <w14:textFill>
            <w14:solidFill>
              <w14:schemeClr w14:val="tx1"/>
            </w14:solidFill>
          </w14:textFill>
        </w:rPr>
      </w:pPr>
    </w:p>
    <w:p>
      <w:pPr>
        <w:widowControl/>
        <w:snapToGrid w:val="0"/>
        <w:spacing w:line="360" w:lineRule="auto"/>
        <w:ind w:firstLine="602" w:firstLineChars="200"/>
        <w:jc w:val="left"/>
        <w:rPr>
          <w:rFonts w:hint="default" w:ascii="宋体" w:hAnsi="宋体" w:cs="宋体"/>
          <w:color w:val="000000" w:themeColor="text1"/>
          <w:kern w:val="0"/>
          <w:sz w:val="24"/>
          <w14:textFill>
            <w14:solidFill>
              <w14:schemeClr w14:val="tx1"/>
            </w14:solidFill>
          </w14:textFill>
        </w:rPr>
      </w:pPr>
      <w:r>
        <w:rPr>
          <w:rFonts w:ascii="宋体" w:hAnsi="宋体" w:cs="宋体"/>
          <w:b/>
          <w:color w:val="000000" w:themeColor="text1"/>
          <w:sz w:val="30"/>
          <w:szCs w:val="30"/>
          <w14:textFill>
            <w14:solidFill>
              <w14:schemeClr w14:val="tx1"/>
            </w14:solidFill>
          </w14:textFill>
        </w:rPr>
        <w:br w:type="page"/>
      </w:r>
    </w:p>
    <w:bookmarkEnd w:id="136"/>
    <w:bookmarkEnd w:id="137"/>
    <w:p>
      <w:pPr>
        <w:adjustRightInd w:val="0"/>
        <w:snapToGrid w:val="0"/>
        <w:spacing w:line="440" w:lineRule="exact"/>
        <w:ind w:right="420"/>
        <w:jc w:val="center"/>
        <w:rPr>
          <w:rFonts w:hint="default"/>
          <w:color w:val="000000" w:themeColor="text1"/>
          <w14:textFill>
            <w14:solidFill>
              <w14:schemeClr w14:val="tx1"/>
            </w14:solidFill>
          </w14:textFill>
        </w:rPr>
      </w:pPr>
      <w:bookmarkStart w:id="138" w:name="_Toc354996707"/>
      <w:bookmarkStart w:id="139" w:name="_Toc55237638"/>
      <w:bookmarkStart w:id="140" w:name="_Toc233618989"/>
      <w:r>
        <w:rPr>
          <w:rFonts w:hint="eastAsia"/>
          <w:b/>
          <w:color w:val="000000" w:themeColor="text1"/>
          <w:sz w:val="32"/>
          <w:szCs w:val="32"/>
          <w:lang w:eastAsia="zh-CN"/>
          <w14:textFill>
            <w14:solidFill>
              <w14:schemeClr w14:val="tx1"/>
            </w14:solidFill>
          </w14:textFill>
        </w:rPr>
        <w:t>二、营业执照</w:t>
      </w:r>
    </w:p>
    <w:p>
      <w:pPr>
        <w:pStyle w:val="74"/>
        <w:snapToGrid w:val="0"/>
        <w:spacing w:line="360" w:lineRule="auto"/>
        <w:ind w:firstLine="301" w:firstLineChars="100"/>
        <w:jc w:val="center"/>
        <w:rPr>
          <w:rFonts w:hint="eastAsia" w:ascii="宋体" w:hAnsi="宋体" w:cs="宋体"/>
          <w:b/>
          <w:color w:val="000000" w:themeColor="text1"/>
          <w:sz w:val="30"/>
          <w:szCs w:val="30"/>
          <w:lang w:eastAsia="zh-CN"/>
          <w14:textFill>
            <w14:solidFill>
              <w14:schemeClr w14:val="tx1"/>
            </w14:solidFill>
          </w14:textFill>
        </w:rPr>
      </w:pPr>
    </w:p>
    <w:p>
      <w:pPr>
        <w:pStyle w:val="74"/>
        <w:snapToGrid w:val="0"/>
        <w:spacing w:line="360" w:lineRule="auto"/>
        <w:ind w:firstLine="301" w:firstLineChars="100"/>
        <w:jc w:val="center"/>
        <w:rPr>
          <w:rFonts w:hint="eastAsia" w:ascii="宋体" w:hAnsi="宋体" w:cs="宋体"/>
          <w:b/>
          <w:color w:val="000000" w:themeColor="text1"/>
          <w:sz w:val="30"/>
          <w:szCs w:val="30"/>
          <w:lang w:eastAsia="zh-CN"/>
          <w14:textFill>
            <w14:solidFill>
              <w14:schemeClr w14:val="tx1"/>
            </w14:solidFill>
          </w14:textFill>
        </w:rPr>
      </w:pPr>
    </w:p>
    <w:p>
      <w:pPr>
        <w:pStyle w:val="74"/>
        <w:snapToGrid w:val="0"/>
        <w:spacing w:line="360" w:lineRule="auto"/>
        <w:ind w:firstLine="301" w:firstLineChars="100"/>
        <w:jc w:val="center"/>
        <w:rPr>
          <w:rFonts w:hint="eastAsia" w:ascii="宋体" w:hAnsi="宋体" w:cs="宋体"/>
          <w:b/>
          <w:color w:val="000000" w:themeColor="text1"/>
          <w:sz w:val="30"/>
          <w:szCs w:val="30"/>
          <w:lang w:eastAsia="zh-CN"/>
          <w14:textFill>
            <w14:solidFill>
              <w14:schemeClr w14:val="tx1"/>
            </w14:solidFill>
          </w14:textFill>
        </w:rPr>
      </w:pPr>
    </w:p>
    <w:p>
      <w:pPr>
        <w:pStyle w:val="74"/>
        <w:snapToGrid w:val="0"/>
        <w:spacing w:line="360" w:lineRule="auto"/>
        <w:ind w:firstLine="301" w:firstLineChars="100"/>
        <w:jc w:val="center"/>
        <w:rPr>
          <w:rFonts w:hint="eastAsia" w:ascii="宋体" w:hAnsi="宋体" w:cs="宋体"/>
          <w:b/>
          <w:color w:val="000000" w:themeColor="text1"/>
          <w:sz w:val="30"/>
          <w:szCs w:val="30"/>
          <w:lang w:eastAsia="zh-CN"/>
          <w14:textFill>
            <w14:solidFill>
              <w14:schemeClr w14:val="tx1"/>
            </w14:solidFill>
          </w14:textFill>
        </w:rPr>
      </w:pPr>
    </w:p>
    <w:p>
      <w:pPr>
        <w:pStyle w:val="74"/>
        <w:snapToGrid w:val="0"/>
        <w:spacing w:line="360" w:lineRule="auto"/>
        <w:ind w:firstLine="301" w:firstLineChars="100"/>
        <w:jc w:val="center"/>
        <w:rPr>
          <w:rFonts w:hint="eastAsia" w:ascii="宋体" w:hAnsi="宋体" w:cs="宋体"/>
          <w:b/>
          <w:color w:val="000000" w:themeColor="text1"/>
          <w:sz w:val="30"/>
          <w:szCs w:val="30"/>
          <w:lang w:eastAsia="zh-CN"/>
          <w14:textFill>
            <w14:solidFill>
              <w14:schemeClr w14:val="tx1"/>
            </w14:solidFill>
          </w14:textFill>
        </w:rPr>
      </w:pPr>
    </w:p>
    <w:p>
      <w:pPr>
        <w:pStyle w:val="74"/>
        <w:snapToGrid w:val="0"/>
        <w:spacing w:line="360" w:lineRule="auto"/>
        <w:ind w:firstLine="301" w:firstLineChars="100"/>
        <w:jc w:val="cente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eastAsia="zh-CN"/>
          <w14:textFill>
            <w14:solidFill>
              <w14:schemeClr w14:val="tx1"/>
            </w14:solidFill>
          </w14:textFill>
        </w:rPr>
        <w:t>三</w:t>
      </w:r>
      <w:r>
        <w:rPr>
          <w:rFonts w:ascii="宋体" w:hAnsi="宋体" w:cs="宋体"/>
          <w:b/>
          <w:color w:val="000000" w:themeColor="text1"/>
          <w:sz w:val="30"/>
          <w:szCs w:val="30"/>
          <w14:textFill>
            <w14:solidFill>
              <w14:schemeClr w14:val="tx1"/>
            </w14:solidFill>
          </w14:textFill>
        </w:rPr>
        <w:t>、</w:t>
      </w:r>
      <w:r>
        <w:rPr>
          <w:rFonts w:hint="default" w:ascii="宋体" w:hAnsi="宋体" w:cs="宋体"/>
          <w:b/>
          <w:color w:val="000000" w:themeColor="text1"/>
          <w:sz w:val="30"/>
          <w:szCs w:val="30"/>
          <w:lang w:val="zh-CN"/>
          <w14:textFill>
            <w14:solidFill>
              <w14:schemeClr w14:val="tx1"/>
            </w14:solidFill>
          </w14:textFill>
        </w:rPr>
        <w:t>特定资格条件要求的资质文件（</w:t>
      </w:r>
      <w:r>
        <w:rPr>
          <w:rFonts w:hint="eastAsia" w:ascii="宋体" w:hAnsi="宋体" w:cs="宋体"/>
          <w:b/>
          <w:color w:val="000000" w:themeColor="text1"/>
          <w:sz w:val="30"/>
          <w:szCs w:val="30"/>
          <w:lang w:val="en-US" w:eastAsia="zh-CN"/>
          <w14:textFill>
            <w14:solidFill>
              <w14:schemeClr w14:val="tx1"/>
            </w14:solidFill>
          </w14:textFill>
        </w:rPr>
        <w:t>复制</w:t>
      </w:r>
      <w:r>
        <w:rPr>
          <w:rFonts w:hint="default" w:ascii="宋体" w:hAnsi="宋体" w:cs="宋体"/>
          <w:b/>
          <w:color w:val="000000" w:themeColor="text1"/>
          <w:sz w:val="30"/>
          <w:szCs w:val="30"/>
          <w:lang w:val="zh-CN"/>
          <w14:textFill>
            <w14:solidFill>
              <w14:schemeClr w14:val="tx1"/>
            </w14:solidFill>
          </w14:textFill>
        </w:rPr>
        <w:t>件）</w:t>
      </w:r>
      <w:r>
        <w:rPr>
          <w:rFonts w:hint="eastAsia" w:ascii="宋体" w:hAnsi="宋体" w:cs="宋体"/>
          <w:b/>
          <w:color w:val="000000" w:themeColor="text1"/>
          <w:sz w:val="30"/>
          <w:szCs w:val="30"/>
          <w:lang w:val="en-US" w:eastAsia="zh-CN"/>
          <w14:textFill>
            <w14:solidFill>
              <w14:schemeClr w14:val="tx1"/>
            </w14:solidFill>
          </w14:textFill>
        </w:rPr>
        <w:t>如有</w:t>
      </w:r>
    </w:p>
    <w:p>
      <w:pPr>
        <w:pStyle w:val="74"/>
        <w:snapToGrid w:val="0"/>
        <w:spacing w:line="360" w:lineRule="auto"/>
        <w:ind w:firstLine="321" w:firstLineChars="100"/>
        <w:jc w:val="center"/>
        <w:rPr>
          <w:rFonts w:hint="default"/>
          <w:b/>
          <w:bCs/>
          <w:color w:val="000000" w:themeColor="text1"/>
          <w:kern w:val="0"/>
          <w:sz w:val="32"/>
          <w:szCs w:val="32"/>
          <w14:textFill>
            <w14:solidFill>
              <w14:schemeClr w14:val="tx1"/>
            </w14:solidFill>
          </w14:textFill>
        </w:rPr>
        <w:sectPr>
          <w:headerReference r:id="rId12" w:type="default"/>
          <w:footerReference r:id="rId13" w:type="default"/>
          <w:pgSz w:w="11906" w:h="16838"/>
          <w:pgMar w:top="1134" w:right="1247" w:bottom="1247" w:left="1304" w:header="794" w:footer="794" w:gutter="0"/>
          <w:cols w:space="720" w:num="1"/>
          <w:docGrid w:type="lines" w:linePitch="312" w:charSpace="0"/>
        </w:sectPr>
      </w:pPr>
    </w:p>
    <w:p>
      <w:pPr>
        <w:snapToGrid w:val="0"/>
        <w:spacing w:line="360" w:lineRule="auto"/>
        <w:ind w:left="570"/>
        <w:jc w:val="center"/>
        <w:outlineLvl w:val="0"/>
        <w:rPr>
          <w:rFonts w:hint="default"/>
          <w:b/>
          <w:color w:val="000000" w:themeColor="text1"/>
          <w:sz w:val="32"/>
          <w:szCs w:val="32"/>
          <w14:textFill>
            <w14:solidFill>
              <w14:schemeClr w14:val="tx1"/>
            </w14:solidFill>
          </w14:textFill>
        </w:rPr>
      </w:pPr>
      <w:bookmarkStart w:id="141" w:name="_Toc30243"/>
      <w:r>
        <w:rPr>
          <w:rFonts w:ascii="宋体" w:hAnsi="宋体"/>
          <w:b/>
          <w:color w:val="000000" w:themeColor="text1"/>
          <w:sz w:val="32"/>
          <w:szCs w:val="32"/>
          <w14:textFill>
            <w14:solidFill>
              <w14:schemeClr w14:val="tx1"/>
            </w14:solidFill>
          </w14:textFill>
        </w:rPr>
        <w:t>四、</w:t>
      </w:r>
      <w:bookmarkStart w:id="142" w:name="_Toc28162"/>
      <w:bookmarkStart w:id="143" w:name="_Toc18889"/>
      <w:bookmarkStart w:id="144" w:name="_Toc23989"/>
      <w:r>
        <w:rPr>
          <w:rFonts w:hint="default"/>
          <w:b/>
          <w:color w:val="000000" w:themeColor="text1"/>
          <w:sz w:val="32"/>
          <w:szCs w:val="32"/>
          <w14:textFill>
            <w14:solidFill>
              <w14:schemeClr w14:val="tx1"/>
            </w14:solidFill>
          </w14:textFill>
        </w:rPr>
        <w:t>中小企业声明函、残疾人福利性单位声明函、属于监狱企业的证明文件（由省级以上监狱管理局、戒毒管理局（含新疆生产建设兵团）出具的属于监狱企业的证明文件</w:t>
      </w:r>
      <w:bookmarkEnd w:id="141"/>
      <w:bookmarkEnd w:id="142"/>
      <w:bookmarkEnd w:id="143"/>
      <w:bookmarkEnd w:id="144"/>
    </w:p>
    <w:p>
      <w:pPr>
        <w:widowControl/>
        <w:snapToGrid w:val="0"/>
        <w:spacing w:line="360" w:lineRule="auto"/>
        <w:ind w:firstLine="602" w:firstLineChars="200"/>
        <w:jc w:val="center"/>
        <w:rPr>
          <w:rFonts w:hint="default"/>
          <w:b/>
          <w:color w:val="000000" w:themeColor="text1"/>
          <w:kern w:val="0"/>
          <w:sz w:val="30"/>
          <w:szCs w:val="30"/>
          <w14:textFill>
            <w14:solidFill>
              <w14:schemeClr w14:val="tx1"/>
            </w14:solidFill>
          </w14:textFill>
        </w:rPr>
      </w:pPr>
      <w:r>
        <w:rPr>
          <w:rFonts w:hint="default"/>
          <w:b/>
          <w:color w:val="000000" w:themeColor="text1"/>
          <w:kern w:val="0"/>
          <w:sz w:val="30"/>
          <w:szCs w:val="30"/>
          <w14:textFill>
            <w14:solidFill>
              <w14:schemeClr w14:val="tx1"/>
            </w14:solidFill>
          </w14:textFill>
        </w:rPr>
        <w:t>1中小企业声明函及其相关的充分的证明材料</w:t>
      </w:r>
      <w:r>
        <w:rPr>
          <w:b/>
          <w:color w:val="000000" w:themeColor="text1"/>
          <w:kern w:val="0"/>
          <w:sz w:val="30"/>
          <w:szCs w:val="30"/>
          <w14:textFill>
            <w14:solidFill>
              <w14:schemeClr w14:val="tx1"/>
            </w14:solidFill>
          </w14:textFill>
        </w:rPr>
        <w:t>（如有）</w:t>
      </w:r>
    </w:p>
    <w:p>
      <w:pPr>
        <w:autoSpaceDE w:val="0"/>
        <w:autoSpaceDN w:val="0"/>
        <w:adjustRightInd w:val="0"/>
        <w:spacing w:before="240" w:beforeLines="100" w:after="240" w:afterLines="100" w:line="360" w:lineRule="auto"/>
        <w:jc w:val="center"/>
        <w:rPr>
          <w:rFonts w:hint="default"/>
          <w:color w:val="000000" w:themeColor="text1"/>
          <w:kern w:val="0"/>
          <w:sz w:val="24"/>
          <w14:textFill>
            <w14:solidFill>
              <w14:schemeClr w14:val="tx1"/>
            </w14:solidFill>
          </w14:textFill>
        </w:rPr>
      </w:pPr>
      <w:r>
        <w:rPr>
          <w:rFonts w:hint="default"/>
          <w:b/>
          <w:color w:val="000000" w:themeColor="text1"/>
          <w:kern w:val="0"/>
          <w:sz w:val="24"/>
          <w14:textFill>
            <w14:solidFill>
              <w14:schemeClr w14:val="tx1"/>
            </w14:solidFill>
          </w14:textFill>
        </w:rPr>
        <w:t>中小企业声明函（货物</w:t>
      </w:r>
      <w:r>
        <w:rPr>
          <w:rFonts w:hint="default"/>
          <w:color w:val="000000" w:themeColor="text1"/>
          <w:kern w:val="0"/>
          <w:sz w:val="24"/>
          <w14:textFill>
            <w14:solidFill>
              <w14:schemeClr w14:val="tx1"/>
            </w14:solidFill>
          </w14:textFill>
        </w:rPr>
        <w:t>）</w:t>
      </w:r>
    </w:p>
    <w:p>
      <w:pPr>
        <w:autoSpaceDE w:val="0"/>
        <w:autoSpaceDN w:val="0"/>
        <w:adjustRightInd w:val="0"/>
        <w:spacing w:line="360" w:lineRule="auto"/>
        <w:ind w:right="157" w:firstLine="642"/>
        <w:jc w:val="left"/>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本公司（联合体）郑重声明，根据《政府采购促进中小企业发展管理办法》（财库 ﹝2020﹞46号）的规定，本公司参加</w:t>
      </w:r>
      <w:r>
        <w:rPr>
          <w:rFonts w:hint="default"/>
          <w:color w:val="000000" w:themeColor="text1"/>
          <w:kern w:val="0"/>
          <w:sz w:val="24"/>
          <w:u w:val="single"/>
          <w14:textFill>
            <w14:solidFill>
              <w14:schemeClr w14:val="tx1"/>
            </w14:solidFill>
          </w14:textFill>
        </w:rPr>
        <w:t>（单位名称）</w:t>
      </w:r>
      <w:r>
        <w:rPr>
          <w:rFonts w:hint="default"/>
          <w:color w:val="000000" w:themeColor="text1"/>
          <w:kern w:val="0"/>
          <w:sz w:val="24"/>
          <w14:textFill>
            <w14:solidFill>
              <w14:schemeClr w14:val="tx1"/>
            </w14:solidFill>
          </w14:textFill>
        </w:rPr>
        <w:t>的</w:t>
      </w:r>
      <w:r>
        <w:rPr>
          <w:rFonts w:hint="default"/>
          <w:color w:val="000000" w:themeColor="text1"/>
          <w:kern w:val="0"/>
          <w:sz w:val="24"/>
          <w:u w:val="single"/>
          <w14:textFill>
            <w14:solidFill>
              <w14:schemeClr w14:val="tx1"/>
            </w14:solidFill>
          </w14:textFill>
        </w:rPr>
        <w:t>（项目名称）</w:t>
      </w:r>
      <w:r>
        <w:rPr>
          <w:rFonts w:hint="default"/>
          <w:color w:val="000000" w:themeColor="text1"/>
          <w:kern w:val="0"/>
          <w:sz w:val="24"/>
          <w14:textFill>
            <w14:solidFill>
              <w14:schemeClr w14:val="tx1"/>
            </w14:solidFill>
          </w14:textFill>
        </w:rPr>
        <w:t xml:space="preserve">采购活动，提供的货物全部由符合政策要求的中小企业制造。相关企业（含联合体中的中小企业、签订分包意向协议的中小企业）的具体情况如下： </w:t>
      </w:r>
    </w:p>
    <w:p>
      <w:pPr>
        <w:pStyle w:val="51"/>
        <w:numPr>
          <w:ilvl w:val="0"/>
          <w:numId w:val="7"/>
        </w:numPr>
        <w:spacing w:line="360" w:lineRule="auto"/>
        <w:ind w:firstLine="600" w:firstLineChars="2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u w:val="single"/>
          <w:lang w:val="en-US" w:eastAsia="zh-CN"/>
          <w14:textFill>
            <w14:solidFill>
              <w14:schemeClr w14:val="tx1"/>
            </w14:solidFill>
          </w14:textFill>
        </w:rPr>
        <w:t>（标的名称）</w:t>
      </w:r>
      <w:r>
        <w:rPr>
          <w:rFonts w:hint="eastAsia" w:ascii="宋体" w:hAnsi="宋体" w:eastAsia="宋体"/>
          <w:color w:val="000000" w:themeColor="text1"/>
          <w:lang w:val="en-US" w:eastAsia="zh-CN"/>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，属于 </w:t>
      </w:r>
      <w:r>
        <w:rPr>
          <w:rFonts w:hint="eastAsia" w:ascii="宋体" w:hAnsi="宋体" w:eastAsia="宋体"/>
          <w:color w:val="000000" w:themeColor="text1"/>
          <w:u w:val="single"/>
          <w14:textFill>
            <w14:solidFill>
              <w14:schemeClr w14:val="tx1"/>
            </w14:solidFill>
          </w14:textFill>
        </w:rPr>
        <w:t xml:space="preserve">工业 </w:t>
      </w:r>
      <w:r>
        <w:rPr>
          <w:rFonts w:ascii="宋体" w:hAnsi="宋体" w:eastAsia="宋体"/>
          <w:color w:val="000000" w:themeColor="text1"/>
          <w:u w:val="single"/>
          <w14:textFill>
            <w14:solidFill>
              <w14:schemeClr w14:val="tx1"/>
            </w14:solidFill>
          </w14:textFill>
        </w:rPr>
        <w:t xml:space="preserve"> 行业</w:t>
      </w:r>
      <w:r>
        <w:rPr>
          <w:rFonts w:ascii="宋体" w:hAnsi="宋体" w:eastAsia="宋体"/>
          <w:color w:val="000000" w:themeColor="text1"/>
          <w14:textFill>
            <w14:solidFill>
              <w14:schemeClr w14:val="tx1"/>
            </w14:solidFill>
          </w14:textFill>
        </w:rPr>
        <w:t>；制造商为</w:t>
      </w:r>
      <w:r>
        <w:rPr>
          <w:rFonts w:ascii="宋体" w:hAnsi="宋体" w:eastAsia="宋体"/>
          <w:color w:val="000000" w:themeColor="text1"/>
          <w:u w:val="single"/>
          <w14:textFill>
            <w14:solidFill>
              <w14:schemeClr w14:val="tx1"/>
            </w14:solidFill>
          </w14:textFill>
        </w:rPr>
        <w:t>（企业名称）</w:t>
      </w:r>
      <w:r>
        <w:rPr>
          <w:rFonts w:ascii="宋体" w:hAnsi="宋体" w:eastAsia="宋体"/>
          <w:color w:val="000000" w:themeColor="text1"/>
          <w14:textFill>
            <w14:solidFill>
              <w14:schemeClr w14:val="tx1"/>
            </w14:solidFill>
          </w14:textFill>
        </w:rPr>
        <w:t>，从业人员</w:t>
      </w:r>
      <w:r>
        <w:rPr>
          <w:rFonts w:hint="eastAsia" w:ascii="宋体" w:hAnsi="宋体" w:cs="宋体"/>
          <w:color w:val="000000" w:themeColor="text1"/>
          <w:u w:val="single"/>
          <w14:textFill>
            <w14:solidFill>
              <w14:schemeClr w14:val="tx1"/>
            </w14:solidFill>
          </w14:textFill>
        </w:rPr>
        <w:t>xxx</w:t>
      </w:r>
      <w:r>
        <w:rPr>
          <w:rFonts w:ascii="宋体" w:hAnsi="宋体" w:eastAsia="宋体"/>
          <w:color w:val="000000" w:themeColor="text1"/>
          <w14:textFill>
            <w14:solidFill>
              <w14:schemeClr w14:val="tx1"/>
            </w14:solidFill>
          </w14:textFill>
        </w:rPr>
        <w:t>人，营业收入为</w:t>
      </w:r>
      <w:r>
        <w:rPr>
          <w:rFonts w:hint="eastAsia" w:ascii="宋体" w:hAnsi="宋体" w:cs="宋体"/>
          <w:color w:val="000000" w:themeColor="text1"/>
          <w:u w:val="single"/>
          <w14:textFill>
            <w14:solidFill>
              <w14:schemeClr w14:val="tx1"/>
            </w14:solidFill>
          </w14:textFill>
        </w:rPr>
        <w:t>xxx</w:t>
      </w:r>
      <w:r>
        <w:rPr>
          <w:rFonts w:ascii="宋体" w:hAnsi="宋体" w:eastAsia="宋体"/>
          <w:color w:val="000000" w:themeColor="text1"/>
          <w14:textFill>
            <w14:solidFill>
              <w14:schemeClr w14:val="tx1"/>
            </w14:solidFill>
          </w14:textFill>
        </w:rPr>
        <w:t>万元，资产总额为</w:t>
      </w:r>
      <w:r>
        <w:rPr>
          <w:rFonts w:hint="eastAsia" w:ascii="宋体" w:hAnsi="宋体" w:cs="宋体"/>
          <w:color w:val="000000" w:themeColor="text1"/>
          <w:u w:val="single"/>
          <w14:textFill>
            <w14:solidFill>
              <w14:schemeClr w14:val="tx1"/>
            </w14:solidFill>
          </w14:textFill>
        </w:rPr>
        <w:t>xxx</w:t>
      </w:r>
      <w:r>
        <w:rPr>
          <w:rFonts w:ascii="宋体" w:hAnsi="宋体" w:eastAsia="宋体"/>
          <w:color w:val="000000" w:themeColor="text1"/>
          <w14:textFill>
            <w14:solidFill>
              <w14:schemeClr w14:val="tx1"/>
            </w14:solidFill>
          </w14:textFill>
        </w:rPr>
        <w:t>万元</w:t>
      </w:r>
      <w:r>
        <w:rPr>
          <w:rStyle w:val="50"/>
          <w:rFonts w:hint="eastAsia" w:ascii="宋体" w:hAnsi="宋体"/>
          <w:color w:val="000000" w:themeColor="text1"/>
          <w14:textFill>
            <w14:solidFill>
              <w14:schemeClr w14:val="tx1"/>
            </w14:solidFill>
          </w14:textFill>
        </w:rPr>
        <w:footnoteReference w:id="0"/>
      </w:r>
      <w:r>
        <w:rPr>
          <w:rFonts w:ascii="宋体" w:hAnsi="宋体" w:eastAsia="宋体"/>
          <w:color w:val="000000" w:themeColor="text1"/>
          <w14:textFill>
            <w14:solidFill>
              <w14:schemeClr w14:val="tx1"/>
            </w14:solidFill>
          </w14:textFill>
        </w:rPr>
        <w:t>，属于</w:t>
      </w:r>
      <w:r>
        <w:rPr>
          <w:rFonts w:ascii="宋体" w:hAnsi="宋体" w:eastAsia="宋体"/>
          <w:color w:val="000000" w:themeColor="text1"/>
          <w:u w:val="single"/>
          <w14:textFill>
            <w14:solidFill>
              <w14:schemeClr w14:val="tx1"/>
            </w14:solidFill>
          </w14:textFill>
        </w:rPr>
        <w:t>（</w:t>
      </w:r>
      <w:r>
        <w:rPr>
          <w:rFonts w:hint="eastAsia" w:ascii="宋体" w:hAnsi="宋体" w:eastAsia="宋体"/>
          <w:color w:val="000000" w:themeColor="text1"/>
          <w14:textFill>
            <w14:solidFill>
              <w14:schemeClr w14:val="tx1"/>
            </w14:solidFill>
          </w14:textFill>
        </w:rPr>
        <w:t>三选一：</w:t>
      </w:r>
      <w:r>
        <w:rPr>
          <w:rFonts w:hint="eastAsia" w:ascii="宋体" w:hAnsi="宋体" w:eastAsia="宋体"/>
          <w:color w:val="000000" w:themeColor="text1"/>
          <w14:textFill>
            <w14:solidFill>
              <w14:schemeClr w14:val="tx1"/>
            </w14:solidFill>
          </w14:textFill>
        </w:rPr>
        <w:sym w:font="Wingdings" w:char="00A8"/>
      </w:r>
      <w:r>
        <w:rPr>
          <w:rFonts w:ascii="宋体" w:hAnsi="宋体" w:eastAsia="宋体"/>
          <w:color w:val="000000" w:themeColor="text1"/>
          <w:u w:val="single"/>
          <w14:textFill>
            <w14:solidFill>
              <w14:schemeClr w14:val="tx1"/>
            </w14:solidFill>
          </w14:textFill>
        </w:rPr>
        <w:t>中型企业、</w:t>
      </w:r>
      <w:r>
        <w:rPr>
          <w:rFonts w:ascii="宋体" w:hAnsi="宋体" w:eastAsia="宋体"/>
          <w:color w:val="000000" w:themeColor="text1"/>
          <w:u w:val="single"/>
          <w14:textFill>
            <w14:solidFill>
              <w14:schemeClr w14:val="tx1"/>
            </w14:solidFill>
          </w14:textFill>
        </w:rPr>
        <w:sym w:font="Wingdings" w:char="00A8"/>
      </w:r>
      <w:r>
        <w:rPr>
          <w:rFonts w:ascii="宋体" w:hAnsi="宋体" w:eastAsia="宋体"/>
          <w:color w:val="000000" w:themeColor="text1"/>
          <w:u w:val="single"/>
          <w14:textFill>
            <w14:solidFill>
              <w14:schemeClr w14:val="tx1"/>
            </w14:solidFill>
          </w14:textFill>
        </w:rPr>
        <w:t>小型企业、</w:t>
      </w:r>
      <w:r>
        <w:rPr>
          <w:rFonts w:ascii="宋体" w:hAnsi="宋体" w:eastAsia="宋体"/>
          <w:color w:val="000000" w:themeColor="text1"/>
          <w:u w:val="single"/>
          <w14:textFill>
            <w14:solidFill>
              <w14:schemeClr w14:val="tx1"/>
            </w14:solidFill>
          </w14:textFill>
        </w:rPr>
        <w:sym w:font="Wingdings" w:char="00A8"/>
      </w:r>
      <w:r>
        <w:rPr>
          <w:rFonts w:ascii="宋体" w:hAnsi="宋体" w:eastAsia="宋体"/>
          <w:color w:val="000000" w:themeColor="text1"/>
          <w:u w:val="single"/>
          <w14:textFill>
            <w14:solidFill>
              <w14:schemeClr w14:val="tx1"/>
            </w14:solidFill>
          </w14:textFill>
        </w:rPr>
        <w:t>微型企业）</w:t>
      </w:r>
      <w:r>
        <w:rPr>
          <w:rFonts w:ascii="宋体" w:hAnsi="宋体" w:eastAsia="宋体"/>
          <w:color w:val="000000" w:themeColor="text1"/>
          <w14:textFill>
            <w14:solidFill>
              <w14:schemeClr w14:val="tx1"/>
            </w14:solidFill>
          </w14:textFill>
        </w:rPr>
        <w:t>；</w:t>
      </w:r>
    </w:p>
    <w:p>
      <w:pPr>
        <w:pStyle w:val="51"/>
        <w:numPr>
          <w:ilvl w:val="0"/>
          <w:numId w:val="7"/>
        </w:numPr>
        <w:spacing w:line="360" w:lineRule="auto"/>
        <w:ind w:firstLine="600" w:firstLineChars="25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u w:val="none"/>
          <w:lang w:val="en-US" w:eastAsia="zh-CN"/>
          <w14:textFill>
            <w14:solidFill>
              <w14:schemeClr w14:val="tx1"/>
            </w14:solidFill>
          </w14:textFill>
        </w:rPr>
        <w:t>2.</w:t>
      </w:r>
      <w:r>
        <w:rPr>
          <w:rFonts w:hint="eastAsia" w:ascii="宋体" w:hAnsi="宋体" w:eastAsia="宋体"/>
          <w:color w:val="000000" w:themeColor="text1"/>
          <w:u w:val="single"/>
          <w:lang w:val="en-US" w:eastAsia="zh-CN"/>
          <w14:textFill>
            <w14:solidFill>
              <w14:schemeClr w14:val="tx1"/>
            </w14:solidFill>
          </w14:textFill>
        </w:rPr>
        <w:t>（标的名称）</w:t>
      </w:r>
      <w:r>
        <w:rPr>
          <w:rFonts w:hint="eastAsia" w:ascii="宋体" w:hAnsi="宋体" w:eastAsia="宋体"/>
          <w:color w:val="000000" w:themeColor="text1"/>
          <w:lang w:val="en-US" w:eastAsia="zh-CN"/>
          <w14:textFill>
            <w14:solidFill>
              <w14:schemeClr w14:val="tx1"/>
            </w14:solidFill>
          </w14:textFill>
        </w:rPr>
        <w:t xml:space="preserve"> </w:t>
      </w:r>
      <w:r>
        <w:rPr>
          <w:rFonts w:ascii="宋体" w:hAnsi="宋体" w:eastAsia="宋体"/>
          <w:color w:val="000000" w:themeColor="text1"/>
          <w14:textFill>
            <w14:solidFill>
              <w14:schemeClr w14:val="tx1"/>
            </w14:solidFill>
          </w14:textFill>
        </w:rPr>
        <w:t xml:space="preserve">，属于 </w:t>
      </w:r>
      <w:r>
        <w:rPr>
          <w:rFonts w:hint="eastAsia" w:ascii="宋体" w:hAnsi="宋体" w:eastAsia="宋体"/>
          <w:color w:val="000000" w:themeColor="text1"/>
          <w:u w:val="single"/>
          <w14:textFill>
            <w14:solidFill>
              <w14:schemeClr w14:val="tx1"/>
            </w14:solidFill>
          </w14:textFill>
        </w:rPr>
        <w:t xml:space="preserve">工业 </w:t>
      </w:r>
      <w:r>
        <w:rPr>
          <w:rFonts w:ascii="宋体" w:hAnsi="宋体" w:eastAsia="宋体"/>
          <w:color w:val="000000" w:themeColor="text1"/>
          <w:u w:val="single"/>
          <w14:textFill>
            <w14:solidFill>
              <w14:schemeClr w14:val="tx1"/>
            </w14:solidFill>
          </w14:textFill>
        </w:rPr>
        <w:t xml:space="preserve"> 行业</w:t>
      </w:r>
      <w:r>
        <w:rPr>
          <w:rFonts w:ascii="宋体" w:hAnsi="宋体" w:eastAsia="宋体"/>
          <w:color w:val="000000" w:themeColor="text1"/>
          <w14:textFill>
            <w14:solidFill>
              <w14:schemeClr w14:val="tx1"/>
            </w14:solidFill>
          </w14:textFill>
        </w:rPr>
        <w:t>；制造商为</w:t>
      </w:r>
      <w:r>
        <w:rPr>
          <w:rFonts w:ascii="宋体" w:hAnsi="宋体" w:eastAsia="宋体"/>
          <w:color w:val="000000" w:themeColor="text1"/>
          <w:u w:val="single"/>
          <w14:textFill>
            <w14:solidFill>
              <w14:schemeClr w14:val="tx1"/>
            </w14:solidFill>
          </w14:textFill>
        </w:rPr>
        <w:t>（企业名称）</w:t>
      </w:r>
      <w:r>
        <w:rPr>
          <w:rFonts w:ascii="宋体" w:hAnsi="宋体" w:eastAsia="宋体"/>
          <w:color w:val="000000" w:themeColor="text1"/>
          <w14:textFill>
            <w14:solidFill>
              <w14:schemeClr w14:val="tx1"/>
            </w14:solidFill>
          </w14:textFill>
        </w:rPr>
        <w:t>，从业人员</w:t>
      </w:r>
      <w:r>
        <w:rPr>
          <w:rFonts w:hint="eastAsia" w:ascii="宋体" w:hAnsi="宋体" w:cs="宋体"/>
          <w:color w:val="000000" w:themeColor="text1"/>
          <w:u w:val="single"/>
          <w14:textFill>
            <w14:solidFill>
              <w14:schemeClr w14:val="tx1"/>
            </w14:solidFill>
          </w14:textFill>
        </w:rPr>
        <w:t>xxx</w:t>
      </w:r>
      <w:r>
        <w:rPr>
          <w:rFonts w:ascii="宋体" w:hAnsi="宋体" w:eastAsia="宋体"/>
          <w:color w:val="000000" w:themeColor="text1"/>
          <w14:textFill>
            <w14:solidFill>
              <w14:schemeClr w14:val="tx1"/>
            </w14:solidFill>
          </w14:textFill>
        </w:rPr>
        <w:t>人，营业收入为</w:t>
      </w:r>
      <w:r>
        <w:rPr>
          <w:rFonts w:hint="eastAsia" w:ascii="宋体" w:hAnsi="宋体" w:cs="宋体"/>
          <w:color w:val="000000" w:themeColor="text1"/>
          <w:u w:val="single"/>
          <w14:textFill>
            <w14:solidFill>
              <w14:schemeClr w14:val="tx1"/>
            </w14:solidFill>
          </w14:textFill>
        </w:rPr>
        <w:t>xxx</w:t>
      </w:r>
      <w:r>
        <w:rPr>
          <w:rFonts w:ascii="宋体" w:hAnsi="宋体" w:eastAsia="宋体"/>
          <w:color w:val="000000" w:themeColor="text1"/>
          <w14:textFill>
            <w14:solidFill>
              <w14:schemeClr w14:val="tx1"/>
            </w14:solidFill>
          </w14:textFill>
        </w:rPr>
        <w:t>万元，资产总额为</w:t>
      </w:r>
      <w:r>
        <w:rPr>
          <w:rFonts w:hint="eastAsia" w:ascii="宋体" w:hAnsi="宋体" w:cs="宋体"/>
          <w:color w:val="000000" w:themeColor="text1"/>
          <w:u w:val="single"/>
          <w14:textFill>
            <w14:solidFill>
              <w14:schemeClr w14:val="tx1"/>
            </w14:solidFill>
          </w14:textFill>
        </w:rPr>
        <w:t>xxx</w:t>
      </w:r>
      <w:r>
        <w:rPr>
          <w:rFonts w:ascii="宋体" w:hAnsi="宋体" w:eastAsia="宋体"/>
          <w:color w:val="000000" w:themeColor="text1"/>
          <w14:textFill>
            <w14:solidFill>
              <w14:schemeClr w14:val="tx1"/>
            </w14:solidFill>
          </w14:textFill>
        </w:rPr>
        <w:t>万元</w:t>
      </w:r>
      <w:r>
        <w:rPr>
          <w:rStyle w:val="50"/>
          <w:rFonts w:hint="eastAsia" w:ascii="宋体" w:hAnsi="宋体"/>
          <w:color w:val="000000" w:themeColor="text1"/>
          <w14:textFill>
            <w14:solidFill>
              <w14:schemeClr w14:val="tx1"/>
            </w14:solidFill>
          </w14:textFill>
        </w:rPr>
        <w:footnoteReference w:id="1"/>
      </w:r>
      <w:r>
        <w:rPr>
          <w:rFonts w:ascii="宋体" w:hAnsi="宋体" w:eastAsia="宋体"/>
          <w:color w:val="000000" w:themeColor="text1"/>
          <w14:textFill>
            <w14:solidFill>
              <w14:schemeClr w14:val="tx1"/>
            </w14:solidFill>
          </w14:textFill>
        </w:rPr>
        <w:t>，属于</w:t>
      </w:r>
      <w:r>
        <w:rPr>
          <w:rFonts w:ascii="宋体" w:hAnsi="宋体" w:eastAsia="宋体"/>
          <w:color w:val="000000" w:themeColor="text1"/>
          <w:u w:val="single"/>
          <w14:textFill>
            <w14:solidFill>
              <w14:schemeClr w14:val="tx1"/>
            </w14:solidFill>
          </w14:textFill>
        </w:rPr>
        <w:t>（</w:t>
      </w:r>
      <w:r>
        <w:rPr>
          <w:rFonts w:hint="eastAsia" w:ascii="宋体" w:hAnsi="宋体" w:eastAsia="宋体"/>
          <w:color w:val="000000" w:themeColor="text1"/>
          <w14:textFill>
            <w14:solidFill>
              <w14:schemeClr w14:val="tx1"/>
            </w14:solidFill>
          </w14:textFill>
        </w:rPr>
        <w:t>三选一：</w:t>
      </w:r>
      <w:r>
        <w:rPr>
          <w:rFonts w:hint="eastAsia" w:ascii="宋体" w:hAnsi="宋体" w:eastAsia="宋体"/>
          <w:color w:val="000000" w:themeColor="text1"/>
          <w14:textFill>
            <w14:solidFill>
              <w14:schemeClr w14:val="tx1"/>
            </w14:solidFill>
          </w14:textFill>
        </w:rPr>
        <w:sym w:font="Wingdings" w:char="00A8"/>
      </w:r>
      <w:r>
        <w:rPr>
          <w:rFonts w:ascii="宋体" w:hAnsi="宋体" w:eastAsia="宋体"/>
          <w:color w:val="000000" w:themeColor="text1"/>
          <w:u w:val="single"/>
          <w14:textFill>
            <w14:solidFill>
              <w14:schemeClr w14:val="tx1"/>
            </w14:solidFill>
          </w14:textFill>
        </w:rPr>
        <w:t>中型企业、</w:t>
      </w:r>
      <w:r>
        <w:rPr>
          <w:rFonts w:ascii="宋体" w:hAnsi="宋体" w:eastAsia="宋体"/>
          <w:color w:val="000000" w:themeColor="text1"/>
          <w:u w:val="single"/>
          <w14:textFill>
            <w14:solidFill>
              <w14:schemeClr w14:val="tx1"/>
            </w14:solidFill>
          </w14:textFill>
        </w:rPr>
        <w:sym w:font="Wingdings" w:char="00A8"/>
      </w:r>
      <w:r>
        <w:rPr>
          <w:rFonts w:ascii="宋体" w:hAnsi="宋体" w:eastAsia="宋体"/>
          <w:color w:val="000000" w:themeColor="text1"/>
          <w:u w:val="single"/>
          <w14:textFill>
            <w14:solidFill>
              <w14:schemeClr w14:val="tx1"/>
            </w14:solidFill>
          </w14:textFill>
        </w:rPr>
        <w:t>小型企业、</w:t>
      </w:r>
      <w:r>
        <w:rPr>
          <w:rFonts w:ascii="宋体" w:hAnsi="宋体" w:eastAsia="宋体"/>
          <w:color w:val="000000" w:themeColor="text1"/>
          <w:u w:val="single"/>
          <w14:textFill>
            <w14:solidFill>
              <w14:schemeClr w14:val="tx1"/>
            </w14:solidFill>
          </w14:textFill>
        </w:rPr>
        <w:sym w:font="Wingdings" w:char="00A8"/>
      </w:r>
      <w:r>
        <w:rPr>
          <w:rFonts w:ascii="宋体" w:hAnsi="宋体" w:eastAsia="宋体"/>
          <w:color w:val="000000" w:themeColor="text1"/>
          <w:u w:val="single"/>
          <w14:textFill>
            <w14:solidFill>
              <w14:schemeClr w14:val="tx1"/>
            </w14:solidFill>
          </w14:textFill>
        </w:rPr>
        <w:t>微型企业）</w:t>
      </w:r>
      <w:r>
        <w:rPr>
          <w:rFonts w:ascii="宋体" w:hAnsi="宋体" w:eastAsia="宋体"/>
          <w:color w:val="000000" w:themeColor="text1"/>
          <w14:textFill>
            <w14:solidFill>
              <w14:schemeClr w14:val="tx1"/>
            </w14:solidFill>
          </w14:textFill>
        </w:rPr>
        <w:t>；</w:t>
      </w:r>
    </w:p>
    <w:p>
      <w:pPr>
        <w:pStyle w:val="112"/>
        <w:spacing w:line="360" w:lineRule="auto"/>
        <w:ind w:right="157" w:firstLine="642"/>
        <w:rPr>
          <w:rFonts w:hint="default" w:ascii="宋体" w:hAnsi="宋体" w:eastAsia="宋体"/>
          <w:b/>
          <w:bCs/>
          <w:color w:val="000000" w:themeColor="text1"/>
          <w14:textFill>
            <w14:solidFill>
              <w14:schemeClr w14:val="tx1"/>
            </w14:solidFill>
          </w14:textFill>
        </w:rPr>
      </w:pPr>
      <w:r>
        <w:rPr>
          <w:rFonts w:ascii="宋体" w:hAnsi="宋体" w:eastAsia="宋体"/>
          <w:b/>
          <w:bCs/>
          <w:color w:val="000000" w:themeColor="text1"/>
          <w14:textFill>
            <w14:solidFill>
              <w14:schemeClr w14:val="tx1"/>
            </w14:solidFill>
          </w14:textFill>
        </w:rPr>
        <w:t>……（按采购清单逐一填写）</w:t>
      </w:r>
    </w:p>
    <w:p>
      <w:pPr>
        <w:pStyle w:val="122"/>
        <w:spacing w:line="360" w:lineRule="auto"/>
        <w:ind w:firstLine="480" w:firstLineChars="200"/>
        <w:rPr>
          <w:rFonts w:hint="default"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122"/>
        <w:spacing w:line="360" w:lineRule="auto"/>
        <w:ind w:firstLine="480" w:firstLineChars="200"/>
        <w:rPr>
          <w:rFonts w:hint="default"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本企业对上述声明内容的真实性负责。如有虚假，将依法承担相应责任。</w:t>
      </w:r>
    </w:p>
    <w:p>
      <w:pPr>
        <w:pStyle w:val="112"/>
        <w:spacing w:line="360" w:lineRule="auto"/>
        <w:ind w:right="157" w:firstLine="642"/>
        <w:rPr>
          <w:rFonts w:hint="default" w:ascii="宋体" w:hAnsi="宋体" w:eastAsia="宋体"/>
          <w:color w:val="000000" w:themeColor="text1"/>
          <w14:textFill>
            <w14:solidFill>
              <w14:schemeClr w14:val="tx1"/>
            </w14:solidFill>
          </w14:textFill>
        </w:rPr>
      </w:pPr>
    </w:p>
    <w:p>
      <w:pPr>
        <w:pStyle w:val="51"/>
        <w:rPr>
          <w:color w:val="000000" w:themeColor="text1"/>
          <w14:textFill>
            <w14:solidFill>
              <w14:schemeClr w14:val="tx1"/>
            </w14:solidFill>
          </w14:textFill>
        </w:rPr>
      </w:pPr>
    </w:p>
    <w:p>
      <w:pPr>
        <w:autoSpaceDE w:val="0"/>
        <w:autoSpaceDN w:val="0"/>
        <w:adjustRightInd w:val="0"/>
        <w:spacing w:line="360" w:lineRule="auto"/>
        <w:ind w:left="3200" w:firstLine="720"/>
        <w:jc w:val="left"/>
        <w:rPr>
          <w:rFonts w:hint="default"/>
          <w:color w:val="000000" w:themeColor="text1"/>
          <w:kern w:val="0"/>
          <w:sz w:val="24"/>
          <w14:textFill>
            <w14:solidFill>
              <w14:schemeClr w14:val="tx1"/>
            </w14:solidFill>
          </w14:textFill>
        </w:rPr>
      </w:pPr>
    </w:p>
    <w:p>
      <w:pPr>
        <w:autoSpaceDE w:val="0"/>
        <w:autoSpaceDN w:val="0"/>
        <w:adjustRightInd w:val="0"/>
        <w:spacing w:line="360" w:lineRule="auto"/>
        <w:ind w:left="3200" w:firstLine="720"/>
        <w:jc w:val="left"/>
        <w:rPr>
          <w:rFonts w:hint="default"/>
          <w:color w:val="000000" w:themeColor="text1"/>
          <w:kern w:val="0"/>
          <w:sz w:val="24"/>
          <w14:textFill>
            <w14:solidFill>
              <w14:schemeClr w14:val="tx1"/>
            </w14:solidFill>
          </w14:textFill>
        </w:rPr>
      </w:pPr>
    </w:p>
    <w:p>
      <w:pPr>
        <w:autoSpaceDE w:val="0"/>
        <w:autoSpaceDN w:val="0"/>
        <w:adjustRightInd w:val="0"/>
        <w:spacing w:line="360" w:lineRule="auto"/>
        <w:ind w:left="3200" w:firstLine="720"/>
        <w:jc w:val="left"/>
        <w:rPr>
          <w:rFonts w:hint="default"/>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供应商（</w:t>
      </w:r>
      <w:r>
        <w:rPr>
          <w:color w:val="000000" w:themeColor="text1"/>
          <w:kern w:val="0"/>
          <w:sz w:val="24"/>
          <w:lang w:val="zh-CN"/>
          <w14:textFill>
            <w14:solidFill>
              <w14:schemeClr w14:val="tx1"/>
            </w14:solidFill>
          </w14:textFill>
        </w:rPr>
        <w:t>电子签名/公章</w:t>
      </w:r>
      <w:r>
        <w:rPr>
          <w:color w:val="000000" w:themeColor="text1"/>
          <w:kern w:val="0"/>
          <w:sz w:val="24"/>
          <w14:textFill>
            <w14:solidFill>
              <w14:schemeClr w14:val="tx1"/>
            </w14:solidFill>
          </w14:textFill>
        </w:rPr>
        <w:t>）：</w:t>
      </w:r>
    </w:p>
    <w:p>
      <w:pPr>
        <w:autoSpaceDE w:val="0"/>
        <w:autoSpaceDN w:val="0"/>
        <w:adjustRightInd w:val="0"/>
        <w:spacing w:line="360" w:lineRule="auto"/>
        <w:ind w:left="3200" w:firstLine="720"/>
        <w:jc w:val="left"/>
        <w:rPr>
          <w:rFonts w:hint="default"/>
          <w:b/>
          <w:color w:val="000000" w:themeColor="text1"/>
          <w:sz w:val="24"/>
          <w14:textFill>
            <w14:solidFill>
              <w14:schemeClr w14:val="tx1"/>
            </w14:solidFill>
          </w14:textFill>
        </w:rPr>
      </w:pPr>
      <w:r>
        <w:rPr>
          <w:rFonts w:hint="default"/>
          <w:color w:val="000000" w:themeColor="text1"/>
          <w:kern w:val="0"/>
          <w:sz w:val="24"/>
          <w14:textFill>
            <w14:solidFill>
              <w14:schemeClr w14:val="tx1"/>
            </w14:solidFill>
          </w14:textFill>
        </w:rPr>
        <w:t>日期：</w:t>
      </w:r>
    </w:p>
    <w:p>
      <w:pPr>
        <w:widowControl/>
        <w:snapToGrid w:val="0"/>
        <w:spacing w:line="360" w:lineRule="auto"/>
        <w:ind w:firstLine="480" w:firstLineChars="200"/>
        <w:jc w:val="center"/>
        <w:rPr>
          <w:rFonts w:hint="default"/>
          <w:color w:val="000000" w:themeColor="text1"/>
          <w:kern w:val="0"/>
          <w:sz w:val="24"/>
          <w14:textFill>
            <w14:solidFill>
              <w14:schemeClr w14:val="tx1"/>
            </w14:solidFill>
          </w14:textFill>
        </w:rPr>
      </w:pPr>
    </w:p>
    <w:p>
      <w:pPr>
        <w:spacing w:line="360" w:lineRule="auto"/>
        <w:ind w:firstLine="482" w:firstLineChars="200"/>
        <w:rPr>
          <w:rFonts w:hint="default"/>
          <w:b/>
          <w:color w:val="000000" w:themeColor="text1"/>
          <w:sz w:val="24"/>
          <w:szCs w:val="24"/>
          <w14:textFill>
            <w14:solidFill>
              <w14:schemeClr w14:val="tx1"/>
            </w14:solidFill>
          </w14:textFill>
        </w:rPr>
      </w:pPr>
    </w:p>
    <w:p>
      <w:pPr>
        <w:widowControl/>
        <w:snapToGrid w:val="0"/>
        <w:spacing w:line="360" w:lineRule="auto"/>
        <w:jc w:val="left"/>
        <w:rPr>
          <w:rFonts w:hint="default"/>
          <w:b/>
          <w:color w:val="000000" w:themeColor="text1"/>
          <w:sz w:val="24"/>
          <w:szCs w:val="24"/>
          <w14:textFill>
            <w14:solidFill>
              <w14:schemeClr w14:val="tx1"/>
            </w14:solidFill>
          </w14:textFill>
        </w:rPr>
        <w:sectPr>
          <w:pgSz w:w="11906" w:h="16838"/>
          <w:pgMar w:top="1134" w:right="1247" w:bottom="1247" w:left="1304" w:header="794" w:footer="794" w:gutter="0"/>
          <w:cols w:space="720" w:num="1"/>
          <w:docGrid w:linePitch="312" w:charSpace="0"/>
        </w:sectPr>
      </w:pPr>
      <w:r>
        <w:rPr>
          <w:rFonts w:ascii="宋体" w:hAnsi="宋体" w:cs="宋体"/>
          <w:color w:val="000000" w:themeColor="text1"/>
          <w:sz w:val="24"/>
          <w14:textFill>
            <w14:solidFill>
              <w14:schemeClr w14:val="tx1"/>
            </w14:solidFill>
          </w14:textFill>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snapToGrid w:val="0"/>
        <w:spacing w:line="360" w:lineRule="auto"/>
        <w:ind w:firstLine="602" w:firstLineChars="200"/>
        <w:jc w:val="center"/>
        <w:rPr>
          <w:rFonts w:hint="default" w:ascii="宋体" w:hAnsi="宋体" w:cs="宋体"/>
          <w:b/>
          <w:color w:val="000000" w:themeColor="text1"/>
          <w:kern w:val="0"/>
          <w:sz w:val="30"/>
          <w:szCs w:val="30"/>
          <w14:textFill>
            <w14:solidFill>
              <w14:schemeClr w14:val="tx1"/>
            </w14:solidFill>
          </w14:textFill>
        </w:rPr>
      </w:pPr>
      <w:r>
        <w:rPr>
          <w:rFonts w:ascii="宋体" w:hAnsi="宋体" w:cs="宋体"/>
          <w:b/>
          <w:color w:val="000000" w:themeColor="text1"/>
          <w:kern w:val="0"/>
          <w:sz w:val="30"/>
          <w:szCs w:val="30"/>
          <w14:textFill>
            <w14:solidFill>
              <w14:schemeClr w14:val="tx1"/>
            </w14:solidFill>
          </w14:textFill>
        </w:rPr>
        <w:t>2.残疾人福利性单位声明函及其相关的充分的证明材料</w:t>
      </w:r>
    </w:p>
    <w:p>
      <w:pPr>
        <w:spacing w:line="360" w:lineRule="auto"/>
        <w:jc w:val="center"/>
        <w:rPr>
          <w:rFonts w:hint="default"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kern w:val="0"/>
          <w:sz w:val="30"/>
          <w:szCs w:val="30"/>
          <w14:textFill>
            <w14:solidFill>
              <w14:schemeClr w14:val="tx1"/>
            </w14:solidFill>
          </w14:textFill>
        </w:rPr>
        <w:t>残疾人福利性单位声明函</w:t>
      </w:r>
    </w:p>
    <w:p>
      <w:pPr>
        <w:spacing w:line="360" w:lineRule="auto"/>
        <w:rPr>
          <w:rFonts w:hint="default"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本单位郑重声明，根据《财政部 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60" w:lineRule="auto"/>
        <w:ind w:firstLine="480" w:firstLineChars="200"/>
        <w:rPr>
          <w:rFonts w:hint="default"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本单位对上述声明的真实性负责。如有虚假，将依法承担相应责任。</w:t>
      </w:r>
    </w:p>
    <w:p>
      <w:pPr>
        <w:widowControl/>
        <w:snapToGrid w:val="0"/>
        <w:spacing w:line="360" w:lineRule="auto"/>
        <w:ind w:firstLine="480" w:firstLineChars="200"/>
        <w:jc w:val="left"/>
        <w:rPr>
          <w:rFonts w:hint="default"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ind w:left="3200" w:firstLine="720"/>
        <w:jc w:val="left"/>
        <w:rPr>
          <w:rFonts w:hint="default"/>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供应商（</w:t>
      </w:r>
      <w:r>
        <w:rPr>
          <w:color w:val="000000" w:themeColor="text1"/>
          <w:kern w:val="0"/>
          <w:sz w:val="24"/>
          <w:lang w:val="zh-CN"/>
          <w14:textFill>
            <w14:solidFill>
              <w14:schemeClr w14:val="tx1"/>
            </w14:solidFill>
          </w14:textFill>
        </w:rPr>
        <w:t>电子签名/公章</w:t>
      </w:r>
      <w:r>
        <w:rPr>
          <w:color w:val="000000" w:themeColor="text1"/>
          <w:kern w:val="0"/>
          <w:sz w:val="24"/>
          <w14:textFill>
            <w14:solidFill>
              <w14:schemeClr w14:val="tx1"/>
            </w14:solidFill>
          </w14:textFill>
        </w:rPr>
        <w:t>）：</w:t>
      </w:r>
    </w:p>
    <w:p>
      <w:pPr>
        <w:autoSpaceDE w:val="0"/>
        <w:autoSpaceDN w:val="0"/>
        <w:adjustRightInd w:val="0"/>
        <w:spacing w:line="360" w:lineRule="auto"/>
        <w:ind w:left="3200" w:firstLine="720"/>
        <w:jc w:val="left"/>
        <w:rPr>
          <w:rFonts w:hint="default"/>
          <w:b/>
          <w:color w:val="000000" w:themeColor="text1"/>
          <w:sz w:val="24"/>
          <w14:textFill>
            <w14:solidFill>
              <w14:schemeClr w14:val="tx1"/>
            </w14:solidFill>
          </w14:textFill>
        </w:rPr>
      </w:pPr>
      <w:r>
        <w:rPr>
          <w:rFonts w:hint="default"/>
          <w:color w:val="000000" w:themeColor="text1"/>
          <w:kern w:val="0"/>
          <w:sz w:val="24"/>
          <w14:textFill>
            <w14:solidFill>
              <w14:schemeClr w14:val="tx1"/>
            </w14:solidFill>
          </w14:textFill>
        </w:rPr>
        <w:t>日期：</w:t>
      </w:r>
    </w:p>
    <w:p>
      <w:pPr>
        <w:widowControl/>
        <w:snapToGrid w:val="0"/>
        <w:spacing w:line="360" w:lineRule="auto"/>
        <w:ind w:firstLine="480" w:firstLineChars="200"/>
        <w:jc w:val="left"/>
        <w:rPr>
          <w:rFonts w:hint="default" w:ascii="宋体" w:hAnsi="宋体" w:cs="宋体"/>
          <w:color w:val="000000" w:themeColor="text1"/>
          <w:kern w:val="0"/>
          <w:sz w:val="24"/>
          <w14:textFill>
            <w14:solidFill>
              <w14:schemeClr w14:val="tx1"/>
            </w14:solidFill>
          </w14:textFill>
        </w:rPr>
      </w:pPr>
    </w:p>
    <w:p>
      <w:pPr>
        <w:widowControl/>
        <w:snapToGrid w:val="0"/>
        <w:spacing w:line="360" w:lineRule="auto"/>
        <w:ind w:firstLine="480" w:firstLineChars="200"/>
        <w:jc w:val="left"/>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4"/>
        <w:snapToGrid w:val="0"/>
        <w:spacing w:line="360" w:lineRule="auto"/>
        <w:ind w:firstLine="321" w:firstLineChars="100"/>
        <w:jc w:val="center"/>
        <w:rPr>
          <w:rFonts w:hint="default"/>
          <w:b/>
          <w:bCs/>
          <w:color w:val="000000" w:themeColor="text1"/>
          <w:kern w:val="0"/>
          <w:sz w:val="32"/>
          <w:szCs w:val="32"/>
          <w14:textFill>
            <w14:solidFill>
              <w14:schemeClr w14:val="tx1"/>
            </w14:solidFill>
          </w14:textFill>
        </w:rPr>
        <w:sectPr>
          <w:pgSz w:w="11906" w:h="16838"/>
          <w:pgMar w:top="1134" w:right="1247" w:bottom="1247" w:left="1304" w:header="794" w:footer="794" w:gutter="0"/>
          <w:cols w:space="720" w:num="1"/>
          <w:docGrid w:type="lines" w:linePitch="312" w:charSpace="0"/>
        </w:sectPr>
      </w:pPr>
    </w:p>
    <w:p>
      <w:pPr>
        <w:pStyle w:val="74"/>
        <w:snapToGrid w:val="0"/>
        <w:spacing w:line="360" w:lineRule="auto"/>
        <w:ind w:firstLine="361" w:firstLineChars="100"/>
        <w:jc w:val="center"/>
        <w:rPr>
          <w:rFonts w:hint="default"/>
          <w:b/>
          <w:bCs/>
          <w:color w:val="000000" w:themeColor="text1"/>
          <w:kern w:val="0"/>
          <w:sz w:val="36"/>
          <w:szCs w:val="36"/>
          <w14:textFill>
            <w14:solidFill>
              <w14:schemeClr w14:val="tx1"/>
            </w14:solidFill>
          </w14:textFill>
        </w:rPr>
      </w:pPr>
      <w:r>
        <w:rPr>
          <w:rFonts w:hint="default"/>
          <w:b/>
          <w:bCs/>
          <w:color w:val="000000" w:themeColor="text1"/>
          <w:kern w:val="0"/>
          <w:sz w:val="36"/>
          <w:szCs w:val="36"/>
          <w14:textFill>
            <w14:solidFill>
              <w14:schemeClr w14:val="tx1"/>
            </w14:solidFill>
          </w14:textFill>
        </w:rPr>
        <w:t>报价文件</w:t>
      </w:r>
      <w:bookmarkEnd w:id="138"/>
      <w:bookmarkEnd w:id="139"/>
    </w:p>
    <w:p>
      <w:pPr>
        <w:pStyle w:val="18"/>
        <w:rPr>
          <w:rFonts w:hint="default" w:ascii="Times New Roman" w:hAnsi="Times New Roman"/>
          <w:color w:val="000000" w:themeColor="text1"/>
          <w14:textFill>
            <w14:solidFill>
              <w14:schemeClr w14:val="tx1"/>
            </w14:solidFill>
          </w14:textFill>
        </w:rPr>
      </w:pPr>
    </w:p>
    <w:p>
      <w:pPr>
        <w:snapToGrid w:val="0"/>
        <w:spacing w:line="360" w:lineRule="auto"/>
        <w:ind w:left="570"/>
        <w:jc w:val="center"/>
        <w:outlineLvl w:val="0"/>
        <w:rPr>
          <w:rFonts w:hint="default" w:ascii="宋体" w:hAnsi="宋体" w:cs="宋体"/>
          <w:b/>
          <w:color w:val="000000" w:themeColor="text1"/>
          <w:sz w:val="30"/>
          <w:szCs w:val="30"/>
          <w14:textFill>
            <w14:solidFill>
              <w14:schemeClr w14:val="tx1"/>
            </w14:solidFill>
          </w14:textFill>
        </w:rPr>
      </w:pPr>
      <w:bookmarkStart w:id="145" w:name="_Toc11307"/>
      <w:bookmarkStart w:id="146" w:name="_Toc233618990"/>
      <w:bookmarkStart w:id="147" w:name="_Toc5518"/>
      <w:bookmarkStart w:id="148" w:name="_Toc13129"/>
      <w:bookmarkStart w:id="149" w:name="_Toc29285"/>
      <w:bookmarkStart w:id="150" w:name="_Toc21925"/>
      <w:bookmarkStart w:id="151" w:name="_Toc31139"/>
      <w:r>
        <w:rPr>
          <w:rFonts w:hint="default" w:ascii="宋体" w:hAnsi="宋体" w:cs="宋体"/>
          <w:b/>
          <w:color w:val="000000" w:themeColor="text1"/>
          <w:sz w:val="30"/>
          <w:szCs w:val="30"/>
          <w14:textFill>
            <w14:solidFill>
              <w14:schemeClr w14:val="tx1"/>
            </w14:solidFill>
          </w14:textFill>
        </w:rPr>
        <w:t>一、投标响应函</w:t>
      </w:r>
      <w:bookmarkEnd w:id="145"/>
      <w:bookmarkEnd w:id="146"/>
      <w:bookmarkEnd w:id="147"/>
      <w:bookmarkEnd w:id="148"/>
      <w:bookmarkEnd w:id="149"/>
      <w:bookmarkEnd w:id="150"/>
      <w:bookmarkEnd w:id="151"/>
    </w:p>
    <w:p>
      <w:pPr>
        <w:snapToGrid w:val="0"/>
        <w:spacing w:line="360" w:lineRule="auto"/>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龙游县横山镇人民政府</w:t>
      </w:r>
    </w:p>
    <w:p>
      <w:pPr>
        <w:snapToGrid w:val="0"/>
        <w:spacing w:line="360" w:lineRule="auto"/>
        <w:rPr>
          <w:rFonts w:hint="default"/>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泰宇建筑工程技术咨询有限公司</w:t>
      </w:r>
      <w:r>
        <w:rPr>
          <w:rFonts w:hint="default"/>
          <w:color w:val="000000" w:themeColor="text1"/>
          <w:sz w:val="24"/>
          <w14:textFill>
            <w14:solidFill>
              <w14:schemeClr w14:val="tx1"/>
            </w14:solidFill>
          </w14:textFill>
        </w:rPr>
        <w:t>：</w:t>
      </w:r>
    </w:p>
    <w:p>
      <w:pPr>
        <w:snapToGrid w:val="0"/>
        <w:spacing w:line="360" w:lineRule="auto"/>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(投标人全称)授权(全权代表姓名)(职务、职称)为全权代表，参加贵方组织的</w:t>
      </w:r>
      <w:r>
        <w:rPr>
          <w:rFonts w:hint="eastAsia"/>
          <w:color w:val="000000" w:themeColor="text1"/>
          <w:sz w:val="24"/>
          <w:u w:val="single"/>
          <w:lang w:eastAsia="zh-CN"/>
          <w14:textFill>
            <w14:solidFill>
              <w14:schemeClr w14:val="tx1"/>
            </w14:solidFill>
          </w14:textFill>
        </w:rPr>
        <w:t>龙游县横山镇数字赋能农村生活垃圾分类设备采购项目</w:t>
      </w:r>
      <w:r>
        <w:rPr>
          <w:rFonts w:hint="default"/>
          <w:color w:val="000000" w:themeColor="text1"/>
          <w:sz w:val="24"/>
          <w14:textFill>
            <w14:solidFill>
              <w14:schemeClr w14:val="tx1"/>
            </w14:solidFill>
          </w14:textFill>
        </w:rPr>
        <w:t>(</w:t>
      </w:r>
      <w:r>
        <w:rPr>
          <w:color w:val="000000" w:themeColor="text1"/>
          <w:sz w:val="24"/>
          <w14:textFill>
            <w14:solidFill>
              <w14:schemeClr w14:val="tx1"/>
            </w14:solidFill>
          </w14:textFill>
        </w:rPr>
        <w:t>项目编号</w:t>
      </w:r>
      <w:r>
        <w:rPr>
          <w:rFonts w:hint="default"/>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LYCG2024TY-044</w:t>
      </w:r>
      <w:r>
        <w:rPr>
          <w:rFonts w:hint="default"/>
          <w:color w:val="000000" w:themeColor="text1"/>
          <w:kern w:val="0"/>
          <w:sz w:val="24"/>
          <w:lang w:val="zh-CN"/>
          <w14:textFill>
            <w14:solidFill>
              <w14:schemeClr w14:val="tx1"/>
            </w14:solidFill>
          </w14:textFill>
        </w:rPr>
        <w:t>)</w:t>
      </w:r>
      <w:r>
        <w:rPr>
          <w:rFonts w:hint="default"/>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1、我方同意在投标人</w:t>
      </w:r>
      <w:r>
        <w:rPr>
          <w:rFonts w:hint="default"/>
          <w:color w:val="000000" w:themeColor="text1"/>
          <w:kern w:val="44"/>
          <w:sz w:val="24"/>
          <w14:textFill>
            <w14:solidFill>
              <w14:schemeClr w14:val="tx1"/>
            </w14:solidFill>
          </w14:textFill>
        </w:rPr>
        <w:t>编制和提交投标文件须知</w:t>
      </w:r>
      <w:r>
        <w:rPr>
          <w:rFonts w:hint="default"/>
          <w:color w:val="000000" w:themeColor="text1"/>
          <w:sz w:val="24"/>
          <w14:textFill>
            <w14:solidFill>
              <w14:schemeClr w14:val="tx1"/>
            </w14:solidFill>
          </w14:textFill>
        </w:rPr>
        <w:t>规定的开标日期起遵守本投标书中的承诺且在投标有效期满之前均具有约束力。</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2、我方承诺已经具备《中华人民共和国政府采购法》中规定的参加政府采购活动的供应商应当具备的条件：</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(2)遵守国家法律、行政法规，具有良好的信誉和商业道德；</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(3)具有履行合同的能力和良好的履行合同记录；</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(4)良好的资金、财务状况；</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(5)提供的产品和服务符合中国政府规定的相应标准和环保标准；</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(6)没有违反政府采购法规、政策的记录；</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(7)没有发生重大经济纠纷和走私犯罪记录。</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3、提供</w:t>
      </w:r>
      <w:r>
        <w:rPr>
          <w:rFonts w:hint="default"/>
          <w:color w:val="000000" w:themeColor="text1"/>
          <w:kern w:val="44"/>
          <w:sz w:val="24"/>
          <w14:textFill>
            <w14:solidFill>
              <w14:schemeClr w14:val="tx1"/>
            </w14:solidFill>
          </w14:textFill>
        </w:rPr>
        <w:t>编制和提交投标文件须知</w:t>
      </w:r>
      <w:r>
        <w:rPr>
          <w:rFonts w:hint="default"/>
          <w:color w:val="000000" w:themeColor="text1"/>
          <w:sz w:val="24"/>
          <w14:textFill>
            <w14:solidFill>
              <w14:schemeClr w14:val="tx1"/>
            </w14:solidFill>
          </w14:textFill>
        </w:rPr>
        <w:t>规定的全部投标文件，包括资格文件、报价文件、商务技术文件。具体内容为：</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(1)资格文件</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(2)报价文件；</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w:t>
      </w:r>
      <w:r>
        <w:rPr>
          <w:rFonts w:hint="default"/>
          <w:color w:val="000000" w:themeColor="text1"/>
          <w:sz w:val="24"/>
          <w:lang w:val="zh-CN"/>
          <w14:textFill>
            <w14:solidFill>
              <w14:schemeClr w14:val="tx1"/>
            </w14:solidFill>
          </w14:textFill>
        </w:rPr>
        <w:t>商务</w:t>
      </w:r>
      <w:r>
        <w:rPr>
          <w:rFonts w:hint="default"/>
          <w:color w:val="000000" w:themeColor="text1"/>
          <w:kern w:val="0"/>
          <w:sz w:val="24"/>
          <w:lang w:val="zh-CN"/>
          <w14:textFill>
            <w14:solidFill>
              <w14:schemeClr w14:val="tx1"/>
            </w14:solidFill>
          </w14:textFill>
        </w:rPr>
        <w:t>技术文件</w:t>
      </w:r>
      <w:r>
        <w:rPr>
          <w:rFonts w:hint="default"/>
          <w:color w:val="000000" w:themeColor="text1"/>
          <w:sz w:val="24"/>
          <w14:textFill>
            <w14:solidFill>
              <w14:schemeClr w14:val="tx1"/>
            </w14:solidFill>
          </w14:textFill>
        </w:rPr>
        <w:t>；</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w:t>
      </w:r>
      <w:r>
        <w:rPr>
          <w:rFonts w:hint="default"/>
          <w:color w:val="000000" w:themeColor="text1"/>
          <w:kern w:val="44"/>
          <w:sz w:val="24"/>
          <w14:textFill>
            <w14:solidFill>
              <w14:schemeClr w14:val="tx1"/>
            </w14:solidFill>
          </w14:textFill>
        </w:rPr>
        <w:t>编制和提交投标文件须知</w:t>
      </w:r>
      <w:r>
        <w:rPr>
          <w:rFonts w:hint="default"/>
          <w:color w:val="000000" w:themeColor="text1"/>
          <w:sz w:val="24"/>
          <w14:textFill>
            <w14:solidFill>
              <w14:schemeClr w14:val="tx1"/>
            </w14:solidFill>
          </w14:textFill>
        </w:rPr>
        <w:t>要求投标人提交的全部文件；</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(5)按采购文件</w:t>
      </w:r>
      <w:r>
        <w:rPr>
          <w:rFonts w:hint="default"/>
          <w:color w:val="000000" w:themeColor="text1"/>
          <w:sz w:val="24"/>
          <w14:textFill>
            <w14:solidFill>
              <w14:schemeClr w14:val="tx1"/>
            </w14:solidFill>
          </w14:textFill>
        </w:rPr>
        <w:tab/>
      </w:r>
      <w:r>
        <w:rPr>
          <w:rFonts w:hint="default"/>
          <w:color w:val="000000" w:themeColor="text1"/>
          <w:sz w:val="24"/>
          <w14:textFill>
            <w14:solidFill>
              <w14:schemeClr w14:val="tx1"/>
            </w14:solidFill>
          </w14:textFill>
        </w:rPr>
        <w:t>要求提供和交付的货物和服务的投标报价详见开标一览表；</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(6)保证忠实地执行双方所签订的合同，并承担合同规定的责任和义务；</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(7)保证遵守采购文件中的其他有关规定。</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4、投标有效期内不撤销投标文件；强行撤销的，承诺按本项目预算金额的2%赔偿对采购代理机构造成的损失。</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5、我方完全理解贵方不一定要接受最低价的投标。</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6、如中标，按采购文件规定与采购人签订合同。如拒绝签订合同，承诺按本项目预算金额的2%对采购人进行赔偿；赔偿金额不足以弥补采购人损失的，承诺继续承担超过部分的损失。</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7、如中标，按采购文件规定的招标代理服务费标准，承诺在签订合同前向采购代理机构支付招标代理服务费。</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8、我方愿意向贵方提供任何与该项投标有关的数据、情况和服务资料。若贵方需要，我方愿意提供我方作出的一切承诺的证明材料。</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9、我方已详细审核全部采购文件，包括采购文件修改书（如有的话）、参考资料及有关附件，确认无误。我方完全理解并接受采购文件的各项规定和要求，对采购文件</w:t>
      </w:r>
      <w:r>
        <w:rPr>
          <w:rFonts w:hint="default"/>
          <w:color w:val="000000" w:themeColor="text1"/>
          <w:sz w:val="24"/>
          <w14:textFill>
            <w14:solidFill>
              <w14:schemeClr w14:val="tx1"/>
            </w14:solidFill>
          </w14:textFill>
        </w:rPr>
        <w:tab/>
      </w:r>
      <w:r>
        <w:rPr>
          <w:rFonts w:hint="default"/>
          <w:color w:val="000000" w:themeColor="text1"/>
          <w:sz w:val="24"/>
          <w14:textFill>
            <w14:solidFill>
              <w14:schemeClr w14:val="tx1"/>
            </w14:solidFill>
          </w14:textFill>
        </w:rPr>
        <w:t>的合理性、合法性不再有异议。</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(1)提供虚假材料谋取中标、成交的；</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(2)采取不正当手段诋毁、排挤其他供应商的；</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(3)与采购人、其它供应商或者采购代理机构恶意串通的；</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(4)向采购人、采购代理机构行贿或者提供其他不正当利益的；</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(5)在采购过程中与采购人进行协商谈判的；</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(6)拒绝有关部门监督检查或提供虚假情况的。</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供应商有前款第(1)至(5)项情形之一的，中标、成交无效。</w:t>
      </w:r>
    </w:p>
    <w:p>
      <w:pPr>
        <w:snapToGrid w:val="0"/>
        <w:spacing w:line="360" w:lineRule="auto"/>
        <w:ind w:firstLine="480" w:firstLineChars="200"/>
        <w:rPr>
          <w:rFonts w:hint="default"/>
          <w:color w:val="000000" w:themeColor="text1"/>
          <w:kern w:val="0"/>
          <w:sz w:val="24"/>
          <w14:textFill>
            <w14:solidFill>
              <w14:schemeClr w14:val="tx1"/>
            </w14:solidFill>
          </w14:textFill>
        </w:rPr>
      </w:pPr>
      <w:r>
        <w:rPr>
          <w:rFonts w:hint="default"/>
          <w:color w:val="000000" w:themeColor="text1"/>
          <w:kern w:val="0"/>
          <w:sz w:val="24"/>
          <w:lang w:val="zh-CN"/>
          <w14:textFill>
            <w14:solidFill>
              <w14:schemeClr w14:val="tx1"/>
            </w14:solidFill>
          </w14:textFill>
        </w:rPr>
        <w:t>法定（授权）代表人（签字</w:t>
      </w:r>
      <w:r>
        <w:rPr>
          <w:rFonts w:hint="default"/>
          <w:color w:val="000000" w:themeColor="text1"/>
          <w:kern w:val="0"/>
          <w:sz w:val="24"/>
          <w14:textFill>
            <w14:solidFill>
              <w14:schemeClr w14:val="tx1"/>
            </w14:solidFill>
          </w14:textFill>
        </w:rPr>
        <w:t>或盖章</w:t>
      </w:r>
      <w:r>
        <w:rPr>
          <w:rFonts w:hint="default"/>
          <w:color w:val="000000" w:themeColor="text1"/>
          <w:kern w:val="0"/>
          <w:sz w:val="24"/>
          <w:lang w:val="zh-CN"/>
          <w14:textFill>
            <w14:solidFill>
              <w14:schemeClr w14:val="tx1"/>
            </w14:solidFill>
          </w14:textFill>
        </w:rPr>
        <w:t>）：</w:t>
      </w:r>
      <w:r>
        <w:rPr>
          <w:rFonts w:hint="default"/>
          <w:color w:val="000000" w:themeColor="text1"/>
          <w:kern w:val="0"/>
          <w:sz w:val="24"/>
          <w14:textFill>
            <w14:solidFill>
              <w14:schemeClr w14:val="tx1"/>
            </w14:solidFill>
          </w14:textFill>
        </w:rPr>
        <w:tab/>
      </w:r>
    </w:p>
    <w:p>
      <w:pPr>
        <w:snapToGrid w:val="0"/>
        <w:spacing w:line="360" w:lineRule="auto"/>
        <w:ind w:firstLine="480" w:firstLineChars="200"/>
        <w:rPr>
          <w:rFonts w:hint="default"/>
          <w:color w:val="000000" w:themeColor="text1"/>
          <w:kern w:val="0"/>
          <w:sz w:val="24"/>
          <w:u w:val="single"/>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r>
        <w:rPr>
          <w:rFonts w:hint="default"/>
          <w:color w:val="000000" w:themeColor="text1"/>
          <w:kern w:val="0"/>
          <w:sz w:val="24"/>
          <w:lang w:val="zh-CN"/>
          <w14:textFill>
            <w14:solidFill>
              <w14:schemeClr w14:val="tx1"/>
            </w14:solidFill>
          </w14:textFill>
        </w:rPr>
        <w:t>：</w:t>
      </w:r>
    </w:p>
    <w:p>
      <w:pPr>
        <w:snapToGrid w:val="0"/>
        <w:spacing w:line="360" w:lineRule="auto"/>
        <w:ind w:firstLine="480" w:firstLineChars="200"/>
        <w:rPr>
          <w:rFonts w:hint="default"/>
          <w:color w:val="000000" w:themeColor="text1"/>
          <w:kern w:val="0"/>
          <w:sz w:val="24"/>
          <w14:textFill>
            <w14:solidFill>
              <w14:schemeClr w14:val="tx1"/>
            </w14:solidFill>
          </w14:textFill>
        </w:rPr>
      </w:pPr>
      <w:r>
        <w:rPr>
          <w:rFonts w:hint="default"/>
          <w:color w:val="000000" w:themeColor="text1"/>
          <w:kern w:val="0"/>
          <w:sz w:val="24"/>
          <w:lang w:val="zh-CN"/>
          <w14:textFill>
            <w14:solidFill>
              <w14:schemeClr w14:val="tx1"/>
            </w14:solidFill>
          </w14:textFill>
        </w:rPr>
        <w:t xml:space="preserve">联系电话： 传真：  电子邮件：  </w:t>
      </w:r>
    </w:p>
    <w:p>
      <w:pPr>
        <w:snapToGrid w:val="0"/>
        <w:spacing w:line="360" w:lineRule="auto"/>
        <w:ind w:firstLine="480" w:firstLineChars="200"/>
        <w:rPr>
          <w:rFonts w:hint="default"/>
          <w:color w:val="000000" w:themeColor="text1"/>
          <w:kern w:val="0"/>
          <w:sz w:val="24"/>
          <w14:textFill>
            <w14:solidFill>
              <w14:schemeClr w14:val="tx1"/>
            </w14:solidFill>
          </w14:textFill>
        </w:rPr>
      </w:pPr>
      <w:r>
        <w:rPr>
          <w:rFonts w:hint="default"/>
          <w:color w:val="000000" w:themeColor="text1"/>
          <w:kern w:val="0"/>
          <w:sz w:val="24"/>
          <w:lang w:val="zh-CN"/>
          <w14:textFill>
            <w14:solidFill>
              <w14:schemeClr w14:val="tx1"/>
            </w14:solidFill>
          </w14:textFill>
        </w:rPr>
        <w:t>联系地址：</w:t>
      </w:r>
      <w:r>
        <w:rPr>
          <w:rFonts w:hint="default"/>
          <w:color w:val="000000" w:themeColor="text1"/>
          <w:kern w:val="0"/>
          <w:sz w:val="24"/>
          <w14:textFill>
            <w14:solidFill>
              <w14:schemeClr w14:val="tx1"/>
            </w14:solidFill>
          </w14:textFill>
        </w:rPr>
        <w:tab/>
      </w:r>
    </w:p>
    <w:p>
      <w:pPr>
        <w:snapToGrid w:val="0"/>
        <w:spacing w:line="360" w:lineRule="auto"/>
        <w:ind w:firstLine="480" w:firstLineChars="200"/>
        <w:rPr>
          <w:rFonts w:hint="default"/>
          <w:color w:val="000000" w:themeColor="text1"/>
          <w:kern w:val="0"/>
          <w:sz w:val="24"/>
          <w14:textFill>
            <w14:solidFill>
              <w14:schemeClr w14:val="tx1"/>
            </w14:solidFill>
          </w14:textFill>
        </w:rPr>
      </w:pPr>
      <w:r>
        <w:rPr>
          <w:rFonts w:hint="default"/>
          <w:color w:val="000000" w:themeColor="text1"/>
          <w:kern w:val="0"/>
          <w:sz w:val="24"/>
          <w:lang w:val="zh-CN"/>
          <w14:textFill>
            <w14:solidFill>
              <w14:schemeClr w14:val="tx1"/>
            </w14:solidFill>
          </w14:textFill>
        </w:rPr>
        <w:t>邮政编码：传真号码：</w:t>
      </w:r>
    </w:p>
    <w:p>
      <w:pPr>
        <w:snapToGrid w:val="0"/>
        <w:spacing w:line="360" w:lineRule="auto"/>
        <w:ind w:firstLine="480" w:firstLineChars="200"/>
        <w:rPr>
          <w:rFonts w:hint="default"/>
          <w:color w:val="000000" w:themeColor="text1"/>
          <w:kern w:val="0"/>
          <w:sz w:val="24"/>
          <w:u w:val="single"/>
          <w14:textFill>
            <w14:solidFill>
              <w14:schemeClr w14:val="tx1"/>
            </w14:solidFill>
          </w14:textFill>
        </w:rPr>
      </w:pPr>
      <w:r>
        <w:rPr>
          <w:rFonts w:hint="default"/>
          <w:color w:val="000000" w:themeColor="text1"/>
          <w:kern w:val="0"/>
          <w:sz w:val="24"/>
          <w:lang w:val="zh-CN"/>
          <w14:textFill>
            <w14:solidFill>
              <w14:schemeClr w14:val="tx1"/>
            </w14:solidFill>
          </w14:textFill>
        </w:rPr>
        <w:t>日期</w:t>
      </w:r>
      <w:r>
        <w:rPr>
          <w:rFonts w:hint="default"/>
          <w:color w:val="000000" w:themeColor="text1"/>
          <w:kern w:val="0"/>
          <w:sz w:val="24"/>
          <w14:textFill>
            <w14:solidFill>
              <w14:schemeClr w14:val="tx1"/>
            </w14:solidFill>
          </w14:textFill>
        </w:rPr>
        <w:t xml:space="preserve">： </w:t>
      </w:r>
      <w:r>
        <w:rPr>
          <w:rFonts w:hint="default"/>
          <w:color w:val="000000" w:themeColor="text1"/>
          <w:kern w:val="0"/>
          <w:sz w:val="24"/>
          <w:lang w:val="zh-CN"/>
          <w14:textFill>
            <w14:solidFill>
              <w14:schemeClr w14:val="tx1"/>
            </w14:solidFill>
          </w14:textFill>
        </w:rPr>
        <w:t>年</w:t>
      </w:r>
      <w:r>
        <w:rPr>
          <w:rFonts w:hint="default"/>
          <w:color w:val="000000" w:themeColor="text1"/>
          <w:kern w:val="0"/>
          <w:sz w:val="24"/>
          <w:u w:val="single"/>
          <w14:textFill>
            <w14:solidFill>
              <w14:schemeClr w14:val="tx1"/>
            </w14:solidFill>
          </w14:textFill>
        </w:rPr>
        <w:tab/>
      </w:r>
      <w:r>
        <w:rPr>
          <w:rFonts w:hint="default"/>
          <w:color w:val="000000" w:themeColor="text1"/>
          <w:kern w:val="0"/>
          <w:sz w:val="24"/>
          <w:lang w:val="zh-CN"/>
          <w14:textFill>
            <w14:solidFill>
              <w14:schemeClr w14:val="tx1"/>
            </w14:solidFill>
          </w14:textFill>
        </w:rPr>
        <w:t>月日</w:t>
      </w:r>
    </w:p>
    <w:p>
      <w:pPr>
        <w:snapToGrid w:val="0"/>
        <w:spacing w:line="360" w:lineRule="auto"/>
        <w:rPr>
          <w:rFonts w:hint="default"/>
          <w:b/>
          <w:bCs/>
          <w:color w:val="000000" w:themeColor="text1"/>
          <w:kern w:val="0"/>
          <w:sz w:val="24"/>
          <w:lang w:val="zh-CN"/>
          <w14:textFill>
            <w14:solidFill>
              <w14:schemeClr w14:val="tx1"/>
            </w14:solidFill>
          </w14:textFill>
        </w:rPr>
      </w:pPr>
      <w:r>
        <w:rPr>
          <w:rFonts w:hint="default"/>
          <w:b/>
          <w:bCs/>
          <w:color w:val="000000" w:themeColor="text1"/>
          <w:kern w:val="0"/>
          <w:sz w:val="24"/>
          <w:lang w:val="zh-CN"/>
          <w14:textFill>
            <w14:solidFill>
              <w14:schemeClr w14:val="tx1"/>
            </w14:solidFill>
          </w14:textFill>
        </w:rPr>
        <w:t>注：未按照本投标响应函要求填报的将被视为非实质性响应，从而可能导致该投标文件被拒绝。</w:t>
      </w:r>
    </w:p>
    <w:p>
      <w:pPr>
        <w:pStyle w:val="16"/>
        <w:rPr>
          <w:rFonts w:hint="default"/>
          <w:color w:val="000000" w:themeColor="text1"/>
          <w:lang w:val="zh-CN"/>
          <w14:textFill>
            <w14:solidFill>
              <w14:schemeClr w14:val="tx1"/>
            </w14:solidFill>
          </w14:textFill>
        </w:rPr>
      </w:pPr>
    </w:p>
    <w:p>
      <w:pPr>
        <w:pStyle w:val="18"/>
        <w:rPr>
          <w:rFonts w:hint="default" w:ascii="Times New Roman" w:hAnsi="Times New Roman"/>
          <w:color w:val="000000" w:themeColor="text1"/>
          <w:lang w:val="zh-CN"/>
          <w14:textFill>
            <w14:solidFill>
              <w14:schemeClr w14:val="tx1"/>
            </w14:solidFill>
          </w14:textFill>
        </w:rPr>
      </w:pPr>
    </w:p>
    <w:p>
      <w:pPr>
        <w:snapToGrid w:val="0"/>
        <w:spacing w:line="360" w:lineRule="auto"/>
        <w:ind w:left="570"/>
        <w:jc w:val="center"/>
        <w:outlineLvl w:val="0"/>
        <w:rPr>
          <w:rFonts w:hint="default"/>
          <w:b/>
          <w:color w:val="000000" w:themeColor="text1"/>
          <w:sz w:val="32"/>
          <w:szCs w:val="32"/>
          <w14:textFill>
            <w14:solidFill>
              <w14:schemeClr w14:val="tx1"/>
            </w14:solidFill>
          </w14:textFill>
        </w:rPr>
      </w:pPr>
      <w:bookmarkStart w:id="152" w:name="_Toc25710"/>
      <w:bookmarkStart w:id="153" w:name="_Toc354859475"/>
      <w:bookmarkStart w:id="154" w:name="_Toc233618991"/>
      <w:bookmarkStart w:id="155" w:name="_Toc6431"/>
      <w:bookmarkStart w:id="156" w:name="_Toc6304"/>
      <w:bookmarkStart w:id="157" w:name="_Toc354859632"/>
      <w:bookmarkStart w:id="158" w:name="_Toc354859551"/>
      <w:bookmarkStart w:id="159" w:name="_Toc27051"/>
      <w:bookmarkStart w:id="160" w:name="_Toc11193"/>
      <w:bookmarkStart w:id="161" w:name="_Toc12092"/>
      <w:r>
        <w:rPr>
          <w:rFonts w:hint="default" w:ascii="宋体" w:hAnsi="宋体" w:cs="宋体"/>
          <w:b/>
          <w:color w:val="000000" w:themeColor="text1"/>
          <w:sz w:val="30"/>
          <w:szCs w:val="30"/>
          <w14:textFill>
            <w14:solidFill>
              <w14:schemeClr w14:val="tx1"/>
            </w14:solidFill>
          </w14:textFill>
        </w:rPr>
        <w:t>二、开标一览表</w:t>
      </w:r>
      <w:bookmarkEnd w:id="152"/>
      <w:bookmarkEnd w:id="153"/>
      <w:bookmarkEnd w:id="154"/>
      <w:bookmarkEnd w:id="155"/>
      <w:bookmarkEnd w:id="156"/>
      <w:bookmarkEnd w:id="157"/>
      <w:bookmarkEnd w:id="158"/>
      <w:bookmarkEnd w:id="159"/>
      <w:bookmarkEnd w:id="160"/>
      <w:bookmarkEnd w:id="161"/>
    </w:p>
    <w:p>
      <w:pPr>
        <w:snapToGrid w:val="0"/>
        <w:spacing w:line="360" w:lineRule="auto"/>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龙游县横山镇人民政府</w:t>
      </w:r>
    </w:p>
    <w:p>
      <w:pPr>
        <w:snapToGrid w:val="0"/>
        <w:spacing w:line="360" w:lineRule="auto"/>
        <w:rPr>
          <w:rFonts w:hint="default"/>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泰宇建筑工程技术咨询有限公司</w:t>
      </w:r>
      <w:r>
        <w:rPr>
          <w:rFonts w:hint="default"/>
          <w:color w:val="000000" w:themeColor="text1"/>
          <w:szCs w:val="21"/>
          <w14:textFill>
            <w14:solidFill>
              <w14:schemeClr w14:val="tx1"/>
            </w14:solidFill>
          </w14:textFill>
        </w:rPr>
        <w:t>：</w:t>
      </w:r>
    </w:p>
    <w:p>
      <w:pPr>
        <w:snapToGrid w:val="0"/>
        <w:spacing w:line="360" w:lineRule="auto"/>
        <w:ind w:firstLine="420" w:firstLineChars="200"/>
        <w:rPr>
          <w:rFonts w:hint="default"/>
          <w:color w:val="000000" w:themeColor="text1"/>
          <w:kern w:val="0"/>
          <w:szCs w:val="21"/>
          <w:lang w:val="zh-CN"/>
          <w14:textFill>
            <w14:solidFill>
              <w14:schemeClr w14:val="tx1"/>
            </w14:solidFill>
          </w14:textFill>
        </w:rPr>
      </w:pPr>
      <w:r>
        <w:rPr>
          <w:rFonts w:hint="default"/>
          <w:color w:val="000000" w:themeColor="text1"/>
          <w:kern w:val="0"/>
          <w:szCs w:val="21"/>
          <w:lang w:val="zh-CN"/>
          <w14:textFill>
            <w14:solidFill>
              <w14:schemeClr w14:val="tx1"/>
            </w14:solidFill>
          </w14:textFill>
        </w:rPr>
        <w:t>按你方采购文件要求，我们，本投标文件签字方，谨此向你方发出要约如下：如你方接受本投标文件，我方承诺按照如下开标一览表的价格完成项目编号为</w:t>
      </w:r>
      <w:r>
        <w:rPr>
          <w:rFonts w:hint="eastAsia"/>
          <w:color w:val="000000" w:themeColor="text1"/>
          <w:szCs w:val="21"/>
          <w:u w:val="single"/>
          <w:lang w:eastAsia="zh-CN"/>
          <w14:textFill>
            <w14:solidFill>
              <w14:schemeClr w14:val="tx1"/>
            </w14:solidFill>
          </w14:textFill>
        </w:rPr>
        <w:t>LYCG2024TY-044</w:t>
      </w:r>
      <w:r>
        <w:rPr>
          <w:rFonts w:hint="default"/>
          <w:color w:val="000000" w:themeColor="text1"/>
          <w:kern w:val="0"/>
          <w:szCs w:val="21"/>
          <w:lang w:val="zh-CN"/>
          <w14:textFill>
            <w14:solidFill>
              <w14:schemeClr w14:val="tx1"/>
            </w14:solidFill>
          </w14:textFill>
        </w:rPr>
        <w:t>的采购文件[项目名称：</w:t>
      </w:r>
      <w:r>
        <w:rPr>
          <w:rFonts w:hint="eastAsia"/>
          <w:color w:val="000000" w:themeColor="text1"/>
          <w:szCs w:val="21"/>
          <w:lang w:eastAsia="zh-CN"/>
          <w14:textFill>
            <w14:solidFill>
              <w14:schemeClr w14:val="tx1"/>
            </w14:solidFill>
          </w14:textFill>
        </w:rPr>
        <w:t>龙游县横山镇数字赋能农村生活垃圾分类设备采购项目</w:t>
      </w:r>
      <w:r>
        <w:rPr>
          <w:rFonts w:hint="default"/>
          <w:color w:val="000000" w:themeColor="text1"/>
          <w:kern w:val="0"/>
          <w:szCs w:val="21"/>
          <w:lang w:val="zh-CN"/>
          <w14:textFill>
            <w14:solidFill>
              <w14:schemeClr w14:val="tx1"/>
            </w14:solidFill>
          </w14:textFill>
        </w:rPr>
        <w:t>]的实施。</w:t>
      </w:r>
    </w:p>
    <w:p>
      <w:pPr>
        <w:autoSpaceDE w:val="0"/>
        <w:autoSpaceDN w:val="0"/>
        <w:adjustRightInd w:val="0"/>
        <w:spacing w:line="360" w:lineRule="auto"/>
        <w:jc w:val="center"/>
        <w:outlineLvl w:val="0"/>
        <w:rPr>
          <w:rFonts w:hint="default"/>
          <w:b/>
          <w:bCs/>
          <w:color w:val="000000" w:themeColor="text1"/>
          <w:kern w:val="0"/>
          <w:sz w:val="24"/>
          <w:lang w:val="zh-CN"/>
          <w14:textFill>
            <w14:solidFill>
              <w14:schemeClr w14:val="tx1"/>
            </w14:solidFill>
          </w14:textFill>
        </w:rPr>
      </w:pPr>
      <w:bookmarkStart w:id="162" w:name="_Toc14958"/>
      <w:bookmarkStart w:id="163" w:name="_Toc8437"/>
      <w:bookmarkStart w:id="164" w:name="_Toc4652"/>
      <w:bookmarkStart w:id="165" w:name="_Toc20543"/>
      <w:bookmarkStart w:id="166" w:name="_Toc18202"/>
      <w:bookmarkStart w:id="167" w:name="_Toc12944"/>
      <w:r>
        <w:rPr>
          <w:rFonts w:hint="default"/>
          <w:b/>
          <w:bCs/>
          <w:color w:val="000000" w:themeColor="text1"/>
          <w:kern w:val="0"/>
          <w:sz w:val="24"/>
          <w:lang w:val="zh-CN"/>
          <w14:textFill>
            <w14:solidFill>
              <w14:schemeClr w14:val="tx1"/>
            </w14:solidFill>
          </w14:textFill>
        </w:rPr>
        <w:t>投标（开标）一览表（单位均为人民币元）</w:t>
      </w:r>
      <w:bookmarkEnd w:id="162"/>
      <w:bookmarkEnd w:id="163"/>
      <w:bookmarkEnd w:id="164"/>
      <w:bookmarkEnd w:id="165"/>
      <w:bookmarkEnd w:id="166"/>
      <w:bookmarkEnd w:id="167"/>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975"/>
        <w:gridCol w:w="1908"/>
        <w:gridCol w:w="208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77" w:type="dxa"/>
            <w:vAlign w:val="center"/>
          </w:tcPr>
          <w:p>
            <w:pPr>
              <w:spacing w:line="360" w:lineRule="auto"/>
              <w:jc w:val="center"/>
              <w:rPr>
                <w:rFonts w:hint="default"/>
                <w:b/>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序号</w:t>
            </w:r>
          </w:p>
        </w:tc>
        <w:tc>
          <w:tcPr>
            <w:tcW w:w="2975" w:type="dxa"/>
            <w:vAlign w:val="center"/>
          </w:tcPr>
          <w:p>
            <w:pPr>
              <w:spacing w:line="360" w:lineRule="auto"/>
              <w:jc w:val="center"/>
              <w:rPr>
                <w:rFonts w:hint="default"/>
                <w:b/>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项目名称</w:t>
            </w:r>
          </w:p>
        </w:tc>
        <w:tc>
          <w:tcPr>
            <w:tcW w:w="1908" w:type="dxa"/>
            <w:vAlign w:val="center"/>
          </w:tcPr>
          <w:p>
            <w:pPr>
              <w:spacing w:line="360" w:lineRule="auto"/>
              <w:jc w:val="center"/>
              <w:rPr>
                <w:rFonts w:hint="default"/>
                <w:b/>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投标报价（元）</w:t>
            </w:r>
          </w:p>
        </w:tc>
        <w:tc>
          <w:tcPr>
            <w:tcW w:w="2088" w:type="dxa"/>
            <w:vAlign w:val="center"/>
          </w:tcPr>
          <w:p>
            <w:pPr>
              <w:spacing w:line="360" w:lineRule="auto"/>
              <w:jc w:val="center"/>
              <w:rPr>
                <w:rFonts w:hint="eastAsia" w:eastAsia="宋体"/>
                <w:b/>
                <w:color w:val="000000" w:themeColor="text1"/>
                <w:sz w:val="24"/>
                <w:szCs w:val="24"/>
                <w:lang w:eastAsia="zh-CN"/>
                <w14:textFill>
                  <w14:solidFill>
                    <w14:schemeClr w14:val="tx1"/>
                  </w14:solidFill>
                </w14:textFill>
              </w:rPr>
            </w:pPr>
            <w:r>
              <w:rPr>
                <w:b/>
                <w:color w:val="000000" w:themeColor="text1"/>
                <w:sz w:val="24"/>
                <w:szCs w:val="24"/>
                <w14:textFill>
                  <w14:solidFill>
                    <w14:schemeClr w14:val="tx1"/>
                  </w14:solidFill>
                </w14:textFill>
              </w:rPr>
              <w:t>交货期</w:t>
            </w:r>
          </w:p>
        </w:tc>
        <w:tc>
          <w:tcPr>
            <w:tcW w:w="1164" w:type="dxa"/>
            <w:vAlign w:val="center"/>
          </w:tcPr>
          <w:p>
            <w:pPr>
              <w:spacing w:line="360" w:lineRule="auto"/>
              <w:jc w:val="center"/>
              <w:rPr>
                <w:rFonts w:hint="default"/>
                <w:b/>
                <w:color w:val="000000" w:themeColor="text1"/>
                <w:sz w:val="24"/>
                <w:szCs w:val="24"/>
                <w14:textFill>
                  <w14:solidFill>
                    <w14:schemeClr w14:val="tx1"/>
                  </w14:solidFill>
                </w14:textFill>
              </w:rPr>
            </w:pPr>
            <w:r>
              <w:rPr>
                <w:rFonts w:hint="default"/>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77" w:type="dxa"/>
            <w:vAlign w:val="center"/>
          </w:tcPr>
          <w:p>
            <w:pPr>
              <w:spacing w:line="360" w:lineRule="auto"/>
              <w:jc w:val="center"/>
              <w:rPr>
                <w:rFonts w:hint="default"/>
                <w:color w:val="000000" w:themeColor="text1"/>
                <w:kern w:val="0"/>
                <w:sz w:val="24"/>
                <w:szCs w:val="24"/>
                <w:lang w:val="zh-CN"/>
                <w14:textFill>
                  <w14:solidFill>
                    <w14:schemeClr w14:val="tx1"/>
                  </w14:solidFill>
                </w14:textFill>
              </w:rPr>
            </w:pPr>
            <w:r>
              <w:rPr>
                <w:rFonts w:hint="default"/>
                <w:color w:val="000000" w:themeColor="text1"/>
                <w:kern w:val="0"/>
                <w:sz w:val="24"/>
                <w:szCs w:val="24"/>
                <w:lang w:val="zh-CN"/>
                <w14:textFill>
                  <w14:solidFill>
                    <w14:schemeClr w14:val="tx1"/>
                  </w14:solidFill>
                </w14:textFill>
              </w:rPr>
              <w:t>1</w:t>
            </w:r>
          </w:p>
        </w:tc>
        <w:tc>
          <w:tcPr>
            <w:tcW w:w="2975" w:type="dxa"/>
            <w:vAlign w:val="center"/>
          </w:tcPr>
          <w:p>
            <w:pPr>
              <w:jc w:val="center"/>
              <w:rPr>
                <w:rFonts w:hint="eastAsia" w:eastAsia="宋体"/>
                <w:color w:val="000000" w:themeColor="text1"/>
                <w:kern w:val="0"/>
                <w:sz w:val="24"/>
                <w:szCs w:val="24"/>
                <w:lang w:val="zh-CN"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龙游县横山镇数字赋能农村生活垃圾分类设备采购项目</w:t>
            </w:r>
          </w:p>
        </w:tc>
        <w:tc>
          <w:tcPr>
            <w:tcW w:w="1908" w:type="dxa"/>
            <w:vAlign w:val="center"/>
          </w:tcPr>
          <w:p>
            <w:pPr>
              <w:jc w:val="center"/>
              <w:rPr>
                <w:rFonts w:hint="default"/>
                <w:color w:val="000000" w:themeColor="text1"/>
                <w:kern w:val="0"/>
                <w:sz w:val="24"/>
                <w:szCs w:val="24"/>
                <w:lang w:val="zh-CN"/>
                <w14:textFill>
                  <w14:solidFill>
                    <w14:schemeClr w14:val="tx1"/>
                  </w14:solidFill>
                </w14:textFill>
              </w:rPr>
            </w:pPr>
          </w:p>
        </w:tc>
        <w:tc>
          <w:tcPr>
            <w:tcW w:w="2088" w:type="dxa"/>
            <w:vAlign w:val="center"/>
          </w:tcPr>
          <w:p>
            <w:pPr>
              <w:jc w:val="center"/>
              <w:rPr>
                <w:rFonts w:hint="default"/>
                <w:color w:val="000000" w:themeColor="text1"/>
                <w:kern w:val="0"/>
                <w:sz w:val="24"/>
                <w:szCs w:val="24"/>
                <w:lang w:val="zh-CN"/>
                <w14:textFill>
                  <w14:solidFill>
                    <w14:schemeClr w14:val="tx1"/>
                  </w14:solidFill>
                </w14:textFill>
              </w:rPr>
            </w:pPr>
          </w:p>
        </w:tc>
        <w:tc>
          <w:tcPr>
            <w:tcW w:w="1164" w:type="dxa"/>
            <w:vAlign w:val="center"/>
          </w:tcPr>
          <w:p>
            <w:pPr>
              <w:jc w:val="center"/>
              <w:rPr>
                <w:rFonts w:hint="default"/>
                <w:color w:val="000000" w:themeColor="text1"/>
                <w:kern w:val="0"/>
                <w:sz w:val="24"/>
                <w:szCs w:val="24"/>
                <w:lang w:val="zh-CN"/>
                <w14:textFill>
                  <w14:solidFill>
                    <w14:schemeClr w14:val="tx1"/>
                  </w14:solidFill>
                </w14:textFill>
              </w:rPr>
            </w:pPr>
          </w:p>
        </w:tc>
      </w:tr>
    </w:tbl>
    <w:p>
      <w:pPr>
        <w:tabs>
          <w:tab w:val="left" w:pos="1140"/>
        </w:tabs>
        <w:adjustRightInd w:val="0"/>
        <w:snapToGrid w:val="0"/>
        <w:spacing w:line="360" w:lineRule="auto"/>
        <w:jc w:val="left"/>
        <w:rPr>
          <w:rFonts w:hint="default"/>
          <w:color w:val="000000" w:themeColor="text1"/>
          <w:kern w:val="0"/>
          <w:szCs w:val="21"/>
          <w:lang w:val="zh-CN"/>
          <w14:textFill>
            <w14:solidFill>
              <w14:schemeClr w14:val="tx1"/>
            </w14:solidFill>
          </w14:textFill>
        </w:rPr>
      </w:pPr>
      <w:r>
        <w:rPr>
          <w:rFonts w:hint="default"/>
          <w:color w:val="000000" w:themeColor="text1"/>
          <w:kern w:val="0"/>
          <w:szCs w:val="21"/>
          <w:lang w:val="zh-CN"/>
          <w14:textFill>
            <w14:solidFill>
              <w14:schemeClr w14:val="tx1"/>
            </w14:solidFill>
          </w14:textFill>
        </w:rPr>
        <w:t>注：</w:t>
      </w:r>
      <w:r>
        <w:rPr>
          <w:rFonts w:hint="default"/>
          <w:color w:val="000000" w:themeColor="text1"/>
          <w:szCs w:val="21"/>
          <w14:textFill>
            <w14:solidFill>
              <w14:schemeClr w14:val="tx1"/>
            </w14:solidFill>
          </w14:textFill>
        </w:rPr>
        <w:t>1、投标人需按本表格式填写，</w:t>
      </w:r>
      <w:r>
        <w:rPr>
          <w:rFonts w:hint="default"/>
          <w:bCs/>
          <w:color w:val="000000" w:themeColor="text1"/>
          <w:szCs w:val="21"/>
          <w14:textFill>
            <w14:solidFill>
              <w14:schemeClr w14:val="tx1"/>
            </w14:solidFill>
          </w14:textFill>
        </w:rPr>
        <w:t>栏数不够可自加。</w:t>
      </w:r>
    </w:p>
    <w:p>
      <w:pPr>
        <w:tabs>
          <w:tab w:val="left" w:pos="1140"/>
          <w:tab w:val="left" w:pos="5909"/>
        </w:tabs>
        <w:adjustRightInd w:val="0"/>
        <w:snapToGrid w:val="0"/>
        <w:spacing w:line="360" w:lineRule="auto"/>
        <w:ind w:firstLine="420" w:firstLineChars="200"/>
        <w:jc w:val="left"/>
        <w:rPr>
          <w:rFonts w:hint="default"/>
          <w:color w:val="000000" w:themeColor="text1"/>
          <w:kern w:val="0"/>
          <w:szCs w:val="21"/>
          <w:lang w:val="zh-CN"/>
          <w14:textFill>
            <w14:solidFill>
              <w14:schemeClr w14:val="tx1"/>
            </w14:solidFill>
          </w14:textFill>
        </w:rPr>
      </w:pPr>
      <w:r>
        <w:rPr>
          <w:rFonts w:hint="default"/>
          <w:color w:val="000000" w:themeColor="text1"/>
          <w:kern w:val="0"/>
          <w:szCs w:val="21"/>
          <w:lang w:val="zh-CN"/>
          <w14:textFill>
            <w14:solidFill>
              <w14:schemeClr w14:val="tx1"/>
            </w14:solidFill>
          </w14:textFill>
        </w:rPr>
        <w:t>2、有关本项目实施所涉及的一切费用均计入报价。</w:t>
      </w:r>
      <w:r>
        <w:rPr>
          <w:rFonts w:hint="default"/>
          <w:color w:val="000000" w:themeColor="text1"/>
          <w:kern w:val="0"/>
          <w:szCs w:val="21"/>
          <w:lang w:val="zh-CN"/>
          <w14:textFill>
            <w14:solidFill>
              <w14:schemeClr w14:val="tx1"/>
            </w14:solidFill>
          </w14:textFill>
        </w:rPr>
        <w:tab/>
      </w:r>
    </w:p>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bookmarkStart w:id="168" w:name="_Toc24956"/>
      <w:bookmarkStart w:id="169" w:name="_Toc26301"/>
      <w:bookmarkStart w:id="170" w:name="_Toc4011"/>
      <w:bookmarkStart w:id="171" w:name="_Toc233618992"/>
      <w:bookmarkStart w:id="172" w:name="_Toc18315"/>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pPr>
        <w:widowControl/>
        <w:adjustRightInd w:val="0"/>
        <w:snapToGrid w:val="0"/>
        <w:spacing w:line="360" w:lineRule="auto"/>
        <w:ind w:firstLine="480" w:firstLineChars="200"/>
        <w:jc w:val="left"/>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法定代表人或其授权代表（签字或盖章）：</w:t>
      </w:r>
    </w:p>
    <w:p>
      <w:pPr>
        <w:pStyle w:val="6"/>
        <w:adjustRightInd w:val="0"/>
        <w:snapToGrid w:val="0"/>
        <w:spacing w:beforeLines="0" w:afterLines="0" w:line="360" w:lineRule="auto"/>
        <w:ind w:firstLine="480" w:firstLineChars="200"/>
        <w:outlineLvl w:val="0"/>
        <w:rPr>
          <w:rFonts w:hint="default" w:ascii="Times New Roman" w:hAnsi="Times New Roman"/>
          <w:b/>
          <w:color w:val="000000" w:themeColor="text1"/>
          <w:sz w:val="32"/>
          <w:szCs w:val="32"/>
          <w14:textFill>
            <w14:solidFill>
              <w14:schemeClr w14:val="tx1"/>
            </w14:solidFill>
          </w14:textFill>
        </w:rPr>
      </w:pPr>
      <w:bookmarkStart w:id="173" w:name="_Toc32170"/>
      <w:bookmarkStart w:id="174" w:name="_Toc32106"/>
      <w:r>
        <w:rPr>
          <w:rFonts w:hint="default" w:ascii="Times New Roman" w:hAnsi="Times New Roman"/>
          <w:color w:val="000000" w:themeColor="text1"/>
          <w:kern w:val="0"/>
          <w14:textFill>
            <w14:solidFill>
              <w14:schemeClr w14:val="tx1"/>
            </w14:solidFill>
          </w14:textFill>
        </w:rPr>
        <w:t>日期：     年  月  日</w:t>
      </w:r>
      <w:bookmarkEnd w:id="173"/>
      <w:bookmarkEnd w:id="174"/>
    </w:p>
    <w:p>
      <w:pPr>
        <w:snapToGrid w:val="0"/>
        <w:spacing w:line="360" w:lineRule="auto"/>
        <w:ind w:firstLine="643" w:firstLineChars="200"/>
        <w:jc w:val="center"/>
        <w:outlineLvl w:val="0"/>
        <w:rPr>
          <w:rFonts w:hint="default"/>
          <w:b/>
          <w:color w:val="000000" w:themeColor="text1"/>
          <w:sz w:val="32"/>
          <w:szCs w:val="32"/>
          <w14:textFill>
            <w14:solidFill>
              <w14:schemeClr w14:val="tx1"/>
            </w14:solidFill>
          </w14:textFill>
        </w:rPr>
      </w:pPr>
      <w:r>
        <w:rPr>
          <w:rFonts w:hint="default"/>
          <w:b/>
          <w:color w:val="000000" w:themeColor="text1"/>
          <w:sz w:val="32"/>
          <w:szCs w:val="32"/>
          <w14:textFill>
            <w14:solidFill>
              <w14:schemeClr w14:val="tx1"/>
            </w14:solidFill>
          </w14:textFill>
        </w:rPr>
        <w:br w:type="page"/>
      </w:r>
      <w:bookmarkStart w:id="175" w:name="_Toc27679"/>
      <w:bookmarkStart w:id="176" w:name="_Toc13342"/>
      <w:r>
        <w:rPr>
          <w:rFonts w:hint="default"/>
          <w:b/>
          <w:color w:val="000000" w:themeColor="text1"/>
          <w:sz w:val="32"/>
          <w:szCs w:val="32"/>
          <w14:textFill>
            <w14:solidFill>
              <w14:schemeClr w14:val="tx1"/>
            </w14:solidFill>
          </w14:textFill>
        </w:rPr>
        <w:t>三、报价明细清单</w:t>
      </w:r>
      <w:bookmarkEnd w:id="168"/>
      <w:bookmarkEnd w:id="169"/>
      <w:bookmarkEnd w:id="170"/>
      <w:bookmarkEnd w:id="171"/>
      <w:bookmarkEnd w:id="172"/>
      <w:bookmarkEnd w:id="175"/>
      <w:bookmarkEnd w:id="176"/>
    </w:p>
    <w:p>
      <w:pPr>
        <w:pStyle w:val="6"/>
        <w:snapToGrid w:val="0"/>
        <w:spacing w:before="156" w:after="156" w:line="360" w:lineRule="auto"/>
        <w:jc w:val="center"/>
        <w:rPr>
          <w:rFonts w:hint="default" w:ascii="Times New Roman" w:hAnsi="Times New Roman"/>
          <w:b/>
          <w:color w:val="000000" w:themeColor="text1"/>
          <w:sz w:val="30"/>
          <w:szCs w:val="30"/>
          <w14:textFill>
            <w14:solidFill>
              <w14:schemeClr w14:val="tx1"/>
            </w14:solidFill>
          </w14:textFill>
        </w:rPr>
      </w:pPr>
      <w:r>
        <w:rPr>
          <w:rFonts w:hint="default" w:ascii="Times New Roman" w:hAnsi="Times New Roman"/>
          <w:b/>
          <w:color w:val="000000" w:themeColor="text1"/>
          <w:sz w:val="30"/>
          <w:szCs w:val="30"/>
          <w14:textFill>
            <w14:solidFill>
              <w14:schemeClr w14:val="tx1"/>
            </w14:solidFill>
          </w14:textFill>
        </w:rPr>
        <w:t>投标报价明细表</w:t>
      </w:r>
    </w:p>
    <w:tbl>
      <w:tblPr>
        <w:tblStyle w:val="42"/>
        <w:tblW w:w="98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509"/>
        <w:gridCol w:w="4395"/>
        <w:gridCol w:w="675"/>
        <w:gridCol w:w="615"/>
        <w:gridCol w:w="636"/>
        <w:gridCol w:w="729"/>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序号</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货物名称</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参数规格</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数量</w:t>
            </w: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w:t>
            </w:r>
          </w:p>
        </w:tc>
        <w:tc>
          <w:tcPr>
            <w:tcW w:w="72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合计金额</w:t>
            </w:r>
          </w:p>
        </w:tc>
        <w:tc>
          <w:tcPr>
            <w:tcW w:w="72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95" w:type="dxa"/>
            <w:tcBorders>
              <w:top w:val="single" w:color="000000" w:sz="4" w:space="0"/>
              <w:left w:val="single" w:color="000000" w:sz="4" w:space="0"/>
              <w:bottom w:val="nil"/>
              <w:right w:val="single" w:color="000000" w:sz="4" w:space="0"/>
            </w:tcBorders>
            <w:noWrap w:val="0"/>
            <w:vAlign w:val="center"/>
          </w:tcPr>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2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95" w:type="dxa"/>
            <w:tcBorders>
              <w:top w:val="single" w:color="000000" w:sz="4" w:space="0"/>
              <w:left w:val="single" w:color="000000" w:sz="4" w:space="0"/>
              <w:bottom w:val="nil"/>
              <w:right w:val="single" w:color="000000" w:sz="4" w:space="0"/>
            </w:tcBorders>
            <w:noWrap w:val="0"/>
            <w:vAlign w:val="center"/>
          </w:tcPr>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2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95" w:type="dxa"/>
            <w:tcBorders>
              <w:top w:val="single" w:color="000000" w:sz="4" w:space="0"/>
              <w:left w:val="single" w:color="000000" w:sz="4" w:space="0"/>
              <w:bottom w:val="nil"/>
              <w:right w:val="single" w:color="000000" w:sz="4" w:space="0"/>
            </w:tcBorders>
            <w:noWrap w:val="0"/>
            <w:vAlign w:val="center"/>
          </w:tcPr>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2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5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150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39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7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615"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36"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8368" w:type="dxa"/>
            <w:gridSpan w:val="6"/>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72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29"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pStyle w:val="6"/>
        <w:snapToGrid w:val="0"/>
        <w:spacing w:before="156" w:after="156" w:line="360" w:lineRule="auto"/>
        <w:ind w:right="-525" w:rightChars="-250"/>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kern w:val="0"/>
          <w:lang w:val="zh-CN"/>
          <w14:textFill>
            <w14:solidFill>
              <w14:schemeClr w14:val="tx1"/>
            </w14:solidFill>
          </w14:textFill>
        </w:rPr>
        <w:t>注：</w:t>
      </w:r>
      <w:r>
        <w:rPr>
          <w:rFonts w:ascii="Times New Roman" w:hAnsi="Times New Roman"/>
          <w:color w:val="000000" w:themeColor="text1"/>
          <w:kern w:val="0"/>
          <w14:textFill>
            <w14:solidFill>
              <w14:schemeClr w14:val="tx1"/>
            </w14:solidFill>
          </w14:textFill>
        </w:rPr>
        <w:t>1、</w:t>
      </w:r>
      <w:r>
        <w:rPr>
          <w:rFonts w:hint="default" w:ascii="Times New Roman" w:hAnsi="Times New Roman"/>
          <w:color w:val="000000" w:themeColor="text1"/>
          <w14:textFill>
            <w14:solidFill>
              <w14:schemeClr w14:val="tx1"/>
            </w14:solidFill>
          </w14:textFill>
        </w:rPr>
        <w:t>可根据具体情况调整报价明细清单格式，但应包括项目涉及的一切相关税、费等费用。</w:t>
      </w:r>
    </w:p>
    <w:p>
      <w:pPr>
        <w:spacing w:line="360" w:lineRule="auto"/>
        <w:ind w:right="-525" w:rightChars="-250" w:firstLine="480" w:firstLineChars="200"/>
        <w:rPr>
          <w:rFonts w:hint="default" w:ascii="仿宋_GB2312" w:hAnsi="仿宋" w:eastAsia="仿宋_GB2312" w:cs="仿宋_GB2312"/>
          <w:b w:val="0"/>
          <w:bCs w:val="0"/>
          <w:color w:val="000000" w:themeColor="text1"/>
          <w:kern w:val="0"/>
          <w:sz w:val="24"/>
          <w:lang w:val="zh-CN"/>
          <w14:textFill>
            <w14:solidFill>
              <w14:schemeClr w14:val="tx1"/>
            </w14:solidFill>
          </w14:textFill>
        </w:rPr>
      </w:pPr>
      <w:r>
        <w:rPr>
          <w:b w:val="0"/>
          <w:bCs w:val="0"/>
          <w:color w:val="000000" w:themeColor="text1"/>
          <w:sz w:val="24"/>
          <w14:textFill>
            <w14:solidFill>
              <w14:schemeClr w14:val="tx1"/>
            </w14:solidFill>
          </w14:textFill>
        </w:rPr>
        <w:t>2、</w:t>
      </w:r>
      <w:r>
        <w:rPr>
          <w:rFonts w:hint="default"/>
          <w:b w:val="0"/>
          <w:bCs w:val="0"/>
          <w:color w:val="000000" w:themeColor="text1"/>
          <w:sz w:val="24"/>
          <w:lang w:val="zh-CN"/>
          <w14:textFill>
            <w14:solidFill>
              <w14:schemeClr w14:val="tx1"/>
            </w14:solidFill>
          </w14:textFill>
        </w:rPr>
        <w:t>有关本项目实施所涉及的一切费用均计入报价。</w:t>
      </w:r>
      <w:r>
        <w:rPr>
          <w:b w:val="0"/>
          <w:bCs w:val="0"/>
          <w:color w:val="000000" w:themeColor="text1"/>
          <w:sz w:val="24"/>
          <w:lang w:val="zh-CN"/>
          <w14:textFill>
            <w14:solidFill>
              <w14:schemeClr w14:val="tx1"/>
            </w14:solidFill>
          </w14:textFill>
        </w:rPr>
        <w:t>采购人将以合同形式有偿取得货物或服务，不接受投标人给予的赠品、回扣或者与采购无关的其他商品、服务，不得出现“</w:t>
      </w:r>
      <w:r>
        <w:rPr>
          <w:rFonts w:hint="default"/>
          <w:b w:val="0"/>
          <w:bCs w:val="0"/>
          <w:color w:val="000000" w:themeColor="text1"/>
          <w:sz w:val="24"/>
          <w:lang w:val="zh-CN"/>
          <w14:textFill>
            <w14:solidFill>
              <w14:schemeClr w14:val="tx1"/>
            </w14:solidFill>
          </w14:textFill>
        </w:rPr>
        <w:t>0元”“免费赠送”等形式的无偿报价</w:t>
      </w:r>
      <w:r>
        <w:rPr>
          <w:b w:val="0"/>
          <w:bCs w:val="0"/>
          <w:color w:val="000000" w:themeColor="text1"/>
          <w:sz w:val="24"/>
          <w:lang w:val="zh-CN"/>
          <w14:textFill>
            <w14:solidFill>
              <w14:schemeClr w14:val="tx1"/>
            </w14:solidFill>
          </w14:textFill>
        </w:rPr>
        <w:t>，</w:t>
      </w:r>
      <w:r>
        <w:rPr>
          <w:b w:val="0"/>
          <w:bCs w:val="0"/>
          <w:color w:val="000000" w:themeColor="text1"/>
          <w:sz w:val="24"/>
          <w14:textFill>
            <w14:solidFill>
              <w14:schemeClr w14:val="tx1"/>
            </w14:solidFill>
          </w14:textFill>
        </w:rPr>
        <w:t>否则视为投标文件含有采购人不能接受的附加条件</w:t>
      </w:r>
      <w:r>
        <w:rPr>
          <w:rFonts w:ascii="仿宋_GB2312" w:hAnsi="仿宋" w:eastAsia="仿宋_GB2312"/>
          <w:b w:val="0"/>
          <w:bCs w:val="0"/>
          <w:color w:val="000000" w:themeColor="text1"/>
          <w:sz w:val="24"/>
          <w14:textFill>
            <w14:solidFill>
              <w14:schemeClr w14:val="tx1"/>
            </w14:solidFill>
          </w14:textFill>
        </w:rPr>
        <w:t>的，投标无效</w:t>
      </w:r>
      <w:r>
        <w:rPr>
          <w:rFonts w:ascii="仿宋_GB2312" w:hAnsi="仿宋" w:eastAsia="仿宋_GB2312" w:cs="仿宋_GB2312"/>
          <w:b w:val="0"/>
          <w:bCs w:val="0"/>
          <w:color w:val="000000" w:themeColor="text1"/>
          <w:kern w:val="0"/>
          <w:sz w:val="24"/>
          <w:lang w:val="zh-CN"/>
          <w14:textFill>
            <w14:solidFill>
              <w14:schemeClr w14:val="tx1"/>
            </w14:solidFill>
          </w14:textFill>
        </w:rPr>
        <w:t>。</w:t>
      </w:r>
    </w:p>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p>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pPr>
        <w:widowControl/>
        <w:adjustRightInd w:val="0"/>
        <w:snapToGrid w:val="0"/>
        <w:spacing w:line="360" w:lineRule="auto"/>
        <w:ind w:firstLine="480" w:firstLineChars="200"/>
        <w:jc w:val="left"/>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法定代表人或其授权代表（签字或盖章）：</w:t>
      </w:r>
    </w:p>
    <w:p>
      <w:pPr>
        <w:pStyle w:val="6"/>
        <w:adjustRightInd w:val="0"/>
        <w:snapToGrid w:val="0"/>
        <w:spacing w:beforeLines="0" w:afterLines="0" w:line="360" w:lineRule="auto"/>
        <w:ind w:firstLine="480" w:firstLineChars="200"/>
        <w:outlineLvl w:val="0"/>
        <w:rPr>
          <w:rFonts w:hint="default" w:ascii="Times New Roman" w:hAnsi="Times New Roman"/>
          <w:color w:val="000000" w:themeColor="text1"/>
          <w:kern w:val="0"/>
          <w14:textFill>
            <w14:solidFill>
              <w14:schemeClr w14:val="tx1"/>
            </w14:solidFill>
          </w14:textFill>
        </w:rPr>
      </w:pPr>
      <w:bookmarkStart w:id="177" w:name="_Toc9519"/>
      <w:bookmarkStart w:id="178" w:name="_Toc26027"/>
      <w:r>
        <w:rPr>
          <w:rFonts w:hint="default" w:ascii="Times New Roman" w:hAnsi="Times New Roman"/>
          <w:color w:val="000000" w:themeColor="text1"/>
          <w:kern w:val="0"/>
          <w14:textFill>
            <w14:solidFill>
              <w14:schemeClr w14:val="tx1"/>
            </w14:solidFill>
          </w14:textFill>
        </w:rPr>
        <w:t>日期： 年  月  日</w:t>
      </w:r>
      <w:bookmarkEnd w:id="177"/>
      <w:bookmarkEnd w:id="178"/>
    </w:p>
    <w:p>
      <w:pPr>
        <w:adjustRightInd w:val="0"/>
        <w:snapToGrid w:val="0"/>
        <w:spacing w:line="440" w:lineRule="exact"/>
        <w:ind w:right="420"/>
        <w:rPr>
          <w:rFonts w:hint="default"/>
          <w:b/>
          <w:color w:val="000000" w:themeColor="text1"/>
          <w:sz w:val="32"/>
          <w:szCs w:val="32"/>
          <w14:textFill>
            <w14:solidFill>
              <w14:schemeClr w14:val="tx1"/>
            </w14:solidFill>
          </w14:textFill>
        </w:rPr>
      </w:pPr>
      <w:r>
        <w:rPr>
          <w:rFonts w:hint="default"/>
          <w:color w:val="000000" w:themeColor="text1"/>
          <w:kern w:val="0"/>
          <w14:textFill>
            <w14:solidFill>
              <w14:schemeClr w14:val="tx1"/>
            </w14:solidFill>
          </w14:textFill>
        </w:rPr>
        <w:br w:type="page"/>
      </w:r>
    </w:p>
    <w:p>
      <w:pPr>
        <w:jc w:val="center"/>
        <w:rPr>
          <w:rFonts w:hint="default"/>
          <w:b/>
          <w:bCs/>
          <w:color w:val="000000" w:themeColor="text1"/>
          <w:kern w:val="0"/>
          <w:sz w:val="36"/>
          <w:szCs w:val="36"/>
          <w14:textFill>
            <w14:solidFill>
              <w14:schemeClr w14:val="tx1"/>
            </w14:solidFill>
          </w14:textFill>
        </w:rPr>
      </w:pPr>
      <w:bookmarkStart w:id="179" w:name="_Toc24661"/>
      <w:bookmarkStart w:id="180" w:name="_Toc10672"/>
      <w:r>
        <w:rPr>
          <w:rFonts w:hint="default"/>
          <w:b/>
          <w:bCs/>
          <w:color w:val="000000" w:themeColor="text1"/>
          <w:kern w:val="0"/>
          <w:sz w:val="36"/>
          <w:szCs w:val="36"/>
          <w14:textFill>
            <w14:solidFill>
              <w14:schemeClr w14:val="tx1"/>
            </w14:solidFill>
          </w14:textFill>
        </w:rPr>
        <w:t>商务技术文件</w:t>
      </w:r>
    </w:p>
    <w:p>
      <w:pPr>
        <w:snapToGrid w:val="0"/>
        <w:spacing w:before="50" w:after="156" w:afterLines="50" w:line="360" w:lineRule="auto"/>
        <w:jc w:val="center"/>
        <w:rPr>
          <w:rFonts w:hint="default"/>
          <w:b/>
          <w:color w:val="000000" w:themeColor="text1"/>
          <w:sz w:val="30"/>
          <w:szCs w:val="30"/>
          <w:lang w:val="zh-CN"/>
          <w14:textFill>
            <w14:solidFill>
              <w14:schemeClr w14:val="tx1"/>
            </w14:solidFill>
          </w14:textFill>
        </w:rPr>
      </w:pPr>
      <w:r>
        <w:rPr>
          <w:rFonts w:hint="default"/>
          <w:b/>
          <w:color w:val="000000" w:themeColor="text1"/>
          <w:sz w:val="30"/>
          <w:szCs w:val="30"/>
          <w:lang w:val="zh-CN"/>
          <w14:textFill>
            <w14:solidFill>
              <w14:schemeClr w14:val="tx1"/>
            </w14:solidFill>
          </w14:textFill>
        </w:rPr>
        <w:t>一、法定代表人授权委托书</w:t>
      </w:r>
      <w:bookmarkEnd w:id="179"/>
      <w:bookmarkEnd w:id="180"/>
    </w:p>
    <w:p>
      <w:pPr>
        <w:snapToGrid w:val="0"/>
        <w:spacing w:line="360" w:lineRule="auto"/>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龙游县横山镇人民政府</w:t>
      </w:r>
    </w:p>
    <w:p>
      <w:pPr>
        <w:snapToGrid w:val="0"/>
        <w:spacing w:line="360" w:lineRule="auto"/>
        <w:rPr>
          <w:rFonts w:hint="default"/>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泰宇建筑工程技术咨询有限公司</w:t>
      </w:r>
      <w:r>
        <w:rPr>
          <w:rFonts w:hint="default"/>
          <w:color w:val="000000" w:themeColor="text1"/>
          <w:sz w:val="24"/>
          <w14:textFill>
            <w14:solidFill>
              <w14:schemeClr w14:val="tx1"/>
            </w14:solidFill>
          </w14:textFill>
        </w:rPr>
        <w:t>：</w:t>
      </w:r>
    </w:p>
    <w:p>
      <w:pPr>
        <w:snapToGrid w:val="0"/>
        <w:spacing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kern w:val="0"/>
          <w:sz w:val="24"/>
          <w:lang w:val="zh-CN"/>
          <w14:textFill>
            <w14:solidFill>
              <w14:schemeClr w14:val="tx1"/>
            </w14:solidFill>
          </w14:textFill>
        </w:rPr>
        <w:t>兹委派我公司先生/女士(其在本公司的职务是：，联系电话：手机：传真：)，代表我公司全权处理</w:t>
      </w:r>
      <w:r>
        <w:rPr>
          <w:rFonts w:hint="eastAsia"/>
          <w:color w:val="000000" w:themeColor="text1"/>
          <w:sz w:val="24"/>
          <w:u w:val="single"/>
          <w:lang w:eastAsia="zh-CN"/>
          <w14:textFill>
            <w14:solidFill>
              <w14:schemeClr w14:val="tx1"/>
            </w14:solidFill>
          </w14:textFill>
        </w:rPr>
        <w:t>龙游县横山镇数字赋能农村生活垃圾分类设备采购项目</w:t>
      </w:r>
      <w:r>
        <w:rPr>
          <w:rFonts w:hint="default"/>
          <w:color w:val="000000" w:themeColor="text1"/>
          <w:sz w:val="24"/>
          <w14:textFill>
            <w14:solidFill>
              <w14:schemeClr w14:val="tx1"/>
            </w14:solidFill>
          </w14:textFill>
        </w:rPr>
        <w:t>(项目编号：</w:t>
      </w:r>
      <w:r>
        <w:rPr>
          <w:rFonts w:hint="eastAsia"/>
          <w:color w:val="000000" w:themeColor="text1"/>
          <w:sz w:val="24"/>
          <w:u w:val="single"/>
          <w:lang w:eastAsia="zh-CN"/>
          <w14:textFill>
            <w14:solidFill>
              <w14:schemeClr w14:val="tx1"/>
            </w14:solidFill>
          </w14:textFill>
        </w:rPr>
        <w:t>LYCG2024TY-044</w:t>
      </w:r>
      <w:r>
        <w:rPr>
          <w:rFonts w:hint="default"/>
          <w:color w:val="000000" w:themeColor="text1"/>
          <w:sz w:val="24"/>
          <w14:textFill>
            <w14:solidFill>
              <w14:schemeClr w14:val="tx1"/>
            </w14:solidFill>
          </w14:textFill>
        </w:rPr>
        <w:t>)政府采购投标的一切事项，若中标则全权代表本公司签订相关合同，</w:t>
      </w:r>
      <w:r>
        <w:rPr>
          <w:rFonts w:hint="default"/>
          <w:color w:val="000000" w:themeColor="text1"/>
          <w:kern w:val="0"/>
          <w:sz w:val="24"/>
          <w:lang w:val="zh-CN"/>
          <w14:textFill>
            <w14:solidFill>
              <w14:schemeClr w14:val="tx1"/>
            </w14:solidFill>
          </w14:textFill>
        </w:rPr>
        <w:t>并负责处理合同履行等事宜。</w:t>
      </w:r>
    </w:p>
    <w:p>
      <w:pPr>
        <w:snapToGrid w:val="0"/>
        <w:spacing w:line="360" w:lineRule="auto"/>
        <w:rPr>
          <w:rFonts w:hint="default"/>
          <w:color w:val="000000" w:themeColor="text1"/>
          <w:kern w:val="0"/>
          <w:sz w:val="24"/>
          <w14:textFill>
            <w14:solidFill>
              <w14:schemeClr w14:val="tx1"/>
            </w14:solidFill>
          </w14:textFill>
        </w:rPr>
      </w:pPr>
      <w:r>
        <w:rPr>
          <w:rFonts w:hint="default"/>
          <w:color w:val="000000" w:themeColor="text1"/>
          <w:kern w:val="0"/>
          <w:sz w:val="24"/>
          <w:lang w:val="zh-CN"/>
          <w14:textFill>
            <w14:solidFill>
              <w14:schemeClr w14:val="tx1"/>
            </w14:solidFill>
          </w14:textFill>
        </w:rPr>
        <w:t xml:space="preserve">    特此告知。</w:t>
      </w:r>
    </w:p>
    <w:p>
      <w:pPr>
        <w:snapToGrid w:val="0"/>
        <w:spacing w:line="360" w:lineRule="auto"/>
        <w:jc w:val="left"/>
        <w:rPr>
          <w:rFonts w:hint="default"/>
          <w:color w:val="000000" w:themeColor="text1"/>
          <w:kern w:val="0"/>
          <w:sz w:val="24"/>
          <w14:textFill>
            <w14:solidFill>
              <w14:schemeClr w14:val="tx1"/>
            </w14:solidFill>
          </w14:textFill>
        </w:rPr>
      </w:pPr>
    </w:p>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pPr>
        <w:widowControl/>
        <w:adjustRightInd w:val="0"/>
        <w:snapToGrid w:val="0"/>
        <w:spacing w:line="360" w:lineRule="auto"/>
        <w:ind w:firstLine="480" w:firstLineChars="200"/>
        <w:jc w:val="left"/>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法定代表人（签字或盖章）：</w:t>
      </w:r>
    </w:p>
    <w:p>
      <w:pPr>
        <w:pStyle w:val="6"/>
        <w:adjustRightInd w:val="0"/>
        <w:snapToGrid w:val="0"/>
        <w:spacing w:beforeLines="0" w:afterLines="0" w:line="360" w:lineRule="auto"/>
        <w:ind w:firstLine="480" w:firstLineChars="200"/>
        <w:outlineLvl w:val="0"/>
        <w:rPr>
          <w:rFonts w:hint="default" w:ascii="Times New Roman" w:hAnsi="Times New Roman"/>
          <w:b/>
          <w:color w:val="000000" w:themeColor="text1"/>
          <w:sz w:val="32"/>
          <w:szCs w:val="32"/>
          <w14:textFill>
            <w14:solidFill>
              <w14:schemeClr w14:val="tx1"/>
            </w14:solidFill>
          </w14:textFill>
        </w:rPr>
      </w:pPr>
      <w:bookmarkStart w:id="181" w:name="_Toc11214"/>
      <w:bookmarkStart w:id="182" w:name="_Toc16708"/>
      <w:r>
        <w:rPr>
          <w:rFonts w:hint="default" w:ascii="Times New Roman" w:hAnsi="Times New Roman"/>
          <w:color w:val="000000" w:themeColor="text1"/>
          <w:kern w:val="0"/>
          <w14:textFill>
            <w14:solidFill>
              <w14:schemeClr w14:val="tx1"/>
            </w14:solidFill>
          </w14:textFill>
        </w:rPr>
        <w:t>日期：     年  月  日</w:t>
      </w:r>
      <w:bookmarkEnd w:id="181"/>
      <w:bookmarkEnd w:id="182"/>
    </w:p>
    <w:p>
      <w:pPr>
        <w:snapToGrid w:val="0"/>
        <w:spacing w:line="360" w:lineRule="auto"/>
        <w:ind w:right="480"/>
        <w:jc w:val="center"/>
        <w:rPr>
          <w:rFonts w:hint="default"/>
          <w:b/>
          <w:bCs/>
          <w:color w:val="000000" w:themeColor="text1"/>
          <w:kern w:val="0"/>
          <w:sz w:val="24"/>
          <w:lang w:val="zh-CN"/>
          <w14:textFill>
            <w14:solidFill>
              <w14:schemeClr w14:val="tx1"/>
            </w14:solidFill>
          </w14:textFill>
        </w:rPr>
      </w:pPr>
    </w:p>
    <w:p>
      <w:pPr>
        <w:snapToGrid w:val="0"/>
        <w:spacing w:line="360" w:lineRule="auto"/>
        <w:ind w:firstLine="482" w:firstLineChars="200"/>
        <w:rPr>
          <w:rFonts w:hint="default"/>
          <w:b/>
          <w:bCs/>
          <w:color w:val="000000" w:themeColor="text1"/>
          <w:kern w:val="0"/>
          <w:sz w:val="24"/>
          <w:lang w:val="zh-CN"/>
          <w14:textFill>
            <w14:solidFill>
              <w14:schemeClr w14:val="tx1"/>
            </w14:solidFill>
          </w14:textFill>
        </w:rPr>
      </w:pPr>
    </w:p>
    <w:p>
      <w:pPr>
        <w:pStyle w:val="6"/>
        <w:snapToGrid w:val="0"/>
        <w:spacing w:before="156" w:after="156" w:line="360" w:lineRule="auto"/>
        <w:ind w:firstLine="643" w:firstLineChars="200"/>
        <w:jc w:val="center"/>
        <w:outlineLvl w:val="0"/>
        <w:rPr>
          <w:rFonts w:hint="default" w:ascii="Times New Roman" w:hAnsi="Times New Roman"/>
          <w:b/>
          <w:color w:val="000000" w:themeColor="text1"/>
          <w:sz w:val="32"/>
          <w:szCs w:val="32"/>
          <w:lang w:val="zh-CN"/>
          <w14:textFill>
            <w14:solidFill>
              <w14:schemeClr w14:val="tx1"/>
            </w14:solidFill>
          </w14:textFill>
        </w:rPr>
        <w:sectPr>
          <w:pgSz w:w="11906" w:h="16838"/>
          <w:pgMar w:top="1134" w:right="1247" w:bottom="1247" w:left="1304" w:header="794" w:footer="794" w:gutter="0"/>
          <w:cols w:space="720" w:num="1"/>
          <w:docGrid w:type="lines" w:linePitch="312" w:charSpace="0"/>
        </w:sectPr>
      </w:pPr>
      <w:bookmarkStart w:id="183" w:name="_Toc14452"/>
    </w:p>
    <w:p>
      <w:pPr>
        <w:pStyle w:val="6"/>
        <w:snapToGrid w:val="0"/>
        <w:spacing w:before="156" w:after="156" w:line="360" w:lineRule="auto"/>
        <w:ind w:firstLine="643" w:firstLineChars="200"/>
        <w:jc w:val="center"/>
        <w:outlineLvl w:val="0"/>
        <w:rPr>
          <w:rFonts w:hint="default" w:ascii="Times New Roman" w:hAnsi="Times New Roman"/>
          <w:b/>
          <w:color w:val="000000" w:themeColor="text1"/>
          <w:sz w:val="32"/>
          <w:szCs w:val="32"/>
          <w:lang w:val="zh-CN"/>
          <w14:textFill>
            <w14:solidFill>
              <w14:schemeClr w14:val="tx1"/>
            </w14:solidFill>
          </w14:textFill>
        </w:rPr>
      </w:pPr>
      <w:bookmarkStart w:id="184" w:name="_Toc23434"/>
      <w:bookmarkStart w:id="185" w:name="_Toc15275"/>
      <w:bookmarkStart w:id="186" w:name="_Toc31332"/>
      <w:bookmarkStart w:id="187" w:name="_Toc719"/>
      <w:bookmarkStart w:id="188" w:name="_Toc21551"/>
      <w:r>
        <w:rPr>
          <w:rFonts w:hint="default" w:ascii="Times New Roman" w:hAnsi="Times New Roman"/>
          <w:b/>
          <w:color w:val="000000" w:themeColor="text1"/>
          <w:sz w:val="32"/>
          <w:szCs w:val="32"/>
          <w:lang w:val="zh-CN"/>
          <w14:textFill>
            <w14:solidFill>
              <w14:schemeClr w14:val="tx1"/>
            </w14:solidFill>
          </w14:textFill>
        </w:rPr>
        <w:t>二、法定代表人及授权代表人的身份证</w:t>
      </w:r>
      <w:r>
        <w:rPr>
          <w:rFonts w:ascii="Times New Roman" w:hAnsi="Times New Roman"/>
          <w:b/>
          <w:color w:val="000000" w:themeColor="text1"/>
          <w:sz w:val="32"/>
          <w:szCs w:val="32"/>
          <w14:textFill>
            <w14:solidFill>
              <w14:schemeClr w14:val="tx1"/>
            </w14:solidFill>
          </w14:textFill>
        </w:rPr>
        <w:t>并提供近3个月任意一个月社保证明</w:t>
      </w:r>
      <w:r>
        <w:rPr>
          <w:rFonts w:hint="default" w:ascii="Times New Roman" w:hAnsi="Times New Roman"/>
          <w:b/>
          <w:color w:val="000000" w:themeColor="text1"/>
          <w:sz w:val="32"/>
          <w:szCs w:val="32"/>
          <w:lang w:val="zh-CN"/>
          <w14:textFill>
            <w14:solidFill>
              <w14:schemeClr w14:val="tx1"/>
            </w14:solidFill>
          </w14:textFill>
        </w:rPr>
        <w:t xml:space="preserve"> (复</w:t>
      </w:r>
      <w:r>
        <w:rPr>
          <w:rFonts w:hint="eastAsia" w:ascii="Times New Roman" w:hAnsi="Times New Roman"/>
          <w:b/>
          <w:color w:val="000000" w:themeColor="text1"/>
          <w:sz w:val="32"/>
          <w:szCs w:val="32"/>
          <w:lang w:val="zh-CN"/>
          <w14:textFill>
            <w14:solidFill>
              <w14:schemeClr w14:val="tx1"/>
            </w14:solidFill>
          </w14:textFill>
        </w:rPr>
        <w:t>制</w:t>
      </w:r>
      <w:r>
        <w:rPr>
          <w:rFonts w:hint="default" w:ascii="Times New Roman" w:hAnsi="Times New Roman"/>
          <w:b/>
          <w:color w:val="000000" w:themeColor="text1"/>
          <w:sz w:val="32"/>
          <w:szCs w:val="32"/>
          <w:lang w:val="zh-CN"/>
          <w14:textFill>
            <w14:solidFill>
              <w14:schemeClr w14:val="tx1"/>
            </w14:solidFill>
          </w14:textFill>
        </w:rPr>
        <w:t>件加盖公章)</w:t>
      </w:r>
      <w:bookmarkEnd w:id="183"/>
      <w:bookmarkEnd w:id="184"/>
      <w:bookmarkEnd w:id="185"/>
      <w:bookmarkEnd w:id="186"/>
      <w:bookmarkEnd w:id="187"/>
      <w:bookmarkEnd w:id="188"/>
    </w:p>
    <w:p>
      <w:pPr>
        <w:snapToGrid w:val="0"/>
        <w:spacing w:line="360" w:lineRule="auto"/>
        <w:ind w:right="480"/>
        <w:jc w:val="center"/>
        <w:rPr>
          <w:rFonts w:hint="default"/>
          <w:b/>
          <w:bCs/>
          <w:color w:val="000000" w:themeColor="text1"/>
          <w:kern w:val="0"/>
          <w:sz w:val="24"/>
          <w:lang w:val="zh-CN"/>
          <w14:textFill>
            <w14:solidFill>
              <w14:schemeClr w14:val="tx1"/>
            </w14:solidFill>
          </w14:textFill>
        </w:rPr>
      </w:pPr>
    </w:p>
    <w:p>
      <w:pPr>
        <w:snapToGrid w:val="0"/>
        <w:spacing w:line="360" w:lineRule="auto"/>
        <w:ind w:right="480"/>
        <w:rPr>
          <w:rFonts w:hint="default"/>
          <w:b/>
          <w:bCs/>
          <w:color w:val="000000" w:themeColor="text1"/>
          <w:kern w:val="0"/>
          <w:sz w:val="24"/>
          <w:lang w:val="zh-CN"/>
          <w14:textFill>
            <w14:solidFill>
              <w14:schemeClr w14:val="tx1"/>
            </w14:solidFill>
          </w14:textFill>
        </w:rPr>
      </w:pPr>
    </w:p>
    <w:p>
      <w:pPr>
        <w:pStyle w:val="6"/>
        <w:snapToGrid w:val="0"/>
        <w:spacing w:before="156" w:after="156" w:line="360" w:lineRule="auto"/>
        <w:ind w:firstLine="643" w:firstLineChars="200"/>
        <w:jc w:val="center"/>
        <w:outlineLvl w:val="0"/>
        <w:rPr>
          <w:rFonts w:hint="default" w:ascii="Times New Roman" w:hAnsi="Times New Roman"/>
          <w:b/>
          <w:color w:val="000000" w:themeColor="text1"/>
          <w:sz w:val="32"/>
          <w:szCs w:val="32"/>
          <w:lang w:val="zh-CN"/>
          <w14:textFill>
            <w14:solidFill>
              <w14:schemeClr w14:val="tx1"/>
            </w14:solidFill>
          </w14:textFill>
        </w:rPr>
        <w:sectPr>
          <w:pgSz w:w="11906" w:h="16838"/>
          <w:pgMar w:top="1134" w:right="1247" w:bottom="1247" w:left="1304" w:header="794" w:footer="794" w:gutter="0"/>
          <w:cols w:space="720" w:num="1"/>
          <w:docGrid w:type="lines" w:linePitch="312" w:charSpace="0"/>
        </w:sectPr>
      </w:pPr>
      <w:bookmarkStart w:id="189" w:name="_Toc17748"/>
    </w:p>
    <w:bookmarkEnd w:id="189"/>
    <w:p>
      <w:pPr>
        <w:pStyle w:val="6"/>
        <w:snapToGrid w:val="0"/>
        <w:spacing w:before="156" w:after="156" w:line="360" w:lineRule="auto"/>
        <w:ind w:firstLine="643" w:firstLineChars="200"/>
        <w:jc w:val="center"/>
        <w:outlineLvl w:val="0"/>
        <w:rPr>
          <w:rFonts w:hint="default" w:ascii="Times New Roman" w:hAnsi="Times New Roman"/>
          <w:b/>
          <w:color w:val="000000" w:themeColor="text1"/>
          <w:sz w:val="32"/>
          <w:szCs w:val="32"/>
          <w:lang w:val="zh-CN"/>
          <w14:textFill>
            <w14:solidFill>
              <w14:schemeClr w14:val="tx1"/>
            </w14:solidFill>
          </w14:textFill>
        </w:rPr>
      </w:pPr>
      <w:bookmarkStart w:id="190" w:name="_Toc23712"/>
      <w:bookmarkStart w:id="191" w:name="_Toc31020"/>
      <w:bookmarkStart w:id="192" w:name="_Toc7478"/>
      <w:bookmarkStart w:id="193" w:name="_Toc17488"/>
      <w:bookmarkStart w:id="194" w:name="_Toc1529"/>
      <w:bookmarkStart w:id="195" w:name="_Toc6649"/>
      <w:r>
        <w:rPr>
          <w:rFonts w:ascii="Times New Roman" w:hAnsi="Times New Roman"/>
          <w:b/>
          <w:color w:val="000000" w:themeColor="text1"/>
          <w:sz w:val="32"/>
          <w:szCs w:val="32"/>
          <w14:textFill>
            <w14:solidFill>
              <w14:schemeClr w14:val="tx1"/>
            </w14:solidFill>
          </w14:textFill>
        </w:rPr>
        <w:t>三</w:t>
      </w:r>
      <w:r>
        <w:rPr>
          <w:rFonts w:hint="default" w:ascii="Times New Roman" w:hAnsi="Times New Roman"/>
          <w:b/>
          <w:color w:val="000000" w:themeColor="text1"/>
          <w:sz w:val="32"/>
          <w:szCs w:val="32"/>
          <w:lang w:val="zh-CN"/>
          <w14:textFill>
            <w14:solidFill>
              <w14:schemeClr w14:val="tx1"/>
            </w14:solidFill>
          </w14:textFill>
        </w:rPr>
        <w:t>、同类项目经验</w:t>
      </w:r>
      <w:bookmarkEnd w:id="190"/>
      <w:bookmarkEnd w:id="191"/>
      <w:bookmarkEnd w:id="192"/>
      <w:bookmarkEnd w:id="193"/>
      <w:bookmarkEnd w:id="194"/>
      <w:bookmarkEnd w:id="195"/>
    </w:p>
    <w:p>
      <w:pPr>
        <w:autoSpaceDE w:val="0"/>
        <w:autoSpaceDN w:val="0"/>
        <w:snapToGrid w:val="0"/>
        <w:spacing w:line="360" w:lineRule="auto"/>
        <w:ind w:firstLine="5160" w:firstLineChars="2150"/>
        <w:rPr>
          <w:rFonts w:hint="default"/>
          <w:color w:val="000000" w:themeColor="text1"/>
          <w:kern w:val="0"/>
          <w:sz w:val="24"/>
          <w:lang w:val="zh-CN"/>
          <w14:textFill>
            <w14:solidFill>
              <w14:schemeClr w14:val="tx1"/>
            </w14:solidFill>
          </w14:textFill>
        </w:rPr>
      </w:pPr>
    </w:p>
    <w:p>
      <w:pPr>
        <w:snapToGrid w:val="0"/>
        <w:spacing w:line="360" w:lineRule="auto"/>
        <w:jc w:val="left"/>
        <w:rPr>
          <w:rFonts w:hint="default"/>
          <w:color w:val="000000" w:themeColor="text1"/>
          <w:sz w:val="24"/>
          <w:u w:val="single"/>
          <w14:textFill>
            <w14:solidFill>
              <w14:schemeClr w14:val="tx1"/>
            </w14:solidFill>
          </w14:textFill>
        </w:rPr>
      </w:pPr>
      <w:r>
        <w:rPr>
          <w:rFonts w:hint="default"/>
          <w:color w:val="000000" w:themeColor="text1"/>
          <w:sz w:val="24"/>
          <w14:textFill>
            <w14:solidFill>
              <w14:schemeClr w14:val="tx1"/>
            </w14:solidFill>
          </w14:textFill>
        </w:rPr>
        <w:t>项目名称：                           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序号</w:t>
            </w:r>
          </w:p>
        </w:tc>
        <w:tc>
          <w:tcPr>
            <w:tcW w:w="2163"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项目名称</w:t>
            </w:r>
          </w:p>
        </w:tc>
        <w:tc>
          <w:tcPr>
            <w:tcW w:w="1865" w:type="dxa"/>
            <w:vAlign w:val="center"/>
          </w:tcPr>
          <w:p>
            <w:pPr>
              <w:jc w:val="center"/>
              <w:rPr>
                <w:rFonts w:hint="default"/>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采购</w:t>
            </w:r>
            <w:r>
              <w:rPr>
                <w:rFonts w:hint="default"/>
                <w:color w:val="000000" w:themeColor="text1"/>
                <w:sz w:val="24"/>
                <w:szCs w:val="22"/>
                <w14:textFill>
                  <w14:solidFill>
                    <w14:schemeClr w14:val="tx1"/>
                  </w14:solidFill>
                </w14:textFill>
              </w:rPr>
              <w:t>单位</w:t>
            </w:r>
          </w:p>
        </w:tc>
        <w:tc>
          <w:tcPr>
            <w:tcW w:w="2275"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合同签订时间</w:t>
            </w:r>
          </w:p>
        </w:tc>
        <w:tc>
          <w:tcPr>
            <w:tcW w:w="1676"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1</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2</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3</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4</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5</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6</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7</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8</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9</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pPr>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10</w:t>
            </w:r>
          </w:p>
        </w:tc>
        <w:tc>
          <w:tcPr>
            <w:tcW w:w="2163" w:type="dxa"/>
            <w:vAlign w:val="center"/>
          </w:tcPr>
          <w:p>
            <w:pPr>
              <w:rPr>
                <w:rFonts w:hint="default"/>
                <w:color w:val="000000" w:themeColor="text1"/>
                <w:sz w:val="24"/>
                <w:szCs w:val="22"/>
                <w14:textFill>
                  <w14:solidFill>
                    <w14:schemeClr w14:val="tx1"/>
                  </w14:solidFill>
                </w14:textFill>
              </w:rPr>
            </w:pPr>
          </w:p>
        </w:tc>
        <w:tc>
          <w:tcPr>
            <w:tcW w:w="1865" w:type="dxa"/>
            <w:vAlign w:val="center"/>
          </w:tcPr>
          <w:p>
            <w:pPr>
              <w:rPr>
                <w:rFonts w:hint="default"/>
                <w:color w:val="000000" w:themeColor="text1"/>
                <w:sz w:val="24"/>
                <w:szCs w:val="22"/>
                <w14:textFill>
                  <w14:solidFill>
                    <w14:schemeClr w14:val="tx1"/>
                  </w14:solidFill>
                </w14:textFill>
              </w:rPr>
            </w:pPr>
          </w:p>
        </w:tc>
        <w:tc>
          <w:tcPr>
            <w:tcW w:w="2275" w:type="dxa"/>
            <w:vAlign w:val="center"/>
          </w:tcPr>
          <w:p>
            <w:pPr>
              <w:rPr>
                <w:rFonts w:hint="default"/>
                <w:color w:val="000000" w:themeColor="text1"/>
                <w:sz w:val="24"/>
                <w:szCs w:val="22"/>
                <w14:textFill>
                  <w14:solidFill>
                    <w14:schemeClr w14:val="tx1"/>
                  </w14:solidFill>
                </w14:textFill>
              </w:rPr>
            </w:pPr>
          </w:p>
        </w:tc>
        <w:tc>
          <w:tcPr>
            <w:tcW w:w="1676" w:type="dxa"/>
            <w:vAlign w:val="center"/>
          </w:tcPr>
          <w:p>
            <w:pPr>
              <w:rPr>
                <w:rFonts w:hint="default"/>
                <w:color w:val="000000" w:themeColor="text1"/>
                <w:sz w:val="24"/>
                <w:szCs w:val="22"/>
                <w14:textFill>
                  <w14:solidFill>
                    <w14:schemeClr w14:val="tx1"/>
                  </w14:solidFill>
                </w14:textFill>
              </w:rPr>
            </w:pPr>
          </w:p>
        </w:tc>
      </w:tr>
    </w:tbl>
    <w:p>
      <w:pPr>
        <w:pStyle w:val="6"/>
        <w:spacing w:beforeLines="0" w:afterLines="0" w:line="360" w:lineRule="auto"/>
        <w:rPr>
          <w:rFonts w:hint="default" w:ascii="Times New Roman" w:hAnsi="Times New Roman"/>
          <w:b/>
          <w:bCs/>
          <w:color w:val="000000" w:themeColor="text1"/>
          <w14:textFill>
            <w14:solidFill>
              <w14:schemeClr w14:val="tx1"/>
            </w14:solidFill>
          </w14:textFill>
        </w:rPr>
      </w:pPr>
      <w:r>
        <w:rPr>
          <w:rFonts w:hint="default" w:ascii="Times New Roman" w:hAnsi="Times New Roman"/>
          <w:b/>
          <w:color w:val="000000" w:themeColor="text1"/>
          <w14:textFill>
            <w14:solidFill>
              <w14:schemeClr w14:val="tx1"/>
            </w14:solidFill>
          </w14:textFill>
        </w:rPr>
        <w:t>注：表中所列的业绩，</w:t>
      </w:r>
      <w:r>
        <w:rPr>
          <w:rFonts w:ascii="Times New Roman" w:hAnsi="Times New Roman"/>
          <w:b/>
          <w:color w:val="000000" w:themeColor="text1"/>
          <w14:textFill>
            <w14:solidFill>
              <w14:schemeClr w14:val="tx1"/>
            </w14:solidFill>
          </w14:textFill>
        </w:rPr>
        <w:t>按评标办法提供证明材料</w:t>
      </w:r>
      <w:r>
        <w:rPr>
          <w:rFonts w:hint="default" w:ascii="Times New Roman" w:hAnsi="Times New Roman"/>
          <w:b/>
          <w:bCs/>
          <w:color w:val="000000" w:themeColor="text1"/>
          <w14:textFill>
            <w14:solidFill>
              <w14:schemeClr w14:val="tx1"/>
            </w14:solidFill>
          </w14:textFill>
        </w:rPr>
        <w:t>。</w:t>
      </w:r>
    </w:p>
    <w:p>
      <w:pPr>
        <w:pStyle w:val="18"/>
        <w:snapToGrid w:val="0"/>
        <w:spacing w:line="360" w:lineRule="auto"/>
        <w:rPr>
          <w:rFonts w:hint="default" w:ascii="Times New Roman" w:hAnsi="Times New Roman"/>
          <w:color w:val="000000" w:themeColor="text1"/>
          <w:lang w:val="zh-CN"/>
          <w14:textFill>
            <w14:solidFill>
              <w14:schemeClr w14:val="tx1"/>
            </w14:solidFill>
          </w14:textFill>
        </w:rPr>
      </w:pPr>
    </w:p>
    <w:p>
      <w:pPr>
        <w:pStyle w:val="18"/>
        <w:snapToGrid w:val="0"/>
        <w:spacing w:line="360" w:lineRule="auto"/>
        <w:rPr>
          <w:rFonts w:hint="default" w:ascii="Times New Roman" w:hAnsi="Times New Roman"/>
          <w:color w:val="000000" w:themeColor="text1"/>
          <w:lang w:val="zh-CN"/>
          <w14:textFill>
            <w14:solidFill>
              <w14:schemeClr w14:val="tx1"/>
            </w14:solidFill>
          </w14:textFill>
        </w:rPr>
      </w:pPr>
    </w:p>
    <w:p>
      <w:pPr>
        <w:pStyle w:val="18"/>
        <w:snapToGrid w:val="0"/>
        <w:spacing w:line="360" w:lineRule="auto"/>
        <w:rPr>
          <w:rFonts w:hint="default" w:ascii="Times New Roman" w:hAnsi="Times New Roman"/>
          <w:color w:val="000000" w:themeColor="text1"/>
          <w:lang w:val="zh-CN"/>
          <w14:textFill>
            <w14:solidFill>
              <w14:schemeClr w14:val="tx1"/>
            </w14:solidFill>
          </w14:textFill>
        </w:rPr>
      </w:pPr>
    </w:p>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bookmarkStart w:id="196" w:name="_Toc16760"/>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pPr>
        <w:widowControl/>
        <w:adjustRightInd w:val="0"/>
        <w:snapToGrid w:val="0"/>
        <w:spacing w:line="360" w:lineRule="auto"/>
        <w:ind w:firstLine="480" w:firstLineChars="200"/>
        <w:jc w:val="left"/>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法定代表人或其授权代表（签字或盖章）：</w:t>
      </w:r>
    </w:p>
    <w:p>
      <w:pPr>
        <w:pStyle w:val="6"/>
        <w:adjustRightInd w:val="0"/>
        <w:snapToGrid w:val="0"/>
        <w:spacing w:beforeLines="0" w:afterLines="0" w:line="360" w:lineRule="auto"/>
        <w:ind w:firstLine="480" w:firstLineChars="200"/>
        <w:outlineLvl w:val="0"/>
        <w:rPr>
          <w:rFonts w:hint="default" w:ascii="Times New Roman" w:hAnsi="Times New Roman"/>
          <w:b/>
          <w:color w:val="000000" w:themeColor="text1"/>
          <w:sz w:val="32"/>
          <w:szCs w:val="32"/>
          <w14:textFill>
            <w14:solidFill>
              <w14:schemeClr w14:val="tx1"/>
            </w14:solidFill>
          </w14:textFill>
        </w:rPr>
      </w:pPr>
      <w:bookmarkStart w:id="197" w:name="_Toc26327"/>
      <w:bookmarkStart w:id="198" w:name="_Toc30774"/>
      <w:r>
        <w:rPr>
          <w:rFonts w:hint="default" w:ascii="Times New Roman" w:hAnsi="Times New Roman"/>
          <w:color w:val="000000" w:themeColor="text1"/>
          <w:kern w:val="0"/>
          <w14:textFill>
            <w14:solidFill>
              <w14:schemeClr w14:val="tx1"/>
            </w14:solidFill>
          </w14:textFill>
        </w:rPr>
        <w:t>日期：     年  月  日</w:t>
      </w:r>
      <w:bookmarkEnd w:id="197"/>
      <w:bookmarkEnd w:id="198"/>
    </w:p>
    <w:p>
      <w:pPr>
        <w:snapToGrid w:val="0"/>
        <w:spacing w:line="360" w:lineRule="auto"/>
        <w:ind w:left="570"/>
        <w:jc w:val="center"/>
        <w:outlineLvl w:val="0"/>
        <w:rPr>
          <w:rFonts w:hint="default"/>
          <w:b/>
          <w:color w:val="000000" w:themeColor="text1"/>
          <w:sz w:val="32"/>
          <w:szCs w:val="32"/>
          <w14:textFill>
            <w14:solidFill>
              <w14:schemeClr w14:val="tx1"/>
            </w14:solidFill>
          </w14:textFill>
        </w:rPr>
        <w:sectPr>
          <w:pgSz w:w="11906" w:h="16838"/>
          <w:pgMar w:top="1134" w:right="1247" w:bottom="1247" w:left="1304" w:header="794" w:footer="794" w:gutter="0"/>
          <w:cols w:space="720" w:num="1"/>
          <w:docGrid w:type="lines" w:linePitch="312" w:charSpace="0"/>
        </w:sectPr>
      </w:pPr>
      <w:bookmarkStart w:id="199" w:name="_Toc20407"/>
      <w:bookmarkStart w:id="200" w:name="_Toc5229"/>
      <w:bookmarkStart w:id="201" w:name="_Toc31280"/>
    </w:p>
    <w:p>
      <w:pPr>
        <w:snapToGrid w:val="0"/>
        <w:spacing w:line="360" w:lineRule="auto"/>
        <w:ind w:left="570"/>
        <w:jc w:val="center"/>
        <w:outlineLvl w:val="0"/>
        <w:rPr>
          <w:rFonts w:hint="default"/>
          <w:b/>
          <w:color w:val="000000" w:themeColor="text1"/>
          <w:sz w:val="32"/>
          <w:szCs w:val="32"/>
          <w:lang w:val="zh-CN"/>
          <w14:textFill>
            <w14:solidFill>
              <w14:schemeClr w14:val="tx1"/>
            </w14:solidFill>
          </w14:textFill>
        </w:rPr>
      </w:pPr>
      <w:bookmarkStart w:id="202" w:name="_Toc11509"/>
      <w:bookmarkStart w:id="203" w:name="_Toc20342"/>
      <w:r>
        <w:rPr>
          <w:rFonts w:hint="eastAsia"/>
          <w:b/>
          <w:color w:val="000000" w:themeColor="text1"/>
          <w:sz w:val="32"/>
          <w:szCs w:val="32"/>
          <w:lang w:val="zh-CN"/>
          <w14:textFill>
            <w14:solidFill>
              <w14:schemeClr w14:val="tx1"/>
            </w14:solidFill>
          </w14:textFill>
        </w:rPr>
        <w:t>四</w:t>
      </w:r>
      <w:r>
        <w:rPr>
          <w:rFonts w:hint="default"/>
          <w:b/>
          <w:color w:val="000000" w:themeColor="text1"/>
          <w:sz w:val="32"/>
          <w:szCs w:val="32"/>
          <w:lang w:val="zh-CN"/>
          <w14:textFill>
            <w14:solidFill>
              <w14:schemeClr w14:val="tx1"/>
            </w14:solidFill>
          </w14:textFill>
        </w:rPr>
        <w:t>、商务技术偏离表</w:t>
      </w:r>
      <w:bookmarkEnd w:id="196"/>
      <w:bookmarkEnd w:id="199"/>
      <w:bookmarkEnd w:id="200"/>
      <w:bookmarkEnd w:id="201"/>
      <w:bookmarkEnd w:id="202"/>
      <w:bookmarkEnd w:id="203"/>
    </w:p>
    <w:p>
      <w:pPr>
        <w:tabs>
          <w:tab w:val="left" w:pos="1418"/>
        </w:tabs>
        <w:snapToGrid w:val="0"/>
        <w:spacing w:before="50" w:after="50" w:line="360" w:lineRule="auto"/>
        <w:ind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项目名称：                       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偏离</w:t>
            </w:r>
          </w:p>
        </w:tc>
        <w:tc>
          <w:tcPr>
            <w:tcW w:w="24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color w:val="000000" w:themeColor="text1"/>
                <w:sz w:val="24"/>
                <w:szCs w:val="22"/>
                <w14:textFill>
                  <w14:solidFill>
                    <w14:schemeClr w14:val="tx1"/>
                  </w14:solidFill>
                </w14:textFill>
              </w:rPr>
            </w:pPr>
            <w:r>
              <w:rPr>
                <w:rFonts w:hint="default"/>
                <w:color w:val="000000" w:themeColor="text1"/>
                <w:sz w:val="24"/>
                <w:szCs w:val="22"/>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default"/>
                <w:color w:val="000000" w:themeColor="text1"/>
                <w:sz w:val="24"/>
                <w:szCs w:val="22"/>
                <w14:textFill>
                  <w14:solidFill>
                    <w14:schemeClr w14:val="tx1"/>
                  </w14:solidFill>
                </w14:textFill>
              </w:rPr>
            </w:pPr>
          </w:p>
        </w:tc>
      </w:tr>
    </w:tbl>
    <w:p>
      <w:pPr>
        <w:pStyle w:val="6"/>
        <w:spacing w:before="156" w:after="156" w:line="460" w:lineRule="atLeast"/>
        <w:ind w:right="-105" w:rightChars="-50"/>
        <w:rPr>
          <w:rFonts w:hint="default" w:hAnsi="宋体"/>
          <w:b w:val="0"/>
          <w:bCs w:val="0"/>
          <w:color w:val="000000" w:themeColor="text1"/>
          <w:u w:val="single"/>
          <w14:textFill>
            <w14:solidFill>
              <w14:schemeClr w14:val="tx1"/>
            </w14:solidFill>
          </w14:textFill>
        </w:rPr>
      </w:pPr>
      <w:r>
        <w:rPr>
          <w:rFonts w:hAnsi="宋体" w:cs="仿宋"/>
          <w:color w:val="000000" w:themeColor="text1"/>
          <w:spacing w:val="-10"/>
          <w14:textFill>
            <w14:solidFill>
              <w14:schemeClr w14:val="tx1"/>
            </w14:solidFill>
          </w14:textFill>
        </w:rPr>
        <w:t>备注：1、</w:t>
      </w:r>
      <w:r>
        <w:rPr>
          <w:rFonts w:hAnsi="宋体" w:cs="仿宋"/>
          <w:b w:val="0"/>
          <w:bCs w:val="0"/>
          <w:color w:val="000000" w:themeColor="text1"/>
          <w:u w:val="single"/>
          <w14:textFill>
            <w14:solidFill>
              <w14:schemeClr w14:val="tx1"/>
            </w14:solidFill>
          </w14:textFill>
        </w:rPr>
        <w:t>结合</w:t>
      </w:r>
      <w:r>
        <w:rPr>
          <w:rFonts w:hAnsi="宋体" w:cs="仿宋"/>
          <w:b w:val="0"/>
          <w:bCs w:val="0"/>
          <w:color w:val="000000" w:themeColor="text1"/>
          <w:spacing w:val="-10"/>
          <w:u w:val="single"/>
          <w14:textFill>
            <w14:solidFill>
              <w14:schemeClr w14:val="tx1"/>
            </w14:solidFill>
          </w14:textFill>
        </w:rPr>
        <w:t>《</w:t>
      </w:r>
      <w:r>
        <w:rPr>
          <w:rFonts w:hint="default" w:hAnsi="宋体" w:cs="仿宋"/>
          <w:b w:val="0"/>
          <w:bCs w:val="0"/>
          <w:color w:val="000000" w:themeColor="text1"/>
          <w:u w:val="single"/>
          <w14:textFill>
            <w14:solidFill>
              <w14:schemeClr w14:val="tx1"/>
            </w14:solidFill>
          </w14:textFill>
        </w:rPr>
        <w:t>第三章评标办法</w:t>
      </w:r>
      <w:r>
        <w:rPr>
          <w:rFonts w:hAnsi="宋体" w:cs="仿宋"/>
          <w:b w:val="0"/>
          <w:bCs w:val="0"/>
          <w:color w:val="000000" w:themeColor="text1"/>
          <w:u w:val="single"/>
          <w14:textFill>
            <w14:solidFill>
              <w14:schemeClr w14:val="tx1"/>
            </w14:solidFill>
          </w14:textFill>
        </w:rPr>
        <w:t>》</w:t>
      </w:r>
      <w:r>
        <w:rPr>
          <w:rFonts w:hAnsi="宋体" w:cs="仿宋"/>
          <w:b w:val="0"/>
          <w:bCs w:val="0"/>
          <w:color w:val="000000" w:themeColor="text1"/>
          <w:spacing w:val="-10"/>
          <w:u w:val="single"/>
          <w14:textFill>
            <w14:solidFill>
              <w14:schemeClr w14:val="tx1"/>
            </w14:solidFill>
          </w14:textFill>
        </w:rPr>
        <w:t>与</w:t>
      </w:r>
      <w:r>
        <w:rPr>
          <w:rFonts w:hAnsi="宋体" w:cs="仿宋"/>
          <w:b w:val="0"/>
          <w:bCs w:val="0"/>
          <w:color w:val="000000" w:themeColor="text1"/>
          <w:u w:val="single"/>
          <w14:textFill>
            <w14:solidFill>
              <w14:schemeClr w14:val="tx1"/>
            </w14:solidFill>
          </w14:textFill>
        </w:rPr>
        <w:t>《第四章采购内容及需求</w:t>
      </w:r>
      <w:r>
        <w:rPr>
          <w:rFonts w:hAnsi="宋体" w:cs="仿宋"/>
          <w:b w:val="0"/>
          <w:bCs w:val="0"/>
          <w:color w:val="000000" w:themeColor="text1"/>
          <w:spacing w:val="-10"/>
          <w:u w:val="single"/>
          <w14:textFill>
            <w14:solidFill>
              <w14:schemeClr w14:val="tx1"/>
            </w14:solidFill>
          </w14:textFill>
        </w:rPr>
        <w:t>》</w:t>
      </w:r>
      <w:r>
        <w:rPr>
          <w:rFonts w:hAnsi="宋体" w:cs="仿宋"/>
          <w:b w:val="0"/>
          <w:bCs w:val="0"/>
          <w:color w:val="000000" w:themeColor="text1"/>
          <w:spacing w:val="-1"/>
          <w:u w:val="single"/>
          <w14:textFill>
            <w14:solidFill>
              <w14:schemeClr w14:val="tx1"/>
            </w14:solidFill>
          </w14:textFill>
        </w:rPr>
        <w:t>中</w:t>
      </w:r>
      <w:r>
        <w:rPr>
          <w:rFonts w:hAnsi="宋体" w:cs="仿宋"/>
          <w:b w:val="0"/>
          <w:bCs w:val="0"/>
          <w:color w:val="000000" w:themeColor="text1"/>
          <w:u w:val="single"/>
          <w14:textFill>
            <w14:solidFill>
              <w14:schemeClr w14:val="tx1"/>
            </w14:solidFill>
          </w14:textFill>
        </w:rPr>
        <w:t>要求逐条对应；2、投标单位须如实填写上表，并按要求提供证明材料，提供虚假材料处理的按虚假应标一律；3、“偏离情况”栏填写：“正偏离</w:t>
      </w:r>
      <w:r>
        <w:rPr>
          <w:rFonts w:hAnsi="宋体" w:cs="仿宋"/>
          <w:b w:val="0"/>
          <w:bCs w:val="0"/>
          <w:color w:val="000000" w:themeColor="text1"/>
          <w:spacing w:val="-1"/>
          <w:u w:val="single"/>
          <w14:textFill>
            <w14:solidFill>
              <w14:schemeClr w14:val="tx1"/>
            </w14:solidFill>
          </w14:textFill>
        </w:rPr>
        <w:t>”</w:t>
      </w:r>
      <w:r>
        <w:rPr>
          <w:rFonts w:hAnsi="宋体" w:cs="仿宋"/>
          <w:b w:val="0"/>
          <w:bCs w:val="0"/>
          <w:color w:val="000000" w:themeColor="text1"/>
          <w:u w:val="single"/>
          <w14:textFill>
            <w14:solidFill>
              <w14:schemeClr w14:val="tx1"/>
            </w14:solidFill>
          </w14:textFill>
        </w:rPr>
        <w:t>或“负偏离”或“无偏离”。4、投标单位未按要求填写本表的，评标委员会评审时有权按不利于投标人的情况进行评审。</w:t>
      </w:r>
    </w:p>
    <w:p>
      <w:pPr>
        <w:snapToGrid w:val="0"/>
        <w:spacing w:line="300" w:lineRule="auto"/>
        <w:rPr>
          <w:rFonts w:hint="default" w:ascii="Arial" w:hAnsi="Arial" w:cs="Arial"/>
          <w:color w:val="000000" w:themeColor="text1"/>
          <w14:textFill>
            <w14:solidFill>
              <w14:schemeClr w14:val="tx1"/>
            </w14:solidFill>
          </w14:textFill>
        </w:rPr>
      </w:pPr>
    </w:p>
    <w:p>
      <w:pPr>
        <w:snapToGrid w:val="0"/>
        <w:spacing w:line="360" w:lineRule="auto"/>
        <w:ind w:firstLine="211" w:firstLineChars="100"/>
        <w:rPr>
          <w:rFonts w:hint="default"/>
          <w:b/>
          <w:bCs/>
          <w:color w:val="000000" w:themeColor="text1"/>
          <w14:textFill>
            <w14:solidFill>
              <w14:schemeClr w14:val="tx1"/>
            </w14:solidFill>
          </w14:textFill>
        </w:rPr>
      </w:pPr>
    </w:p>
    <w:p>
      <w:pPr>
        <w:autoSpaceDE w:val="0"/>
        <w:autoSpaceDN w:val="0"/>
        <w:snapToGrid w:val="0"/>
        <w:spacing w:line="360" w:lineRule="auto"/>
        <w:ind w:firstLine="5160" w:firstLineChars="2150"/>
        <w:rPr>
          <w:rFonts w:hint="default"/>
          <w:color w:val="000000" w:themeColor="text1"/>
          <w:kern w:val="0"/>
          <w:sz w:val="24"/>
          <w:lang w:val="zh-CN"/>
          <w14:textFill>
            <w14:solidFill>
              <w14:schemeClr w14:val="tx1"/>
            </w14:solidFill>
          </w14:textFill>
        </w:rPr>
      </w:pPr>
    </w:p>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pPr>
        <w:widowControl/>
        <w:adjustRightInd w:val="0"/>
        <w:snapToGrid w:val="0"/>
        <w:spacing w:line="360" w:lineRule="auto"/>
        <w:ind w:firstLine="480" w:firstLineChars="200"/>
        <w:jc w:val="left"/>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法定代表人或其授权代表（签字或盖章）：</w:t>
      </w:r>
    </w:p>
    <w:p>
      <w:pPr>
        <w:pStyle w:val="6"/>
        <w:adjustRightInd w:val="0"/>
        <w:snapToGrid w:val="0"/>
        <w:spacing w:beforeLines="0" w:afterLines="0" w:line="360" w:lineRule="auto"/>
        <w:ind w:firstLine="480" w:firstLineChars="200"/>
        <w:outlineLvl w:val="0"/>
        <w:rPr>
          <w:rFonts w:hint="default" w:ascii="Times New Roman" w:hAnsi="Times New Roman"/>
          <w:b/>
          <w:color w:val="000000" w:themeColor="text1"/>
          <w:sz w:val="32"/>
          <w:szCs w:val="32"/>
          <w14:textFill>
            <w14:solidFill>
              <w14:schemeClr w14:val="tx1"/>
            </w14:solidFill>
          </w14:textFill>
        </w:rPr>
      </w:pPr>
      <w:bookmarkStart w:id="204" w:name="_Toc31392"/>
      <w:bookmarkStart w:id="205" w:name="_Toc14601"/>
      <w:r>
        <w:rPr>
          <w:rFonts w:hint="default" w:ascii="Times New Roman" w:hAnsi="Times New Roman"/>
          <w:color w:val="000000" w:themeColor="text1"/>
          <w:kern w:val="0"/>
          <w14:textFill>
            <w14:solidFill>
              <w14:schemeClr w14:val="tx1"/>
            </w14:solidFill>
          </w14:textFill>
        </w:rPr>
        <w:t>日期：     年  月  日</w:t>
      </w:r>
      <w:bookmarkEnd w:id="204"/>
      <w:bookmarkEnd w:id="205"/>
    </w:p>
    <w:p>
      <w:pPr>
        <w:snapToGrid w:val="0"/>
        <w:spacing w:line="360" w:lineRule="auto"/>
        <w:ind w:firstLine="211" w:firstLineChars="100"/>
        <w:rPr>
          <w:rFonts w:hint="default"/>
          <w:b/>
          <w:bCs/>
          <w:color w:val="000000" w:themeColor="text1"/>
          <w14:textFill>
            <w14:solidFill>
              <w14:schemeClr w14:val="tx1"/>
            </w14:solidFill>
          </w14:textFill>
        </w:rPr>
      </w:pPr>
    </w:p>
    <w:p>
      <w:pPr>
        <w:pStyle w:val="4"/>
        <w:rPr>
          <w:rFonts w:hint="default"/>
          <w:b/>
          <w:bCs/>
          <w:color w:val="000000" w:themeColor="text1"/>
          <w14:textFill>
            <w14:solidFill>
              <w14:schemeClr w14:val="tx1"/>
            </w14:solidFill>
          </w14:textFill>
        </w:rPr>
      </w:pPr>
    </w:p>
    <w:p>
      <w:pPr>
        <w:rPr>
          <w:rFonts w:hint="default"/>
          <w:b/>
          <w:bCs/>
          <w:color w:val="000000" w:themeColor="text1"/>
          <w14:textFill>
            <w14:solidFill>
              <w14:schemeClr w14:val="tx1"/>
            </w14:solidFill>
          </w14:textFill>
        </w:rPr>
      </w:pPr>
    </w:p>
    <w:p>
      <w:pPr>
        <w:pStyle w:val="4"/>
        <w:rPr>
          <w:rFonts w:hint="default"/>
          <w:b/>
          <w:bCs/>
          <w:color w:val="000000" w:themeColor="text1"/>
          <w14:textFill>
            <w14:solidFill>
              <w14:schemeClr w14:val="tx1"/>
            </w14:solidFill>
          </w14:textFill>
        </w:rPr>
      </w:pPr>
    </w:p>
    <w:p>
      <w:pPr>
        <w:rPr>
          <w:rFonts w:hint="default"/>
          <w:b/>
          <w:bCs/>
          <w:color w:val="000000" w:themeColor="text1"/>
          <w14:textFill>
            <w14:solidFill>
              <w14:schemeClr w14:val="tx1"/>
            </w14:solidFill>
          </w14:textFill>
        </w:rPr>
      </w:pPr>
    </w:p>
    <w:p>
      <w:pPr>
        <w:pStyle w:val="4"/>
        <w:rPr>
          <w:rFonts w:hint="default"/>
          <w:b/>
          <w:bCs/>
          <w:color w:val="000000" w:themeColor="text1"/>
          <w14:textFill>
            <w14:solidFill>
              <w14:schemeClr w14:val="tx1"/>
            </w14:solidFill>
          </w14:textFill>
        </w:rPr>
      </w:pPr>
    </w:p>
    <w:p>
      <w:pPr>
        <w:rPr>
          <w:rFonts w:hint="default"/>
          <w:b/>
          <w:bCs/>
          <w:color w:val="000000" w:themeColor="text1"/>
          <w14:textFill>
            <w14:solidFill>
              <w14:schemeClr w14:val="tx1"/>
            </w14:solidFill>
          </w14:textFill>
        </w:rPr>
      </w:pPr>
    </w:p>
    <w:p>
      <w:pPr>
        <w:pStyle w:val="4"/>
        <w:rPr>
          <w:rFonts w:hint="default"/>
          <w:b/>
          <w:bCs/>
          <w:color w:val="000000" w:themeColor="text1"/>
          <w14:textFill>
            <w14:solidFill>
              <w14:schemeClr w14:val="tx1"/>
            </w14:solidFill>
          </w14:textFill>
        </w:rPr>
      </w:pPr>
    </w:p>
    <w:p>
      <w:pPr>
        <w:rPr>
          <w:rFonts w:hint="default"/>
          <w:color w:val="000000" w:themeColor="text1"/>
          <w14:textFill>
            <w14:solidFill>
              <w14:schemeClr w14:val="tx1"/>
            </w14:solidFill>
          </w14:textFill>
        </w:rPr>
      </w:pPr>
    </w:p>
    <w:p>
      <w:pPr>
        <w:pStyle w:val="6"/>
        <w:snapToGrid w:val="0"/>
        <w:spacing w:before="156" w:after="156" w:line="360" w:lineRule="auto"/>
        <w:ind w:firstLine="643" w:firstLineChars="200"/>
        <w:jc w:val="center"/>
        <w:outlineLvl w:val="0"/>
        <w:rPr>
          <w:rFonts w:hint="default" w:hAnsi="宋体"/>
          <w:b/>
          <w:color w:val="000000" w:themeColor="text1"/>
          <w:sz w:val="30"/>
          <w:szCs w:val="30"/>
          <w14:textFill>
            <w14:solidFill>
              <w14:schemeClr w14:val="tx1"/>
            </w14:solidFill>
          </w14:textFill>
        </w:rPr>
      </w:pPr>
      <w:bookmarkStart w:id="206" w:name="_Toc28534"/>
      <w:bookmarkStart w:id="207" w:name="_Toc17423"/>
      <w:bookmarkStart w:id="208" w:name="_Toc12979"/>
      <w:bookmarkStart w:id="209" w:name="_Toc15904"/>
      <w:bookmarkStart w:id="210" w:name="_Toc7951"/>
      <w:bookmarkStart w:id="211" w:name="_Toc15353"/>
      <w:r>
        <w:rPr>
          <w:rFonts w:hint="eastAsia" w:ascii="Times New Roman" w:hAnsi="Times New Roman"/>
          <w:b/>
          <w:color w:val="000000" w:themeColor="text1"/>
          <w:sz w:val="32"/>
          <w:szCs w:val="32"/>
          <w:lang w:val="en-US" w:eastAsia="zh-CN"/>
          <w14:textFill>
            <w14:solidFill>
              <w14:schemeClr w14:val="tx1"/>
            </w14:solidFill>
          </w14:textFill>
        </w:rPr>
        <w:t>五</w:t>
      </w:r>
      <w:r>
        <w:rPr>
          <w:rFonts w:ascii="Times New Roman" w:hAnsi="Times New Roman"/>
          <w:b/>
          <w:color w:val="000000" w:themeColor="text1"/>
          <w:sz w:val="32"/>
          <w:szCs w:val="32"/>
          <w14:textFill>
            <w14:solidFill>
              <w14:schemeClr w14:val="tx1"/>
            </w14:solidFill>
          </w14:textFill>
        </w:rPr>
        <w:t>、项目实施人员</w:t>
      </w:r>
      <w:r>
        <w:rPr>
          <w:rFonts w:hint="default" w:ascii="Times New Roman" w:hAnsi="Times New Roman"/>
          <w:b/>
          <w:color w:val="000000" w:themeColor="text1"/>
          <w:sz w:val="32"/>
          <w:szCs w:val="32"/>
          <w14:textFill>
            <w14:solidFill>
              <w14:schemeClr w14:val="tx1"/>
            </w14:solidFill>
          </w14:textFill>
        </w:rPr>
        <w:t>配备情况</w:t>
      </w:r>
      <w:bookmarkEnd w:id="206"/>
      <w:bookmarkEnd w:id="207"/>
      <w:bookmarkEnd w:id="208"/>
      <w:bookmarkEnd w:id="209"/>
    </w:p>
    <w:p>
      <w:pPr>
        <w:tabs>
          <w:tab w:val="left" w:pos="1418"/>
        </w:tabs>
        <w:snapToGrid w:val="0"/>
        <w:spacing w:before="50" w:after="50" w:line="360" w:lineRule="auto"/>
        <w:rPr>
          <w:rFonts w:hint="default"/>
          <w:color w:val="000000" w:themeColor="text1"/>
          <w:sz w:val="24"/>
          <w:szCs w:val="28"/>
          <w14:textFill>
            <w14:solidFill>
              <w14:schemeClr w14:val="tx1"/>
            </w14:solidFill>
          </w14:textFill>
        </w:rPr>
      </w:pPr>
      <w:r>
        <w:rPr>
          <w:rFonts w:hint="default"/>
          <w:color w:val="000000" w:themeColor="text1"/>
          <w:sz w:val="24"/>
          <w14:textFill>
            <w14:solidFill>
              <w14:schemeClr w14:val="tx1"/>
            </w14:solidFill>
          </w14:textFill>
        </w:rPr>
        <w:t>项目名称：                           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szCs w:val="22"/>
                <w14:textFill>
                  <w14:solidFill>
                    <w14:schemeClr w14:val="tx1"/>
                  </w14:solidFill>
                </w14:textFill>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szCs w:val="22"/>
                <w14:textFill>
                  <w14:solidFill>
                    <w14:schemeClr w14:val="tx1"/>
                  </w14:solidFill>
                </w14:textFill>
              </w:rPr>
              <w:t>职务</w:t>
            </w:r>
          </w:p>
        </w:tc>
        <w:tc>
          <w:tcPr>
            <w:tcW w:w="18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szCs w:val="22"/>
                <w14:textFill>
                  <w14:solidFill>
                    <w14:schemeClr w14:val="tx1"/>
                  </w14:solidFill>
                </w14:textFill>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olor w:val="000000" w:themeColor="text1"/>
                <w:sz w:val="24"/>
                <w14:textFill>
                  <w14:solidFill>
                    <w14:schemeClr w14:val="tx1"/>
                  </w14:solidFill>
                </w14:textFill>
              </w:rPr>
            </w:pPr>
            <w:r>
              <w:rPr>
                <w:rFonts w:ascii="宋体" w:hAnsi="宋体"/>
                <w:color w:val="000000" w:themeColor="text1"/>
                <w:sz w:val="24"/>
                <w:szCs w:val="22"/>
                <w14:textFill>
                  <w14:solidFill>
                    <w14:schemeClr w14:val="tx1"/>
                  </w14:solidFill>
                </w14:textFill>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bCs/>
                <w:color w:val="000000" w:themeColor="text1"/>
                <w:sz w:val="24"/>
                <w14:textFill>
                  <w14:solidFill>
                    <w14:schemeClr w14:val="tx1"/>
                  </w14:solidFill>
                </w14:textFill>
              </w:rPr>
            </w:pPr>
            <w:r>
              <w:rPr>
                <w:rFonts w:ascii="宋体" w:hAnsi="宋体"/>
                <w:bCs/>
                <w:color w:val="000000" w:themeColor="text1"/>
                <w:sz w:val="24"/>
                <w:szCs w:val="22"/>
                <w14:textFill>
                  <w14:solidFill>
                    <w14:schemeClr w14:val="tx1"/>
                  </w14:solidFill>
                </w14:textFill>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pStyle w:val="23"/>
              <w:snapToGrid w:val="0"/>
              <w:spacing w:line="360" w:lineRule="auto"/>
              <w:ind w:left="5250"/>
              <w:rPr>
                <w:rFonts w:hint="default" w:ascii="宋体" w:hAnsi="宋体" w:eastAsia="宋体"/>
                <w:color w:val="000000" w:themeColor="text1"/>
                <w:sz w:val="24"/>
                <w:szCs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6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c>
          <w:tcPr>
            <w:tcW w:w="2218"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default" w:ascii="宋体" w:hAnsi="宋体"/>
                <w:color w:val="000000" w:themeColor="text1"/>
                <w:sz w:val="24"/>
                <w14:textFill>
                  <w14:solidFill>
                    <w14:schemeClr w14:val="tx1"/>
                  </w14:solidFill>
                </w14:textFill>
              </w:rPr>
            </w:pPr>
          </w:p>
        </w:tc>
      </w:tr>
    </w:tbl>
    <w:p>
      <w:pPr>
        <w:snapToGrid w:val="0"/>
        <w:spacing w:line="360" w:lineRule="auto"/>
        <w:jc w:val="left"/>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注：在填写时，如本表格不适合供应商的实际情况，可根据本表格式自行划表填写。</w:t>
      </w:r>
    </w:p>
    <w:p>
      <w:pPr>
        <w:snapToGrid w:val="0"/>
        <w:spacing w:line="360" w:lineRule="auto"/>
        <w:rPr>
          <w:rFonts w:hint="default" w:ascii="宋体" w:hAnsi="宋体"/>
          <w:color w:val="000000" w:themeColor="text1"/>
          <w:sz w:val="24"/>
          <w14:textFill>
            <w14:solidFill>
              <w14:schemeClr w14:val="tx1"/>
            </w14:solidFill>
          </w14:textFill>
        </w:rPr>
      </w:pPr>
    </w:p>
    <w:bookmarkEnd w:id="210"/>
    <w:p>
      <w:pPr>
        <w:adjustRightInd w:val="0"/>
        <w:snapToGrid w:val="0"/>
        <w:spacing w:line="360" w:lineRule="auto"/>
        <w:ind w:firstLine="480" w:firstLineChars="200"/>
        <w:rPr>
          <w:rFonts w:hint="default"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lang w:val="zh-CN"/>
          <w14:textFill>
            <w14:solidFill>
              <w14:schemeClr w14:val="tx1"/>
            </w14:solidFill>
          </w14:textFill>
        </w:rPr>
        <w:t>电子签名/公章</w:t>
      </w:r>
      <w:r>
        <w:rPr>
          <w:rFonts w:ascii="宋体" w:hAnsi="宋体" w:cs="宋体"/>
          <w:color w:val="000000" w:themeColor="text1"/>
          <w:kern w:val="0"/>
          <w:sz w:val="24"/>
          <w14:textFill>
            <w14:solidFill>
              <w14:schemeClr w14:val="tx1"/>
            </w14:solidFill>
          </w14:textFill>
        </w:rPr>
        <w:t>）：</w:t>
      </w:r>
    </w:p>
    <w:p>
      <w:pPr>
        <w:widowControl/>
        <w:adjustRightInd w:val="0"/>
        <w:snapToGrid w:val="0"/>
        <w:spacing w:line="360" w:lineRule="auto"/>
        <w:ind w:firstLine="480" w:firstLineChars="200"/>
        <w:jc w:val="left"/>
        <w:rPr>
          <w:rFonts w:hint="default"/>
          <w:color w:val="000000" w:themeColor="text1"/>
          <w:kern w:val="0"/>
          <w:sz w:val="24"/>
          <w14:textFill>
            <w14:solidFill>
              <w14:schemeClr w14:val="tx1"/>
            </w14:solidFill>
          </w14:textFill>
        </w:rPr>
      </w:pPr>
      <w:r>
        <w:rPr>
          <w:rFonts w:hint="default"/>
          <w:color w:val="000000" w:themeColor="text1"/>
          <w:kern w:val="0"/>
          <w:sz w:val="24"/>
          <w14:textFill>
            <w14:solidFill>
              <w14:schemeClr w14:val="tx1"/>
            </w14:solidFill>
          </w14:textFill>
        </w:rPr>
        <w:t>法定代表人或其授权代表（签字或盖章）：</w:t>
      </w:r>
    </w:p>
    <w:p>
      <w:pPr>
        <w:pStyle w:val="6"/>
        <w:adjustRightInd w:val="0"/>
        <w:snapToGrid w:val="0"/>
        <w:spacing w:beforeLines="0" w:afterLines="0" w:line="360" w:lineRule="auto"/>
        <w:ind w:firstLine="480" w:firstLineChars="200"/>
        <w:outlineLvl w:val="0"/>
        <w:rPr>
          <w:rFonts w:hint="default" w:ascii="Times New Roman" w:hAnsi="Times New Roman"/>
          <w:color w:val="000000" w:themeColor="text1"/>
          <w:kern w:val="0"/>
          <w14:textFill>
            <w14:solidFill>
              <w14:schemeClr w14:val="tx1"/>
            </w14:solidFill>
          </w14:textFill>
        </w:rPr>
      </w:pPr>
      <w:bookmarkStart w:id="212" w:name="_Toc15132"/>
      <w:bookmarkStart w:id="213" w:name="_Toc26414"/>
      <w:r>
        <w:rPr>
          <w:rFonts w:hint="default" w:ascii="Times New Roman" w:hAnsi="Times New Roman"/>
          <w:color w:val="000000" w:themeColor="text1"/>
          <w:kern w:val="0"/>
          <w14:textFill>
            <w14:solidFill>
              <w14:schemeClr w14:val="tx1"/>
            </w14:solidFill>
          </w14:textFill>
        </w:rPr>
        <w:t>日期：     年  月  日</w:t>
      </w:r>
      <w:bookmarkEnd w:id="140"/>
      <w:bookmarkEnd w:id="211"/>
      <w:bookmarkEnd w:id="212"/>
      <w:bookmarkEnd w:id="213"/>
    </w:p>
    <w:p>
      <w:pPr>
        <w:rPr>
          <w:rFonts w:hint="default"/>
          <w:color w:val="000000" w:themeColor="text1"/>
          <w:kern w:val="0"/>
          <w14:textFill>
            <w14:solidFill>
              <w14:schemeClr w14:val="tx1"/>
            </w14:solidFill>
          </w14:textFill>
        </w:rPr>
      </w:pPr>
      <w:r>
        <w:rPr>
          <w:rFonts w:hint="default"/>
          <w:color w:val="000000" w:themeColor="text1"/>
          <w:kern w:val="0"/>
          <w14:textFill>
            <w14:solidFill>
              <w14:schemeClr w14:val="tx1"/>
            </w14:solidFill>
          </w14:textFill>
        </w:rPr>
        <w:br w:type="page"/>
      </w:r>
    </w:p>
    <w:p>
      <w:pPr>
        <w:jc w:val="center"/>
        <w:rPr>
          <w:rFonts w:hint="default"/>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六</w:t>
      </w:r>
      <w:r>
        <w:rPr>
          <w:b/>
          <w:color w:val="000000" w:themeColor="text1"/>
          <w:sz w:val="32"/>
          <w:szCs w:val="32"/>
          <w14:textFill>
            <w14:solidFill>
              <w14:schemeClr w14:val="tx1"/>
            </w14:solidFill>
          </w14:textFill>
        </w:rPr>
        <w:t>、技术服务方案等</w:t>
      </w:r>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93" w:csb1="00000000"/>
  </w:font>
  <w:font w:name="??">
    <w:altName w:val="Cambria"/>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6"/>
        <w:rFonts w:hint="default"/>
      </w:rPr>
    </w:pPr>
    <w:r>
      <w:fldChar w:fldCharType="begin"/>
    </w:r>
    <w:r>
      <w:rPr>
        <w:rStyle w:val="46"/>
      </w:rPr>
      <w:instrText xml:space="preserve">PAGE  </w:instrText>
    </w:r>
    <w:r>
      <w:fldChar w:fldCharType="end"/>
    </w:r>
  </w:p>
  <w:p>
    <w:pPr>
      <w:pStyle w:val="26"/>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default"/>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6"/>
                      <w:rPr>
                        <w:rFonts w:hint="default"/>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default"/>
                            </w:rPr>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6"/>
                      <w:rPr>
                        <w:rFonts w:hint="default"/>
                      </w:rPr>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0"/>
        <w:rPr>
          <w:rFonts w:hint="default"/>
        </w:rPr>
      </w:pPr>
      <w:r>
        <w:rPr>
          <w:rStyle w:val="50"/>
          <w:rFonts w:hint="eastAsia"/>
        </w:rPr>
        <w:footnoteRef/>
      </w:r>
      <w:r>
        <w:rPr>
          <w:rFonts w:ascii="宋体" w:hAnsi="宋体"/>
          <w:sz w:val="21"/>
        </w:rPr>
        <w:t>从业人员、营业收入、资产总额填报上一年度数据，无上一年度数据的新成立企业可不填报。</w:t>
      </w:r>
    </w:p>
  </w:footnote>
  <w:footnote w:id="1">
    <w:p>
      <w:pPr>
        <w:pStyle w:val="30"/>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2503"/>
      </w:tab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C22790EE"/>
    <w:multiLevelType w:val="singleLevel"/>
    <w:tmpl w:val="C22790EE"/>
    <w:lvl w:ilvl="0" w:tentative="0">
      <w:start w:val="1"/>
      <w:numFmt w:val="decimal"/>
      <w:suff w:val="nothing"/>
      <w:lvlText w:val="%1、"/>
      <w:lvlJc w:val="left"/>
    </w:lvl>
  </w:abstractNum>
  <w:abstractNum w:abstractNumId="2">
    <w:nsid w:val="F085CC97"/>
    <w:multiLevelType w:val="singleLevel"/>
    <w:tmpl w:val="F085CC97"/>
    <w:lvl w:ilvl="0" w:tentative="0">
      <w:start w:val="1"/>
      <w:numFmt w:val="decimal"/>
      <w:suff w:val="space"/>
      <w:lvlText w:val="%1."/>
      <w:lvlJc w:val="left"/>
    </w:lvl>
  </w:abstractNum>
  <w:abstractNum w:abstractNumId="3">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4">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A9EB6E9"/>
    <w:multiLevelType w:val="singleLevel"/>
    <w:tmpl w:val="1A9EB6E9"/>
    <w:lvl w:ilvl="0" w:tentative="0">
      <w:start w:val="5"/>
      <w:numFmt w:val="chineseCounting"/>
      <w:suff w:val="nothing"/>
      <w:lvlText w:val="%1、"/>
      <w:lvlJc w:val="left"/>
      <w:rPr>
        <w:rFonts w:hint="eastAsia"/>
      </w:rPr>
    </w:lvl>
  </w:abstractNum>
  <w:abstractNum w:abstractNumId="6">
    <w:nsid w:val="201E9B8E"/>
    <w:multiLevelType w:val="singleLevel"/>
    <w:tmpl w:val="201E9B8E"/>
    <w:lvl w:ilvl="0" w:tentative="0">
      <w:start w:val="6"/>
      <w:numFmt w:val="decimal"/>
      <w:lvlText w:val="%1."/>
      <w:lvlJc w:val="left"/>
      <w:pPr>
        <w:tabs>
          <w:tab w:val="left" w:pos="312"/>
        </w:tabs>
      </w:p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2Y2ZDc3YjBjZWEwNDM5ZTJmNmViNDI4YTU1ZTcifQ=="/>
  </w:docVars>
  <w:rsids>
    <w:rsidRoot w:val="00172A27"/>
    <w:rsid w:val="00000CF0"/>
    <w:rsid w:val="00017B35"/>
    <w:rsid w:val="00060DEA"/>
    <w:rsid w:val="00061E29"/>
    <w:rsid w:val="00063A32"/>
    <w:rsid w:val="00071F24"/>
    <w:rsid w:val="000B62B3"/>
    <w:rsid w:val="00147315"/>
    <w:rsid w:val="00172A27"/>
    <w:rsid w:val="00186A20"/>
    <w:rsid w:val="00187265"/>
    <w:rsid w:val="00192295"/>
    <w:rsid w:val="001D7B3D"/>
    <w:rsid w:val="00232CF9"/>
    <w:rsid w:val="00256141"/>
    <w:rsid w:val="00257139"/>
    <w:rsid w:val="00266B2C"/>
    <w:rsid w:val="002A204B"/>
    <w:rsid w:val="002A6FE6"/>
    <w:rsid w:val="002C7BEE"/>
    <w:rsid w:val="00335DB5"/>
    <w:rsid w:val="0033648A"/>
    <w:rsid w:val="00357845"/>
    <w:rsid w:val="00375761"/>
    <w:rsid w:val="0038124F"/>
    <w:rsid w:val="003855EE"/>
    <w:rsid w:val="00385913"/>
    <w:rsid w:val="003A48FA"/>
    <w:rsid w:val="003C468C"/>
    <w:rsid w:val="003D21B2"/>
    <w:rsid w:val="00440A1B"/>
    <w:rsid w:val="004519A6"/>
    <w:rsid w:val="00471626"/>
    <w:rsid w:val="0047571A"/>
    <w:rsid w:val="004D31D6"/>
    <w:rsid w:val="004F7426"/>
    <w:rsid w:val="00505BB1"/>
    <w:rsid w:val="005C22E5"/>
    <w:rsid w:val="005D3090"/>
    <w:rsid w:val="00610597"/>
    <w:rsid w:val="00653455"/>
    <w:rsid w:val="00676462"/>
    <w:rsid w:val="006D0CE9"/>
    <w:rsid w:val="007541E1"/>
    <w:rsid w:val="00756585"/>
    <w:rsid w:val="00770788"/>
    <w:rsid w:val="00790FEB"/>
    <w:rsid w:val="00840507"/>
    <w:rsid w:val="008C1780"/>
    <w:rsid w:val="008E47F1"/>
    <w:rsid w:val="009B3F30"/>
    <w:rsid w:val="009B5CC3"/>
    <w:rsid w:val="00A06E5E"/>
    <w:rsid w:val="00A33A81"/>
    <w:rsid w:val="00A437CF"/>
    <w:rsid w:val="00B22D5D"/>
    <w:rsid w:val="00B2306A"/>
    <w:rsid w:val="00B67D8C"/>
    <w:rsid w:val="00B734E3"/>
    <w:rsid w:val="00BB5E3B"/>
    <w:rsid w:val="00C114BC"/>
    <w:rsid w:val="00C16CC8"/>
    <w:rsid w:val="00C23986"/>
    <w:rsid w:val="00CB7244"/>
    <w:rsid w:val="00CD0778"/>
    <w:rsid w:val="00CF0661"/>
    <w:rsid w:val="00D30AC5"/>
    <w:rsid w:val="00D34D64"/>
    <w:rsid w:val="00D35156"/>
    <w:rsid w:val="00D62790"/>
    <w:rsid w:val="00D6509B"/>
    <w:rsid w:val="00D966AA"/>
    <w:rsid w:val="00DC41E6"/>
    <w:rsid w:val="00DF5CC1"/>
    <w:rsid w:val="00E1659E"/>
    <w:rsid w:val="00E618D1"/>
    <w:rsid w:val="00E8339F"/>
    <w:rsid w:val="00F02267"/>
    <w:rsid w:val="00F145D8"/>
    <w:rsid w:val="00F30074"/>
    <w:rsid w:val="00F536FD"/>
    <w:rsid w:val="00FB4D6E"/>
    <w:rsid w:val="010A29DC"/>
    <w:rsid w:val="011C44BE"/>
    <w:rsid w:val="01402D08"/>
    <w:rsid w:val="0141732B"/>
    <w:rsid w:val="01633E9B"/>
    <w:rsid w:val="01695955"/>
    <w:rsid w:val="017A1732"/>
    <w:rsid w:val="01837CD8"/>
    <w:rsid w:val="0187402D"/>
    <w:rsid w:val="018F4C90"/>
    <w:rsid w:val="01901FC8"/>
    <w:rsid w:val="01B12E58"/>
    <w:rsid w:val="01B82438"/>
    <w:rsid w:val="01BF64E7"/>
    <w:rsid w:val="01CA07D3"/>
    <w:rsid w:val="01D51CCD"/>
    <w:rsid w:val="023139F3"/>
    <w:rsid w:val="02385327"/>
    <w:rsid w:val="023D5146"/>
    <w:rsid w:val="027768E1"/>
    <w:rsid w:val="02796C38"/>
    <w:rsid w:val="028247F4"/>
    <w:rsid w:val="02A93B2F"/>
    <w:rsid w:val="02B20C36"/>
    <w:rsid w:val="02B26E88"/>
    <w:rsid w:val="02B53D64"/>
    <w:rsid w:val="02B82105"/>
    <w:rsid w:val="02C46BBB"/>
    <w:rsid w:val="02C62933"/>
    <w:rsid w:val="02CE17E8"/>
    <w:rsid w:val="02D0684A"/>
    <w:rsid w:val="02E451BA"/>
    <w:rsid w:val="03047D0A"/>
    <w:rsid w:val="03064E9C"/>
    <w:rsid w:val="030B47EA"/>
    <w:rsid w:val="03103BAE"/>
    <w:rsid w:val="035E6D97"/>
    <w:rsid w:val="03631C6C"/>
    <w:rsid w:val="0363562F"/>
    <w:rsid w:val="036A549B"/>
    <w:rsid w:val="038A4125"/>
    <w:rsid w:val="039B3DC0"/>
    <w:rsid w:val="039D6F65"/>
    <w:rsid w:val="03D25B2B"/>
    <w:rsid w:val="03FE4564"/>
    <w:rsid w:val="04056117"/>
    <w:rsid w:val="04133868"/>
    <w:rsid w:val="046046C1"/>
    <w:rsid w:val="04852E26"/>
    <w:rsid w:val="049E4E62"/>
    <w:rsid w:val="04C510B5"/>
    <w:rsid w:val="04D550AF"/>
    <w:rsid w:val="04D8694E"/>
    <w:rsid w:val="04F66779"/>
    <w:rsid w:val="04FC007E"/>
    <w:rsid w:val="05252C5E"/>
    <w:rsid w:val="05355B4E"/>
    <w:rsid w:val="053C512E"/>
    <w:rsid w:val="053E7D66"/>
    <w:rsid w:val="05485881"/>
    <w:rsid w:val="054951E7"/>
    <w:rsid w:val="0550096B"/>
    <w:rsid w:val="05526CCF"/>
    <w:rsid w:val="056703FD"/>
    <w:rsid w:val="057448C8"/>
    <w:rsid w:val="057F32BF"/>
    <w:rsid w:val="058D756E"/>
    <w:rsid w:val="05C018BB"/>
    <w:rsid w:val="05D84E57"/>
    <w:rsid w:val="05EE64A2"/>
    <w:rsid w:val="06314A49"/>
    <w:rsid w:val="0639341C"/>
    <w:rsid w:val="063B53E6"/>
    <w:rsid w:val="063D2F0C"/>
    <w:rsid w:val="064A5629"/>
    <w:rsid w:val="065164BA"/>
    <w:rsid w:val="067D31FD"/>
    <w:rsid w:val="067F1777"/>
    <w:rsid w:val="06826D92"/>
    <w:rsid w:val="06B26EBB"/>
    <w:rsid w:val="06BA630B"/>
    <w:rsid w:val="070677A2"/>
    <w:rsid w:val="070D0B30"/>
    <w:rsid w:val="0717488F"/>
    <w:rsid w:val="071A5B9D"/>
    <w:rsid w:val="071C5B60"/>
    <w:rsid w:val="071F1AD0"/>
    <w:rsid w:val="0725607B"/>
    <w:rsid w:val="072F4F4B"/>
    <w:rsid w:val="073B57B2"/>
    <w:rsid w:val="075C5614"/>
    <w:rsid w:val="0778493C"/>
    <w:rsid w:val="077B7A4A"/>
    <w:rsid w:val="0781507A"/>
    <w:rsid w:val="07CF5DE6"/>
    <w:rsid w:val="07E15B19"/>
    <w:rsid w:val="07E775D3"/>
    <w:rsid w:val="07F67816"/>
    <w:rsid w:val="07FB4C26"/>
    <w:rsid w:val="081C55C3"/>
    <w:rsid w:val="08273E74"/>
    <w:rsid w:val="082A1FB5"/>
    <w:rsid w:val="084550F1"/>
    <w:rsid w:val="08544830"/>
    <w:rsid w:val="08617538"/>
    <w:rsid w:val="086C1887"/>
    <w:rsid w:val="08780AB9"/>
    <w:rsid w:val="089F7EAE"/>
    <w:rsid w:val="08B576D2"/>
    <w:rsid w:val="08C9485C"/>
    <w:rsid w:val="08DB1294"/>
    <w:rsid w:val="08F73242"/>
    <w:rsid w:val="091F4B4B"/>
    <w:rsid w:val="095347F5"/>
    <w:rsid w:val="09684744"/>
    <w:rsid w:val="0969226A"/>
    <w:rsid w:val="097224BA"/>
    <w:rsid w:val="097A4477"/>
    <w:rsid w:val="09AA2BE2"/>
    <w:rsid w:val="09B434E5"/>
    <w:rsid w:val="0A0B49FE"/>
    <w:rsid w:val="0A12645E"/>
    <w:rsid w:val="0A2148F3"/>
    <w:rsid w:val="0A372641"/>
    <w:rsid w:val="0A430D0D"/>
    <w:rsid w:val="0A56459C"/>
    <w:rsid w:val="0A592D6E"/>
    <w:rsid w:val="0A631D8B"/>
    <w:rsid w:val="0A8514D0"/>
    <w:rsid w:val="0A876E4C"/>
    <w:rsid w:val="0A90542F"/>
    <w:rsid w:val="0AA73327"/>
    <w:rsid w:val="0AAE316A"/>
    <w:rsid w:val="0AE778EA"/>
    <w:rsid w:val="0B006553"/>
    <w:rsid w:val="0B0C7351"/>
    <w:rsid w:val="0B185CF6"/>
    <w:rsid w:val="0B340293"/>
    <w:rsid w:val="0B3B3636"/>
    <w:rsid w:val="0B603053"/>
    <w:rsid w:val="0B726B07"/>
    <w:rsid w:val="0B8B471A"/>
    <w:rsid w:val="0B99439B"/>
    <w:rsid w:val="0BAF665A"/>
    <w:rsid w:val="0BC11A63"/>
    <w:rsid w:val="0BC33EB3"/>
    <w:rsid w:val="0BC83278"/>
    <w:rsid w:val="0BCB4B16"/>
    <w:rsid w:val="0BD240F7"/>
    <w:rsid w:val="0BFA6C8D"/>
    <w:rsid w:val="0C3B6140"/>
    <w:rsid w:val="0C3C77C2"/>
    <w:rsid w:val="0C476893"/>
    <w:rsid w:val="0C7B27F2"/>
    <w:rsid w:val="0CA81D50"/>
    <w:rsid w:val="0CCA1272"/>
    <w:rsid w:val="0CDE03B5"/>
    <w:rsid w:val="0CE802C6"/>
    <w:rsid w:val="0CEC568C"/>
    <w:rsid w:val="0D160B7F"/>
    <w:rsid w:val="0D1B387B"/>
    <w:rsid w:val="0D2564A8"/>
    <w:rsid w:val="0D6E60A1"/>
    <w:rsid w:val="0D7A67F4"/>
    <w:rsid w:val="0D7B5914"/>
    <w:rsid w:val="0D841421"/>
    <w:rsid w:val="0D8C1EA0"/>
    <w:rsid w:val="0D8F3BB6"/>
    <w:rsid w:val="0D951880"/>
    <w:rsid w:val="0D9B0DE1"/>
    <w:rsid w:val="0DA25D4B"/>
    <w:rsid w:val="0DB37F58"/>
    <w:rsid w:val="0E056A05"/>
    <w:rsid w:val="0E1F26BA"/>
    <w:rsid w:val="0E4F1AA1"/>
    <w:rsid w:val="0E517949"/>
    <w:rsid w:val="0E6C1D49"/>
    <w:rsid w:val="0E8D07A9"/>
    <w:rsid w:val="0EA24248"/>
    <w:rsid w:val="0EA62201"/>
    <w:rsid w:val="0EF00B77"/>
    <w:rsid w:val="0F522275"/>
    <w:rsid w:val="0F694D72"/>
    <w:rsid w:val="0F737149"/>
    <w:rsid w:val="0F7C6E4E"/>
    <w:rsid w:val="0F7F287D"/>
    <w:rsid w:val="0F8256FA"/>
    <w:rsid w:val="0FA111A8"/>
    <w:rsid w:val="0FA45DAA"/>
    <w:rsid w:val="0FBA1C6F"/>
    <w:rsid w:val="0FED1786"/>
    <w:rsid w:val="10294501"/>
    <w:rsid w:val="1030763E"/>
    <w:rsid w:val="10321608"/>
    <w:rsid w:val="103C29BD"/>
    <w:rsid w:val="1052010F"/>
    <w:rsid w:val="10945E1E"/>
    <w:rsid w:val="10BD35C7"/>
    <w:rsid w:val="10E24DDC"/>
    <w:rsid w:val="10FD1C16"/>
    <w:rsid w:val="110805BA"/>
    <w:rsid w:val="11250D18"/>
    <w:rsid w:val="11345FF6"/>
    <w:rsid w:val="1154735C"/>
    <w:rsid w:val="115701E6"/>
    <w:rsid w:val="115E652A"/>
    <w:rsid w:val="117B75CD"/>
    <w:rsid w:val="1194451A"/>
    <w:rsid w:val="11B52E1D"/>
    <w:rsid w:val="11B5429E"/>
    <w:rsid w:val="11C849EC"/>
    <w:rsid w:val="11CD7E8E"/>
    <w:rsid w:val="11DF131B"/>
    <w:rsid w:val="11EC3A38"/>
    <w:rsid w:val="121E62E8"/>
    <w:rsid w:val="123C676E"/>
    <w:rsid w:val="124E53FA"/>
    <w:rsid w:val="125E66E4"/>
    <w:rsid w:val="126E0DF3"/>
    <w:rsid w:val="12850115"/>
    <w:rsid w:val="1289304B"/>
    <w:rsid w:val="129C545E"/>
    <w:rsid w:val="12AD31C8"/>
    <w:rsid w:val="12C02EFB"/>
    <w:rsid w:val="12F26E2C"/>
    <w:rsid w:val="12F40DF6"/>
    <w:rsid w:val="12FA4174"/>
    <w:rsid w:val="130D3C66"/>
    <w:rsid w:val="132D6C5C"/>
    <w:rsid w:val="13312989"/>
    <w:rsid w:val="134578A4"/>
    <w:rsid w:val="134A6C68"/>
    <w:rsid w:val="13566C00"/>
    <w:rsid w:val="136046DE"/>
    <w:rsid w:val="13BC25A6"/>
    <w:rsid w:val="13D21C0B"/>
    <w:rsid w:val="13DB3D64"/>
    <w:rsid w:val="14004427"/>
    <w:rsid w:val="140B63F8"/>
    <w:rsid w:val="140E7C96"/>
    <w:rsid w:val="141F6347"/>
    <w:rsid w:val="143F60A1"/>
    <w:rsid w:val="144C6A0A"/>
    <w:rsid w:val="146167AA"/>
    <w:rsid w:val="14643D5A"/>
    <w:rsid w:val="146855F8"/>
    <w:rsid w:val="147E4E1C"/>
    <w:rsid w:val="14A979BF"/>
    <w:rsid w:val="14D9299B"/>
    <w:rsid w:val="14E96F1B"/>
    <w:rsid w:val="14EF7AC7"/>
    <w:rsid w:val="150B2427"/>
    <w:rsid w:val="150E796B"/>
    <w:rsid w:val="1519603C"/>
    <w:rsid w:val="152754B3"/>
    <w:rsid w:val="152A0AFF"/>
    <w:rsid w:val="15543DCE"/>
    <w:rsid w:val="15591DB4"/>
    <w:rsid w:val="15784C1B"/>
    <w:rsid w:val="159D60C5"/>
    <w:rsid w:val="15C4574E"/>
    <w:rsid w:val="15DE2DF5"/>
    <w:rsid w:val="15EC6D0A"/>
    <w:rsid w:val="15FF1F8C"/>
    <w:rsid w:val="160532E6"/>
    <w:rsid w:val="162714E3"/>
    <w:rsid w:val="163A2FC4"/>
    <w:rsid w:val="163D2AB4"/>
    <w:rsid w:val="167C0626"/>
    <w:rsid w:val="168F2A1B"/>
    <w:rsid w:val="169E1486"/>
    <w:rsid w:val="16AF6C42"/>
    <w:rsid w:val="16C64858"/>
    <w:rsid w:val="16DC051F"/>
    <w:rsid w:val="17367C2F"/>
    <w:rsid w:val="173E4D36"/>
    <w:rsid w:val="1776627E"/>
    <w:rsid w:val="17885FB1"/>
    <w:rsid w:val="17964BA4"/>
    <w:rsid w:val="17A0779F"/>
    <w:rsid w:val="17B033B3"/>
    <w:rsid w:val="17B91C41"/>
    <w:rsid w:val="17BB6C04"/>
    <w:rsid w:val="17CA3064"/>
    <w:rsid w:val="17D17958"/>
    <w:rsid w:val="18115297"/>
    <w:rsid w:val="18280199"/>
    <w:rsid w:val="185D743E"/>
    <w:rsid w:val="18626802"/>
    <w:rsid w:val="188E0FDD"/>
    <w:rsid w:val="18C740C2"/>
    <w:rsid w:val="18CA357C"/>
    <w:rsid w:val="190A3122"/>
    <w:rsid w:val="190C006F"/>
    <w:rsid w:val="19126797"/>
    <w:rsid w:val="193C65EA"/>
    <w:rsid w:val="1953608D"/>
    <w:rsid w:val="19653979"/>
    <w:rsid w:val="1981715C"/>
    <w:rsid w:val="19BC6CBC"/>
    <w:rsid w:val="19BD63E6"/>
    <w:rsid w:val="19C3097F"/>
    <w:rsid w:val="19FB4FF9"/>
    <w:rsid w:val="19FC0EA3"/>
    <w:rsid w:val="1A044015"/>
    <w:rsid w:val="1A363BA1"/>
    <w:rsid w:val="1A453E74"/>
    <w:rsid w:val="1A526FE4"/>
    <w:rsid w:val="1A554870"/>
    <w:rsid w:val="1A600746"/>
    <w:rsid w:val="1A703458"/>
    <w:rsid w:val="1A933BF8"/>
    <w:rsid w:val="1A9A6727"/>
    <w:rsid w:val="1AFD4F2D"/>
    <w:rsid w:val="1B000A4D"/>
    <w:rsid w:val="1B320121"/>
    <w:rsid w:val="1B3C333B"/>
    <w:rsid w:val="1B486183"/>
    <w:rsid w:val="1B5E7A18"/>
    <w:rsid w:val="1B601107"/>
    <w:rsid w:val="1BAF7FB0"/>
    <w:rsid w:val="1BB15657"/>
    <w:rsid w:val="1BBB515F"/>
    <w:rsid w:val="1BC11A92"/>
    <w:rsid w:val="1BC81072"/>
    <w:rsid w:val="1BD417C5"/>
    <w:rsid w:val="1BD712B5"/>
    <w:rsid w:val="1C05309F"/>
    <w:rsid w:val="1C112A19"/>
    <w:rsid w:val="1C352AF7"/>
    <w:rsid w:val="1C56667E"/>
    <w:rsid w:val="1C601445"/>
    <w:rsid w:val="1C6E39C8"/>
    <w:rsid w:val="1C8A6328"/>
    <w:rsid w:val="1C980A44"/>
    <w:rsid w:val="1CA6062E"/>
    <w:rsid w:val="1CB77386"/>
    <w:rsid w:val="1CC21F65"/>
    <w:rsid w:val="1CDD28FB"/>
    <w:rsid w:val="1D225E65"/>
    <w:rsid w:val="1D305121"/>
    <w:rsid w:val="1D392227"/>
    <w:rsid w:val="1D522301"/>
    <w:rsid w:val="1D5801D4"/>
    <w:rsid w:val="1D5E41C9"/>
    <w:rsid w:val="1D6E79F7"/>
    <w:rsid w:val="1D790876"/>
    <w:rsid w:val="1D7E7C3A"/>
    <w:rsid w:val="1DFD5239"/>
    <w:rsid w:val="1DFE18A8"/>
    <w:rsid w:val="1E01086B"/>
    <w:rsid w:val="1E0A7BA4"/>
    <w:rsid w:val="1E107C7E"/>
    <w:rsid w:val="1E2C7696"/>
    <w:rsid w:val="1E6F1C79"/>
    <w:rsid w:val="1E763007"/>
    <w:rsid w:val="1E85149C"/>
    <w:rsid w:val="1E8829F7"/>
    <w:rsid w:val="1E9E60BA"/>
    <w:rsid w:val="1EE2069D"/>
    <w:rsid w:val="1EEC1EBD"/>
    <w:rsid w:val="1F4C5B16"/>
    <w:rsid w:val="1F5307B6"/>
    <w:rsid w:val="1F530CDA"/>
    <w:rsid w:val="1F6254E4"/>
    <w:rsid w:val="1F642E60"/>
    <w:rsid w:val="1F6B68E4"/>
    <w:rsid w:val="1F7237CF"/>
    <w:rsid w:val="1F7C289F"/>
    <w:rsid w:val="1F7F63B0"/>
    <w:rsid w:val="1F9D6372"/>
    <w:rsid w:val="1FBF6637"/>
    <w:rsid w:val="1FCC0CA0"/>
    <w:rsid w:val="20085EE1"/>
    <w:rsid w:val="201137B3"/>
    <w:rsid w:val="201326D4"/>
    <w:rsid w:val="204F1D62"/>
    <w:rsid w:val="20621A95"/>
    <w:rsid w:val="206A6B9C"/>
    <w:rsid w:val="20D54C81"/>
    <w:rsid w:val="20DA787E"/>
    <w:rsid w:val="20E424AA"/>
    <w:rsid w:val="20F12E19"/>
    <w:rsid w:val="2100305C"/>
    <w:rsid w:val="210439D2"/>
    <w:rsid w:val="21127DD7"/>
    <w:rsid w:val="213347C0"/>
    <w:rsid w:val="213A5DCC"/>
    <w:rsid w:val="213D0D46"/>
    <w:rsid w:val="215C0A16"/>
    <w:rsid w:val="21604622"/>
    <w:rsid w:val="21657114"/>
    <w:rsid w:val="21BA6626"/>
    <w:rsid w:val="21DD6DE7"/>
    <w:rsid w:val="21E40288"/>
    <w:rsid w:val="21F26E49"/>
    <w:rsid w:val="22015A34"/>
    <w:rsid w:val="22456F79"/>
    <w:rsid w:val="22541CC2"/>
    <w:rsid w:val="22612CC2"/>
    <w:rsid w:val="226640C8"/>
    <w:rsid w:val="227C6FEA"/>
    <w:rsid w:val="228522AC"/>
    <w:rsid w:val="228B669A"/>
    <w:rsid w:val="22BB548D"/>
    <w:rsid w:val="22C04851"/>
    <w:rsid w:val="22C72083"/>
    <w:rsid w:val="23046E34"/>
    <w:rsid w:val="23272B22"/>
    <w:rsid w:val="232B0864"/>
    <w:rsid w:val="23377209"/>
    <w:rsid w:val="2338088B"/>
    <w:rsid w:val="236553F8"/>
    <w:rsid w:val="23742F66"/>
    <w:rsid w:val="23750B7B"/>
    <w:rsid w:val="23775858"/>
    <w:rsid w:val="23887A65"/>
    <w:rsid w:val="23A423C5"/>
    <w:rsid w:val="23E168A8"/>
    <w:rsid w:val="23F06D9B"/>
    <w:rsid w:val="24060D92"/>
    <w:rsid w:val="24294678"/>
    <w:rsid w:val="243C436C"/>
    <w:rsid w:val="245B0CD5"/>
    <w:rsid w:val="246A0F18"/>
    <w:rsid w:val="246D27B7"/>
    <w:rsid w:val="24773635"/>
    <w:rsid w:val="247C6164"/>
    <w:rsid w:val="247F0237"/>
    <w:rsid w:val="24A94DE7"/>
    <w:rsid w:val="250A3363"/>
    <w:rsid w:val="2512195F"/>
    <w:rsid w:val="25151C9F"/>
    <w:rsid w:val="25325BEA"/>
    <w:rsid w:val="255B6AB3"/>
    <w:rsid w:val="257D00DA"/>
    <w:rsid w:val="25A33D1C"/>
    <w:rsid w:val="25AC730F"/>
    <w:rsid w:val="25D05DE9"/>
    <w:rsid w:val="25DE062A"/>
    <w:rsid w:val="25FC764B"/>
    <w:rsid w:val="25FF2BAC"/>
    <w:rsid w:val="260C2968"/>
    <w:rsid w:val="26394FB6"/>
    <w:rsid w:val="267111C5"/>
    <w:rsid w:val="267F74F6"/>
    <w:rsid w:val="26AC17FC"/>
    <w:rsid w:val="26BB2626"/>
    <w:rsid w:val="26D87BBC"/>
    <w:rsid w:val="26D97E39"/>
    <w:rsid w:val="26DD00C8"/>
    <w:rsid w:val="26E256DE"/>
    <w:rsid w:val="26EF7DFB"/>
    <w:rsid w:val="271D04C4"/>
    <w:rsid w:val="27436541"/>
    <w:rsid w:val="27441EF5"/>
    <w:rsid w:val="276318B8"/>
    <w:rsid w:val="276F74CA"/>
    <w:rsid w:val="277771ED"/>
    <w:rsid w:val="279938C3"/>
    <w:rsid w:val="27C06CFE"/>
    <w:rsid w:val="27C2753A"/>
    <w:rsid w:val="27CC3C98"/>
    <w:rsid w:val="27F7257B"/>
    <w:rsid w:val="28096C9A"/>
    <w:rsid w:val="280D678A"/>
    <w:rsid w:val="281E2746"/>
    <w:rsid w:val="28414100"/>
    <w:rsid w:val="286C3BF6"/>
    <w:rsid w:val="288D78CB"/>
    <w:rsid w:val="28940C5A"/>
    <w:rsid w:val="28967235"/>
    <w:rsid w:val="28BD07B9"/>
    <w:rsid w:val="28C055AB"/>
    <w:rsid w:val="28CD611F"/>
    <w:rsid w:val="28DB1694"/>
    <w:rsid w:val="28EA13DF"/>
    <w:rsid w:val="292D0389"/>
    <w:rsid w:val="296B1A60"/>
    <w:rsid w:val="29C72969"/>
    <w:rsid w:val="29E76B67"/>
    <w:rsid w:val="29ED5768"/>
    <w:rsid w:val="29F0566A"/>
    <w:rsid w:val="2A1C3834"/>
    <w:rsid w:val="2A6015BE"/>
    <w:rsid w:val="2A7C2A0C"/>
    <w:rsid w:val="2A834AE2"/>
    <w:rsid w:val="2A855F3C"/>
    <w:rsid w:val="2A940956"/>
    <w:rsid w:val="2AA81143"/>
    <w:rsid w:val="2ABA14D8"/>
    <w:rsid w:val="2ACC14D5"/>
    <w:rsid w:val="2AEC60AB"/>
    <w:rsid w:val="2AEE24AC"/>
    <w:rsid w:val="2AF7488D"/>
    <w:rsid w:val="2B0B3246"/>
    <w:rsid w:val="2B4F6426"/>
    <w:rsid w:val="2B4F7378"/>
    <w:rsid w:val="2B7E174D"/>
    <w:rsid w:val="2B8562FE"/>
    <w:rsid w:val="2B8B0AD7"/>
    <w:rsid w:val="2B944ACD"/>
    <w:rsid w:val="2B9F159F"/>
    <w:rsid w:val="2BA93F88"/>
    <w:rsid w:val="2BAD603D"/>
    <w:rsid w:val="2BD8582F"/>
    <w:rsid w:val="2BE55328"/>
    <w:rsid w:val="2C110D10"/>
    <w:rsid w:val="2C1711F7"/>
    <w:rsid w:val="2C1F083A"/>
    <w:rsid w:val="2C2E6CCF"/>
    <w:rsid w:val="2C4118B1"/>
    <w:rsid w:val="2C463402"/>
    <w:rsid w:val="2C5524AE"/>
    <w:rsid w:val="2C6426F1"/>
    <w:rsid w:val="2C6646BB"/>
    <w:rsid w:val="2C6D0405"/>
    <w:rsid w:val="2C6D5A4A"/>
    <w:rsid w:val="2C720C5C"/>
    <w:rsid w:val="2C731985"/>
    <w:rsid w:val="2CA62D0A"/>
    <w:rsid w:val="2CC413E2"/>
    <w:rsid w:val="2CC651A3"/>
    <w:rsid w:val="2CCB451E"/>
    <w:rsid w:val="2CD755B9"/>
    <w:rsid w:val="2CD95265"/>
    <w:rsid w:val="2D045C82"/>
    <w:rsid w:val="2D095047"/>
    <w:rsid w:val="2D0D1EDF"/>
    <w:rsid w:val="2D112D75"/>
    <w:rsid w:val="2D12039F"/>
    <w:rsid w:val="2D156581"/>
    <w:rsid w:val="2D216834"/>
    <w:rsid w:val="2D237B5F"/>
    <w:rsid w:val="2D442A76"/>
    <w:rsid w:val="2D6266C8"/>
    <w:rsid w:val="2D776454"/>
    <w:rsid w:val="2D9708A4"/>
    <w:rsid w:val="2DD13DB6"/>
    <w:rsid w:val="2DFE4282"/>
    <w:rsid w:val="2E062593"/>
    <w:rsid w:val="2E19750B"/>
    <w:rsid w:val="2E3D31FA"/>
    <w:rsid w:val="2E410027"/>
    <w:rsid w:val="2E515D29"/>
    <w:rsid w:val="2E573752"/>
    <w:rsid w:val="2E5B7B24"/>
    <w:rsid w:val="2EF44200"/>
    <w:rsid w:val="2F063B68"/>
    <w:rsid w:val="2F1523C9"/>
    <w:rsid w:val="2F266384"/>
    <w:rsid w:val="2F2C5DF5"/>
    <w:rsid w:val="2F6C023B"/>
    <w:rsid w:val="2F7F65C3"/>
    <w:rsid w:val="2FAA362C"/>
    <w:rsid w:val="2FBE036A"/>
    <w:rsid w:val="2FE36023"/>
    <w:rsid w:val="2FE853E7"/>
    <w:rsid w:val="2FF73956"/>
    <w:rsid w:val="300809E8"/>
    <w:rsid w:val="30085277"/>
    <w:rsid w:val="30176A6B"/>
    <w:rsid w:val="301B3A0F"/>
    <w:rsid w:val="302F373C"/>
    <w:rsid w:val="306742E8"/>
    <w:rsid w:val="306F4994"/>
    <w:rsid w:val="30731155"/>
    <w:rsid w:val="30A718B6"/>
    <w:rsid w:val="30BC0D4E"/>
    <w:rsid w:val="30C220DC"/>
    <w:rsid w:val="30C9346B"/>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6571C3"/>
    <w:rsid w:val="32892EB1"/>
    <w:rsid w:val="329A6E6D"/>
    <w:rsid w:val="329D4C03"/>
    <w:rsid w:val="32A01FA9"/>
    <w:rsid w:val="32AE31AE"/>
    <w:rsid w:val="32BA306B"/>
    <w:rsid w:val="32C23C80"/>
    <w:rsid w:val="32FC50E2"/>
    <w:rsid w:val="32FE40E3"/>
    <w:rsid w:val="33070A96"/>
    <w:rsid w:val="332901F1"/>
    <w:rsid w:val="33423060"/>
    <w:rsid w:val="335D1C8B"/>
    <w:rsid w:val="335E60EC"/>
    <w:rsid w:val="337972AE"/>
    <w:rsid w:val="337B615B"/>
    <w:rsid w:val="337B62D2"/>
    <w:rsid w:val="33813B89"/>
    <w:rsid w:val="33833DA5"/>
    <w:rsid w:val="33A02904"/>
    <w:rsid w:val="33AD7074"/>
    <w:rsid w:val="33DB598F"/>
    <w:rsid w:val="33DD3064"/>
    <w:rsid w:val="33E759B9"/>
    <w:rsid w:val="33E94F54"/>
    <w:rsid w:val="34073F4A"/>
    <w:rsid w:val="340C5B48"/>
    <w:rsid w:val="3417200F"/>
    <w:rsid w:val="342D5594"/>
    <w:rsid w:val="34346E4D"/>
    <w:rsid w:val="34425A0E"/>
    <w:rsid w:val="34451A66"/>
    <w:rsid w:val="3457480D"/>
    <w:rsid w:val="346F4329"/>
    <w:rsid w:val="34943D90"/>
    <w:rsid w:val="34AE5530"/>
    <w:rsid w:val="34B241A1"/>
    <w:rsid w:val="34B8182C"/>
    <w:rsid w:val="34DC2104"/>
    <w:rsid w:val="34F0546A"/>
    <w:rsid w:val="34F605A6"/>
    <w:rsid w:val="35016C06"/>
    <w:rsid w:val="35105285"/>
    <w:rsid w:val="3546508A"/>
    <w:rsid w:val="354B6B44"/>
    <w:rsid w:val="355D23D3"/>
    <w:rsid w:val="35733F51"/>
    <w:rsid w:val="35956011"/>
    <w:rsid w:val="35AE03E3"/>
    <w:rsid w:val="35CA5CBB"/>
    <w:rsid w:val="35CD1307"/>
    <w:rsid w:val="35D94150"/>
    <w:rsid w:val="35DE565D"/>
    <w:rsid w:val="35F47571"/>
    <w:rsid w:val="36080591"/>
    <w:rsid w:val="3656754F"/>
    <w:rsid w:val="36651A28"/>
    <w:rsid w:val="366C4FC4"/>
    <w:rsid w:val="366C6D72"/>
    <w:rsid w:val="368466C6"/>
    <w:rsid w:val="36A75FFC"/>
    <w:rsid w:val="36A93B22"/>
    <w:rsid w:val="36B67162"/>
    <w:rsid w:val="36D663A2"/>
    <w:rsid w:val="370A6B06"/>
    <w:rsid w:val="37224DEA"/>
    <w:rsid w:val="372E16F2"/>
    <w:rsid w:val="373044DC"/>
    <w:rsid w:val="37407D7B"/>
    <w:rsid w:val="374D013B"/>
    <w:rsid w:val="37623CD1"/>
    <w:rsid w:val="376E2676"/>
    <w:rsid w:val="377203B8"/>
    <w:rsid w:val="37AF3366"/>
    <w:rsid w:val="37AF33BA"/>
    <w:rsid w:val="37BA1509"/>
    <w:rsid w:val="37C60704"/>
    <w:rsid w:val="37C97B8C"/>
    <w:rsid w:val="37D90437"/>
    <w:rsid w:val="37E34E12"/>
    <w:rsid w:val="37F60442"/>
    <w:rsid w:val="37FA2165"/>
    <w:rsid w:val="380D6333"/>
    <w:rsid w:val="38254583"/>
    <w:rsid w:val="3828316D"/>
    <w:rsid w:val="382C4A0B"/>
    <w:rsid w:val="382E38EF"/>
    <w:rsid w:val="383218F5"/>
    <w:rsid w:val="386E3ED6"/>
    <w:rsid w:val="386F2B4A"/>
    <w:rsid w:val="387D5266"/>
    <w:rsid w:val="38855EC9"/>
    <w:rsid w:val="388A1731"/>
    <w:rsid w:val="39096AFA"/>
    <w:rsid w:val="39251FE6"/>
    <w:rsid w:val="39305703"/>
    <w:rsid w:val="393A4F06"/>
    <w:rsid w:val="395F671A"/>
    <w:rsid w:val="396957EB"/>
    <w:rsid w:val="396F22EF"/>
    <w:rsid w:val="397325EB"/>
    <w:rsid w:val="39863D18"/>
    <w:rsid w:val="398D6900"/>
    <w:rsid w:val="399A1E48"/>
    <w:rsid w:val="399A44F4"/>
    <w:rsid w:val="39A20CFD"/>
    <w:rsid w:val="39AC2784"/>
    <w:rsid w:val="39E165D2"/>
    <w:rsid w:val="39FE3B90"/>
    <w:rsid w:val="3A273C34"/>
    <w:rsid w:val="3A43114E"/>
    <w:rsid w:val="3A4D6EBA"/>
    <w:rsid w:val="3A63561E"/>
    <w:rsid w:val="3A6439F3"/>
    <w:rsid w:val="3A685AA2"/>
    <w:rsid w:val="3A887EF3"/>
    <w:rsid w:val="3AB74334"/>
    <w:rsid w:val="3AB91168"/>
    <w:rsid w:val="3ABF3A64"/>
    <w:rsid w:val="3ADA644B"/>
    <w:rsid w:val="3ADF5043"/>
    <w:rsid w:val="3AEF1127"/>
    <w:rsid w:val="3AF74E62"/>
    <w:rsid w:val="3AFE47B5"/>
    <w:rsid w:val="3B0726A2"/>
    <w:rsid w:val="3B0D21A6"/>
    <w:rsid w:val="3B191D2F"/>
    <w:rsid w:val="3B2E0A9A"/>
    <w:rsid w:val="3B4E3123"/>
    <w:rsid w:val="3B5418C9"/>
    <w:rsid w:val="3B6C3AB4"/>
    <w:rsid w:val="3B9F54F4"/>
    <w:rsid w:val="3BB14E02"/>
    <w:rsid w:val="3BB54D17"/>
    <w:rsid w:val="3BC34F00"/>
    <w:rsid w:val="3BC60CD2"/>
    <w:rsid w:val="3BE839DA"/>
    <w:rsid w:val="3C0817F8"/>
    <w:rsid w:val="3C1E0A9B"/>
    <w:rsid w:val="3C1F03E3"/>
    <w:rsid w:val="3C2A6EA9"/>
    <w:rsid w:val="3C553E04"/>
    <w:rsid w:val="3C5C408A"/>
    <w:rsid w:val="3C6B6B95"/>
    <w:rsid w:val="3CAE371B"/>
    <w:rsid w:val="3CB1315A"/>
    <w:rsid w:val="3CB60B4C"/>
    <w:rsid w:val="3CDE029E"/>
    <w:rsid w:val="3CE75864"/>
    <w:rsid w:val="3D09356D"/>
    <w:rsid w:val="3D0C4E0B"/>
    <w:rsid w:val="3D113EFE"/>
    <w:rsid w:val="3D1617E6"/>
    <w:rsid w:val="3D2F02CC"/>
    <w:rsid w:val="3D38675C"/>
    <w:rsid w:val="3D3A1978"/>
    <w:rsid w:val="3D581605"/>
    <w:rsid w:val="3D65451B"/>
    <w:rsid w:val="3DCB3191"/>
    <w:rsid w:val="3DD47DFE"/>
    <w:rsid w:val="3DE32B7F"/>
    <w:rsid w:val="3DFD4754"/>
    <w:rsid w:val="3E0808AB"/>
    <w:rsid w:val="3E0A2D77"/>
    <w:rsid w:val="3E0B6E71"/>
    <w:rsid w:val="3E0E5455"/>
    <w:rsid w:val="3E0F40CF"/>
    <w:rsid w:val="3E27133C"/>
    <w:rsid w:val="3E38578C"/>
    <w:rsid w:val="3E4B652F"/>
    <w:rsid w:val="3E603179"/>
    <w:rsid w:val="3E9C1AC2"/>
    <w:rsid w:val="3EAE391C"/>
    <w:rsid w:val="3ECB7146"/>
    <w:rsid w:val="3ED52C04"/>
    <w:rsid w:val="3ED57CDA"/>
    <w:rsid w:val="3ED656D0"/>
    <w:rsid w:val="3EDD5CEC"/>
    <w:rsid w:val="3EF64336"/>
    <w:rsid w:val="3F147FA7"/>
    <w:rsid w:val="3F543E36"/>
    <w:rsid w:val="3F5465F5"/>
    <w:rsid w:val="3F5C54AA"/>
    <w:rsid w:val="3F65130D"/>
    <w:rsid w:val="3FAE5D48"/>
    <w:rsid w:val="3FC94AE3"/>
    <w:rsid w:val="3FD84A93"/>
    <w:rsid w:val="3FDA11F0"/>
    <w:rsid w:val="3FDA4D4C"/>
    <w:rsid w:val="3FE156B2"/>
    <w:rsid w:val="400A1A7C"/>
    <w:rsid w:val="401D10DD"/>
    <w:rsid w:val="402E6E46"/>
    <w:rsid w:val="40536250"/>
    <w:rsid w:val="406D5BC1"/>
    <w:rsid w:val="407F76A2"/>
    <w:rsid w:val="40972C3D"/>
    <w:rsid w:val="40CD3353"/>
    <w:rsid w:val="40D32C22"/>
    <w:rsid w:val="40F4221B"/>
    <w:rsid w:val="40F7192E"/>
    <w:rsid w:val="4114024C"/>
    <w:rsid w:val="41215DA5"/>
    <w:rsid w:val="413D1A37"/>
    <w:rsid w:val="413E755D"/>
    <w:rsid w:val="415E5F11"/>
    <w:rsid w:val="41627F5C"/>
    <w:rsid w:val="41854E04"/>
    <w:rsid w:val="419A57EC"/>
    <w:rsid w:val="419B4C0C"/>
    <w:rsid w:val="41A2189A"/>
    <w:rsid w:val="41D072D4"/>
    <w:rsid w:val="41EC2EEF"/>
    <w:rsid w:val="41FE1774"/>
    <w:rsid w:val="42073DF3"/>
    <w:rsid w:val="420C610C"/>
    <w:rsid w:val="42126564"/>
    <w:rsid w:val="42170F9D"/>
    <w:rsid w:val="422C0342"/>
    <w:rsid w:val="423D1B28"/>
    <w:rsid w:val="425A6F73"/>
    <w:rsid w:val="426E79CE"/>
    <w:rsid w:val="4278084D"/>
    <w:rsid w:val="427C658F"/>
    <w:rsid w:val="42982C9D"/>
    <w:rsid w:val="42BD4FAE"/>
    <w:rsid w:val="42C35F6C"/>
    <w:rsid w:val="42FE73AB"/>
    <w:rsid w:val="43144B7B"/>
    <w:rsid w:val="431765E0"/>
    <w:rsid w:val="432927CA"/>
    <w:rsid w:val="432A1CC2"/>
    <w:rsid w:val="434A21E9"/>
    <w:rsid w:val="436276EA"/>
    <w:rsid w:val="437159C8"/>
    <w:rsid w:val="43721740"/>
    <w:rsid w:val="437D25BE"/>
    <w:rsid w:val="43B74E39"/>
    <w:rsid w:val="43B9736F"/>
    <w:rsid w:val="43D9356D"/>
    <w:rsid w:val="43E33FD1"/>
    <w:rsid w:val="43F41361"/>
    <w:rsid w:val="43FE181E"/>
    <w:rsid w:val="441B1DD7"/>
    <w:rsid w:val="443D58AA"/>
    <w:rsid w:val="445B0B70"/>
    <w:rsid w:val="44625310"/>
    <w:rsid w:val="4469003D"/>
    <w:rsid w:val="446B68BB"/>
    <w:rsid w:val="44700346"/>
    <w:rsid w:val="447D039C"/>
    <w:rsid w:val="44C9538F"/>
    <w:rsid w:val="44E26451"/>
    <w:rsid w:val="44EE129A"/>
    <w:rsid w:val="450F2C98"/>
    <w:rsid w:val="45116B80"/>
    <w:rsid w:val="452E56DC"/>
    <w:rsid w:val="453873E8"/>
    <w:rsid w:val="4538740E"/>
    <w:rsid w:val="4540521A"/>
    <w:rsid w:val="455410FD"/>
    <w:rsid w:val="456953A7"/>
    <w:rsid w:val="45723C79"/>
    <w:rsid w:val="457479F1"/>
    <w:rsid w:val="457C68A6"/>
    <w:rsid w:val="45941E41"/>
    <w:rsid w:val="459C3262"/>
    <w:rsid w:val="459E4A6E"/>
    <w:rsid w:val="45CB40CB"/>
    <w:rsid w:val="45D1274E"/>
    <w:rsid w:val="45EA380F"/>
    <w:rsid w:val="460A5C60"/>
    <w:rsid w:val="46102858"/>
    <w:rsid w:val="46195EA3"/>
    <w:rsid w:val="46517D32"/>
    <w:rsid w:val="465810C1"/>
    <w:rsid w:val="46674E60"/>
    <w:rsid w:val="468A6DA0"/>
    <w:rsid w:val="46A61E2C"/>
    <w:rsid w:val="46BF2EEE"/>
    <w:rsid w:val="46BF6A4A"/>
    <w:rsid w:val="46D60513"/>
    <w:rsid w:val="46D71FE6"/>
    <w:rsid w:val="47523D62"/>
    <w:rsid w:val="476870E2"/>
    <w:rsid w:val="47743CD8"/>
    <w:rsid w:val="477D7930"/>
    <w:rsid w:val="4780267D"/>
    <w:rsid w:val="479354E3"/>
    <w:rsid w:val="47AB5220"/>
    <w:rsid w:val="47B16CDB"/>
    <w:rsid w:val="47EE05EF"/>
    <w:rsid w:val="47FF070F"/>
    <w:rsid w:val="4819383E"/>
    <w:rsid w:val="48215AFD"/>
    <w:rsid w:val="48496AAD"/>
    <w:rsid w:val="486A5272"/>
    <w:rsid w:val="48BE0EE8"/>
    <w:rsid w:val="48C42A3E"/>
    <w:rsid w:val="48C447EC"/>
    <w:rsid w:val="48EC3995"/>
    <w:rsid w:val="48FE3D3C"/>
    <w:rsid w:val="491D5CAA"/>
    <w:rsid w:val="491F5EC6"/>
    <w:rsid w:val="49296D45"/>
    <w:rsid w:val="49442CF1"/>
    <w:rsid w:val="49477565"/>
    <w:rsid w:val="49574F2D"/>
    <w:rsid w:val="495A5150"/>
    <w:rsid w:val="495F4514"/>
    <w:rsid w:val="49663AF5"/>
    <w:rsid w:val="497F27A4"/>
    <w:rsid w:val="49841976"/>
    <w:rsid w:val="4990049A"/>
    <w:rsid w:val="49B91DA4"/>
    <w:rsid w:val="49CD76D0"/>
    <w:rsid w:val="4A0661CA"/>
    <w:rsid w:val="4A0A4F84"/>
    <w:rsid w:val="4A1016DA"/>
    <w:rsid w:val="4A17094B"/>
    <w:rsid w:val="4A3D31A8"/>
    <w:rsid w:val="4A851D59"/>
    <w:rsid w:val="4A954692"/>
    <w:rsid w:val="4AA93C99"/>
    <w:rsid w:val="4ABA0F61"/>
    <w:rsid w:val="4AC62BC0"/>
    <w:rsid w:val="4AC960E9"/>
    <w:rsid w:val="4AD131F0"/>
    <w:rsid w:val="4AD41CA3"/>
    <w:rsid w:val="4AE253FD"/>
    <w:rsid w:val="4AE44CD1"/>
    <w:rsid w:val="4AEE031F"/>
    <w:rsid w:val="4B3A0D95"/>
    <w:rsid w:val="4B3C4B0D"/>
    <w:rsid w:val="4B58121B"/>
    <w:rsid w:val="4B7403C9"/>
    <w:rsid w:val="4B9B5087"/>
    <w:rsid w:val="4B9C2307"/>
    <w:rsid w:val="4BAA2EFE"/>
    <w:rsid w:val="4BAA5D79"/>
    <w:rsid w:val="4BD04548"/>
    <w:rsid w:val="4BD20FCE"/>
    <w:rsid w:val="4BD54E32"/>
    <w:rsid w:val="4BED5E07"/>
    <w:rsid w:val="4C177113"/>
    <w:rsid w:val="4C2F4672"/>
    <w:rsid w:val="4C7D0675"/>
    <w:rsid w:val="4C83051A"/>
    <w:rsid w:val="4C8F3BAE"/>
    <w:rsid w:val="4C9149E5"/>
    <w:rsid w:val="4C983498"/>
    <w:rsid w:val="4C9E5C65"/>
    <w:rsid w:val="4CAA019C"/>
    <w:rsid w:val="4CB61B9C"/>
    <w:rsid w:val="4CB9218D"/>
    <w:rsid w:val="4CD810E9"/>
    <w:rsid w:val="4CD8218A"/>
    <w:rsid w:val="4CDA2830"/>
    <w:rsid w:val="4CEE1E91"/>
    <w:rsid w:val="4D0553D3"/>
    <w:rsid w:val="4D07739D"/>
    <w:rsid w:val="4D13140C"/>
    <w:rsid w:val="4D2649DC"/>
    <w:rsid w:val="4D2717ED"/>
    <w:rsid w:val="4D4203D5"/>
    <w:rsid w:val="4D5320B4"/>
    <w:rsid w:val="4D8D3D2C"/>
    <w:rsid w:val="4D9228D2"/>
    <w:rsid w:val="4D97427D"/>
    <w:rsid w:val="4DDE195C"/>
    <w:rsid w:val="4DF55447"/>
    <w:rsid w:val="4E0E2361"/>
    <w:rsid w:val="4E3C6BD2"/>
    <w:rsid w:val="4E3E294A"/>
    <w:rsid w:val="4E404401"/>
    <w:rsid w:val="4E50267E"/>
    <w:rsid w:val="4E9702AC"/>
    <w:rsid w:val="4E9C365E"/>
    <w:rsid w:val="4ECA5EC4"/>
    <w:rsid w:val="4F282E73"/>
    <w:rsid w:val="4F2C30EB"/>
    <w:rsid w:val="4F416B96"/>
    <w:rsid w:val="4F4B6349"/>
    <w:rsid w:val="4F6F4D85"/>
    <w:rsid w:val="4FBB03E3"/>
    <w:rsid w:val="4FD214B6"/>
    <w:rsid w:val="4FDF63AF"/>
    <w:rsid w:val="4FE87012"/>
    <w:rsid w:val="4FF97471"/>
    <w:rsid w:val="4FFF63AB"/>
    <w:rsid w:val="50120532"/>
    <w:rsid w:val="503404A9"/>
    <w:rsid w:val="503E6C32"/>
    <w:rsid w:val="506A5C79"/>
    <w:rsid w:val="508A631B"/>
    <w:rsid w:val="50AC6291"/>
    <w:rsid w:val="50B500CA"/>
    <w:rsid w:val="50C25AB5"/>
    <w:rsid w:val="50DC644B"/>
    <w:rsid w:val="50E772C9"/>
    <w:rsid w:val="50E917F7"/>
    <w:rsid w:val="50F11EF6"/>
    <w:rsid w:val="51136310"/>
    <w:rsid w:val="511E02A1"/>
    <w:rsid w:val="512D2AB4"/>
    <w:rsid w:val="51340035"/>
    <w:rsid w:val="51361FFF"/>
    <w:rsid w:val="514B1B1C"/>
    <w:rsid w:val="51532B5E"/>
    <w:rsid w:val="515F70AD"/>
    <w:rsid w:val="518064A7"/>
    <w:rsid w:val="518C5B81"/>
    <w:rsid w:val="51A32AAF"/>
    <w:rsid w:val="51B51175"/>
    <w:rsid w:val="51C92E73"/>
    <w:rsid w:val="51CA0718"/>
    <w:rsid w:val="51D82FF4"/>
    <w:rsid w:val="51DA018B"/>
    <w:rsid w:val="51E43809"/>
    <w:rsid w:val="52036385"/>
    <w:rsid w:val="52045C59"/>
    <w:rsid w:val="52117FC9"/>
    <w:rsid w:val="524D7600"/>
    <w:rsid w:val="5297014C"/>
    <w:rsid w:val="52B07B8F"/>
    <w:rsid w:val="52E43E80"/>
    <w:rsid w:val="52EA30A1"/>
    <w:rsid w:val="52EE68A0"/>
    <w:rsid w:val="533B1BB0"/>
    <w:rsid w:val="533D713F"/>
    <w:rsid w:val="535A2F88"/>
    <w:rsid w:val="53806ACF"/>
    <w:rsid w:val="538B13C1"/>
    <w:rsid w:val="53BB6A43"/>
    <w:rsid w:val="53C36CB5"/>
    <w:rsid w:val="53D80EDC"/>
    <w:rsid w:val="53F35F85"/>
    <w:rsid w:val="53FA5565"/>
    <w:rsid w:val="53FB308C"/>
    <w:rsid w:val="5402441A"/>
    <w:rsid w:val="54080284"/>
    <w:rsid w:val="54170908"/>
    <w:rsid w:val="54210D44"/>
    <w:rsid w:val="543C792C"/>
    <w:rsid w:val="54413194"/>
    <w:rsid w:val="544310EC"/>
    <w:rsid w:val="544561BC"/>
    <w:rsid w:val="54492049"/>
    <w:rsid w:val="54513ED8"/>
    <w:rsid w:val="54534C76"/>
    <w:rsid w:val="545F1A35"/>
    <w:rsid w:val="54770964"/>
    <w:rsid w:val="548337AD"/>
    <w:rsid w:val="54A26E00"/>
    <w:rsid w:val="54A84643"/>
    <w:rsid w:val="54AF6350"/>
    <w:rsid w:val="54B971CF"/>
    <w:rsid w:val="54CC3338"/>
    <w:rsid w:val="54DA3B82"/>
    <w:rsid w:val="55116FE4"/>
    <w:rsid w:val="553966FB"/>
    <w:rsid w:val="55894DF3"/>
    <w:rsid w:val="55A467C8"/>
    <w:rsid w:val="55A7171D"/>
    <w:rsid w:val="55C070A6"/>
    <w:rsid w:val="55CA71B9"/>
    <w:rsid w:val="55F44040"/>
    <w:rsid w:val="55F942A7"/>
    <w:rsid w:val="560721BC"/>
    <w:rsid w:val="561F3061"/>
    <w:rsid w:val="562B40FC"/>
    <w:rsid w:val="562C4278"/>
    <w:rsid w:val="56427548"/>
    <w:rsid w:val="565901FB"/>
    <w:rsid w:val="5661676B"/>
    <w:rsid w:val="569A4DDE"/>
    <w:rsid w:val="569D17FB"/>
    <w:rsid w:val="56B063AF"/>
    <w:rsid w:val="56D55286"/>
    <w:rsid w:val="56EE1B8C"/>
    <w:rsid w:val="56EF4FC6"/>
    <w:rsid w:val="571A6207"/>
    <w:rsid w:val="57467F7B"/>
    <w:rsid w:val="574865E8"/>
    <w:rsid w:val="5753390A"/>
    <w:rsid w:val="57911D3D"/>
    <w:rsid w:val="57925AB5"/>
    <w:rsid w:val="5795728F"/>
    <w:rsid w:val="5797131D"/>
    <w:rsid w:val="57B86A55"/>
    <w:rsid w:val="57BD5228"/>
    <w:rsid w:val="57C540DC"/>
    <w:rsid w:val="57CE3012"/>
    <w:rsid w:val="581110D0"/>
    <w:rsid w:val="58331046"/>
    <w:rsid w:val="58525DD9"/>
    <w:rsid w:val="58580AAD"/>
    <w:rsid w:val="58622535"/>
    <w:rsid w:val="5883490F"/>
    <w:rsid w:val="58847AF3"/>
    <w:rsid w:val="5889510A"/>
    <w:rsid w:val="589651AD"/>
    <w:rsid w:val="589C4E3D"/>
    <w:rsid w:val="58A15938"/>
    <w:rsid w:val="58A272E0"/>
    <w:rsid w:val="58B8779D"/>
    <w:rsid w:val="58C44394"/>
    <w:rsid w:val="58CF53CB"/>
    <w:rsid w:val="58D24809"/>
    <w:rsid w:val="58DF11CE"/>
    <w:rsid w:val="58E749BD"/>
    <w:rsid w:val="58E81E30"/>
    <w:rsid w:val="58EB36CF"/>
    <w:rsid w:val="58F00457"/>
    <w:rsid w:val="591047FC"/>
    <w:rsid w:val="59155BDF"/>
    <w:rsid w:val="5915699E"/>
    <w:rsid w:val="591E316E"/>
    <w:rsid w:val="59221C79"/>
    <w:rsid w:val="59284166"/>
    <w:rsid w:val="5967369D"/>
    <w:rsid w:val="598002BB"/>
    <w:rsid w:val="598C2BE0"/>
    <w:rsid w:val="599B50F5"/>
    <w:rsid w:val="59A85A64"/>
    <w:rsid w:val="59EA2050"/>
    <w:rsid w:val="59FD5DAF"/>
    <w:rsid w:val="5A074538"/>
    <w:rsid w:val="5A41771A"/>
    <w:rsid w:val="5A8B0A6A"/>
    <w:rsid w:val="5AB3646E"/>
    <w:rsid w:val="5AB91C35"/>
    <w:rsid w:val="5ABD0110"/>
    <w:rsid w:val="5AE825BC"/>
    <w:rsid w:val="5AFE34FD"/>
    <w:rsid w:val="5B0E18F6"/>
    <w:rsid w:val="5B174FD8"/>
    <w:rsid w:val="5B3E6680"/>
    <w:rsid w:val="5B6D0D13"/>
    <w:rsid w:val="5B75322C"/>
    <w:rsid w:val="5B8E46C8"/>
    <w:rsid w:val="5B914A01"/>
    <w:rsid w:val="5BE23E61"/>
    <w:rsid w:val="5BFB54CD"/>
    <w:rsid w:val="5C1C46DE"/>
    <w:rsid w:val="5C1D1C44"/>
    <w:rsid w:val="5C2C472A"/>
    <w:rsid w:val="5C2E04A2"/>
    <w:rsid w:val="5C3F26AF"/>
    <w:rsid w:val="5C533A65"/>
    <w:rsid w:val="5C676FEC"/>
    <w:rsid w:val="5C7F2AAC"/>
    <w:rsid w:val="5CB0535B"/>
    <w:rsid w:val="5CB84B6A"/>
    <w:rsid w:val="5CC42BB4"/>
    <w:rsid w:val="5CC45BA9"/>
    <w:rsid w:val="5CCA006D"/>
    <w:rsid w:val="5CCB429F"/>
    <w:rsid w:val="5CCD29B2"/>
    <w:rsid w:val="5D3537DE"/>
    <w:rsid w:val="5D4F6E91"/>
    <w:rsid w:val="5D55543A"/>
    <w:rsid w:val="5D5F6439"/>
    <w:rsid w:val="5D61749E"/>
    <w:rsid w:val="5D665A1A"/>
    <w:rsid w:val="5D7A7717"/>
    <w:rsid w:val="5D954ADB"/>
    <w:rsid w:val="5DA551E3"/>
    <w:rsid w:val="5DAA1DAA"/>
    <w:rsid w:val="5DC015CE"/>
    <w:rsid w:val="5DC3689E"/>
    <w:rsid w:val="5DED1C97"/>
    <w:rsid w:val="5E121BA9"/>
    <w:rsid w:val="5E1C257C"/>
    <w:rsid w:val="5E1E0F9C"/>
    <w:rsid w:val="5E2D7FB9"/>
    <w:rsid w:val="5E2E29DB"/>
    <w:rsid w:val="5E3420C7"/>
    <w:rsid w:val="5E3873B6"/>
    <w:rsid w:val="5E451AD3"/>
    <w:rsid w:val="5E4A0101"/>
    <w:rsid w:val="5E526529"/>
    <w:rsid w:val="5EB46155"/>
    <w:rsid w:val="5EC944B2"/>
    <w:rsid w:val="5ED115B9"/>
    <w:rsid w:val="5ED63B38"/>
    <w:rsid w:val="5F0D1A37"/>
    <w:rsid w:val="5F16000E"/>
    <w:rsid w:val="5F304531"/>
    <w:rsid w:val="5F897D22"/>
    <w:rsid w:val="5FA17A19"/>
    <w:rsid w:val="5FC5111D"/>
    <w:rsid w:val="5FCF6910"/>
    <w:rsid w:val="5FDE21DF"/>
    <w:rsid w:val="5FE5531C"/>
    <w:rsid w:val="5FE86BBA"/>
    <w:rsid w:val="5FEB0A27"/>
    <w:rsid w:val="5FF62406"/>
    <w:rsid w:val="5FFC2665"/>
    <w:rsid w:val="600D03CE"/>
    <w:rsid w:val="601349DC"/>
    <w:rsid w:val="603B57A9"/>
    <w:rsid w:val="605D5C3C"/>
    <w:rsid w:val="60667AC0"/>
    <w:rsid w:val="608033BA"/>
    <w:rsid w:val="608B5521"/>
    <w:rsid w:val="60943AD9"/>
    <w:rsid w:val="6098238E"/>
    <w:rsid w:val="60CB2763"/>
    <w:rsid w:val="60E655D4"/>
    <w:rsid w:val="60E66958"/>
    <w:rsid w:val="60EE4F6D"/>
    <w:rsid w:val="60F05E4D"/>
    <w:rsid w:val="60FF15E0"/>
    <w:rsid w:val="61112140"/>
    <w:rsid w:val="613A1697"/>
    <w:rsid w:val="614222FA"/>
    <w:rsid w:val="617A5F38"/>
    <w:rsid w:val="61816E7A"/>
    <w:rsid w:val="61851091"/>
    <w:rsid w:val="61897F44"/>
    <w:rsid w:val="61924217"/>
    <w:rsid w:val="6192502F"/>
    <w:rsid w:val="61A540B6"/>
    <w:rsid w:val="61AC5FDE"/>
    <w:rsid w:val="620E6D99"/>
    <w:rsid w:val="621912AD"/>
    <w:rsid w:val="622044E7"/>
    <w:rsid w:val="6230783D"/>
    <w:rsid w:val="623409A6"/>
    <w:rsid w:val="62377926"/>
    <w:rsid w:val="625D3903"/>
    <w:rsid w:val="62662018"/>
    <w:rsid w:val="626F1C56"/>
    <w:rsid w:val="629B5C1E"/>
    <w:rsid w:val="62D16876"/>
    <w:rsid w:val="62DD677E"/>
    <w:rsid w:val="62E95123"/>
    <w:rsid w:val="630065ED"/>
    <w:rsid w:val="630C2BBF"/>
    <w:rsid w:val="63225D72"/>
    <w:rsid w:val="633407C8"/>
    <w:rsid w:val="637D0255"/>
    <w:rsid w:val="63AD1207"/>
    <w:rsid w:val="63DA38A8"/>
    <w:rsid w:val="63E84A0F"/>
    <w:rsid w:val="64255715"/>
    <w:rsid w:val="643B2165"/>
    <w:rsid w:val="646F78AA"/>
    <w:rsid w:val="649E2A36"/>
    <w:rsid w:val="64A70DF2"/>
    <w:rsid w:val="64CD637E"/>
    <w:rsid w:val="64EE7961"/>
    <w:rsid w:val="650C334B"/>
    <w:rsid w:val="651346D9"/>
    <w:rsid w:val="654474C8"/>
    <w:rsid w:val="654900FB"/>
    <w:rsid w:val="65566374"/>
    <w:rsid w:val="656F5FE4"/>
    <w:rsid w:val="658E3D60"/>
    <w:rsid w:val="65A96DEB"/>
    <w:rsid w:val="65BB5537"/>
    <w:rsid w:val="65C02753"/>
    <w:rsid w:val="65C20D04"/>
    <w:rsid w:val="65D07F6A"/>
    <w:rsid w:val="66041D37"/>
    <w:rsid w:val="660D0F10"/>
    <w:rsid w:val="662A7F2C"/>
    <w:rsid w:val="662D7193"/>
    <w:rsid w:val="667967BE"/>
    <w:rsid w:val="667B0CB0"/>
    <w:rsid w:val="669058B5"/>
    <w:rsid w:val="66974E96"/>
    <w:rsid w:val="669E7FD2"/>
    <w:rsid w:val="66A7157D"/>
    <w:rsid w:val="66AE484C"/>
    <w:rsid w:val="66CD6B09"/>
    <w:rsid w:val="66DB2FD4"/>
    <w:rsid w:val="66E33816"/>
    <w:rsid w:val="670065FE"/>
    <w:rsid w:val="673E681D"/>
    <w:rsid w:val="675D15A7"/>
    <w:rsid w:val="676E5BF7"/>
    <w:rsid w:val="679232E9"/>
    <w:rsid w:val="6793565D"/>
    <w:rsid w:val="67A27F96"/>
    <w:rsid w:val="67AF7FBD"/>
    <w:rsid w:val="67B13D35"/>
    <w:rsid w:val="67BB59CA"/>
    <w:rsid w:val="67C92354"/>
    <w:rsid w:val="67D5211A"/>
    <w:rsid w:val="67FD5DC4"/>
    <w:rsid w:val="68093B71"/>
    <w:rsid w:val="6817003C"/>
    <w:rsid w:val="682E35D8"/>
    <w:rsid w:val="6841636E"/>
    <w:rsid w:val="68442F3F"/>
    <w:rsid w:val="68686AEA"/>
    <w:rsid w:val="68AD7F2E"/>
    <w:rsid w:val="68EC1253"/>
    <w:rsid w:val="69012A9A"/>
    <w:rsid w:val="690546F9"/>
    <w:rsid w:val="690D5105"/>
    <w:rsid w:val="69242AFE"/>
    <w:rsid w:val="69344C1E"/>
    <w:rsid w:val="6939173B"/>
    <w:rsid w:val="693B7E5B"/>
    <w:rsid w:val="694D5CE0"/>
    <w:rsid w:val="694D6594"/>
    <w:rsid w:val="6951757E"/>
    <w:rsid w:val="69554A42"/>
    <w:rsid w:val="695F2A22"/>
    <w:rsid w:val="69732A99"/>
    <w:rsid w:val="69796AD5"/>
    <w:rsid w:val="697A2F79"/>
    <w:rsid w:val="69AE49D0"/>
    <w:rsid w:val="69C77840"/>
    <w:rsid w:val="6A2A6C1F"/>
    <w:rsid w:val="6A375412"/>
    <w:rsid w:val="6A7177EE"/>
    <w:rsid w:val="6A754122"/>
    <w:rsid w:val="6A9040D6"/>
    <w:rsid w:val="6A9A11C3"/>
    <w:rsid w:val="6AA81420"/>
    <w:rsid w:val="6AB3340E"/>
    <w:rsid w:val="6AE461D0"/>
    <w:rsid w:val="6AF9602B"/>
    <w:rsid w:val="6AF96DE2"/>
    <w:rsid w:val="6B026CED"/>
    <w:rsid w:val="6B1677AA"/>
    <w:rsid w:val="6B1765A5"/>
    <w:rsid w:val="6B182A49"/>
    <w:rsid w:val="6B2111EB"/>
    <w:rsid w:val="6B696AC6"/>
    <w:rsid w:val="6B7E6624"/>
    <w:rsid w:val="6B9F4620"/>
    <w:rsid w:val="6BAD7577"/>
    <w:rsid w:val="6BB838E4"/>
    <w:rsid w:val="6BE50451"/>
    <w:rsid w:val="6BEF79EE"/>
    <w:rsid w:val="6BF15048"/>
    <w:rsid w:val="6C276CBC"/>
    <w:rsid w:val="6C3D64DF"/>
    <w:rsid w:val="6C3F5DB4"/>
    <w:rsid w:val="6C53360D"/>
    <w:rsid w:val="6C553829"/>
    <w:rsid w:val="6C7C7008"/>
    <w:rsid w:val="6C845EBC"/>
    <w:rsid w:val="6C991968"/>
    <w:rsid w:val="6CA200F0"/>
    <w:rsid w:val="6CA36342"/>
    <w:rsid w:val="6CA64CB9"/>
    <w:rsid w:val="6CA67BE1"/>
    <w:rsid w:val="6CBA368C"/>
    <w:rsid w:val="6CBD4F2A"/>
    <w:rsid w:val="6CCA0AEE"/>
    <w:rsid w:val="6CD97FB6"/>
    <w:rsid w:val="6CF3094C"/>
    <w:rsid w:val="6D06067F"/>
    <w:rsid w:val="6D2673E0"/>
    <w:rsid w:val="6D415B5B"/>
    <w:rsid w:val="6D531D64"/>
    <w:rsid w:val="6D55050F"/>
    <w:rsid w:val="6D7777CF"/>
    <w:rsid w:val="6D836174"/>
    <w:rsid w:val="6DAA381D"/>
    <w:rsid w:val="6DC742B3"/>
    <w:rsid w:val="6DE85FD7"/>
    <w:rsid w:val="6E14005B"/>
    <w:rsid w:val="6E2A4841"/>
    <w:rsid w:val="6E2C05BA"/>
    <w:rsid w:val="6E435A5B"/>
    <w:rsid w:val="6E4B4EE4"/>
    <w:rsid w:val="6E511DCE"/>
    <w:rsid w:val="6E711EDB"/>
    <w:rsid w:val="6E9D3265"/>
    <w:rsid w:val="6EA90670"/>
    <w:rsid w:val="6EB32A89"/>
    <w:rsid w:val="6EDB27BD"/>
    <w:rsid w:val="6EE67DB6"/>
    <w:rsid w:val="6EF56BFD"/>
    <w:rsid w:val="6F0B6421"/>
    <w:rsid w:val="6F241291"/>
    <w:rsid w:val="6F3F60CB"/>
    <w:rsid w:val="6F6214F1"/>
    <w:rsid w:val="6F631DB9"/>
    <w:rsid w:val="6F977CB5"/>
    <w:rsid w:val="6FA50B40"/>
    <w:rsid w:val="6FC35501"/>
    <w:rsid w:val="6FCB3E2E"/>
    <w:rsid w:val="6FED1F44"/>
    <w:rsid w:val="6FF60E7F"/>
    <w:rsid w:val="6FFD220E"/>
    <w:rsid w:val="6FFE345A"/>
    <w:rsid w:val="70025A76"/>
    <w:rsid w:val="700E61C9"/>
    <w:rsid w:val="701E263C"/>
    <w:rsid w:val="7048237C"/>
    <w:rsid w:val="70566516"/>
    <w:rsid w:val="70713BD1"/>
    <w:rsid w:val="70A65F9E"/>
    <w:rsid w:val="70B84386"/>
    <w:rsid w:val="70EB650A"/>
    <w:rsid w:val="70FA1D5A"/>
    <w:rsid w:val="71145A61"/>
    <w:rsid w:val="712B2DAA"/>
    <w:rsid w:val="71381CA7"/>
    <w:rsid w:val="71473C79"/>
    <w:rsid w:val="7147688E"/>
    <w:rsid w:val="716143DA"/>
    <w:rsid w:val="71705CD4"/>
    <w:rsid w:val="719D3901"/>
    <w:rsid w:val="71B0505E"/>
    <w:rsid w:val="71C54519"/>
    <w:rsid w:val="71CB2566"/>
    <w:rsid w:val="72007D93"/>
    <w:rsid w:val="720535FB"/>
    <w:rsid w:val="72086C48"/>
    <w:rsid w:val="72180B78"/>
    <w:rsid w:val="72404633"/>
    <w:rsid w:val="72B666A4"/>
    <w:rsid w:val="72B76C1B"/>
    <w:rsid w:val="72BD5C84"/>
    <w:rsid w:val="72C46090"/>
    <w:rsid w:val="72CB65F3"/>
    <w:rsid w:val="72CD32BD"/>
    <w:rsid w:val="72D056C9"/>
    <w:rsid w:val="72E66F89"/>
    <w:rsid w:val="72F02FB8"/>
    <w:rsid w:val="73016CE4"/>
    <w:rsid w:val="73061D27"/>
    <w:rsid w:val="73075151"/>
    <w:rsid w:val="73165394"/>
    <w:rsid w:val="73225FFC"/>
    <w:rsid w:val="732E26DE"/>
    <w:rsid w:val="736B748E"/>
    <w:rsid w:val="73BE7F06"/>
    <w:rsid w:val="73C854B8"/>
    <w:rsid w:val="73D74B24"/>
    <w:rsid w:val="73FD2F24"/>
    <w:rsid w:val="73FD6AC3"/>
    <w:rsid w:val="74100036"/>
    <w:rsid w:val="742F621F"/>
    <w:rsid w:val="7440441F"/>
    <w:rsid w:val="74466AEE"/>
    <w:rsid w:val="7467234B"/>
    <w:rsid w:val="746D7236"/>
    <w:rsid w:val="74883CC4"/>
    <w:rsid w:val="74885CFF"/>
    <w:rsid w:val="748F32C8"/>
    <w:rsid w:val="74A82EA8"/>
    <w:rsid w:val="74A87AD3"/>
    <w:rsid w:val="74B35591"/>
    <w:rsid w:val="74B66E2F"/>
    <w:rsid w:val="74C72DEA"/>
    <w:rsid w:val="74D34BD2"/>
    <w:rsid w:val="74D36DD2"/>
    <w:rsid w:val="74D50947"/>
    <w:rsid w:val="74E47DAA"/>
    <w:rsid w:val="75051D1C"/>
    <w:rsid w:val="751C3136"/>
    <w:rsid w:val="75322959"/>
    <w:rsid w:val="753F67A5"/>
    <w:rsid w:val="75480753"/>
    <w:rsid w:val="757A4300"/>
    <w:rsid w:val="7581749B"/>
    <w:rsid w:val="75A35605"/>
    <w:rsid w:val="75A82C1C"/>
    <w:rsid w:val="75AA463F"/>
    <w:rsid w:val="75B415C0"/>
    <w:rsid w:val="75BF1D13"/>
    <w:rsid w:val="760C0463"/>
    <w:rsid w:val="76120095"/>
    <w:rsid w:val="76204D8E"/>
    <w:rsid w:val="76397D18"/>
    <w:rsid w:val="765406AD"/>
    <w:rsid w:val="76650C10"/>
    <w:rsid w:val="76654669"/>
    <w:rsid w:val="766C59F7"/>
    <w:rsid w:val="767F0F22"/>
    <w:rsid w:val="768B0E67"/>
    <w:rsid w:val="76A809F9"/>
    <w:rsid w:val="76CC293A"/>
    <w:rsid w:val="76D62913"/>
    <w:rsid w:val="76E00193"/>
    <w:rsid w:val="770420D4"/>
    <w:rsid w:val="771F28FF"/>
    <w:rsid w:val="772511FE"/>
    <w:rsid w:val="77295AC0"/>
    <w:rsid w:val="772C4DFE"/>
    <w:rsid w:val="77316C41"/>
    <w:rsid w:val="773A78A3"/>
    <w:rsid w:val="77470212"/>
    <w:rsid w:val="7760409C"/>
    <w:rsid w:val="7765512B"/>
    <w:rsid w:val="776A6102"/>
    <w:rsid w:val="77707769"/>
    <w:rsid w:val="77784870"/>
    <w:rsid w:val="778925D9"/>
    <w:rsid w:val="77A05145"/>
    <w:rsid w:val="783C764B"/>
    <w:rsid w:val="783E7867"/>
    <w:rsid w:val="784011AE"/>
    <w:rsid w:val="78553A83"/>
    <w:rsid w:val="786077DD"/>
    <w:rsid w:val="786A68F2"/>
    <w:rsid w:val="78746DE5"/>
    <w:rsid w:val="78843C75"/>
    <w:rsid w:val="78880AE2"/>
    <w:rsid w:val="78A51694"/>
    <w:rsid w:val="78C2428E"/>
    <w:rsid w:val="78D635FC"/>
    <w:rsid w:val="78D93B65"/>
    <w:rsid w:val="78F25447"/>
    <w:rsid w:val="793D4922"/>
    <w:rsid w:val="7948418D"/>
    <w:rsid w:val="795A0263"/>
    <w:rsid w:val="79884CBA"/>
    <w:rsid w:val="798D3C7E"/>
    <w:rsid w:val="798E4C9F"/>
    <w:rsid w:val="79B41C03"/>
    <w:rsid w:val="79DB3703"/>
    <w:rsid w:val="79E84C9C"/>
    <w:rsid w:val="7A124B07"/>
    <w:rsid w:val="7A1C30A9"/>
    <w:rsid w:val="7A1F0087"/>
    <w:rsid w:val="7A287E87"/>
    <w:rsid w:val="7A2A00A3"/>
    <w:rsid w:val="7A3A5E0C"/>
    <w:rsid w:val="7A786E84"/>
    <w:rsid w:val="7A84644A"/>
    <w:rsid w:val="7AA716F4"/>
    <w:rsid w:val="7AC8166A"/>
    <w:rsid w:val="7AD973D3"/>
    <w:rsid w:val="7AE30252"/>
    <w:rsid w:val="7B14578D"/>
    <w:rsid w:val="7B3A7E20"/>
    <w:rsid w:val="7B4B6523"/>
    <w:rsid w:val="7B71585E"/>
    <w:rsid w:val="7B7C2BC7"/>
    <w:rsid w:val="7B897B86"/>
    <w:rsid w:val="7B8B2650"/>
    <w:rsid w:val="7BB35E76"/>
    <w:rsid w:val="7BB65396"/>
    <w:rsid w:val="7BBD11B0"/>
    <w:rsid w:val="7BCF61F6"/>
    <w:rsid w:val="7BD83B2F"/>
    <w:rsid w:val="7BF007D9"/>
    <w:rsid w:val="7C1E3C37"/>
    <w:rsid w:val="7C46099E"/>
    <w:rsid w:val="7C4E24BC"/>
    <w:rsid w:val="7CB00608"/>
    <w:rsid w:val="7D0F732D"/>
    <w:rsid w:val="7D1B0177"/>
    <w:rsid w:val="7D276AC4"/>
    <w:rsid w:val="7D5D078F"/>
    <w:rsid w:val="7D6308BF"/>
    <w:rsid w:val="7D676F18"/>
    <w:rsid w:val="7D7A4E9D"/>
    <w:rsid w:val="7DD236A1"/>
    <w:rsid w:val="7DE95B7F"/>
    <w:rsid w:val="7DF05160"/>
    <w:rsid w:val="7DFB58B2"/>
    <w:rsid w:val="7E0D3F64"/>
    <w:rsid w:val="7E1A6BBD"/>
    <w:rsid w:val="7E1B6064"/>
    <w:rsid w:val="7E2C464B"/>
    <w:rsid w:val="7E445C95"/>
    <w:rsid w:val="7E5A5F62"/>
    <w:rsid w:val="7E6163C9"/>
    <w:rsid w:val="7E675269"/>
    <w:rsid w:val="7EB42631"/>
    <w:rsid w:val="7EBE7F49"/>
    <w:rsid w:val="7ECD35DF"/>
    <w:rsid w:val="7ED14F91"/>
    <w:rsid w:val="7ED27099"/>
    <w:rsid w:val="7EEF18BB"/>
    <w:rsid w:val="7EF37B12"/>
    <w:rsid w:val="7F340FE7"/>
    <w:rsid w:val="7F380056"/>
    <w:rsid w:val="7F7122D0"/>
    <w:rsid w:val="7F8578A0"/>
    <w:rsid w:val="7FAE720E"/>
    <w:rsid w:val="7FB327FC"/>
    <w:rsid w:val="7FC11AEE"/>
    <w:rsid w:val="7FCA378E"/>
    <w:rsid w:val="7FFD0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142"/>
    <w:autoRedefine/>
    <w:qFormat/>
    <w:uiPriority w:val="0"/>
    <w:pPr>
      <w:keepNext/>
      <w:jc w:val="center"/>
      <w:outlineLvl w:val="0"/>
    </w:pPr>
    <w:rPr>
      <w:b/>
      <w:bCs/>
      <w:sz w:val="24"/>
    </w:rPr>
  </w:style>
  <w:style w:type="paragraph" w:styleId="3">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autoRedefine/>
    <w:qFormat/>
    <w:uiPriority w:val="0"/>
    <w:pPr>
      <w:keepNext/>
      <w:keepLines/>
      <w:spacing w:before="280" w:after="290" w:line="376" w:lineRule="auto"/>
      <w:outlineLvl w:val="4"/>
    </w:pPr>
    <w:rPr>
      <w:b/>
      <w:bCs/>
      <w:sz w:val="28"/>
      <w:szCs w:val="28"/>
    </w:rPr>
  </w:style>
  <w:style w:type="paragraph" w:styleId="8">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6">
    <w:name w:val="Plain Text"/>
    <w:basedOn w:val="1"/>
    <w:next w:val="1"/>
    <w:link w:val="59"/>
    <w:autoRedefine/>
    <w:qFormat/>
    <w:uiPriority w:val="0"/>
    <w:pPr>
      <w:spacing w:beforeLines="50" w:afterLines="50" w:line="400" w:lineRule="exact"/>
    </w:pPr>
    <w:rPr>
      <w:rFonts w:ascii="宋体" w:hAnsi="Courier New"/>
      <w:sz w:val="24"/>
    </w:rPr>
  </w:style>
  <w:style w:type="paragraph" w:styleId="9">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0">
    <w:name w:val="Normal Indent"/>
    <w:basedOn w:val="1"/>
    <w:link w:val="58"/>
    <w:autoRedefine/>
    <w:qFormat/>
    <w:uiPriority w:val="0"/>
    <w:pPr>
      <w:ind w:firstLine="420"/>
    </w:pPr>
  </w:style>
  <w:style w:type="paragraph" w:styleId="11">
    <w:name w:val="caption"/>
    <w:basedOn w:val="1"/>
    <w:next w:val="1"/>
    <w:autoRedefine/>
    <w:qFormat/>
    <w:uiPriority w:val="0"/>
    <w:pPr>
      <w:spacing w:before="152" w:after="160"/>
    </w:pPr>
    <w:rPr>
      <w:rFonts w:ascii="Arial" w:hAnsi="Arial" w:eastAsia="黑体" w:cs="Arial"/>
      <w:sz w:val="20"/>
    </w:rPr>
  </w:style>
  <w:style w:type="paragraph" w:styleId="12">
    <w:name w:val="toa heading"/>
    <w:basedOn w:val="1"/>
    <w:next w:val="1"/>
    <w:autoRedefine/>
    <w:qFormat/>
    <w:uiPriority w:val="0"/>
    <w:pPr>
      <w:spacing w:before="120"/>
    </w:pPr>
    <w:rPr>
      <w:rFonts w:ascii="Arial" w:hAnsi="Arial"/>
    </w:rPr>
  </w:style>
  <w:style w:type="paragraph" w:styleId="13">
    <w:name w:val="annotation text"/>
    <w:basedOn w:val="1"/>
    <w:next w:val="14"/>
    <w:autoRedefine/>
    <w:semiHidden/>
    <w:qFormat/>
    <w:uiPriority w:val="0"/>
    <w:pPr>
      <w:jc w:val="left"/>
    </w:pPr>
  </w:style>
  <w:style w:type="paragraph" w:styleId="14">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15">
    <w:name w:val="Body Text 3"/>
    <w:basedOn w:val="1"/>
    <w:autoRedefine/>
    <w:qFormat/>
    <w:uiPriority w:val="0"/>
    <w:pPr>
      <w:snapToGrid w:val="0"/>
      <w:spacing w:before="50" w:after="50"/>
    </w:pPr>
    <w:rPr>
      <w:rFonts w:hAnsi="宋体" w:eastAsia="仿宋_GB2312"/>
      <w:b/>
      <w:bCs/>
      <w:sz w:val="24"/>
    </w:rPr>
  </w:style>
  <w:style w:type="paragraph" w:styleId="16">
    <w:name w:val="Body Text"/>
    <w:basedOn w:val="1"/>
    <w:next w:val="17"/>
    <w:link w:val="53"/>
    <w:autoRedefine/>
    <w:qFormat/>
    <w:uiPriority w:val="0"/>
    <w:pPr>
      <w:spacing w:after="120"/>
    </w:pPr>
    <w:rPr>
      <w:sz w:val="28"/>
    </w:rPr>
  </w:style>
  <w:style w:type="paragraph" w:styleId="17">
    <w:name w:val="Body Text First Indent"/>
    <w:basedOn w:val="16"/>
    <w:next w:val="1"/>
    <w:autoRedefine/>
    <w:qFormat/>
    <w:uiPriority w:val="0"/>
    <w:pPr>
      <w:autoSpaceDE w:val="0"/>
      <w:autoSpaceDN w:val="0"/>
      <w:adjustRightInd w:val="0"/>
      <w:spacing w:line="360" w:lineRule="auto"/>
      <w:ind w:firstLine="420"/>
    </w:pPr>
    <w:rPr>
      <w:rFonts w:ascii="宋体" w:hAnsi="Calibri"/>
      <w:lang w:val="zh-CN"/>
    </w:rPr>
  </w:style>
  <w:style w:type="paragraph" w:styleId="18">
    <w:name w:val="Body Text Indent"/>
    <w:basedOn w:val="1"/>
    <w:next w:val="1"/>
    <w:autoRedefine/>
    <w:qFormat/>
    <w:uiPriority w:val="0"/>
    <w:pPr>
      <w:spacing w:line="200" w:lineRule="exact"/>
      <w:ind w:firstLine="301"/>
    </w:pPr>
    <w:rPr>
      <w:rFonts w:ascii="宋体" w:hAnsi="Courier New"/>
      <w:spacing w:val="-4"/>
      <w:sz w:val="18"/>
    </w:rPr>
  </w:style>
  <w:style w:type="paragraph" w:styleId="19">
    <w:name w:val="List Number 3"/>
    <w:basedOn w:val="1"/>
    <w:autoRedefine/>
    <w:qFormat/>
    <w:uiPriority w:val="0"/>
    <w:pPr>
      <w:numPr>
        <w:ilvl w:val="0"/>
        <w:numId w:val="2"/>
      </w:numPr>
    </w:pPr>
  </w:style>
  <w:style w:type="paragraph" w:styleId="20">
    <w:name w:val="List 2"/>
    <w:basedOn w:val="1"/>
    <w:autoRedefine/>
    <w:qFormat/>
    <w:uiPriority w:val="0"/>
    <w:pPr>
      <w:ind w:left="100" w:leftChars="200" w:hanging="200" w:hangingChars="200"/>
    </w:pPr>
    <w:rPr>
      <w:sz w:val="28"/>
    </w:rPr>
  </w:style>
  <w:style w:type="paragraph" w:styleId="21">
    <w:name w:val="Block Text"/>
    <w:basedOn w:val="1"/>
    <w:autoRedefine/>
    <w:unhideWhenUsed/>
    <w:qFormat/>
    <w:uiPriority w:val="99"/>
    <w:pPr>
      <w:spacing w:after="120"/>
      <w:ind w:left="1440" w:leftChars="700" w:right="1440" w:rightChars="700"/>
    </w:pPr>
  </w:style>
  <w:style w:type="paragraph" w:styleId="22">
    <w:name w:val="toc 3"/>
    <w:basedOn w:val="1"/>
    <w:next w:val="1"/>
    <w:autoRedefine/>
    <w:qFormat/>
    <w:uiPriority w:val="0"/>
    <w:pPr>
      <w:ind w:left="840" w:leftChars="400"/>
    </w:pPr>
    <w:rPr>
      <w:rFonts w:ascii="Calibri" w:hAnsi="Calibri"/>
      <w:szCs w:val="22"/>
    </w:rPr>
  </w:style>
  <w:style w:type="paragraph" w:styleId="23">
    <w:name w:val="Date"/>
    <w:basedOn w:val="1"/>
    <w:next w:val="1"/>
    <w:autoRedefine/>
    <w:qFormat/>
    <w:uiPriority w:val="0"/>
    <w:pPr>
      <w:ind w:left="2500" w:leftChars="2500"/>
    </w:pPr>
    <w:rPr>
      <w:rFonts w:eastAsia="楷体_GB2312"/>
      <w:sz w:val="32"/>
    </w:rPr>
  </w:style>
  <w:style w:type="paragraph" w:styleId="24">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5">
    <w:name w:val="Balloon Text"/>
    <w:basedOn w:val="1"/>
    <w:autoRedefine/>
    <w:semiHidden/>
    <w:qFormat/>
    <w:uiPriority w:val="0"/>
    <w:rPr>
      <w:sz w:val="18"/>
      <w:szCs w:val="18"/>
    </w:rPr>
  </w:style>
  <w:style w:type="paragraph" w:styleId="26">
    <w:name w:val="footer"/>
    <w:basedOn w:val="1"/>
    <w:link w:val="60"/>
    <w:autoRedefine/>
    <w:qFormat/>
    <w:uiPriority w:val="0"/>
    <w:pPr>
      <w:tabs>
        <w:tab w:val="center" w:pos="4153"/>
        <w:tab w:val="right" w:pos="8306"/>
      </w:tabs>
      <w:snapToGrid w:val="0"/>
      <w:jc w:val="left"/>
    </w:pPr>
    <w:rPr>
      <w:rFonts w:eastAsia="黑体"/>
      <w:snapToGrid w:val="0"/>
      <w:kern w:val="0"/>
      <w:sz w:val="18"/>
      <w:szCs w:val="18"/>
    </w:rPr>
  </w:style>
  <w:style w:type="paragraph" w:styleId="27">
    <w:name w:val="header"/>
    <w:basedOn w:val="1"/>
    <w:link w:val="61"/>
    <w:autoRedefine/>
    <w:qFormat/>
    <w:uiPriority w:val="0"/>
    <w:pPr>
      <w:pBdr>
        <w:bottom w:val="single" w:color="auto" w:sz="6" w:space="1"/>
      </w:pBdr>
      <w:tabs>
        <w:tab w:val="center" w:pos="4153"/>
        <w:tab w:val="right" w:pos="8306"/>
      </w:tabs>
      <w:snapToGrid w:val="0"/>
      <w:jc w:val="center"/>
    </w:pPr>
    <w:rPr>
      <w:rFonts w:eastAsia="仿宋_GB2312"/>
      <w:sz w:val="18"/>
    </w:rPr>
  </w:style>
  <w:style w:type="paragraph" w:styleId="28">
    <w:name w:val="toc 1"/>
    <w:basedOn w:val="1"/>
    <w:next w:val="1"/>
    <w:autoRedefine/>
    <w:semiHidden/>
    <w:qFormat/>
    <w:uiPriority w:val="0"/>
  </w:style>
  <w:style w:type="paragraph" w:styleId="29">
    <w:name w:val="List"/>
    <w:basedOn w:val="1"/>
    <w:autoRedefine/>
    <w:qFormat/>
    <w:uiPriority w:val="0"/>
    <w:pPr>
      <w:ind w:left="200" w:hanging="200" w:hangingChars="200"/>
    </w:pPr>
    <w:rPr>
      <w:sz w:val="28"/>
    </w:rPr>
  </w:style>
  <w:style w:type="paragraph" w:styleId="30">
    <w:name w:val="footnote text"/>
    <w:basedOn w:val="1"/>
    <w:autoRedefine/>
    <w:unhideWhenUsed/>
    <w:qFormat/>
    <w:uiPriority w:val="99"/>
    <w:pPr>
      <w:snapToGrid w:val="0"/>
      <w:jc w:val="left"/>
    </w:pPr>
    <w:rPr>
      <w:sz w:val="18"/>
    </w:rPr>
  </w:style>
  <w:style w:type="paragraph" w:styleId="31">
    <w:name w:val="toc 6"/>
    <w:basedOn w:val="1"/>
    <w:next w:val="1"/>
    <w:autoRedefine/>
    <w:qFormat/>
    <w:uiPriority w:val="0"/>
    <w:pPr>
      <w:ind w:left="1050"/>
      <w:jc w:val="left"/>
    </w:pPr>
    <w:rPr>
      <w:rFonts w:ascii="仿宋_GB2312" w:eastAsia="仿宋_GB2312"/>
      <w:sz w:val="18"/>
      <w:szCs w:val="18"/>
    </w:rPr>
  </w:style>
  <w:style w:type="paragraph" w:styleId="32">
    <w:name w:val="List 5"/>
    <w:basedOn w:val="1"/>
    <w:autoRedefine/>
    <w:qFormat/>
    <w:uiPriority w:val="0"/>
    <w:pPr>
      <w:ind w:left="2100" w:hanging="420"/>
    </w:pPr>
    <w:rPr>
      <w:rFonts w:ascii="Calibri" w:hAnsi="Calibri" w:eastAsia="楷体_GB2312"/>
      <w:sz w:val="32"/>
      <w:szCs w:val="22"/>
    </w:rPr>
  </w:style>
  <w:style w:type="paragraph" w:styleId="3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4">
    <w:name w:val="toc 2"/>
    <w:basedOn w:val="1"/>
    <w:next w:val="1"/>
    <w:autoRedefine/>
    <w:qFormat/>
    <w:uiPriority w:val="0"/>
    <w:pPr>
      <w:ind w:left="420" w:leftChars="200"/>
    </w:pPr>
    <w:rPr>
      <w:rFonts w:ascii="Calibri" w:hAnsi="Calibri"/>
      <w:szCs w:val="22"/>
    </w:rPr>
  </w:style>
  <w:style w:type="paragraph" w:styleId="35">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6">
    <w:name w:val="List 4"/>
    <w:basedOn w:val="1"/>
    <w:autoRedefine/>
    <w:qFormat/>
    <w:uiPriority w:val="0"/>
    <w:pPr>
      <w:ind w:left="1680" w:hanging="420"/>
    </w:pPr>
    <w:rPr>
      <w:rFonts w:ascii="Calibri" w:hAnsi="Calibri" w:eastAsia="楷体_GB2312"/>
      <w:sz w:val="32"/>
      <w:szCs w:val="22"/>
    </w:r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next w:val="1"/>
    <w:autoRedefine/>
    <w:qFormat/>
    <w:uiPriority w:val="0"/>
    <w:pPr>
      <w:spacing w:line="520" w:lineRule="exact"/>
      <w:jc w:val="center"/>
      <w:outlineLvl w:val="3"/>
    </w:pPr>
    <w:rPr>
      <w:rFonts w:ascii="Cambria" w:hAnsi="Cambria"/>
      <w:b/>
      <w:bCs/>
      <w:sz w:val="28"/>
      <w:szCs w:val="32"/>
    </w:rPr>
  </w:style>
  <w:style w:type="paragraph" w:styleId="40">
    <w:name w:val="annotation subject"/>
    <w:basedOn w:val="13"/>
    <w:next w:val="13"/>
    <w:autoRedefine/>
    <w:qFormat/>
    <w:uiPriority w:val="0"/>
    <w:rPr>
      <w:b/>
      <w:bCs/>
    </w:rPr>
  </w:style>
  <w:style w:type="paragraph" w:styleId="41">
    <w:name w:val="Body Text First Indent 2"/>
    <w:basedOn w:val="18"/>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rFonts w:eastAsia="宋体"/>
      <w:b/>
      <w:bCs/>
      <w:kern w:val="2"/>
      <w:sz w:val="24"/>
      <w:szCs w:val="24"/>
      <w:lang w:val="en-US" w:eastAsia="zh-CN" w:bidi="ar-SA"/>
    </w:rPr>
  </w:style>
  <w:style w:type="character" w:styleId="46">
    <w:name w:val="page number"/>
    <w:basedOn w:val="44"/>
    <w:autoRedefine/>
    <w:qFormat/>
    <w:uiPriority w:val="0"/>
  </w:style>
  <w:style w:type="character" w:styleId="47">
    <w:name w:val="FollowedHyperlink"/>
    <w:autoRedefine/>
    <w:qFormat/>
    <w:uiPriority w:val="0"/>
    <w:rPr>
      <w:rFonts w:eastAsia="宋体"/>
      <w:color w:val="800080"/>
      <w:kern w:val="2"/>
      <w:sz w:val="24"/>
      <w:szCs w:val="24"/>
      <w:u w:val="single"/>
      <w:lang w:val="en-US" w:eastAsia="zh-CN" w:bidi="ar-SA"/>
    </w:rPr>
  </w:style>
  <w:style w:type="character" w:styleId="48">
    <w:name w:val="Hyperlink"/>
    <w:autoRedefine/>
    <w:qFormat/>
    <w:uiPriority w:val="0"/>
    <w:rPr>
      <w:color w:val="0000FF"/>
      <w:u w:val="single"/>
    </w:rPr>
  </w:style>
  <w:style w:type="character" w:styleId="49">
    <w:name w:val="annotation reference"/>
    <w:autoRedefine/>
    <w:qFormat/>
    <w:uiPriority w:val="0"/>
    <w:rPr>
      <w:rFonts w:eastAsia="宋体"/>
      <w:kern w:val="2"/>
      <w:sz w:val="21"/>
      <w:szCs w:val="21"/>
      <w:lang w:val="en-US" w:eastAsia="zh-CN" w:bidi="ar-SA"/>
    </w:rPr>
  </w:style>
  <w:style w:type="character" w:styleId="50">
    <w:name w:val="footnote reference"/>
    <w:autoRedefine/>
    <w:unhideWhenUsed/>
    <w:qFormat/>
    <w:uiPriority w:val="99"/>
    <w:rPr>
      <w:rFonts w:hint="default" w:ascii="Times New Roman"/>
      <w:sz w:val="24"/>
      <w:vertAlign w:val="superscript"/>
    </w:rPr>
  </w:style>
  <w:style w:type="paragraph" w:customStyle="1" w:styleId="51">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2">
    <w:name w:val="正文文本首行缩进 21"/>
    <w:basedOn w:val="18"/>
    <w:autoRedefine/>
    <w:qFormat/>
    <w:uiPriority w:val="99"/>
    <w:pPr>
      <w:spacing w:line="200" w:lineRule="atLeast"/>
      <w:ind w:firstLine="420"/>
    </w:pPr>
  </w:style>
  <w:style w:type="character" w:customStyle="1" w:styleId="53">
    <w:name w:val="正文文本 字符"/>
    <w:link w:val="16"/>
    <w:autoRedefine/>
    <w:semiHidden/>
    <w:qFormat/>
    <w:locked/>
    <w:uiPriority w:val="0"/>
    <w:rPr>
      <w:rFonts w:eastAsia="宋体"/>
      <w:kern w:val="2"/>
      <w:sz w:val="28"/>
      <w:szCs w:val="24"/>
      <w:lang w:val="en-US" w:eastAsia="zh-CN" w:bidi="ar-SA"/>
    </w:rPr>
  </w:style>
  <w:style w:type="character" w:customStyle="1" w:styleId="54">
    <w:name w:val="标题 1 字符"/>
    <w:autoRedefine/>
    <w:qFormat/>
    <w:uiPriority w:val="0"/>
    <w:rPr>
      <w:rFonts w:eastAsia="宋体"/>
      <w:b/>
      <w:bCs/>
      <w:kern w:val="2"/>
      <w:sz w:val="24"/>
      <w:szCs w:val="24"/>
      <w:lang w:val="en-US" w:eastAsia="zh-CN" w:bidi="ar-SA"/>
    </w:rPr>
  </w:style>
  <w:style w:type="character" w:customStyle="1" w:styleId="55">
    <w:name w:val="标题 2 字符"/>
    <w:link w:val="3"/>
    <w:autoRedefine/>
    <w:qFormat/>
    <w:uiPriority w:val="0"/>
    <w:rPr>
      <w:rFonts w:ascii="Arial" w:hAnsi="Arial" w:eastAsia="黑体"/>
      <w:b/>
      <w:bCs/>
      <w:kern w:val="2"/>
      <w:sz w:val="32"/>
      <w:szCs w:val="32"/>
      <w:lang w:val="en-US" w:eastAsia="zh-CN" w:bidi="ar-SA"/>
    </w:rPr>
  </w:style>
  <w:style w:type="character" w:customStyle="1" w:styleId="56">
    <w:name w:val="标题 3 字符"/>
    <w:link w:val="4"/>
    <w:autoRedefine/>
    <w:qFormat/>
    <w:uiPriority w:val="0"/>
    <w:rPr>
      <w:rFonts w:eastAsia="宋体"/>
      <w:b/>
      <w:bCs/>
      <w:kern w:val="2"/>
      <w:sz w:val="32"/>
      <w:szCs w:val="32"/>
      <w:lang w:val="en-US" w:eastAsia="zh-CN" w:bidi="ar-SA"/>
    </w:rPr>
  </w:style>
  <w:style w:type="character" w:customStyle="1" w:styleId="57">
    <w:name w:val="标题 5 字符"/>
    <w:link w:val="7"/>
    <w:autoRedefine/>
    <w:qFormat/>
    <w:uiPriority w:val="0"/>
    <w:rPr>
      <w:rFonts w:eastAsia="宋体"/>
      <w:b/>
      <w:bCs/>
      <w:kern w:val="2"/>
      <w:sz w:val="28"/>
      <w:szCs w:val="28"/>
      <w:lang w:val="en-US" w:eastAsia="zh-CN" w:bidi="ar-SA"/>
    </w:rPr>
  </w:style>
  <w:style w:type="character" w:customStyle="1" w:styleId="58">
    <w:name w:val="正文缩进 字符"/>
    <w:link w:val="10"/>
    <w:autoRedefine/>
    <w:qFormat/>
    <w:uiPriority w:val="0"/>
    <w:rPr>
      <w:rFonts w:eastAsia="宋体"/>
      <w:kern w:val="2"/>
      <w:sz w:val="21"/>
      <w:lang w:val="en-US" w:eastAsia="zh-CN" w:bidi="ar-SA"/>
    </w:rPr>
  </w:style>
  <w:style w:type="character" w:customStyle="1" w:styleId="59">
    <w:name w:val="纯文本 字符"/>
    <w:link w:val="6"/>
    <w:autoRedefine/>
    <w:qFormat/>
    <w:uiPriority w:val="0"/>
    <w:rPr>
      <w:rFonts w:ascii="宋体" w:hAnsi="Courier New" w:eastAsia="宋体"/>
      <w:kern w:val="2"/>
      <w:sz w:val="24"/>
      <w:szCs w:val="24"/>
      <w:lang w:val="en-US" w:eastAsia="zh-CN" w:bidi="ar-SA"/>
    </w:rPr>
  </w:style>
  <w:style w:type="character" w:customStyle="1" w:styleId="60">
    <w:name w:val="页脚 字符"/>
    <w:link w:val="26"/>
    <w:autoRedefine/>
    <w:qFormat/>
    <w:uiPriority w:val="0"/>
    <w:rPr>
      <w:rFonts w:eastAsia="黑体"/>
      <w:snapToGrid w:val="0"/>
      <w:sz w:val="18"/>
      <w:szCs w:val="18"/>
      <w:lang w:val="en-US" w:eastAsia="zh-CN" w:bidi="ar-SA"/>
    </w:rPr>
  </w:style>
  <w:style w:type="character" w:customStyle="1" w:styleId="61">
    <w:name w:val="页眉 字符"/>
    <w:link w:val="27"/>
    <w:autoRedefine/>
    <w:qFormat/>
    <w:uiPriority w:val="0"/>
    <w:rPr>
      <w:rFonts w:eastAsia="仿宋_GB2312"/>
      <w:kern w:val="2"/>
      <w:sz w:val="18"/>
      <w:lang w:val="en-US" w:eastAsia="zh-CN" w:bidi="ar-SA"/>
    </w:rPr>
  </w:style>
  <w:style w:type="character" w:customStyle="1" w:styleId="62">
    <w:name w:val="font41"/>
    <w:basedOn w:val="44"/>
    <w:autoRedefine/>
    <w:qFormat/>
    <w:uiPriority w:val="0"/>
    <w:rPr>
      <w:rFonts w:hint="eastAsia" w:ascii="宋体" w:hAnsi="宋体" w:eastAsia="宋体" w:cs="宋体"/>
      <w:color w:val="000000"/>
      <w:sz w:val="20"/>
      <w:szCs w:val="20"/>
      <w:u w:val="none"/>
    </w:rPr>
  </w:style>
  <w:style w:type="character" w:customStyle="1" w:styleId="63">
    <w:name w:val="style41"/>
    <w:autoRedefine/>
    <w:qFormat/>
    <w:uiPriority w:val="0"/>
    <w:rPr>
      <w:sz w:val="18"/>
      <w:szCs w:val="18"/>
    </w:rPr>
  </w:style>
  <w:style w:type="character" w:customStyle="1" w:styleId="64">
    <w:name w:val="font01"/>
    <w:basedOn w:val="44"/>
    <w:autoRedefine/>
    <w:qFormat/>
    <w:uiPriority w:val="0"/>
    <w:rPr>
      <w:rFonts w:hint="eastAsia" w:ascii="宋体" w:hAnsi="宋体" w:eastAsia="宋体" w:cs="宋体"/>
      <w:color w:val="000000"/>
      <w:sz w:val="21"/>
      <w:szCs w:val="21"/>
      <w:u w:val="none"/>
    </w:rPr>
  </w:style>
  <w:style w:type="character" w:customStyle="1" w:styleId="65">
    <w:name w:val="hui121"/>
    <w:autoRedefine/>
    <w:qFormat/>
    <w:uiPriority w:val="0"/>
    <w:rPr>
      <w:rFonts w:eastAsia="宋体"/>
      <w:color w:val="333333"/>
      <w:kern w:val="2"/>
      <w:sz w:val="18"/>
      <w:szCs w:val="18"/>
      <w:lang w:val="en-US" w:eastAsia="zh-CN" w:bidi="ar-SA"/>
    </w:rPr>
  </w:style>
  <w:style w:type="character" w:customStyle="1" w:styleId="66">
    <w:name w:val="class3"/>
    <w:autoRedefine/>
    <w:qFormat/>
    <w:uiPriority w:val="0"/>
  </w:style>
  <w:style w:type="character" w:customStyle="1" w:styleId="67">
    <w:name w:val="font11"/>
    <w:basedOn w:val="44"/>
    <w:autoRedefine/>
    <w:qFormat/>
    <w:uiPriority w:val="0"/>
    <w:rPr>
      <w:rFonts w:hint="eastAsia" w:ascii="宋体" w:hAnsi="宋体" w:eastAsia="宋体" w:cs="宋体"/>
      <w:color w:val="000000"/>
      <w:sz w:val="21"/>
      <w:szCs w:val="21"/>
      <w:u w:val="none"/>
    </w:rPr>
  </w:style>
  <w:style w:type="character" w:customStyle="1" w:styleId="68">
    <w:name w:val="普通文字 Char Char1"/>
    <w:autoRedefine/>
    <w:qFormat/>
    <w:uiPriority w:val="0"/>
    <w:rPr>
      <w:rFonts w:ascii="宋体" w:hAnsi="Courier New"/>
      <w:kern w:val="2"/>
      <w:sz w:val="24"/>
      <w:szCs w:val="24"/>
    </w:rPr>
  </w:style>
  <w:style w:type="character" w:customStyle="1" w:styleId="69">
    <w:name w:val="普通文字 Char Char3"/>
    <w:autoRedefine/>
    <w:qFormat/>
    <w:uiPriority w:val="0"/>
    <w:rPr>
      <w:rFonts w:ascii="宋体" w:hAnsi="Courier New" w:eastAsia="宋体"/>
      <w:kern w:val="2"/>
      <w:sz w:val="24"/>
      <w:szCs w:val="24"/>
      <w:lang w:val="en-US" w:eastAsia="zh-CN" w:bidi="ar-SA"/>
    </w:rPr>
  </w:style>
  <w:style w:type="character" w:customStyle="1" w:styleId="70">
    <w:name w:val="class4"/>
    <w:autoRedefine/>
    <w:qFormat/>
    <w:uiPriority w:val="0"/>
  </w:style>
  <w:style w:type="character" w:customStyle="1" w:styleId="71">
    <w:name w:val="ca-3"/>
    <w:autoRedefine/>
    <w:qFormat/>
    <w:uiPriority w:val="0"/>
    <w:rPr>
      <w:rFonts w:eastAsia="宋体"/>
      <w:kern w:val="2"/>
      <w:sz w:val="24"/>
      <w:szCs w:val="24"/>
      <w:lang w:val="en-US" w:eastAsia="zh-CN" w:bidi="ar-SA"/>
    </w:rPr>
  </w:style>
  <w:style w:type="character" w:customStyle="1" w:styleId="72">
    <w:name w:val="Plain Text Char"/>
    <w:autoRedefine/>
    <w:semiHidden/>
    <w:qFormat/>
    <w:locked/>
    <w:uiPriority w:val="0"/>
    <w:rPr>
      <w:rFonts w:ascii="宋体" w:hAnsi="Courier New" w:eastAsia="宋体" w:cs="Times New Roman"/>
      <w:sz w:val="20"/>
      <w:szCs w:val="20"/>
    </w:rPr>
  </w:style>
  <w:style w:type="character" w:customStyle="1" w:styleId="73">
    <w:name w:val="List Paragraph Char"/>
    <w:link w:val="74"/>
    <w:autoRedefine/>
    <w:qFormat/>
    <w:locked/>
    <w:uiPriority w:val="0"/>
    <w:rPr>
      <w:rFonts w:eastAsia="宋体"/>
      <w:kern w:val="2"/>
      <w:sz w:val="21"/>
      <w:szCs w:val="24"/>
      <w:lang w:val="en-US" w:eastAsia="zh-CN" w:bidi="ar-SA"/>
    </w:rPr>
  </w:style>
  <w:style w:type="paragraph" w:customStyle="1" w:styleId="74">
    <w:name w:val="List Paragraph1"/>
    <w:basedOn w:val="1"/>
    <w:next w:val="1"/>
    <w:link w:val="73"/>
    <w:autoRedefine/>
    <w:qFormat/>
    <w:uiPriority w:val="0"/>
    <w:pPr>
      <w:ind w:firstLine="420" w:firstLineChars="200"/>
    </w:pPr>
  </w:style>
  <w:style w:type="character" w:customStyle="1" w:styleId="75">
    <w:name w:val="h Char Char"/>
    <w:autoRedefine/>
    <w:qFormat/>
    <w:uiPriority w:val="0"/>
    <w:rPr>
      <w:rFonts w:eastAsia="仿宋_GB2312"/>
      <w:kern w:val="2"/>
      <w:sz w:val="18"/>
      <w:lang w:val="en-US" w:eastAsia="zh-CN" w:bidi="ar-SA"/>
    </w:rPr>
  </w:style>
  <w:style w:type="character" w:customStyle="1" w:styleId="76">
    <w:name w:val="label_list1"/>
    <w:autoRedefine/>
    <w:qFormat/>
    <w:uiPriority w:val="0"/>
  </w:style>
  <w:style w:type="character" w:customStyle="1" w:styleId="77">
    <w:name w:val="普通文字 Char Char2"/>
    <w:autoRedefine/>
    <w:qFormat/>
    <w:uiPriority w:val="0"/>
    <w:rPr>
      <w:rFonts w:ascii="宋体" w:hAnsi="Courier New" w:eastAsia="宋体"/>
      <w:kern w:val="2"/>
      <w:sz w:val="21"/>
      <w:lang w:val="en-US" w:eastAsia="zh-CN" w:bidi="ar-SA"/>
    </w:rPr>
  </w:style>
  <w:style w:type="character" w:customStyle="1" w:styleId="78">
    <w:name w:val="Char Char18"/>
    <w:autoRedefine/>
    <w:qFormat/>
    <w:uiPriority w:val="0"/>
    <w:rPr>
      <w:rFonts w:ascii="宋体" w:eastAsia="宋体"/>
      <w:snapToGrid w:val="0"/>
      <w:color w:val="000000"/>
      <w:kern w:val="28"/>
      <w:sz w:val="28"/>
      <w:lang w:val="en-US" w:eastAsia="zh-CN" w:bidi="ar-SA"/>
    </w:rPr>
  </w:style>
  <w:style w:type="character" w:customStyle="1" w:styleId="79">
    <w:name w:val="font111"/>
    <w:autoRedefine/>
    <w:qFormat/>
    <w:uiPriority w:val="0"/>
    <w:rPr>
      <w:rFonts w:hint="default" w:ascii="Calibri" w:hAnsi="Calibri" w:cs="Calibri"/>
      <w:color w:val="000000"/>
      <w:sz w:val="22"/>
      <w:szCs w:val="22"/>
      <w:u w:val="none"/>
    </w:rPr>
  </w:style>
  <w:style w:type="character" w:customStyle="1" w:styleId="80">
    <w:name w:val="cf01"/>
    <w:autoRedefine/>
    <w:qFormat/>
    <w:uiPriority w:val="0"/>
    <w:rPr>
      <w:rFonts w:hint="eastAsia" w:ascii="Microsoft YaHei UI" w:hAnsi="Microsoft YaHei UI" w:eastAsia="Microsoft YaHei UI"/>
      <w:sz w:val="18"/>
      <w:szCs w:val="18"/>
    </w:rPr>
  </w:style>
  <w:style w:type="character" w:customStyle="1" w:styleId="81">
    <w:name w:val="cf11"/>
    <w:autoRedefine/>
    <w:qFormat/>
    <w:uiPriority w:val="0"/>
    <w:rPr>
      <w:rFonts w:hint="eastAsia" w:ascii="Microsoft YaHei UI" w:hAnsi="Microsoft YaHei UI" w:eastAsia="Microsoft YaHei UI"/>
      <w:sz w:val="18"/>
      <w:szCs w:val="18"/>
    </w:rPr>
  </w:style>
  <w:style w:type="character" w:customStyle="1" w:styleId="82">
    <w:name w:val="fontstyle01"/>
    <w:autoRedefine/>
    <w:qFormat/>
    <w:uiPriority w:val="0"/>
    <w:rPr>
      <w:rFonts w:hint="eastAsia" w:ascii="宋体" w:hAnsi="宋体" w:eastAsia="宋体"/>
      <w:color w:val="000000"/>
      <w:sz w:val="22"/>
      <w:szCs w:val="22"/>
    </w:rPr>
  </w:style>
  <w:style w:type="character" w:customStyle="1" w:styleId="83">
    <w:name w:val="font51"/>
    <w:basedOn w:val="44"/>
    <w:autoRedefine/>
    <w:qFormat/>
    <w:uiPriority w:val="0"/>
    <w:rPr>
      <w:rFonts w:hint="default" w:ascii="等线" w:hAnsi="等线" w:eastAsia="等线" w:cs="等线"/>
      <w:b/>
      <w:bCs/>
      <w:color w:val="000000"/>
      <w:sz w:val="22"/>
      <w:szCs w:val="22"/>
      <w:u w:val="none"/>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lp1"/>
    <w:basedOn w:val="1"/>
    <w:next w:val="74"/>
    <w:autoRedefine/>
    <w:qFormat/>
    <w:uiPriority w:val="34"/>
    <w:pPr>
      <w:widowControl/>
      <w:ind w:left="720"/>
      <w:contextualSpacing/>
      <w:jc w:val="left"/>
    </w:pPr>
    <w:rPr>
      <w:sz w:val="24"/>
      <w:szCs w:val="24"/>
    </w:rPr>
  </w:style>
  <w:style w:type="paragraph" w:customStyle="1" w:styleId="86">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87">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88">
    <w:name w:val="CM14"/>
    <w:basedOn w:val="51"/>
    <w:next w:val="51"/>
    <w:autoRedefine/>
    <w:unhideWhenUsed/>
    <w:qFormat/>
    <w:uiPriority w:val="99"/>
    <w:pPr>
      <w:spacing w:line="546" w:lineRule="atLeast"/>
    </w:pPr>
    <w:rPr>
      <w:rFonts w:hint="eastAsia"/>
    </w:rPr>
  </w:style>
  <w:style w:type="paragraph" w:customStyle="1" w:styleId="8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3">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4">
    <w:name w:val="Medium Grid 1 - Accent 21"/>
    <w:basedOn w:val="1"/>
    <w:autoRedefine/>
    <w:qFormat/>
    <w:uiPriority w:val="0"/>
    <w:pPr>
      <w:spacing w:line="500" w:lineRule="exact"/>
      <w:ind w:firstLine="420" w:firstLineChars="200"/>
    </w:pPr>
    <w:rPr>
      <w:kern w:val="0"/>
      <w:szCs w:val="24"/>
    </w:rPr>
  </w:style>
  <w:style w:type="paragraph" w:styleId="95">
    <w:name w:val="List Paragraph"/>
    <w:basedOn w:val="1"/>
    <w:autoRedefine/>
    <w:qFormat/>
    <w:uiPriority w:val="99"/>
    <w:pPr>
      <w:widowControl/>
      <w:ind w:left="720" w:firstLine="360"/>
      <w:contextualSpacing/>
      <w:jc w:val="left"/>
    </w:pPr>
    <w:rPr>
      <w:rFonts w:ascii="Calibri" w:hAnsi="Calibri"/>
      <w:kern w:val="0"/>
      <w:sz w:val="22"/>
      <w:szCs w:val="22"/>
      <w:lang w:eastAsia="en-US" w:bidi="en-US"/>
    </w:rPr>
  </w:style>
  <w:style w:type="paragraph" w:customStyle="1" w:styleId="96">
    <w:name w:val="Table Paragraph"/>
    <w:basedOn w:val="1"/>
    <w:autoRedefine/>
    <w:qFormat/>
    <w:uiPriority w:val="1"/>
    <w:rPr>
      <w:rFonts w:ascii="宋体" w:hAnsi="宋体" w:cs="宋体"/>
      <w:lang w:val="zh-CN" w:bidi="zh-CN"/>
    </w:rPr>
  </w:style>
  <w:style w:type="paragraph" w:customStyle="1" w:styleId="97">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8">
    <w:name w:val="纯文本1"/>
    <w:basedOn w:val="92"/>
    <w:autoRedefine/>
    <w:qFormat/>
    <w:uiPriority w:val="0"/>
    <w:pPr>
      <w:widowControl/>
      <w:jc w:val="left"/>
    </w:pPr>
    <w:rPr>
      <w:rFonts w:ascii="宋体" w:hAnsi="Courier New"/>
    </w:rPr>
  </w:style>
  <w:style w:type="paragraph" w:customStyle="1" w:styleId="99">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1">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3">
    <w:name w:val="CM19"/>
    <w:basedOn w:val="51"/>
    <w:next w:val="51"/>
    <w:autoRedefine/>
    <w:unhideWhenUsed/>
    <w:qFormat/>
    <w:uiPriority w:val="99"/>
    <w:rPr>
      <w:rFonts w:hint="eastAsia"/>
    </w:rPr>
  </w:style>
  <w:style w:type="paragraph" w:customStyle="1" w:styleId="104">
    <w:name w:val="列出段落1"/>
    <w:basedOn w:val="1"/>
    <w:autoRedefine/>
    <w:qFormat/>
    <w:uiPriority w:val="0"/>
    <w:pPr>
      <w:ind w:firstLine="420" w:firstLineChars="200"/>
    </w:pPr>
    <w:rPr>
      <w:rFonts w:ascii="Calibri" w:hAnsi="Calibri"/>
      <w:szCs w:val="22"/>
    </w:rPr>
  </w:style>
  <w:style w:type="paragraph" w:customStyle="1" w:styleId="105">
    <w:name w:val="1 Char"/>
    <w:basedOn w:val="1"/>
    <w:autoRedefine/>
    <w:qFormat/>
    <w:uiPriority w:val="0"/>
  </w:style>
  <w:style w:type="paragraph" w:customStyle="1" w:styleId="106">
    <w:name w:val="默认段落字体 Para Char Char Char Char"/>
    <w:basedOn w:val="1"/>
    <w:autoRedefine/>
    <w:qFormat/>
    <w:uiPriority w:val="0"/>
    <w:rPr>
      <w:spacing w:val="20"/>
      <w:sz w:val="28"/>
      <w:szCs w:val="21"/>
    </w:rPr>
  </w:style>
  <w:style w:type="paragraph" w:customStyle="1" w:styleId="107">
    <w:name w:val="标题B"/>
    <w:basedOn w:val="3"/>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8">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09">
    <w:name w:val="Char Char Char"/>
    <w:basedOn w:val="1"/>
    <w:autoRedefine/>
    <w:qFormat/>
    <w:uiPriority w:val="0"/>
    <w:rPr>
      <w:rFonts w:ascii="Calibri" w:hAnsi="Calibri"/>
      <w:szCs w:val="22"/>
    </w:rPr>
  </w:style>
  <w:style w:type="paragraph" w:customStyle="1" w:styleId="110">
    <w:name w:val="Char Char Char Char Char Char"/>
    <w:basedOn w:val="1"/>
    <w:autoRedefine/>
    <w:qFormat/>
    <w:uiPriority w:val="0"/>
    <w:rPr>
      <w:rFonts w:ascii="仿宋_GB2312" w:eastAsia="仿宋_GB2312"/>
      <w:b/>
      <w:sz w:val="32"/>
      <w:szCs w:val="32"/>
    </w:rPr>
  </w:style>
  <w:style w:type="paragraph" w:customStyle="1" w:styleId="111">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2">
    <w:name w:val="CM11"/>
    <w:basedOn w:val="51"/>
    <w:next w:val="51"/>
    <w:autoRedefine/>
    <w:unhideWhenUsed/>
    <w:qFormat/>
    <w:uiPriority w:val="99"/>
    <w:pPr>
      <w:spacing w:line="520" w:lineRule="atLeast"/>
    </w:pPr>
    <w:rPr>
      <w:rFonts w:hint="eastAsia"/>
    </w:rPr>
  </w:style>
  <w:style w:type="paragraph" w:customStyle="1" w:styleId="113">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4">
    <w:name w:val="Char"/>
    <w:basedOn w:val="1"/>
    <w:autoRedefine/>
    <w:qFormat/>
    <w:uiPriority w:val="0"/>
    <w:pPr>
      <w:tabs>
        <w:tab w:val="left" w:pos="1200"/>
      </w:tabs>
      <w:ind w:left="1200" w:hanging="360"/>
    </w:pPr>
    <w:rPr>
      <w:sz w:val="24"/>
    </w:rPr>
  </w:style>
  <w:style w:type="paragraph" w:customStyle="1" w:styleId="115">
    <w:name w:val="UserStyle_0"/>
    <w:next w:val="116"/>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6">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7">
    <w:name w:val="标题C"/>
    <w:basedOn w:val="4"/>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8">
    <w:name w:val="正文2"/>
    <w:basedOn w:val="16"/>
    <w:autoRedefine/>
    <w:qFormat/>
    <w:uiPriority w:val="0"/>
    <w:pPr>
      <w:spacing w:before="156" w:line="360" w:lineRule="auto"/>
      <w:ind w:firstLine="510" w:firstLineChars="200"/>
    </w:pPr>
    <w:rPr>
      <w:sz w:val="24"/>
    </w:rPr>
  </w:style>
  <w:style w:type="paragraph" w:customStyle="1" w:styleId="119">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0">
    <w:name w:val="Plain Text1"/>
    <w:basedOn w:val="97"/>
    <w:autoRedefine/>
    <w:qFormat/>
    <w:uiPriority w:val="0"/>
    <w:pPr>
      <w:widowControl/>
      <w:jc w:val="left"/>
    </w:pPr>
    <w:rPr>
      <w:rFonts w:ascii="宋体" w:hAnsi="Courier New"/>
    </w:rPr>
  </w:style>
  <w:style w:type="paragraph" w:customStyle="1" w:styleId="121">
    <w:name w:val="标题A"/>
    <w:basedOn w:val="2"/>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2">
    <w:name w:val="CM13"/>
    <w:basedOn w:val="51"/>
    <w:next w:val="51"/>
    <w:autoRedefine/>
    <w:unhideWhenUsed/>
    <w:qFormat/>
    <w:uiPriority w:val="99"/>
    <w:pPr>
      <w:spacing w:line="520" w:lineRule="atLeast"/>
    </w:pPr>
    <w:rPr>
      <w:rFonts w:hint="eastAsia"/>
    </w:rPr>
  </w:style>
  <w:style w:type="paragraph" w:customStyle="1" w:styleId="123">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4">
    <w:name w:val="简单回函地址"/>
    <w:basedOn w:val="1"/>
    <w:autoRedefine/>
    <w:qFormat/>
    <w:uiPriority w:val="0"/>
    <w:pPr>
      <w:adjustRightInd w:val="0"/>
      <w:spacing w:line="312" w:lineRule="atLeast"/>
      <w:textAlignment w:val="baseline"/>
    </w:pPr>
    <w:rPr>
      <w:kern w:val="0"/>
    </w:rPr>
  </w:style>
  <w:style w:type="paragraph" w:customStyle="1" w:styleId="125">
    <w:name w:val="Body Text First Indent1"/>
    <w:basedOn w:val="16"/>
    <w:autoRedefine/>
    <w:qFormat/>
    <w:uiPriority w:val="0"/>
    <w:pPr>
      <w:spacing w:line="312" w:lineRule="auto"/>
      <w:ind w:firstLine="420"/>
    </w:pPr>
    <w:rPr>
      <w:rFonts w:ascii="Calibri" w:hAnsi="Calibri"/>
      <w:sz w:val="32"/>
      <w:szCs w:val="24"/>
    </w:rPr>
  </w:style>
  <w:style w:type="paragraph" w:customStyle="1" w:styleId="126">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7">
    <w:name w:val="首行缩进"/>
    <w:basedOn w:val="1"/>
    <w:autoRedefine/>
    <w:qFormat/>
    <w:uiPriority w:val="0"/>
    <w:pPr>
      <w:adjustRightInd w:val="0"/>
      <w:spacing w:line="360" w:lineRule="auto"/>
      <w:ind w:firstLine="480" w:firstLineChars="200"/>
    </w:pPr>
    <w:rPr>
      <w:rFonts w:ascii="宋体"/>
      <w:sz w:val="24"/>
    </w:rPr>
  </w:style>
  <w:style w:type="paragraph" w:customStyle="1" w:styleId="128">
    <w:name w:val="样式1"/>
    <w:basedOn w:val="1"/>
    <w:autoRedefine/>
    <w:qFormat/>
    <w:uiPriority w:val="0"/>
    <w:pPr>
      <w:spacing w:line="360" w:lineRule="exact"/>
      <w:ind w:firstLine="200" w:firstLineChars="200"/>
    </w:pPr>
    <w:rPr>
      <w:rFonts w:ascii="Arial" w:hAnsi="Arial"/>
    </w:rPr>
  </w:style>
  <w:style w:type="paragraph" w:customStyle="1" w:styleId="129">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1">
    <w:name w:val="Normal Indent1"/>
    <w:basedOn w:val="1"/>
    <w:autoRedefine/>
    <w:qFormat/>
    <w:uiPriority w:val="0"/>
    <w:pPr>
      <w:ind w:firstLine="420"/>
    </w:pPr>
  </w:style>
  <w:style w:type="paragraph" w:customStyle="1" w:styleId="132">
    <w:name w:val="正文段"/>
    <w:basedOn w:val="1"/>
    <w:autoRedefine/>
    <w:qFormat/>
    <w:uiPriority w:val="0"/>
    <w:pPr>
      <w:widowControl/>
      <w:snapToGrid w:val="0"/>
      <w:spacing w:afterLines="50"/>
      <w:ind w:firstLine="200" w:firstLineChars="200"/>
    </w:pPr>
    <w:rPr>
      <w:kern w:val="0"/>
      <w:sz w:val="24"/>
    </w:rPr>
  </w:style>
  <w:style w:type="paragraph" w:customStyle="1" w:styleId="133">
    <w:name w:val="默认段落字体 Para Char Char Char Char Char Char Char Char Char1 Char Char Char Char"/>
    <w:basedOn w:val="1"/>
    <w:autoRedefine/>
    <w:qFormat/>
    <w:uiPriority w:val="0"/>
    <w:rPr>
      <w:rFonts w:ascii="Tahoma" w:hAnsi="Tahoma"/>
      <w:sz w:val="24"/>
    </w:rPr>
  </w:style>
  <w:style w:type="paragraph" w:customStyle="1" w:styleId="134">
    <w:name w:val="正文缩进1"/>
    <w:basedOn w:val="135"/>
    <w:next w:val="52"/>
    <w:autoRedefine/>
    <w:qFormat/>
    <w:uiPriority w:val="0"/>
    <w:pPr>
      <w:spacing w:line="480" w:lineRule="exact"/>
    </w:pPr>
    <w:rPr>
      <w:rFonts w:ascii="宋体" w:hAnsi="宋体"/>
      <w:sz w:val="24"/>
    </w:rPr>
  </w:style>
  <w:style w:type="paragraph" w:customStyle="1" w:styleId="135">
    <w:name w:val="正文11"/>
    <w:next w:val="1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8">
    <w:name w:val="p0"/>
    <w:basedOn w:val="1"/>
    <w:autoRedefine/>
    <w:qFormat/>
    <w:uiPriority w:val="0"/>
    <w:pPr>
      <w:widowControl/>
    </w:pPr>
    <w:rPr>
      <w:kern w:val="0"/>
      <w:szCs w:val="21"/>
    </w:rPr>
  </w:style>
  <w:style w:type="character" w:customStyle="1" w:styleId="139">
    <w:name w:val="font21"/>
    <w:basedOn w:val="44"/>
    <w:autoRedefine/>
    <w:qFormat/>
    <w:uiPriority w:val="0"/>
    <w:rPr>
      <w:rFonts w:hint="eastAsia" w:ascii="宋体" w:hAnsi="宋体" w:eastAsia="宋体" w:cs="宋体"/>
      <w:color w:val="000000"/>
      <w:sz w:val="24"/>
      <w:szCs w:val="24"/>
      <w:u w:val="none"/>
    </w:rPr>
  </w:style>
  <w:style w:type="character" w:customStyle="1" w:styleId="140">
    <w:name w:val="font31"/>
    <w:basedOn w:val="44"/>
    <w:autoRedefine/>
    <w:qFormat/>
    <w:uiPriority w:val="0"/>
    <w:rPr>
      <w:rFonts w:hint="eastAsia" w:ascii="宋体" w:hAnsi="宋体" w:eastAsia="宋体" w:cs="宋体"/>
      <w:b/>
      <w:bCs/>
      <w:color w:val="000000"/>
      <w:sz w:val="24"/>
      <w:szCs w:val="24"/>
      <w:u w:val="none"/>
    </w:rPr>
  </w:style>
  <w:style w:type="paragraph" w:customStyle="1" w:styleId="141">
    <w:name w:val="_Style 1"/>
    <w:basedOn w:val="1"/>
    <w:autoRedefine/>
    <w:qFormat/>
    <w:uiPriority w:val="0"/>
    <w:pPr>
      <w:ind w:firstLine="420"/>
    </w:pPr>
    <w:rPr>
      <w:rFonts w:ascii="Calibri" w:hAnsi="Calibri"/>
      <w:szCs w:val="22"/>
    </w:rPr>
  </w:style>
  <w:style w:type="character" w:customStyle="1" w:styleId="142">
    <w:name w:val="标题 1 字符1"/>
    <w:link w:val="2"/>
    <w:autoRedefine/>
    <w:qFormat/>
    <w:uiPriority w:val="0"/>
    <w:rPr>
      <w:rFonts w:eastAsia="宋体"/>
      <w:b/>
      <w:bCs/>
      <w:kern w:val="2"/>
      <w:sz w:val="24"/>
      <w:szCs w:val="24"/>
      <w:lang w:val="en-US" w:eastAsia="zh-CN" w:bidi="ar-SA"/>
    </w:rPr>
  </w:style>
  <w:style w:type="paragraph" w:customStyle="1" w:styleId="143">
    <w:name w:val="无间隔1"/>
    <w:autoRedefine/>
    <w:qFormat/>
    <w:uiPriority w:val="0"/>
    <w:rPr>
      <w:rFonts w:ascii="Calibri" w:hAnsi="Calibri" w:eastAsia="宋体" w:cs="Times New Roman"/>
      <w:sz w:val="22"/>
      <w:szCs w:val="22"/>
      <w:lang w:val="en-US" w:eastAsia="en-US" w:bidi="ar-SA"/>
    </w:rPr>
  </w:style>
  <w:style w:type="character" w:customStyle="1" w:styleId="144">
    <w:name w:val="font211"/>
    <w:basedOn w:val="44"/>
    <w:autoRedefine/>
    <w:qFormat/>
    <w:uiPriority w:val="0"/>
    <w:rPr>
      <w:rFonts w:ascii="宋体" w:hAnsi="宋体" w:eastAsia="宋体" w:cs="宋体"/>
      <w:color w:val="000000"/>
      <w:sz w:val="20"/>
      <w:szCs w:val="20"/>
      <w:u w:val="none"/>
    </w:rPr>
  </w:style>
  <w:style w:type="character" w:customStyle="1" w:styleId="145">
    <w:name w:val="font22"/>
    <w:basedOn w:val="44"/>
    <w:autoRedefine/>
    <w:qFormat/>
    <w:uiPriority w:val="0"/>
    <w:rPr>
      <w:rFonts w:hint="eastAsia" w:ascii="宋体" w:hAnsi="宋体" w:eastAsia="宋体" w:cs="宋体"/>
      <w:color w:val="000000"/>
      <w:sz w:val="20"/>
      <w:szCs w:val="20"/>
      <w:u w:val="none"/>
    </w:rPr>
  </w:style>
  <w:style w:type="character" w:customStyle="1" w:styleId="146">
    <w:name w:val="font222"/>
    <w:basedOn w:val="44"/>
    <w:autoRedefine/>
    <w:qFormat/>
    <w:uiPriority w:val="0"/>
    <w:rPr>
      <w:rFonts w:hint="eastAsia" w:ascii="宋体" w:hAnsi="宋体" w:eastAsia="宋体" w:cs="宋体"/>
      <w:color w:val="000000"/>
      <w:sz w:val="20"/>
      <w:szCs w:val="20"/>
      <w:u w:val="none"/>
      <w:vertAlign w:val="superscript"/>
    </w:rPr>
  </w:style>
  <w:style w:type="character" w:customStyle="1" w:styleId="147">
    <w:name w:val="font231"/>
    <w:basedOn w:val="44"/>
    <w:autoRedefine/>
    <w:qFormat/>
    <w:uiPriority w:val="0"/>
    <w:rPr>
      <w:rFonts w:hint="eastAsia" w:ascii="宋体" w:hAnsi="宋体" w:eastAsia="宋体" w:cs="宋体"/>
      <w:color w:val="FF0000"/>
      <w:sz w:val="20"/>
      <w:szCs w:val="20"/>
      <w:u w:val="none"/>
    </w:rPr>
  </w:style>
  <w:style w:type="character" w:customStyle="1" w:styleId="148">
    <w:name w:val="font91"/>
    <w:basedOn w:val="44"/>
    <w:autoRedefine/>
    <w:qFormat/>
    <w:uiPriority w:val="0"/>
    <w:rPr>
      <w:rFonts w:hint="eastAsia" w:ascii="宋体" w:hAnsi="宋体" w:eastAsia="宋体" w:cs="宋体"/>
      <w:color w:val="000000"/>
      <w:sz w:val="20"/>
      <w:szCs w:val="20"/>
      <w:u w:val="none"/>
    </w:rPr>
  </w:style>
  <w:style w:type="character" w:customStyle="1" w:styleId="149">
    <w:name w:val="font251"/>
    <w:basedOn w:val="44"/>
    <w:autoRedefine/>
    <w:qFormat/>
    <w:uiPriority w:val="0"/>
    <w:rPr>
      <w:rFonts w:ascii="宋体" w:hAnsi="宋体" w:eastAsia="宋体" w:cs="宋体"/>
      <w:color w:val="000000"/>
      <w:sz w:val="20"/>
      <w:szCs w:val="20"/>
      <w:u w:val="none"/>
    </w:rPr>
  </w:style>
  <w:style w:type="character" w:customStyle="1" w:styleId="150">
    <w:name w:val="font141"/>
    <w:basedOn w:val="44"/>
    <w:autoRedefine/>
    <w:qFormat/>
    <w:uiPriority w:val="0"/>
    <w:rPr>
      <w:rFonts w:hint="eastAsia" w:ascii="宋体" w:hAnsi="宋体" w:eastAsia="宋体" w:cs="宋体"/>
      <w:color w:val="000000"/>
      <w:sz w:val="20"/>
      <w:szCs w:val="20"/>
      <w:u w:val="none"/>
    </w:rPr>
  </w:style>
  <w:style w:type="character" w:customStyle="1" w:styleId="151">
    <w:name w:val="font81"/>
    <w:basedOn w:val="44"/>
    <w:autoRedefine/>
    <w:qFormat/>
    <w:uiPriority w:val="0"/>
    <w:rPr>
      <w:rFonts w:hint="eastAsia" w:ascii="宋体" w:hAnsi="宋体" w:eastAsia="宋体" w:cs="宋体"/>
      <w:color w:val="000000"/>
      <w:sz w:val="20"/>
      <w:szCs w:val="20"/>
      <w:u w:val="none"/>
      <w:vertAlign w:val="superscript"/>
    </w:rPr>
  </w:style>
  <w:style w:type="character" w:customStyle="1" w:styleId="152">
    <w:name w:val="font131"/>
    <w:basedOn w:val="44"/>
    <w:autoRedefine/>
    <w:qFormat/>
    <w:uiPriority w:val="0"/>
    <w:rPr>
      <w:rFonts w:hint="eastAsia" w:ascii="微软雅黑" w:hAnsi="微软雅黑" w:eastAsia="微软雅黑" w:cs="微软雅黑"/>
      <w:color w:val="000000"/>
      <w:sz w:val="20"/>
      <w:szCs w:val="20"/>
      <w:u w:val="none"/>
    </w:rPr>
  </w:style>
  <w:style w:type="character" w:customStyle="1" w:styleId="153">
    <w:name w:val="font121"/>
    <w:basedOn w:val="44"/>
    <w:autoRedefine/>
    <w:qFormat/>
    <w:uiPriority w:val="0"/>
    <w:rPr>
      <w:rFonts w:hint="eastAsia" w:ascii="等线" w:hAnsi="等线" w:eastAsia="等线" w:cs="等线"/>
      <w:color w:val="000000"/>
      <w:sz w:val="20"/>
      <w:szCs w:val="20"/>
      <w:u w:val="none"/>
    </w:rPr>
  </w:style>
  <w:style w:type="character" w:customStyle="1" w:styleId="154">
    <w:name w:val="font61"/>
    <w:basedOn w:val="44"/>
    <w:autoRedefine/>
    <w:qFormat/>
    <w:uiPriority w:val="0"/>
    <w:rPr>
      <w:rFonts w:hint="eastAsia" w:ascii="宋体" w:hAnsi="宋体" w:eastAsia="宋体" w:cs="宋体"/>
      <w:color w:val="000000"/>
      <w:sz w:val="20"/>
      <w:szCs w:val="20"/>
      <w:u w:val="none"/>
    </w:rPr>
  </w:style>
  <w:style w:type="character" w:customStyle="1" w:styleId="155">
    <w:name w:val="font261"/>
    <w:basedOn w:val="44"/>
    <w:autoRedefine/>
    <w:qFormat/>
    <w:uiPriority w:val="0"/>
    <w:rPr>
      <w:rFonts w:hint="eastAsia" w:ascii="宋体" w:hAnsi="宋体" w:eastAsia="宋体" w:cs="宋体"/>
      <w:color w:val="000000"/>
      <w:sz w:val="20"/>
      <w:szCs w:val="20"/>
      <w:u w:val="none"/>
    </w:rPr>
  </w:style>
  <w:style w:type="character" w:customStyle="1" w:styleId="156">
    <w:name w:val="NormalCharacter"/>
    <w:autoRedefine/>
    <w:semiHidden/>
    <w:qFormat/>
    <w:uiPriority w:val="0"/>
    <w:rPr>
      <w:rFonts w:hint="eastAsia" w:ascii="Times New Roman" w:hAnsi="Times New Roman" w:eastAsia="宋体" w:cs="Times New Roman"/>
      <w:kern w:val="2"/>
      <w:sz w:val="21"/>
      <w:lang w:val="en-US" w:eastAsia="zh-CN" w:bidi="ar-SA"/>
    </w:rPr>
  </w:style>
  <w:style w:type="character" w:customStyle="1" w:styleId="157">
    <w:name w:val="font151"/>
    <w:basedOn w:val="44"/>
    <w:autoRedefine/>
    <w:qFormat/>
    <w:uiPriority w:val="0"/>
    <w:rPr>
      <w:rFonts w:ascii="楷体" w:hAnsi="楷体" w:eastAsia="楷体" w:cs="楷体"/>
      <w:b/>
      <w:bCs/>
      <w:color w:val="000000"/>
      <w:sz w:val="18"/>
      <w:szCs w:val="18"/>
      <w:u w:val="none"/>
    </w:rPr>
  </w:style>
  <w:style w:type="character" w:customStyle="1" w:styleId="158">
    <w:name w:val="font181"/>
    <w:basedOn w:val="44"/>
    <w:autoRedefine/>
    <w:qFormat/>
    <w:uiPriority w:val="0"/>
    <w:rPr>
      <w:rFonts w:hint="eastAsia" w:ascii="楷体" w:hAnsi="楷体" w:eastAsia="楷体" w:cs="楷体"/>
      <w:b/>
      <w:bCs/>
      <w:color w:val="FF0000"/>
      <w:sz w:val="18"/>
      <w:szCs w:val="18"/>
      <w:u w:val="none"/>
    </w:rPr>
  </w:style>
  <w:style w:type="character" w:customStyle="1" w:styleId="159">
    <w:name w:val="font71"/>
    <w:basedOn w:val="44"/>
    <w:autoRedefine/>
    <w:qFormat/>
    <w:uiPriority w:val="0"/>
    <w:rPr>
      <w:rFonts w:hint="default" w:ascii="Times New Roman" w:hAnsi="Times New Roman" w:cs="Times New Roman"/>
      <w:color w:val="000000"/>
      <w:sz w:val="18"/>
      <w:szCs w:val="18"/>
      <w:u w:val="none"/>
    </w:rPr>
  </w:style>
  <w:style w:type="character" w:customStyle="1" w:styleId="160">
    <w:name w:val="font201"/>
    <w:basedOn w:val="44"/>
    <w:autoRedefine/>
    <w:qFormat/>
    <w:uiPriority w:val="0"/>
    <w:rPr>
      <w:rFonts w:hint="default" w:ascii="Times New Roman" w:hAnsi="Times New Roman" w:cs="Times New Roman"/>
      <w:color w:val="000000"/>
      <w:sz w:val="18"/>
      <w:szCs w:val="18"/>
      <w:u w:val="none"/>
      <w:vertAlign w:val="superscript"/>
    </w:rPr>
  </w:style>
  <w:style w:type="character" w:customStyle="1" w:styleId="161">
    <w:name w:val="font112"/>
    <w:basedOn w:val="44"/>
    <w:autoRedefine/>
    <w:qFormat/>
    <w:uiPriority w:val="0"/>
    <w:rPr>
      <w:rFonts w:hint="eastAsia" w:ascii="楷体" w:hAnsi="楷体" w:eastAsia="楷体" w:cs="楷体"/>
      <w:color w:val="000000"/>
      <w:sz w:val="18"/>
      <w:szCs w:val="18"/>
      <w:u w:val="none"/>
    </w:rPr>
  </w:style>
  <w:style w:type="character" w:customStyle="1" w:styleId="162">
    <w:name w:val="font241"/>
    <w:basedOn w:val="44"/>
    <w:autoRedefine/>
    <w:qFormat/>
    <w:uiPriority w:val="0"/>
    <w:rPr>
      <w:rFonts w:hint="eastAsia" w:ascii="楷体" w:hAnsi="楷体" w:eastAsia="楷体" w:cs="楷体"/>
      <w:color w:val="000000"/>
      <w:sz w:val="20"/>
      <w:szCs w:val="20"/>
      <w:u w:val="none"/>
      <w:vertAlign w:val="superscript"/>
    </w:rPr>
  </w:style>
  <w:style w:type="character" w:customStyle="1" w:styleId="163">
    <w:name w:val="font212"/>
    <w:basedOn w:val="44"/>
    <w:autoRedefine/>
    <w:qFormat/>
    <w:uiPriority w:val="0"/>
    <w:rPr>
      <w:rFonts w:ascii="楷体" w:hAnsi="楷体" w:eastAsia="楷体" w:cs="楷体"/>
      <w:b/>
      <w:bCs/>
      <w:color w:val="000000"/>
      <w:sz w:val="18"/>
      <w:szCs w:val="18"/>
      <w:u w:val="none"/>
    </w:rPr>
  </w:style>
  <w:style w:type="character" w:customStyle="1" w:styleId="164">
    <w:name w:val="font221"/>
    <w:basedOn w:val="44"/>
    <w:autoRedefine/>
    <w:qFormat/>
    <w:uiPriority w:val="0"/>
    <w:rPr>
      <w:rFonts w:hint="eastAsia" w:ascii="楷体" w:hAnsi="楷体" w:eastAsia="楷体" w:cs="楷体"/>
      <w:b/>
      <w:bCs/>
      <w:color w:val="FF0000"/>
      <w:sz w:val="18"/>
      <w:szCs w:val="18"/>
      <w:u w:val="none"/>
    </w:rPr>
  </w:style>
  <w:style w:type="character" w:customStyle="1" w:styleId="165">
    <w:name w:val="font101"/>
    <w:basedOn w:val="44"/>
    <w:autoRedefine/>
    <w:qFormat/>
    <w:uiPriority w:val="0"/>
    <w:rPr>
      <w:rFonts w:hint="eastAsia" w:ascii="宋体" w:hAnsi="宋体" w:eastAsia="宋体" w:cs="宋体"/>
      <w:color w:val="000000"/>
      <w:sz w:val="20"/>
      <w:szCs w:val="20"/>
      <w:u w:val="none"/>
    </w:rPr>
  </w:style>
  <w:style w:type="character" w:customStyle="1" w:styleId="166">
    <w:name w:val="apple-style-span"/>
    <w:autoRedefine/>
    <w:qFormat/>
    <w:uiPriority w:val="0"/>
  </w:style>
  <w:style w:type="table" w:customStyle="1" w:styleId="167">
    <w:name w:val="网格型1"/>
    <w:basedOn w:val="168"/>
    <w:autoRedefine/>
    <w:qFormat/>
    <w:uiPriority w:val="0"/>
    <w:pPr>
      <w:widowControl w:val="0"/>
      <w:jc w:val="both"/>
    </w:pPr>
  </w:style>
  <w:style w:type="table" w:customStyle="1" w:styleId="168">
    <w:name w:val="普通表格1"/>
    <w:autoRedefine/>
    <w:semiHidden/>
    <w:qFormat/>
    <w:uiPriority w:val="0"/>
  </w:style>
  <w:style w:type="paragraph" w:customStyle="1" w:styleId="169">
    <w:name w:val="正文文本1"/>
    <w:basedOn w:val="1"/>
    <w:autoRedefine/>
    <w:qFormat/>
    <w:uiPriority w:val="0"/>
    <w:pPr>
      <w:spacing w:after="120"/>
    </w:pPr>
  </w:style>
  <w:style w:type="paragraph" w:customStyle="1" w:styleId="170">
    <w:name w:val="文章正文"/>
    <w:basedOn w:val="1"/>
    <w:next w:val="171"/>
    <w:autoRedefine/>
    <w:qFormat/>
    <w:uiPriority w:val="0"/>
    <w:pPr>
      <w:spacing w:line="360" w:lineRule="auto"/>
    </w:pPr>
    <w:rPr>
      <w:rFonts w:ascii="Calibri" w:hAnsi="Calibri"/>
    </w:rPr>
  </w:style>
  <w:style w:type="paragraph" w:customStyle="1" w:styleId="171">
    <w:name w:val="公式样式 变量"/>
    <w:autoRedefine/>
    <w:qFormat/>
    <w:uiPriority w:val="0"/>
    <w:rPr>
      <w:rFonts w:ascii="Times New Roman" w:hAnsi="Times New Roman" w:eastAsia="宋体" w:cs="Times New Roman"/>
      <w:i/>
      <w:lang w:val="en-US" w:eastAsia="zh-CN" w:bidi="ar-SA"/>
    </w:rPr>
  </w:style>
  <w:style w:type="paragraph" w:customStyle="1" w:styleId="172">
    <w:name w:val="表格文字"/>
    <w:basedOn w:val="1"/>
    <w:next w:val="16"/>
    <w:autoRedefine/>
    <w:qFormat/>
    <w:uiPriority w:val="0"/>
    <w:pPr>
      <w:adjustRightInd/>
      <w:ind w:firstLine="200" w:firstLineChars="200"/>
    </w:pPr>
    <w:rPr>
      <w:rFonts w:ascii="Arial" w:hAnsi="Arial"/>
      <w:spacing w:val="-5"/>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63</Pages>
  <Words>33998</Words>
  <Characters>35827</Characters>
  <Lines>301</Lines>
  <Paragraphs>84</Paragraphs>
  <TotalTime>26</TotalTime>
  <ScaleCrop>false</ScaleCrop>
  <LinksUpToDate>false</LinksUpToDate>
  <CharactersWithSpaces>36425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2023-11-09T03:01:00Z</dcterms:created>
  <dc:creator>黄旭明</dc:creator>
  <cp:lastModifiedBy>赚钱好难</cp:lastModifiedBy>
  <cp:lastPrinted>2023-10-31T02:29:00Z</cp:lastPrinted>
  <dcterms:modified xsi:type="dcterms:W3CDTF">2024-06-11T01:19:45Z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85424E6AABFE48D3B56F8AE9DA07A852_13</vt:lpwstr>
  </property>
</Properties>
</file>