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52"/>
          <w:szCs w:val="52"/>
          <w:highlight w:val="none"/>
        </w:rPr>
      </w:pPr>
      <w:r>
        <w:rPr>
          <w:rFonts w:hint="eastAsia" w:ascii="仿宋" w:hAnsi="仿宋" w:eastAsia="仿宋" w:cs="仿宋"/>
          <w:b/>
          <w:bCs/>
          <w:color w:val="auto"/>
          <w:sz w:val="52"/>
          <w:szCs w:val="52"/>
          <w:highlight w:val="none"/>
        </w:rPr>
        <w:t>绍兴文理学院</w:t>
      </w:r>
    </w:p>
    <w:p>
      <w:pPr>
        <w:jc w:val="center"/>
        <w:outlineLvl w:val="0"/>
        <w:rPr>
          <w:rFonts w:ascii="仿宋" w:hAnsi="仿宋" w:eastAsia="仿宋" w:cs="仿宋"/>
          <w:b/>
          <w:color w:val="auto"/>
          <w:sz w:val="72"/>
          <w:szCs w:val="72"/>
          <w:highlight w:val="none"/>
        </w:rPr>
      </w:pPr>
      <w:r>
        <w:rPr>
          <w:rFonts w:hint="eastAsia" w:ascii="仿宋" w:hAnsi="仿宋" w:eastAsia="仿宋" w:cs="仿宋"/>
          <w:b/>
          <w:bCs/>
          <w:color w:val="auto"/>
          <w:sz w:val="52"/>
          <w:szCs w:val="52"/>
          <w:highlight w:val="none"/>
        </w:rPr>
        <w:t>2024年度中文纸质图书采购项目</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color w:val="auto"/>
          <w:sz w:val="28"/>
          <w:szCs w:val="28"/>
          <w:highlight w:val="none"/>
        </w:rPr>
        <w:t>TYJZZ202</w:t>
      </w:r>
      <w:r>
        <w:rPr>
          <w:rFonts w:hint="eastAsia" w:ascii="仿宋" w:hAnsi="仿宋" w:eastAsia="仿宋" w:cs="仿宋"/>
          <w:color w:val="auto"/>
          <w:sz w:val="28"/>
          <w:szCs w:val="28"/>
          <w:highlight w:val="none"/>
          <w:lang w:val="en-US" w:eastAsia="zh-CN"/>
        </w:rPr>
        <w:t>4002</w:t>
      </w:r>
    </w:p>
    <w:tbl>
      <w:tblPr>
        <w:tblStyle w:val="17"/>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88396441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月</w:t>
            </w:r>
          </w:p>
        </w:tc>
      </w:tr>
    </w:tbl>
    <w:p>
      <w:pPr>
        <w:pStyle w:val="22"/>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2" w:name="_Hlt74728647"/>
      <w:bookmarkEnd w:id="2"/>
      <w:bookmarkStart w:id="3" w:name="_Hlt74729822"/>
      <w:bookmarkEnd w:id="3"/>
      <w:bookmarkStart w:id="4" w:name="_Hlt74707423"/>
      <w:bookmarkEnd w:id="4"/>
      <w:bookmarkStart w:id="5" w:name="_Hlt74649545"/>
      <w:bookmarkEnd w:id="5"/>
      <w:bookmarkStart w:id="6" w:name="第二部分"/>
      <w:bookmarkStart w:id="7" w:name="_Toc91899870"/>
      <w:bookmarkStart w:id="8"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绍兴文理学院2024年度中文纸质图书采购项目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1"/>
          <w:rFonts w:hint="eastAsia" w:ascii="仿宋" w:hAnsi="仿宋" w:eastAsia="仿宋" w:cs="仿宋"/>
          <w:snapToGrid/>
          <w:color w:val="auto"/>
          <w:kern w:val="2"/>
          <w:sz w:val="24"/>
          <w:szCs w:val="24"/>
          <w:highlight w:val="none"/>
        </w:rPr>
        <w:t>https://www.zcygov.cn/）获取（下载）招标文件，并于</w:t>
      </w:r>
      <w:r>
        <w:rPr>
          <w:rStyle w:val="21"/>
          <w:rFonts w:hint="eastAsia" w:ascii="仿宋" w:hAnsi="仿宋" w:eastAsia="仿宋" w:cs="仿宋"/>
          <w:snapToGrid/>
          <w:color w:val="auto"/>
          <w:kern w:val="2"/>
          <w:sz w:val="24"/>
          <w:szCs w:val="24"/>
          <w:highlight w:val="none"/>
        </w:rPr>
        <w:t>202</w:t>
      </w:r>
      <w:r>
        <w:rPr>
          <w:rStyle w:val="21"/>
          <w:rFonts w:hint="eastAsia" w:ascii="仿宋" w:hAnsi="仿宋" w:eastAsia="仿宋" w:cs="仿宋"/>
          <w:snapToGrid/>
          <w:color w:val="auto"/>
          <w:kern w:val="2"/>
          <w:sz w:val="24"/>
          <w:szCs w:val="24"/>
          <w:highlight w:val="none"/>
          <w:lang w:val="en-US" w:eastAsia="zh-CN"/>
        </w:rPr>
        <w:t>4</w:t>
      </w:r>
      <w:r>
        <w:rPr>
          <w:rStyle w:val="21"/>
          <w:rFonts w:hint="eastAsia" w:ascii="仿宋" w:hAnsi="仿宋" w:eastAsia="仿宋" w:cs="仿宋"/>
          <w:snapToGrid/>
          <w:color w:val="auto"/>
          <w:kern w:val="2"/>
          <w:sz w:val="24"/>
          <w:szCs w:val="24"/>
          <w:highlight w:val="none"/>
        </w:rPr>
        <w:t>年</w:t>
      </w:r>
      <w:r>
        <w:rPr>
          <w:rStyle w:val="21"/>
          <w:rFonts w:hint="eastAsia" w:ascii="仿宋" w:hAnsi="仿宋" w:eastAsia="仿宋" w:cs="仿宋"/>
          <w:snapToGrid/>
          <w:color w:val="auto"/>
          <w:kern w:val="2"/>
          <w:sz w:val="24"/>
          <w:szCs w:val="24"/>
          <w:highlight w:val="none"/>
          <w:lang w:val="en-US" w:eastAsia="zh-CN"/>
        </w:rPr>
        <w:t xml:space="preserve">  </w:t>
      </w:r>
      <w:r>
        <w:rPr>
          <w:rStyle w:val="21"/>
          <w:rFonts w:hint="eastAsia" w:ascii="仿宋" w:hAnsi="仿宋" w:eastAsia="仿宋" w:cs="仿宋"/>
          <w:snapToGrid/>
          <w:color w:val="auto"/>
          <w:kern w:val="2"/>
          <w:sz w:val="24"/>
          <w:szCs w:val="24"/>
          <w:highlight w:val="none"/>
        </w:rPr>
        <w:t>月</w:t>
      </w:r>
      <w:r>
        <w:rPr>
          <w:rStyle w:val="21"/>
          <w:rFonts w:hint="eastAsia" w:ascii="仿宋" w:hAnsi="仿宋" w:eastAsia="仿宋" w:cs="仿宋"/>
          <w:snapToGrid/>
          <w:color w:val="auto"/>
          <w:kern w:val="2"/>
          <w:sz w:val="24"/>
          <w:szCs w:val="24"/>
          <w:highlight w:val="none"/>
          <w:lang w:val="en-US" w:eastAsia="zh-CN"/>
        </w:rPr>
        <w:t xml:space="preserve">  </w:t>
      </w:r>
      <w:r>
        <w:rPr>
          <w:rStyle w:val="21"/>
          <w:rFonts w:hint="eastAsia" w:ascii="仿宋" w:hAnsi="仿宋" w:eastAsia="仿宋" w:cs="仿宋"/>
          <w:snapToGrid/>
          <w:color w:val="auto"/>
          <w:kern w:val="2"/>
          <w:sz w:val="24"/>
          <w:szCs w:val="24"/>
          <w:highlight w:val="none"/>
        </w:rPr>
        <w:t>日09点00分</w:t>
      </w:r>
      <w:r>
        <w:rPr>
          <w:rStyle w:val="21"/>
          <w:rFonts w:hint="eastAsia" w:ascii="仿宋" w:hAnsi="仿宋" w:eastAsia="仿宋" w:cs="仿宋"/>
          <w:bCs/>
          <w:snapToGrid/>
          <w:color w:val="auto"/>
          <w:kern w:val="2"/>
          <w:sz w:val="24"/>
          <w:szCs w:val="24"/>
          <w:highlight w:val="none"/>
        </w:rPr>
        <w:t>00秒</w:t>
      </w:r>
      <w:r>
        <w:rPr>
          <w:rStyle w:val="21"/>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TYJZZ2024002</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绍兴文理学院2024年度中文纸质图书采购项目</w:t>
      </w:r>
      <w:r>
        <w:rPr>
          <w:rFonts w:hint="eastAsia" w:ascii="仿宋" w:hAnsi="仿宋" w:eastAsia="仿宋" w:cs="仿宋"/>
          <w:color w:val="auto"/>
          <w:sz w:val="24"/>
          <w:highlight w:val="none"/>
        </w:rPr>
        <w:t xml:space="preserve"> </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398</w:t>
      </w:r>
      <w:r>
        <w:rPr>
          <w:rFonts w:hint="eastAsia" w:ascii="仿宋" w:hAnsi="仿宋" w:eastAsia="仿宋" w:cs="仿宋"/>
          <w:b w:val="0"/>
          <w:bCs/>
          <w:color w:val="auto"/>
          <w:sz w:val="24"/>
          <w:highlight w:val="none"/>
        </w:rPr>
        <w:t>0000.00</w:t>
      </w:r>
      <w:r>
        <w:rPr>
          <w:rFonts w:hint="eastAsia" w:ascii="仿宋" w:hAnsi="仿宋" w:eastAsia="仿宋" w:cs="仿宋"/>
          <w:b/>
          <w:color w:val="auto"/>
          <w:sz w:val="24"/>
          <w:highlight w:val="none"/>
        </w:rPr>
        <w:t xml:space="preserve"> </w:t>
      </w:r>
    </w:p>
    <w:p>
      <w:pPr>
        <w:spacing w:line="440" w:lineRule="exact"/>
        <w:ind w:firstLine="482" w:firstLineChars="200"/>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01标：1000000  02标：900000  03标：800000  04标：700000  05标：580000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图书馆2024年度中文纸质图书（一）</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100</w:t>
      </w:r>
      <w:r>
        <w:rPr>
          <w:rFonts w:hint="eastAsia" w:ascii="仿宋" w:hAnsi="仿宋" w:eastAsia="仿宋" w:cs="仿宋"/>
          <w:b w:val="0"/>
          <w:bCs/>
          <w:color w:val="auto"/>
          <w:sz w:val="24"/>
          <w:highlight w:val="none"/>
        </w:rPr>
        <w:t>0000.00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0" w:firstLineChars="200"/>
        <w:rPr>
          <w:rFonts w:hint="eastAsia" w:ascii="仿宋" w:hAnsi="仿宋" w:eastAsia="仿宋" w:cs="仿宋"/>
          <w:bCs/>
          <w:color w:val="auto"/>
          <w:sz w:val="24"/>
          <w:highlight w:val="none"/>
        </w:rPr>
      </w:pP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二</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90</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0" w:firstLineChars="200"/>
        <w:rPr>
          <w:rFonts w:hint="eastAsia" w:ascii="仿宋" w:hAnsi="仿宋" w:eastAsia="仿宋" w:cs="仿宋"/>
          <w:bCs/>
          <w:color w:val="auto"/>
          <w:sz w:val="24"/>
          <w:highlight w:val="none"/>
        </w:rPr>
      </w:pP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三</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80</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四</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70</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hint="eastAsia" w:ascii="仿宋" w:hAnsi="仿宋" w:eastAsia="仿宋" w:cs="仿宋"/>
          <w:b/>
          <w:color w:val="auto"/>
          <w:sz w:val="24"/>
          <w:highlight w:val="none"/>
        </w:rPr>
      </w:pP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五</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58</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3、4、5</w:t>
      </w:r>
      <w:r>
        <w:rPr>
          <w:rFonts w:hint="eastAsia" w:ascii="仿宋" w:hAnsi="仿宋" w:eastAsia="仿宋" w:cs="仿宋"/>
          <w:color w:val="auto"/>
          <w:sz w:val="24"/>
          <w:highlight w:val="none"/>
        </w:rPr>
        <w:t>按双方合同约定条款执行</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r>
            <w:rPr>
              <w:rFonts w:hint="eastAsia" w:ascii="仿宋" w:hAnsi="仿宋" w:eastAsia="仿宋" w:cs="仿宋"/>
              <w:b/>
              <w:color w:val="auto"/>
              <w:sz w:val="24"/>
              <w:highlight w:val="none"/>
            </w:rPr>
            <w:t>☐</w:t>
          </w:r>
        </w:sdtContent>
      </w:sdt>
      <w:r>
        <w:rPr>
          <w:rFonts w:hint="eastAsia" w:ascii="仿宋" w:hAnsi="仿宋" w:eastAsia="仿宋" w:cs="仿宋"/>
          <w:b/>
          <w:color w:val="auto"/>
          <w:sz w:val="24"/>
          <w:highlight w:val="none"/>
        </w:rPr>
        <w:t>是，</w:t>
      </w:r>
      <w:r>
        <w:rPr>
          <w:rFonts w:hint="eastAsia" w:ascii="仿宋" w:hAnsi="仿宋" w:eastAsia="仿宋" w:cs="仿宋"/>
          <w:color w:val="auto"/>
          <w:highlight w:val="none"/>
        </w:rPr>
        <w:sym w:font="Wingdings" w:char="00FE"/>
      </w:r>
      <w:r>
        <w:rPr>
          <w:rFonts w:hint="eastAsia" w:ascii="仿宋" w:hAnsi="仿宋" w:eastAsia="仿宋" w:cs="仿宋"/>
          <w:b/>
          <w:color w:val="auto"/>
          <w:sz w:val="24"/>
          <w:highlight w:val="none"/>
        </w:rPr>
        <w:t>否。</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20" w:firstLineChars="200"/>
        <w:rPr>
          <w:rFonts w:ascii="仿宋" w:hAnsi="仿宋" w:eastAsia="仿宋" w:cs="仿宋"/>
          <w:color w:val="auto"/>
          <w:sz w:val="24"/>
          <w:highlight w:val="none"/>
        </w:rPr>
      </w:pPr>
      <w:sdt>
        <w:sdtPr>
          <w:rPr>
            <w:rFonts w:hint="eastAsia" w:ascii="仿宋" w:hAnsi="仿宋" w:eastAsia="仿宋" w:cs="仿宋"/>
            <w:color w:val="auto"/>
            <w:szCs w:val="21"/>
            <w:highlight w:val="none"/>
          </w:rPr>
          <w:id w:val="-98385077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p>
    <w:p>
      <w:pPr>
        <w:spacing w:line="440" w:lineRule="exact"/>
        <w:ind w:firstLine="420" w:firstLineChars="200"/>
        <w:rPr>
          <w:rFonts w:ascii="仿宋" w:hAnsi="仿宋" w:eastAsia="仿宋" w:cs="仿宋"/>
          <w:color w:val="auto"/>
          <w:sz w:val="24"/>
          <w:highlight w:val="none"/>
        </w:rPr>
      </w:pPr>
      <w:sdt>
        <w:sdtPr>
          <w:rPr>
            <w:rFonts w:hint="eastAsia" w:ascii="仿宋" w:hAnsi="仿宋" w:eastAsia="仿宋" w:cs="仿宋"/>
            <w:color w:val="auto"/>
            <w:szCs w:val="21"/>
            <w:highlight w:val="none"/>
          </w:rPr>
          <w:id w:val="56885808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5" w:firstLineChars="374"/>
        <w:rPr>
          <w:rFonts w:ascii="仿宋" w:hAnsi="仿宋" w:eastAsia="仿宋" w:cs="仿宋"/>
          <w:color w:val="auto"/>
          <w:sz w:val="24"/>
          <w:highlight w:val="none"/>
          <w:u w:val="single"/>
        </w:rPr>
      </w:pPr>
      <w:sdt>
        <w:sdtPr>
          <w:rPr>
            <w:rFonts w:hint="eastAsia" w:ascii="仿宋" w:hAnsi="仿宋" w:eastAsia="仿宋" w:cs="仿宋"/>
            <w:color w:val="auto"/>
            <w:szCs w:val="21"/>
            <w:highlight w:val="none"/>
          </w:rPr>
          <w:id w:val="-44569580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4.本项目的特定资格要求：具有有效的《出版物经营许可证》；</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w:t>
      </w:r>
      <w:bookmarkStart w:id="195" w:name="_GoBack"/>
      <w:bookmarkEnd w:id="195"/>
      <w:r>
        <w:rPr>
          <w:rFonts w:hint="eastAsia" w:ascii="仿宋" w:hAnsi="仿宋" w:eastAsia="仿宋" w:cs="仿宋"/>
          <w:color w:val="auto"/>
          <w:sz w:val="24"/>
          <w:highlight w:val="none"/>
        </w:rPr>
        <w:t>项目提供整体设计、规范编制或者项目管理、监理、检测等服务后不得再参加该采购项目的其他采购活动。</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spacing w:line="440" w:lineRule="exact"/>
        <w:ind w:left="0" w:firstLine="482" w:firstLineChars="200"/>
        <w:rPr>
          <w:rFonts w:ascii="仿宋" w:eastAsia="仿宋" w:cs="仿宋"/>
          <w:color w:val="auto"/>
          <w:sz w:val="24"/>
          <w:szCs w:val="24"/>
          <w:highlight w:val="none"/>
        </w:rPr>
      </w:pPr>
      <w:bookmarkStart w:id="10" w:name="_Toc35393637"/>
      <w:bookmarkStart w:id="11" w:name="_Toc28359019"/>
      <w:bookmarkStart w:id="12" w:name="_Toc28359096"/>
      <w:bookmarkStart w:id="13" w:name="_Toc35393806"/>
      <w:r>
        <w:rPr>
          <w:rFonts w:hint="eastAsia" w:ascii="仿宋" w:eastAsia="仿宋" w:cs="仿宋"/>
          <w:color w:val="auto"/>
          <w:sz w:val="24"/>
          <w:szCs w:val="24"/>
          <w:highlight w:val="none"/>
        </w:rPr>
        <w:t>1.采购人信息</w:t>
      </w:r>
      <w:bookmarkEnd w:id="10"/>
      <w:bookmarkEnd w:id="11"/>
      <w:bookmarkEnd w:id="12"/>
      <w:bookmarkEnd w:id="13"/>
      <w:r>
        <w:rPr>
          <w:rFonts w:hint="eastAsia" w:asci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名称：绍兴文理学院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绍兴市环城西路508号</w:t>
      </w:r>
    </w:p>
    <w:p>
      <w:pPr>
        <w:spacing w:line="440" w:lineRule="exact"/>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kern w:val="0"/>
          <w:sz w:val="24"/>
          <w:highlight w:val="none"/>
          <w:lang w:val="en-US" w:eastAsia="zh-CN"/>
        </w:rPr>
        <w:t>0575-88346355</w:t>
      </w:r>
    </w:p>
    <w:p>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w:t>
      </w:r>
      <w:r>
        <w:rPr>
          <w:rFonts w:hint="eastAsia" w:ascii="仿宋" w:hAnsi="仿宋" w:eastAsia="仿宋" w:cs="仿宋"/>
          <w:color w:val="auto"/>
          <w:sz w:val="24"/>
          <w:highlight w:val="none"/>
        </w:rPr>
        <w:t>目联系人（询问）：</w:t>
      </w:r>
      <w:r>
        <w:rPr>
          <w:rFonts w:hint="eastAsia" w:ascii="仿宋" w:hAnsi="仿宋" w:eastAsia="仿宋" w:cs="仿宋"/>
          <w:color w:val="auto"/>
          <w:sz w:val="24"/>
          <w:highlight w:val="none"/>
          <w:lang w:val="en-US" w:eastAsia="zh-CN"/>
        </w:rPr>
        <w:t>钱薇</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0575-88341856</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 聂玉冰</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质疑联系方式：0575-88342889</w:t>
      </w:r>
    </w:p>
    <w:p>
      <w:pPr>
        <w:pStyle w:val="3"/>
        <w:spacing w:line="440" w:lineRule="exact"/>
        <w:ind w:left="0" w:firstLine="482" w:firstLineChars="200"/>
        <w:rPr>
          <w:rFonts w:ascii="仿宋" w:eastAsia="仿宋" w:cs="仿宋"/>
          <w:color w:val="auto"/>
          <w:sz w:val="24"/>
          <w:highlight w:val="none"/>
        </w:rPr>
      </w:pPr>
      <w:bookmarkStart w:id="14" w:name="_Toc28359020"/>
      <w:bookmarkStart w:id="15" w:name="_Toc35393638"/>
      <w:bookmarkStart w:id="16" w:name="_Toc28359097"/>
      <w:bookmarkStart w:id="17" w:name="_Toc35393807"/>
      <w:r>
        <w:rPr>
          <w:rFonts w:hint="eastAsia" w:ascii="仿宋" w:eastAsia="仿宋" w:cs="仿宋"/>
          <w:color w:val="auto"/>
          <w:sz w:val="24"/>
          <w:szCs w:val="24"/>
          <w:highlight w:val="none"/>
        </w:rPr>
        <w:t>2.采购代理机构信息</w:t>
      </w:r>
      <w:bookmarkEnd w:id="14"/>
      <w:bookmarkEnd w:id="15"/>
      <w:bookmarkEnd w:id="16"/>
      <w:bookmarkEnd w:id="17"/>
      <w:r>
        <w:rPr>
          <w:rFonts w:hint="eastAsia" w:asci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地址：绍兴市越城区朝皇路正大综合楼601</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项目联系人（询问）：张</w:t>
      </w:r>
      <w:r>
        <w:rPr>
          <w:rFonts w:hint="eastAsia" w:ascii="仿宋" w:hAnsi="仿宋" w:eastAsia="仿宋" w:cs="仿宋"/>
          <w:color w:val="auto"/>
          <w:sz w:val="24"/>
          <w:highlight w:val="none"/>
          <w:lang w:val="en-US" w:eastAsia="zh-CN"/>
        </w:rPr>
        <w:t>工</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项目联系方式（询问）：18989533629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spacing w:line="440" w:lineRule="exact"/>
        <w:ind w:firstLine="482" w:firstLineChars="200"/>
        <w:rPr>
          <w:rFonts w:ascii="仿宋" w:hAnsi="仿宋" w:eastAsia="仿宋" w:cs="仿宋"/>
          <w:b/>
          <w:color w:val="auto"/>
          <w:sz w:val="24"/>
          <w:highlight w:val="none"/>
        </w:rPr>
      </w:pPr>
      <w:bookmarkStart w:id="18" w:name="_Toc28359021"/>
      <w:bookmarkStart w:id="19" w:name="_Toc35393808"/>
      <w:bookmarkStart w:id="20" w:name="_Toc35393639"/>
      <w:bookmarkStart w:id="21"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8"/>
    <w:bookmarkEnd w:id="19"/>
    <w:bookmarkEnd w:id="20"/>
    <w:bookmarkEnd w:id="21"/>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传真：0575-85209697</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详见招标文件第三部分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详见招标文件第三部分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投标截止前一天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40" w:lineRule="exact"/>
              <w:ind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2</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4</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5</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各标段</w:t>
            </w:r>
            <w:r>
              <w:rPr>
                <w:rFonts w:hint="eastAsia" w:ascii="仿宋" w:hAnsi="仿宋" w:eastAsia="仿宋" w:cs="仿宋"/>
                <w:color w:val="auto"/>
                <w:sz w:val="24"/>
                <w:highlight w:val="none"/>
              </w:rPr>
              <w:t>以中标通知中确定的中标总金额作为代理服务费的计算基数，具体比例参照《国家计委关于印发&lt;招标代理服务收费管理暂行办法&gt;的通知》（计价格[2002]1980号）规定的标准*20%进行收费。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本项目投标人可参与多个标项，但最多只能中一个标项，</w:t>
            </w:r>
            <w:r>
              <w:rPr>
                <w:rFonts w:hint="eastAsia" w:ascii="仿宋" w:hAnsi="仿宋" w:eastAsia="仿宋" w:cs="仿宋"/>
                <w:b/>
                <w:color w:val="auto"/>
                <w:sz w:val="24"/>
                <w:highlight w:val="none"/>
                <w:lang w:val="en-US" w:eastAsia="zh-CN"/>
              </w:rPr>
              <w:t>已中01标的投标人不能再成为</w:t>
            </w:r>
            <w:r>
              <w:rPr>
                <w:rFonts w:hint="eastAsia" w:ascii="仿宋" w:hAnsi="仿宋" w:eastAsia="仿宋" w:cs="仿宋"/>
                <w:b/>
                <w:color w:val="auto"/>
                <w:sz w:val="24"/>
                <w:highlight w:val="none"/>
                <w:lang w:eastAsia="zh-CN"/>
              </w:rPr>
              <w:t>02标，03标，</w:t>
            </w:r>
            <w:r>
              <w:rPr>
                <w:rFonts w:hint="eastAsia" w:ascii="仿宋" w:hAnsi="仿宋" w:eastAsia="仿宋" w:cs="仿宋"/>
                <w:b/>
                <w:color w:val="auto"/>
                <w:sz w:val="24"/>
                <w:highlight w:val="none"/>
                <w:lang w:val="en-US" w:eastAsia="zh-CN"/>
              </w:rPr>
              <w:t>04</w:t>
            </w:r>
            <w:r>
              <w:rPr>
                <w:rFonts w:hint="eastAsia" w:ascii="仿宋" w:hAnsi="仿宋" w:eastAsia="仿宋" w:cs="仿宋"/>
                <w:b/>
                <w:color w:val="auto"/>
                <w:sz w:val="24"/>
                <w:highlight w:val="none"/>
                <w:lang w:eastAsia="zh-CN"/>
              </w:rPr>
              <w:t>标，</w:t>
            </w:r>
            <w:r>
              <w:rPr>
                <w:rFonts w:hint="eastAsia" w:ascii="仿宋" w:hAnsi="仿宋" w:eastAsia="仿宋" w:cs="仿宋"/>
                <w:b/>
                <w:color w:val="auto"/>
                <w:sz w:val="24"/>
                <w:highlight w:val="none"/>
                <w:lang w:val="en-US" w:eastAsia="zh-CN"/>
              </w:rPr>
              <w:t>05标的中标候选人，以此类推，</w:t>
            </w:r>
            <w:r>
              <w:rPr>
                <w:rFonts w:hint="eastAsia" w:ascii="仿宋" w:hAnsi="仿宋" w:eastAsia="仿宋" w:cs="仿宋"/>
                <w:b/>
                <w:color w:val="auto"/>
                <w:sz w:val="24"/>
                <w:highlight w:val="none"/>
                <w:lang w:eastAsia="zh-CN"/>
              </w:rPr>
              <w:t>开标顺序为01标， 02标，03标，</w:t>
            </w:r>
            <w:r>
              <w:rPr>
                <w:rFonts w:hint="eastAsia" w:ascii="仿宋" w:hAnsi="仿宋" w:eastAsia="仿宋" w:cs="仿宋"/>
                <w:b/>
                <w:color w:val="auto"/>
                <w:sz w:val="24"/>
                <w:highlight w:val="none"/>
                <w:lang w:val="en-US" w:eastAsia="zh-CN"/>
              </w:rPr>
              <w:t>04</w:t>
            </w:r>
            <w:r>
              <w:rPr>
                <w:rFonts w:hint="eastAsia" w:ascii="仿宋" w:hAnsi="仿宋" w:eastAsia="仿宋" w:cs="仿宋"/>
                <w:b/>
                <w:color w:val="auto"/>
                <w:sz w:val="24"/>
                <w:highlight w:val="none"/>
                <w:lang w:eastAsia="zh-CN"/>
              </w:rPr>
              <w:t>标，</w:t>
            </w:r>
            <w:r>
              <w:rPr>
                <w:rFonts w:hint="eastAsia" w:ascii="仿宋" w:hAnsi="仿宋" w:eastAsia="仿宋" w:cs="仿宋"/>
                <w:b/>
                <w:color w:val="auto"/>
                <w:sz w:val="24"/>
                <w:highlight w:val="none"/>
                <w:lang w:val="en-US" w:eastAsia="zh-CN"/>
              </w:rPr>
              <w:t>05标</w:t>
            </w:r>
            <w:r>
              <w:rPr>
                <w:rFonts w:hint="eastAsia" w:ascii="仿宋" w:hAnsi="仿宋" w:eastAsia="仿宋" w:cs="仿宋"/>
                <w:b/>
                <w:color w:val="auto"/>
                <w:sz w:val="24"/>
                <w:highlight w:val="none"/>
                <w:lang w:eastAsia="zh-CN"/>
              </w:rPr>
              <w:t>依次开启。</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8"/>
    <w:p>
      <w:pPr>
        <w:adjustRightInd/>
        <w:spacing w:line="360" w:lineRule="auto"/>
        <w:jc w:val="center"/>
        <w:outlineLvl w:val="0"/>
        <w:rPr>
          <w:rFonts w:ascii="仿宋" w:hAnsi="仿宋" w:eastAsia="仿宋" w:cs="仿宋"/>
          <w:b/>
          <w:color w:val="auto"/>
          <w:sz w:val="32"/>
          <w:szCs w:val="32"/>
          <w:highlight w:val="none"/>
        </w:rPr>
      </w:pPr>
      <w:bookmarkStart w:id="22" w:name="_Hlt68072990"/>
      <w:bookmarkEnd w:id="22"/>
      <w:bookmarkStart w:id="23" w:name="_Hlt68057669"/>
      <w:bookmarkEnd w:id="23"/>
      <w:bookmarkStart w:id="24" w:name="_Hlt75236011"/>
      <w:bookmarkEnd w:id="24"/>
      <w:bookmarkStart w:id="25" w:name="_Hlt68072998"/>
      <w:bookmarkEnd w:id="25"/>
      <w:bookmarkStart w:id="26" w:name="_Hlt75236101"/>
      <w:bookmarkEnd w:id="26"/>
      <w:bookmarkStart w:id="27" w:name="_Hlt74730295"/>
      <w:bookmarkEnd w:id="27"/>
      <w:bookmarkStart w:id="28" w:name="_Hlt74707468"/>
      <w:bookmarkEnd w:id="28"/>
      <w:bookmarkStart w:id="29" w:name="_Hlt74714665"/>
      <w:bookmarkEnd w:id="29"/>
      <w:bookmarkStart w:id="30" w:name="_Hlt68073093"/>
      <w:bookmarkEnd w:id="30"/>
      <w:bookmarkStart w:id="31" w:name="_Hlt68403820"/>
      <w:bookmarkEnd w:id="31"/>
      <w:bookmarkStart w:id="32" w:name="_Hlt74729768"/>
      <w:bookmarkEnd w:id="32"/>
      <w:bookmarkStart w:id="33" w:name="_Hlt75236290"/>
      <w:bookmarkEnd w:id="33"/>
      <w:bookmarkStart w:id="34" w:name="_Toc164416483"/>
      <w:bookmarkStart w:id="35" w:name="第三部分"/>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3"/>
        <w:rPr>
          <w:rFonts w:ascii="仿宋" w:hAnsi="仿宋" w:eastAsia="仿宋" w:cs="仿宋"/>
          <w:color w:val="auto"/>
          <w:highlight w:val="none"/>
        </w:rPr>
      </w:pPr>
    </w:p>
    <w:p>
      <w:pPr>
        <w:pStyle w:val="25"/>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9"/>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7"/>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11"/>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pPr>
        <w:snapToGrid w:val="0"/>
        <w:spacing w:line="440" w:lineRule="exact"/>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pPr>
        <w:pStyle w:val="25"/>
        <w:snapToGrid w:val="0"/>
        <w:spacing w:before="0" w:line="440" w:lineRule="exact"/>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2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5"/>
        <w:spacing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5"/>
        <w:spacing w:line="440" w:lineRule="exact"/>
        <w:ind w:left="0" w:firstLine="420" w:firstLineChars="200"/>
        <w:rPr>
          <w:rFonts w:ascii="仿宋" w:hAnsi="仿宋" w:eastAsia="仿宋" w:cs="仿宋"/>
          <w:color w:val="auto"/>
          <w:highlight w:val="none"/>
        </w:rPr>
      </w:pPr>
      <w:r>
        <w:rPr>
          <w:rFonts w:hint="eastAsia" w:ascii="仿宋" w:hAnsi="仿宋" w:eastAsia="仿宋" w:cs="仿宋"/>
          <w:color w:val="auto"/>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1"/>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36"/>
    <w:p>
      <w:pPr>
        <w:pStyle w:val="11"/>
        <w:spacing w:line="360" w:lineRule="auto"/>
        <w:ind w:firstLine="726"/>
        <w:jc w:val="center"/>
        <w:rPr>
          <w:rFonts w:ascii="仿宋" w:hAnsi="仿宋" w:eastAsia="仿宋" w:cs="仿宋"/>
          <w:b/>
          <w:color w:val="auto"/>
          <w:sz w:val="32"/>
          <w:szCs w:val="32"/>
          <w:highlight w:val="none"/>
        </w:rPr>
      </w:pPr>
      <w:bookmarkStart w:id="37" w:name="_Toc81372776"/>
      <w:bookmarkStart w:id="38" w:name="_Toc84325929"/>
      <w:bookmarkStart w:id="39" w:name="_Toc81372953"/>
      <w:r>
        <w:rPr>
          <w:rFonts w:hint="eastAsia" w:ascii="仿宋" w:hAnsi="仿宋" w:eastAsia="仿宋" w:cs="仿宋"/>
          <w:b/>
          <w:color w:val="auto"/>
          <w:sz w:val="32"/>
          <w:szCs w:val="32"/>
          <w:highlight w:val="none"/>
        </w:rPr>
        <w:t>五、授予合同</w:t>
      </w:r>
    </w:p>
    <w:bookmarkEnd w:id="37"/>
    <w:bookmarkEnd w:id="38"/>
    <w:bookmarkEnd w:id="39"/>
    <w:p>
      <w:pPr>
        <w:pStyle w:val="5"/>
        <w:numPr>
          <w:ilvl w:val="0"/>
          <w:numId w:val="0"/>
        </w:num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4"/>
    <w:bookmarkEnd w:id="35"/>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440" w:lineRule="exact"/>
        <w:ind w:right="420"/>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绍兴文理学院2024年度中文纸质图书采购项目</w:t>
      </w:r>
    </w:p>
    <w:p>
      <w:pPr>
        <w:pStyle w:val="12"/>
        <w:spacing w:line="460" w:lineRule="exact"/>
        <w:rPr>
          <w:rFonts w:ascii="仿宋" w:hAnsi="仿宋" w:eastAsia="仿宋" w:cs="仿宋"/>
          <w:b/>
          <w:color w:val="auto"/>
          <w:highlight w:val="none"/>
        </w:rPr>
      </w:pPr>
      <w:r>
        <w:rPr>
          <w:rFonts w:hint="eastAsia" w:ascii="仿宋" w:hAnsi="仿宋" w:eastAsia="仿宋" w:cs="仿宋"/>
          <w:b/>
          <w:bCs/>
          <w:color w:val="auto"/>
          <w:kern w:val="2"/>
          <w:sz w:val="24"/>
          <w:szCs w:val="24"/>
          <w:highlight w:val="none"/>
        </w:rPr>
        <w:t>一、采购项目货物清单及技术要求：</w:t>
      </w:r>
    </w:p>
    <w:tbl>
      <w:tblPr>
        <w:tblStyle w:val="17"/>
        <w:tblW w:w="90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4547"/>
        <w:gridCol w:w="709"/>
        <w:gridCol w:w="853"/>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995"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标项</w:t>
            </w:r>
          </w:p>
        </w:tc>
        <w:tc>
          <w:tcPr>
            <w:tcW w:w="4547"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名称</w:t>
            </w:r>
          </w:p>
        </w:tc>
        <w:tc>
          <w:tcPr>
            <w:tcW w:w="709"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数量</w:t>
            </w:r>
          </w:p>
        </w:tc>
        <w:tc>
          <w:tcPr>
            <w:tcW w:w="853"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单位</w:t>
            </w:r>
          </w:p>
        </w:tc>
        <w:tc>
          <w:tcPr>
            <w:tcW w:w="1913"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最高限价</w:t>
            </w:r>
          </w:p>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01</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图书馆2024年度中文纸质图书（一）</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02</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图书馆2024年度中文纸质图书（二）</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03</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图书馆2024年度中文纸质图书（三）</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04</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图书馆2024年度中文纸质图书（四）</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05</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图书馆2024年度中文纸质图书（五）</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58</w:t>
            </w:r>
          </w:p>
        </w:tc>
      </w:tr>
    </w:tbl>
    <w:p>
      <w:pPr>
        <w:autoSpaceDE w:val="0"/>
        <w:autoSpaceDN w:val="0"/>
        <w:spacing w:line="324"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二、招标项目技术要求：</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2.1 投标人应熟悉高校中文图书采访工作；</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 投标人应同国内绝大多数出版社有供书合作关系并保证渠道畅通，确保国内中央级、大学级、绝大多数地方出版社出版的供书；</w:t>
      </w:r>
    </w:p>
    <w:p>
      <w:pPr>
        <w:autoSpaceDE w:val="0"/>
        <w:autoSpaceDN w:val="0"/>
        <w:spacing w:line="324"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2.3 支撑能力</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1）投标人应有从事图书经销和数据加工业务的专业人员；</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2）投标人应建有功能较完善、性能稳定的专业图书电子商务网站；</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投标人应免费提供标准的新书采访书目数据和机读编目数据（数据要求参见《中国机读目录式使用手册》、《CALIS联机合作编目手册》），所提供的采访数据和编目数据应能无缝导入采购人汇文图书管理系统平台（版本5.6及以上）提供的采访书目内容符合本科及以上层次读者的需求，编目数据比同批次送达的图书提前到馆且达到100%的覆盖率；</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4）投标人应对采购人预订的图书有查重能力，采购人可以退回由于采访数据不完整或中标人查重不力而造成错订、误订的图书；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投标人应能按采购人订购书目提供未经使用的最新正版合格图书，图书来源渠道较广、与全国大多数出版单位有供货关系、经营图书品种丰富，采访书目高度覆盖31家重点出版社：高等教育出版社、电子工业出版社、化学工业出版社、机械工业出版社、人民邮电出版社、科学出版社、中国建筑工业出版社、中国环境出版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广陵书社、岳麓书社、法律出版社等；</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6）投标人应有特色服务项目并在实践中已取得良好效果。</w:t>
      </w:r>
    </w:p>
    <w:p>
      <w:pPr>
        <w:autoSpaceDE w:val="0"/>
        <w:autoSpaceDN w:val="0"/>
        <w:spacing w:line="324"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2.4 服务能力</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1）图书采购方式</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①订单采购：提供最新出版和上市的图书书目数据给采购人以供选购，数据格式为标准的、能为采购人图书馆服务平台运行的MARC数据；</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②现场采购：采购人直接在中标人约定书店（库）、书市等现场选订，中标人提供相应的技术与设备等支持；</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特需采购：主要指急需图书采购和专题图书采购并送达采购人指定地点。急需图书在3个工作日内提供，中标人不得推诿；专题图书采购指采购人根据馆藏发展要求所指定的特定图书，中标人提供相应图书书目数据供采购人使用。</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2）采访书目数据</w:t>
      </w:r>
    </w:p>
    <w:p>
      <w:pPr>
        <w:autoSpaceDE w:val="0"/>
        <w:autoSpaceDN w:val="0"/>
        <w:spacing w:line="324" w:lineRule="auto"/>
        <w:jc w:val="left"/>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①CALIS标准的CNMARC格式，字段包含ISBN、价格、题名、责任者、版本、丛书名、出版社、出版时间（精确到月份）、中图分类号、内容提要、读者对象、其它附注等尽可能详细的信息，能无缝导入采购人图书馆管理系统，采访数据中的套书数据（既有套书ISBN又有分册ISBN）按分册提供采访书目数据</w:t>
      </w:r>
      <w:r>
        <w:rPr>
          <w:rFonts w:hint="eastAsia" w:ascii="仿宋" w:hAnsi="仿宋" w:eastAsia="仿宋" w:cs="仿宋"/>
          <w:b w:val="0"/>
          <w:bCs w:val="0"/>
          <w:color w:val="auto"/>
          <w:sz w:val="24"/>
          <w:highlight w:val="none"/>
          <w:lang w:eastAsia="zh-CN"/>
        </w:rPr>
        <w:t>；</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符合本科及以上层次读者的需求，覆盖≥95%出版社出版的符合读者层次的最新图书，重点保障出版社的图书书目数据覆盖率达到98%，不得以任何理由向采购人屏蔽图书采访书目数据；不配送有意识形态问题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③向采购人提供最新出版图书采访书目数据每周≥1次、每次≥1500条数据，新书采访书目数据不得重复提供，不定期主动推送适合馆藏建设的主题图书及各类推荐图书的采访书目数据；</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④新书采访书目数据分自然科学类、人文社科类两个文件发送至指定邮箱；</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⑤新书采访书目数据及时、快捷，在书目报刊发的3天内把采访书目数据传递给采购人，如因中标人提供采访书目数据延误而导致无法采购到所需图书，采购人通过其他渠道采购而产生的所有费用由中标人承担。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3）采访订单处理</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①无条件受理采购人依据其它书目来源提交的符合其采购图书内容的图书订单；</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②建立独立的采购人图书订单库，核查采购人的图书订单避免重复，监控报订图书的采购动态并向采购人及时提供；</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采购人以电子邮件方式发送订单的在接收订单后48小时内反馈图书订单信息，如发现订单内容不符招标图书项目、订购价格与实际价格有较大出入、订单层次不符本科及以上层次、单册码洋100元以上、高复本图书（复本大于2本）高职高专和青少读物、纯外文书、笔记本，日历本，特殊版本（活页书、袋装书、线装书、裸脊书、页码少于80页、64及以下开本、随书配送磁带另外收费的）等其他特殊情况时需二次确认，经采购人再次确认后方可安排采购，订单处理过程中发现书名和ISBN变更、出版时间延后或出版计划取消、丛书或者连续出版物复本书不配套等情况应及时通报；</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④接收订单后3个工作日内向相关发行机构报订图书，订购时间超过90日未能到货的图书及时反馈给采购人，采购人有权采取相应的补救措施，由此造成的各项损失或增加的各项费用等均由中标人承担；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⑤每月反馈订单执行情况、报送逾期未到图书书目并注明原因，如“已采购未到货”、“包销书”、“出版社缺货”、“不适藏撤消”等，因采访书目数据偏差导致的图书拒订率不得超过1%；</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⑥对采购人提交的订单在合同期内不得擅自中止供货，合同期结束前一个月提供详细的自评报告，包括但不限于服务期间订购种数、册数、总码洋、总实价、不能供货品种数量、仍在执行中的订购品种数量，仍在执行中的采购品种附清单及预估价。</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4）图书配送与加工</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按采购人订购的图书品种、数量及时供货，除取消出版、出版变更或发生影响合同履行的不可抗力事情外，不得搭售任何其它采购人订单以外的品种、不得擅自取消采购人的采购订单，一经发现立即终止采购合同；</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②配送图书达到无盗版、无破损、无污损、无倒装、无缺页等合格出版物、附件完整；</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③图书配送过程中出现ISBN或书名更改、数量小于订购数、价格涨幅过大等情况时需经采购人二次确认；</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④送货至采购人指定地点、提供点对点送货服务，配送时间相对固定，配送前应提前通知采购人，采购人急需图书快速响应、单独及时配送；</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采用防水包装纸打包，符合安全运输的包装要求，到采购人指定地点后在指定位置摆放整齐，为此所发生的费用全部由中标人承担，在到达采购人指定地点前发生的不可预见的风险均由中标人负责，同时提供发货清单一式二份（内容一致、不得涂改），包装内货物与发货清单对应，包装内货物顺序与发货清单所列顺序一致，清单包括包号、书号、书名、出版社、品种、册数、单价及每包的种、册、码洋的小计，一份附于包装货件内（一包一单）、两份以包装号为序，统计该批次图书的总种数、总册数及总码洋并加盖公章。</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⑥免费为采购人提供并加贴芯片，芯片为宁波远望谷公司的超高频RFID，，每册图书贴装一根芯片，贴装的芯片要求隐蔽、平整，符合相关系统的正常运行，因芯片质量和贴装问题造成的后果由中标人承担；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⑦免费到馆全加工。根据采购人要求在指定时间内到图书馆现场进行图书全加工，根据要求盖馆藏章以及其它相应章，馆藏章要求：书名页（出版社上方正中合适位置）、书内（第五十页左右空白位置）；在指定位置贴二个条形码（条形码由中标方提供）；进行文献分类编目（分类编目须严格遵循《中国图书分类法》第五版及新版中国机读目录格式使用手册（2004年版）有关之规则，具体以甲方要求为准）；打印、粘贴图书书标，加透明保护膜（书标和保护膜由中标方提供）：随书光盘做入本馆的随书光盘电子资源管理系统内：图书典藏入库上架。特藏文献（含图片、地图、声像资料等）操作过程与图书加工类似。因分编与加工有特殊要求，具体工作规范视类型而定。</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⑧采购人对中标人提供的物理加工、数据加工服务进行考核，并判断中标人所提供的服务是否达到招标人的要求。数据加工和物理加工准确率抽检合格率需要达到99%以上，抽检合格率低于95%及以下，中标人须及时更换分编人员，并告之招标人。</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5）图书到馆率</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现采图书1个月内到馆率≥98%，电子订单预订图书前3个月的平均到馆率≥90%、全年平均到馆率≥95%，采购人每6个月对中标人的订单执行情况进行评估，若未达到以上要求即可认定中标人不具备向采购人进行供货的能力，采购人可要求终止合同，有权采取相应的补救措施（如转向其他代理商补订图书），由此给采购人造成的各项损失或增加的各项费用（如折扣损失、邮费等）均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6）编目数据</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免费提供每种采购图书相应的规范、标准的详细级机读编目数据，编目数据使用《中国图书馆分类法（第五版）》及其使用手册准确类分图书，遵循《中国文献编目规则（第二版）》、《GBT 33286-2016中国机读书目格式》、《CALIS联机合作编目手册》著录原则，执行采购人相关业务规则规定，数据质量符合采购人要求，编目数据通过电子邮件在图书到达前或同时传送至采购人指定的电子邮箱，保证100%的覆盖率、正确导入采购人图书馆服务平台，提供的编目数据不得侵犯第三方利益，采购人对中标人提供的编目数据拥有使用权和所有权。</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7）退换服务</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送交到采购人的图书不能有任何质量问题，若验收时发现有污损、图文不清、缺页、倒装、缺附件等不合格图书及与订单不符的图书一律予以退换，不能以已加工为理由拒绝，由此造成的损失及费用全部由中标人承担，若发现明显不适宜采购人收藏的图书允许采购人无条件退换；</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②采购人因误订不适合馆藏的图书，在未加盖馆藏章、不影响第二次销售的情况下允许退货；</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出现以下情况承诺无条件予以退换并承担所退图书的运输费用：运输过程中出现图书破损、污损，出版社印刷、装订造成的图书质量问题，高职高专及以下的图书，活页书、袋装书、线装书、异常开本、异常装帧的图书，页码少于80、开本小于64（包括64开）的图书及明显不适合采购人收藏的图书，函装书和套书如内含多个分书名未经复核确认的，单册码洋100元以上、单册码洋100元以上的订购数超过1册以上未经复核的图书，实际到书与采访订单不符（书名、ISBN、出版年、价格等）的图书，由于中标人原因造成的错发、重发的图书，因中标人提供书目信息错误或不明确（如读者对象、版次未注明等）而造成采购人订购错误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④订购图书涨价超过30%，中标人未征求采购人意见，采购人可以退货，中标人不得拒绝；</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⑤有意识形态问题的图书。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三、其他要求：</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1、投标人应对每个指标项的偏离情况做应答，不得遗漏。</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2、投标报价：采用折扣报价，图书实洋=图书码洋*折扣系数。</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3、合同签订及交货期:中标即日起15个工作日内中标单位到使用单位签订合同，否则视为主动放弃。</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rPr>
        <w:t>如技术要求中未特别注明需执行的国家相关标准、行业标准、地方标准或者其他标准、规范，则统一执行最新标准、规范。</w:t>
      </w:r>
    </w:p>
    <w:p>
      <w:pPr>
        <w:autoSpaceDE w:val="0"/>
        <w:autoSpaceDN w:val="0"/>
        <w:spacing w:line="324" w:lineRule="auto"/>
        <w:jc w:val="left"/>
        <w:rPr>
          <w:rFonts w:ascii="仿宋" w:hAnsi="仿宋" w:eastAsia="仿宋" w:cs="仿宋"/>
          <w:color w:val="auto"/>
          <w:kern w:val="0"/>
          <w:sz w:val="24"/>
          <w:highlight w:val="none"/>
        </w:rPr>
      </w:pP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autoSpaceDE w:val="0"/>
        <w:autoSpaceDN w:val="0"/>
        <w:spacing w:line="324" w:lineRule="auto"/>
        <w:jc w:val="left"/>
        <w:rPr>
          <w:rFonts w:ascii="仿宋" w:hAnsi="仿宋" w:eastAsia="仿宋" w:cs="仿宋"/>
          <w:color w:val="auto"/>
          <w:kern w:val="0"/>
          <w:sz w:val="24"/>
          <w:highlight w:val="none"/>
        </w:rPr>
      </w:pPr>
    </w:p>
    <w:p>
      <w:pPr>
        <w:autoSpaceDE w:val="0"/>
        <w:autoSpaceDN w:val="0"/>
        <w:spacing w:line="324" w:lineRule="auto"/>
        <w:jc w:val="left"/>
        <w:rPr>
          <w:rFonts w:ascii="仿宋" w:hAnsi="仿宋" w:eastAsia="仿宋" w:cs="仿宋"/>
          <w:color w:val="auto"/>
          <w:kern w:val="0"/>
          <w:sz w:val="24"/>
          <w:highlight w:val="none"/>
        </w:rPr>
      </w:pPr>
    </w:p>
    <w:p>
      <w:pPr>
        <w:autoSpaceDE w:val="0"/>
        <w:autoSpaceDN w:val="0"/>
        <w:spacing w:line="324" w:lineRule="auto"/>
        <w:jc w:val="left"/>
        <w:rPr>
          <w:rFonts w:ascii="仿宋" w:hAnsi="仿宋" w:eastAsia="仿宋" w:cs="仿宋"/>
          <w:color w:val="auto"/>
          <w:kern w:val="0"/>
          <w:sz w:val="24"/>
          <w:highlight w:val="none"/>
        </w:rPr>
      </w:pPr>
    </w:p>
    <w:p>
      <w:pPr>
        <w:spacing w:line="360" w:lineRule="auto"/>
        <w:ind w:left="720" w:leftChars="343" w:firstLine="1084" w:firstLineChars="300"/>
        <w:jc w:val="center"/>
        <w:outlineLvl w:val="0"/>
        <w:rPr>
          <w:rFonts w:ascii="仿宋" w:hAnsi="仿宋" w:eastAsia="仿宋" w:cs="仿宋"/>
          <w:b/>
          <w:color w:val="auto"/>
          <w:sz w:val="36"/>
          <w:szCs w:val="36"/>
          <w:highlight w:val="none"/>
        </w:rPr>
      </w:pPr>
    </w:p>
    <w:p>
      <w:pPr>
        <w:spacing w:line="360" w:lineRule="auto"/>
        <w:ind w:left="720" w:leftChars="343" w:firstLine="1084" w:firstLineChars="300"/>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color w:val="auto"/>
          <w:highlight w:val="none"/>
        </w:rPr>
      </w:pPr>
      <w:r>
        <w:rPr>
          <w:rFonts w:hint="eastAsia" w:ascii="仿宋" w:hAnsi="仿宋" w:eastAsia="仿宋" w:cs="仿宋"/>
          <w:b/>
          <w:color w:val="auto"/>
          <w:sz w:val="36"/>
          <w:szCs w:val="36"/>
          <w:highlight w:val="none"/>
        </w:rPr>
        <w:t>（货物类）</w:t>
      </w:r>
    </w:p>
    <w:p>
      <w:pPr>
        <w:pStyle w:val="28"/>
        <w:jc w:val="center"/>
        <w:rPr>
          <w:rFonts w:ascii="仿宋" w:hAnsi="仿宋" w:eastAsia="仿宋" w:cs="仿宋"/>
          <w:color w:val="auto"/>
          <w:szCs w:val="24"/>
          <w:highlight w:val="none"/>
        </w:rPr>
      </w:pPr>
    </w:p>
    <w:p>
      <w:pPr>
        <w:pStyle w:val="28"/>
        <w:ind w:firstLine="2843" w:firstLineChars="1180"/>
        <w:rPr>
          <w:rFonts w:ascii="仿宋" w:hAnsi="仿宋" w:eastAsia="仿宋" w:cs="仿宋"/>
          <w:color w:val="auto"/>
          <w:szCs w:val="24"/>
          <w:highlight w:val="none"/>
        </w:rPr>
      </w:pPr>
      <w:r>
        <w:rPr>
          <w:rFonts w:hint="eastAsia" w:ascii="仿宋" w:hAnsi="仿宋" w:eastAsia="仿宋" w:cs="仿宋"/>
          <w:b/>
          <w:color w:val="auto"/>
          <w:szCs w:val="24"/>
          <w:highlight w:val="none"/>
        </w:rPr>
        <w:t>第一部分 合同书</w:t>
      </w:r>
    </w:p>
    <w:p>
      <w:pPr>
        <w:pStyle w:val="28"/>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9"/>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40" w:name="_Toc2232"/>
      <w:bookmarkStart w:id="41" w:name="_Toc24059"/>
      <w:bookmarkStart w:id="42" w:name="_Toc3029"/>
      <w:r>
        <w:rPr>
          <w:rFonts w:hint="eastAsia" w:ascii="仿宋" w:hAnsi="仿宋" w:eastAsia="仿宋" w:cs="仿宋"/>
          <w:b/>
          <w:color w:val="auto"/>
          <w:sz w:val="24"/>
          <w:highlight w:val="none"/>
        </w:rPr>
        <w:t>1.1 合同组成部分</w:t>
      </w:r>
      <w:bookmarkEnd w:id="40"/>
      <w:bookmarkEnd w:id="41"/>
      <w:bookmarkEnd w:id="4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43" w:name="_Toc27126"/>
      <w:bookmarkStart w:id="44" w:name="_Toc24300"/>
      <w:bookmarkStart w:id="45" w:name="_Toc21295"/>
      <w:r>
        <w:rPr>
          <w:rFonts w:hint="eastAsia" w:ascii="仿宋" w:hAnsi="仿宋" w:eastAsia="仿宋" w:cs="仿宋"/>
          <w:b/>
          <w:color w:val="auto"/>
          <w:sz w:val="24"/>
          <w:highlight w:val="none"/>
        </w:rPr>
        <w:t>1.2 货物</w:t>
      </w:r>
      <w:bookmarkEnd w:id="43"/>
      <w:bookmarkEnd w:id="44"/>
      <w:bookmarkEnd w:id="45"/>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ascii="仿宋" w:hAnsi="仿宋" w:eastAsia="仿宋" w:cs="仿宋"/>
          <w:b/>
          <w:color w:val="auto"/>
          <w:sz w:val="24"/>
          <w:highlight w:val="none"/>
        </w:rPr>
      </w:pPr>
      <w:bookmarkStart w:id="46" w:name="_Toc21551"/>
      <w:bookmarkStart w:id="47" w:name="_Toc21631"/>
      <w:bookmarkStart w:id="48" w:name="_Toc23292"/>
      <w:r>
        <w:rPr>
          <w:rFonts w:hint="eastAsia" w:ascii="仿宋" w:hAnsi="仿宋" w:eastAsia="仿宋" w:cs="仿宋"/>
          <w:b/>
          <w:color w:val="auto"/>
          <w:sz w:val="24"/>
          <w:highlight w:val="none"/>
        </w:rPr>
        <w:t>1.3 价款</w:t>
      </w:r>
      <w:bookmarkEnd w:id="46"/>
      <w:bookmarkEnd w:id="47"/>
      <w:bookmarkEnd w:id="4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bl>
    <w:p>
      <w:pPr>
        <w:pStyle w:val="31"/>
        <w:spacing w:before="0" w:beforeAutospacing="0" w:after="0" w:afterAutospacing="0" w:line="360" w:lineRule="auto"/>
        <w:ind w:firstLine="480"/>
        <w:rPr>
          <w:rFonts w:ascii="仿宋" w:hAnsi="仿宋" w:eastAsia="仿宋" w:cs="仿宋"/>
          <w:b/>
          <w:color w:val="auto"/>
          <w:highlight w:val="none"/>
        </w:rPr>
      </w:pPr>
      <w:bookmarkStart w:id="49" w:name="_Toc22618"/>
      <w:bookmarkStart w:id="50" w:name="_Toc10340"/>
      <w:bookmarkStart w:id="51" w:name="_Toc1814"/>
      <w:r>
        <w:rPr>
          <w:rFonts w:hint="eastAsia" w:ascii="仿宋" w:hAnsi="仿宋" w:eastAsia="仿宋" w:cs="仿宋"/>
          <w:b/>
          <w:color w:val="auto"/>
          <w:highlight w:val="none"/>
        </w:rPr>
        <w:t>1.4履约保证金</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49"/>
      <w:bookmarkEnd w:id="50"/>
      <w:bookmarkEnd w:id="51"/>
      <w:r>
        <w:rPr>
          <w:rFonts w:hint="eastAsia" w:ascii="仿宋" w:hAnsi="仿宋" w:eastAsia="仿宋" w:cs="仿宋"/>
          <w:b/>
          <w:color w:val="auto"/>
          <w:sz w:val="24"/>
          <w:highlight w:val="none"/>
        </w:rPr>
        <w:t>预付款</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1"/>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1"/>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2" w:name="_Toc19304"/>
      <w:bookmarkStart w:id="53" w:name="_Toc32071"/>
      <w:bookmarkStart w:id="54" w:name="_Toc2846"/>
      <w:r>
        <w:rPr>
          <w:rFonts w:hint="eastAsia" w:ascii="仿宋" w:hAnsi="仿宋" w:eastAsia="仿宋" w:cs="仿宋"/>
          <w:b/>
          <w:color w:val="auto"/>
          <w:sz w:val="24"/>
          <w:highlight w:val="none"/>
        </w:rPr>
        <w:t>1.7货物交付期限、地点和方式</w:t>
      </w:r>
      <w:bookmarkEnd w:id="52"/>
      <w:bookmarkEnd w:id="53"/>
      <w:bookmarkEnd w:id="54"/>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5" w:name="_Toc21423"/>
      <w:bookmarkStart w:id="56" w:name="_Toc19554"/>
      <w:bookmarkStart w:id="57" w:name="_Toc27250"/>
      <w:r>
        <w:rPr>
          <w:rFonts w:hint="eastAsia" w:ascii="仿宋" w:hAnsi="仿宋" w:eastAsia="仿宋" w:cs="仿宋"/>
          <w:b/>
          <w:color w:val="auto"/>
          <w:sz w:val="24"/>
          <w:highlight w:val="none"/>
        </w:rPr>
        <w:t>1.8违约责任</w:t>
      </w:r>
      <w:bookmarkEnd w:id="55"/>
      <w:bookmarkEnd w:id="56"/>
      <w:bookmarkEnd w:id="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58" w:name="_Toc28375"/>
      <w:bookmarkStart w:id="59" w:name="_Toc16021"/>
      <w:bookmarkStart w:id="60" w:name="_Toc15583"/>
      <w:r>
        <w:rPr>
          <w:rFonts w:hint="eastAsia" w:ascii="仿宋" w:hAnsi="仿宋" w:eastAsia="仿宋" w:cs="仿宋"/>
          <w:b/>
          <w:color w:val="auto"/>
          <w:sz w:val="24"/>
          <w:highlight w:val="none"/>
        </w:rPr>
        <w:t>1.9合同争议的解决</w:t>
      </w:r>
      <w:bookmarkEnd w:id="58"/>
      <w:bookmarkEnd w:id="59"/>
      <w:bookmarkEnd w:id="60"/>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61" w:name="_Toc15322"/>
      <w:bookmarkStart w:id="62" w:name="_Toc7245"/>
      <w:bookmarkStart w:id="63" w:name="_Toc11173"/>
      <w:r>
        <w:rPr>
          <w:rFonts w:hint="eastAsia" w:ascii="仿宋" w:hAnsi="仿宋" w:eastAsia="仿宋" w:cs="仿宋"/>
          <w:b/>
          <w:color w:val="auto"/>
          <w:sz w:val="24"/>
          <w:highlight w:val="none"/>
        </w:rPr>
        <w:t>2.0 合同生效</w:t>
      </w:r>
      <w:bookmarkEnd w:id="61"/>
      <w:bookmarkEnd w:id="62"/>
      <w:bookmarkEnd w:id="63"/>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3"/>
        <w:rPr>
          <w:rFonts w:ascii="仿宋" w:eastAsia="仿宋" w:cs="仿宋"/>
          <w:color w:val="auto"/>
          <w:sz w:val="24"/>
          <w:highlight w:val="none"/>
        </w:rPr>
      </w:pPr>
    </w:p>
    <w:p>
      <w:pPr>
        <w:rPr>
          <w:rFonts w:ascii="仿宋" w:hAnsi="仿宋" w:eastAsia="仿宋" w:cs="仿宋"/>
          <w:color w:val="auto"/>
          <w:sz w:val="24"/>
          <w:highlight w:val="none"/>
        </w:rPr>
      </w:pPr>
    </w:p>
    <w:p>
      <w:pPr>
        <w:pStyle w:val="3"/>
        <w:rPr>
          <w:rFonts w:ascii="仿宋" w:eastAsia="仿宋" w:cs="仿宋"/>
          <w:color w:val="auto"/>
          <w:sz w:val="24"/>
          <w:highlight w:val="none"/>
        </w:rPr>
      </w:pPr>
    </w:p>
    <w:p>
      <w:pPr>
        <w:rPr>
          <w:rFonts w:ascii="仿宋" w:hAnsi="仿宋" w:eastAsia="仿宋" w:cs="仿宋"/>
          <w:color w:val="auto"/>
          <w:sz w:val="24"/>
          <w:highlight w:val="none"/>
        </w:rPr>
      </w:pPr>
    </w:p>
    <w:p>
      <w:pPr>
        <w:pStyle w:val="3"/>
        <w:rPr>
          <w:rFonts w:ascii="仿宋" w:eastAsia="仿宋" w:cs="仿宋"/>
          <w:color w:val="auto"/>
          <w:sz w:val="24"/>
          <w:highlight w:val="none"/>
        </w:rPr>
      </w:pPr>
    </w:p>
    <w:p>
      <w:pPr>
        <w:rPr>
          <w:rFonts w:ascii="仿宋" w:hAnsi="仿宋" w:eastAsia="仿宋" w:cs="仿宋"/>
          <w:color w:val="auto"/>
          <w:sz w:val="24"/>
          <w:highlight w:val="none"/>
        </w:rPr>
      </w:pPr>
    </w:p>
    <w:p>
      <w:pPr>
        <w:pStyle w:val="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28"/>
        <w:spacing w:line="560" w:lineRule="exact"/>
        <w:ind w:firstLine="482"/>
        <w:jc w:val="center"/>
        <w:rPr>
          <w:rFonts w:ascii="仿宋" w:hAnsi="仿宋" w:eastAsia="仿宋" w:cs="仿宋"/>
          <w:b/>
          <w:color w:val="auto"/>
          <w:szCs w:val="24"/>
          <w:highlight w:val="none"/>
        </w:rPr>
      </w:pPr>
    </w:p>
    <w:p>
      <w:pPr>
        <w:pStyle w:val="28"/>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64" w:name="_Toc16917"/>
      <w:bookmarkStart w:id="65" w:name="_Toc28763"/>
      <w:bookmarkStart w:id="66" w:name="_Ref467379101"/>
      <w:bookmarkStart w:id="67" w:name="_Toc279701240"/>
      <w:bookmarkStart w:id="68" w:name="_Toc259093669"/>
      <w:bookmarkStart w:id="69" w:name="_Ref467378463"/>
      <w:bookmarkStart w:id="70" w:name="_Ref467379094"/>
      <w:bookmarkStart w:id="71" w:name="_Ref467378499"/>
      <w:bookmarkStart w:id="72" w:name="_Ref467379195"/>
      <w:bookmarkStart w:id="73" w:name="_Ref467379109"/>
      <w:bookmarkStart w:id="74" w:name="_Ref467379214"/>
      <w:bookmarkStart w:id="75" w:name="_Toc487900349"/>
      <w:bookmarkStart w:id="76" w:name="_Ref467378404"/>
      <w:bookmarkStart w:id="77" w:name="_Toc19614"/>
      <w:bookmarkStart w:id="78" w:name="_Ref467379205"/>
      <w:bookmarkStart w:id="79" w:name="_Ref467379225"/>
      <w:r>
        <w:rPr>
          <w:rFonts w:hint="eastAsia" w:ascii="仿宋" w:hAnsi="仿宋" w:eastAsia="仿宋" w:cs="仿宋"/>
          <w:b/>
          <w:color w:val="auto"/>
          <w:sz w:val="24"/>
          <w:highlight w:val="none"/>
        </w:rPr>
        <w:t>2.1 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80" w:name="_Ref467378840"/>
      <w:r>
        <w:rPr>
          <w:rFonts w:hint="eastAsia" w:ascii="仿宋" w:hAnsi="仿宋" w:eastAsia="仿宋" w:cs="仿宋"/>
          <w:color w:val="auto"/>
          <w:sz w:val="24"/>
          <w:highlight w:val="none"/>
        </w:rPr>
        <w:t>2.1.4 “甲方”系指与中标或成交供应商签署合同的采购人</w:t>
      </w:r>
      <w:bookmarkEnd w:id="80"/>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bookmarkStart w:id="81" w:name="_Ref467379400"/>
      <w:r>
        <w:rPr>
          <w:rFonts w:hint="eastAsia" w:ascii="仿宋" w:hAnsi="仿宋" w:eastAsia="仿宋" w:cs="仿宋"/>
          <w:color w:val="auto"/>
          <w:sz w:val="24"/>
          <w:highlight w:val="none"/>
        </w:rPr>
        <w:t>2.1.5 “乙方”系指根据合同约定交付货物的中标或成交供应商</w:t>
      </w:r>
      <w:bookmarkEnd w:id="81"/>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82" w:name="_Ref467379436"/>
      <w:r>
        <w:rPr>
          <w:rFonts w:hint="eastAsia" w:ascii="仿宋" w:hAnsi="仿宋" w:eastAsia="仿宋" w:cs="仿宋"/>
          <w:color w:val="auto"/>
          <w:sz w:val="24"/>
          <w:highlight w:val="none"/>
        </w:rPr>
        <w:t>2.1.6 “现场”系指合同约定货物将要运至或者安装的地点。</w:t>
      </w:r>
      <w:bookmarkEnd w:id="82"/>
    </w:p>
    <w:p>
      <w:pPr>
        <w:spacing w:line="560" w:lineRule="exact"/>
        <w:ind w:firstLine="482" w:firstLineChars="200"/>
        <w:outlineLvl w:val="0"/>
        <w:rPr>
          <w:rFonts w:ascii="仿宋" w:hAnsi="仿宋" w:eastAsia="仿宋" w:cs="仿宋"/>
          <w:b/>
          <w:color w:val="auto"/>
          <w:sz w:val="24"/>
          <w:highlight w:val="none"/>
        </w:rPr>
      </w:pPr>
      <w:bookmarkStart w:id="83" w:name="_Toc487900350"/>
      <w:bookmarkStart w:id="84" w:name="_Toc32504"/>
      <w:bookmarkStart w:id="85" w:name="_Toc13336"/>
      <w:bookmarkStart w:id="86" w:name="_Toc259093670"/>
      <w:bookmarkStart w:id="87" w:name="_Toc279701241"/>
      <w:bookmarkStart w:id="88" w:name="_Toc27635"/>
      <w:r>
        <w:rPr>
          <w:rFonts w:hint="eastAsia" w:ascii="仿宋" w:hAnsi="仿宋" w:eastAsia="仿宋" w:cs="仿宋"/>
          <w:b/>
          <w:color w:val="auto"/>
          <w:sz w:val="24"/>
          <w:highlight w:val="none"/>
        </w:rPr>
        <w:t>2.2 技术规范</w:t>
      </w:r>
      <w:bookmarkEnd w:id="83"/>
      <w:bookmarkEnd w:id="84"/>
      <w:bookmarkEnd w:id="85"/>
      <w:bookmarkEnd w:id="86"/>
      <w:bookmarkEnd w:id="87"/>
      <w:bookmarkEnd w:id="8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89" w:name="_Toc487900351"/>
      <w:bookmarkStart w:id="90" w:name="_Toc279701242"/>
      <w:bookmarkStart w:id="91" w:name="_Toc27853"/>
      <w:bookmarkStart w:id="92" w:name="_Toc9829"/>
      <w:bookmarkStart w:id="93" w:name="_Toc31634"/>
      <w:bookmarkStart w:id="94" w:name="_Toc259093671"/>
      <w:r>
        <w:rPr>
          <w:rFonts w:hint="eastAsia" w:ascii="仿宋" w:hAnsi="仿宋" w:eastAsia="仿宋" w:cs="仿宋"/>
          <w:b/>
          <w:color w:val="auto"/>
          <w:sz w:val="24"/>
          <w:highlight w:val="none"/>
        </w:rPr>
        <w:t>2.3 知识产权</w:t>
      </w:r>
      <w:bookmarkEnd w:id="89"/>
      <w:bookmarkEnd w:id="90"/>
      <w:bookmarkEnd w:id="91"/>
      <w:bookmarkEnd w:id="92"/>
      <w:bookmarkEnd w:id="93"/>
      <w:bookmarkEnd w:id="9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5" w:name="_Toc29149"/>
      <w:bookmarkStart w:id="96" w:name="_Toc11932"/>
      <w:bookmarkStart w:id="97" w:name="_Toc4194"/>
      <w:r>
        <w:rPr>
          <w:rFonts w:hint="eastAsia" w:ascii="仿宋" w:hAnsi="仿宋" w:eastAsia="仿宋" w:cs="仿宋"/>
          <w:b/>
          <w:color w:val="auto"/>
          <w:sz w:val="24"/>
          <w:highlight w:val="none"/>
        </w:rPr>
        <w:t>2.4 包装和装运</w:t>
      </w:r>
      <w:bookmarkEnd w:id="95"/>
      <w:bookmarkEnd w:id="96"/>
      <w:bookmarkEnd w:id="9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8" w:name="_Ref467378591"/>
      <w:bookmarkStart w:id="99" w:name="_Ref467379527"/>
      <w:bookmarkStart w:id="100" w:name="_Ref467379536"/>
      <w:bookmarkStart w:id="101" w:name="_Ref467378541"/>
      <w:bookmarkStart w:id="102" w:name="_Toc259093674"/>
      <w:bookmarkStart w:id="103" w:name="_Toc487900354"/>
      <w:bookmarkStart w:id="104" w:name="_Toc279701245"/>
      <w:bookmarkStart w:id="105" w:name="_Ref467379542"/>
      <w:bookmarkStart w:id="106" w:name="_Toc19074"/>
      <w:bookmarkStart w:id="107" w:name="_Toc30272"/>
      <w:bookmarkStart w:id="108" w:name="_Toc26182"/>
      <w:r>
        <w:rPr>
          <w:rFonts w:hint="eastAsia" w:ascii="仿宋" w:hAnsi="仿宋" w:eastAsia="仿宋" w:cs="仿宋"/>
          <w:b/>
          <w:color w:val="auto"/>
          <w:sz w:val="24"/>
          <w:highlight w:val="none"/>
        </w:rPr>
        <w:t>2.</w:t>
      </w:r>
      <w:bookmarkEnd w:id="98"/>
      <w:bookmarkEnd w:id="99"/>
      <w:bookmarkEnd w:id="100"/>
      <w:bookmarkEnd w:id="101"/>
      <w:bookmarkEnd w:id="102"/>
      <w:bookmarkEnd w:id="103"/>
      <w:bookmarkEnd w:id="104"/>
      <w:bookmarkEnd w:id="105"/>
      <w:r>
        <w:rPr>
          <w:rFonts w:hint="eastAsia" w:ascii="仿宋" w:hAnsi="仿宋" w:eastAsia="仿宋" w:cs="仿宋"/>
          <w:b/>
          <w:color w:val="auto"/>
          <w:sz w:val="24"/>
          <w:highlight w:val="none"/>
        </w:rPr>
        <w:t>5 履约检查和问题反馈</w:t>
      </w:r>
      <w:bookmarkEnd w:id="106"/>
      <w:bookmarkEnd w:id="107"/>
      <w:bookmarkEnd w:id="108"/>
    </w:p>
    <w:p>
      <w:pPr>
        <w:spacing w:line="560" w:lineRule="exact"/>
        <w:ind w:firstLine="480" w:firstLineChars="200"/>
        <w:rPr>
          <w:rFonts w:ascii="仿宋" w:hAnsi="仿宋" w:eastAsia="仿宋" w:cs="仿宋"/>
          <w:color w:val="auto"/>
          <w:sz w:val="24"/>
          <w:highlight w:val="none"/>
        </w:rPr>
      </w:pPr>
      <w:bookmarkStart w:id="109" w:name="_Ref467379657"/>
      <w:r>
        <w:rPr>
          <w:rFonts w:hint="eastAsia" w:ascii="仿宋" w:hAnsi="仿宋" w:eastAsia="仿宋" w:cs="仿宋"/>
          <w:color w:val="auto"/>
          <w:sz w:val="24"/>
          <w:highlight w:val="none"/>
        </w:rPr>
        <w:t>2.5.1</w:t>
      </w:r>
      <w:bookmarkEnd w:id="109"/>
      <w:bookmarkStart w:id="110" w:name="_Toc186431854"/>
      <w:bookmarkStart w:id="111" w:name="_Toc487900357"/>
      <w:bookmarkStart w:id="112" w:name="_Toc279701247"/>
      <w:bookmarkStart w:id="113" w:name="_Ref467379793"/>
      <w:bookmarkStart w:id="114" w:name="_Ref467379807"/>
      <w:bookmarkStart w:id="115"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0"/>
      <w:bookmarkStart w:id="116" w:name="_Toc186431855"/>
      <w:r>
        <w:rPr>
          <w:rFonts w:hint="eastAsia" w:ascii="仿宋" w:hAnsi="仿宋" w:eastAsia="仿宋" w:cs="仿宋"/>
          <w:color w:val="auto"/>
          <w:sz w:val="24"/>
          <w:highlight w:val="none"/>
        </w:rPr>
        <w:t>。</w:t>
      </w:r>
    </w:p>
    <w:bookmarkEnd w:id="111"/>
    <w:bookmarkEnd w:id="112"/>
    <w:bookmarkEnd w:id="113"/>
    <w:bookmarkEnd w:id="114"/>
    <w:bookmarkEnd w:id="115"/>
    <w:bookmarkEnd w:id="116"/>
    <w:p>
      <w:pPr>
        <w:spacing w:line="560" w:lineRule="exact"/>
        <w:ind w:firstLine="482" w:firstLineChars="200"/>
        <w:outlineLvl w:val="0"/>
        <w:rPr>
          <w:rFonts w:ascii="仿宋" w:hAnsi="仿宋" w:eastAsia="仿宋" w:cs="仿宋"/>
          <w:b/>
          <w:color w:val="auto"/>
          <w:sz w:val="24"/>
          <w:highlight w:val="none"/>
        </w:rPr>
      </w:pPr>
      <w:bookmarkStart w:id="117" w:name="_Toc487900358"/>
      <w:bookmarkStart w:id="118" w:name="_Toc279701248"/>
      <w:bookmarkStart w:id="119" w:name="_Ref467379852"/>
      <w:bookmarkStart w:id="120" w:name="_Ref467379923"/>
      <w:bookmarkStart w:id="121" w:name="_Toc259093677"/>
      <w:bookmarkStart w:id="122" w:name="_Ref467379863"/>
      <w:bookmarkStart w:id="123" w:name="_Toc16110"/>
      <w:bookmarkStart w:id="124" w:name="_Toc774"/>
      <w:bookmarkStart w:id="125" w:name="_Toc3225"/>
      <w:r>
        <w:rPr>
          <w:rFonts w:hint="eastAsia" w:ascii="仿宋" w:hAnsi="仿宋" w:eastAsia="仿宋" w:cs="仿宋"/>
          <w:b/>
          <w:color w:val="auto"/>
          <w:sz w:val="24"/>
          <w:highlight w:val="none"/>
        </w:rPr>
        <w:t>2.6 技术资料</w:t>
      </w:r>
      <w:bookmarkEnd w:id="117"/>
      <w:bookmarkEnd w:id="118"/>
      <w:bookmarkEnd w:id="119"/>
      <w:bookmarkEnd w:id="120"/>
      <w:bookmarkEnd w:id="121"/>
      <w:bookmarkEnd w:id="122"/>
      <w:r>
        <w:rPr>
          <w:rFonts w:hint="eastAsia" w:ascii="仿宋" w:hAnsi="仿宋" w:eastAsia="仿宋" w:cs="仿宋"/>
          <w:b/>
          <w:color w:val="auto"/>
          <w:sz w:val="24"/>
          <w:highlight w:val="none"/>
        </w:rPr>
        <w:t>和保密义务</w:t>
      </w:r>
      <w:bookmarkEnd w:id="123"/>
      <w:bookmarkEnd w:id="124"/>
      <w:bookmarkEnd w:id="12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26" w:name="_Toc7860"/>
      <w:r>
        <w:rPr>
          <w:rFonts w:hint="eastAsia" w:ascii="仿宋" w:hAnsi="仿宋" w:eastAsia="仿宋" w:cs="仿宋"/>
          <w:b/>
          <w:color w:val="auto"/>
          <w:sz w:val="24"/>
          <w:highlight w:val="none"/>
        </w:rPr>
        <w:t>2.7 质量保证</w:t>
      </w:r>
      <w:bookmarkEnd w:id="12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27" w:name="_Toc17244"/>
      <w:bookmarkStart w:id="128" w:name="_Toc279701252"/>
      <w:bookmarkStart w:id="129" w:name="_Toc259093681"/>
      <w:bookmarkStart w:id="130" w:name="_Toc487900362"/>
      <w:r>
        <w:rPr>
          <w:rFonts w:hint="eastAsia" w:ascii="仿宋" w:hAnsi="仿宋" w:eastAsia="仿宋" w:cs="仿宋"/>
          <w:b/>
          <w:color w:val="auto"/>
          <w:sz w:val="24"/>
          <w:highlight w:val="none"/>
        </w:rPr>
        <w:t>2.8 货物的风险负担</w:t>
      </w:r>
      <w:bookmarkEnd w:id="127"/>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1" w:name="_Toc14055"/>
      <w:r>
        <w:rPr>
          <w:rFonts w:hint="eastAsia" w:ascii="仿宋" w:hAnsi="仿宋" w:eastAsia="仿宋" w:cs="仿宋"/>
          <w:b/>
          <w:color w:val="auto"/>
          <w:sz w:val="24"/>
          <w:highlight w:val="none"/>
        </w:rPr>
        <w:t>2.9 延迟交货</w:t>
      </w:r>
      <w:bookmarkEnd w:id="128"/>
      <w:bookmarkEnd w:id="129"/>
      <w:bookmarkEnd w:id="130"/>
      <w:bookmarkEnd w:id="13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32" w:name="_Toc7502"/>
      <w:bookmarkStart w:id="133" w:name="_Toc487900364"/>
      <w:bookmarkStart w:id="134" w:name="_Ref467378121"/>
      <w:bookmarkStart w:id="135" w:name="_Toc259093683"/>
      <w:bookmarkStart w:id="136" w:name="_Toc279701254"/>
      <w:r>
        <w:rPr>
          <w:rFonts w:hint="eastAsia" w:ascii="仿宋" w:hAnsi="仿宋" w:eastAsia="仿宋" w:cs="仿宋"/>
          <w:b/>
          <w:color w:val="auto"/>
          <w:sz w:val="24"/>
          <w:highlight w:val="none"/>
        </w:rPr>
        <w:t>2.10 合同变更</w:t>
      </w:r>
      <w:bookmarkEnd w:id="13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7" w:name="_Toc487900369"/>
      <w:bookmarkStart w:id="138" w:name="_Toc279701259"/>
      <w:bookmarkStart w:id="139" w:name="_Toc259093688"/>
    </w:p>
    <w:p>
      <w:pPr>
        <w:spacing w:line="560" w:lineRule="exact"/>
        <w:ind w:firstLine="482" w:firstLineChars="200"/>
        <w:outlineLvl w:val="0"/>
        <w:rPr>
          <w:rFonts w:ascii="仿宋" w:hAnsi="仿宋" w:eastAsia="仿宋" w:cs="仿宋"/>
          <w:b/>
          <w:color w:val="auto"/>
          <w:sz w:val="24"/>
          <w:highlight w:val="none"/>
        </w:rPr>
      </w:pPr>
      <w:bookmarkStart w:id="140" w:name="_Toc22955"/>
      <w:bookmarkStart w:id="141" w:name="_Toc10366"/>
      <w:bookmarkStart w:id="142" w:name="_Toc15237"/>
      <w:r>
        <w:rPr>
          <w:rFonts w:hint="eastAsia" w:ascii="仿宋" w:hAnsi="仿宋" w:eastAsia="仿宋" w:cs="仿宋"/>
          <w:b/>
          <w:color w:val="auto"/>
          <w:sz w:val="24"/>
          <w:highlight w:val="none"/>
        </w:rPr>
        <w:t>2.11 合同转让</w:t>
      </w:r>
      <w:bookmarkEnd w:id="137"/>
      <w:bookmarkEnd w:id="138"/>
      <w:bookmarkEnd w:id="139"/>
      <w:r>
        <w:rPr>
          <w:rFonts w:hint="eastAsia" w:ascii="仿宋" w:hAnsi="仿宋" w:eastAsia="仿宋" w:cs="仿宋"/>
          <w:b/>
          <w:color w:val="auto"/>
          <w:sz w:val="24"/>
          <w:highlight w:val="none"/>
        </w:rPr>
        <w:t>和分包</w:t>
      </w:r>
      <w:bookmarkEnd w:id="140"/>
      <w:bookmarkEnd w:id="141"/>
      <w:bookmarkEnd w:id="14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43" w:name="_Toc13566"/>
      <w:bookmarkStart w:id="144" w:name="_Toc16508"/>
      <w:bookmarkStart w:id="145" w:name="_Toc14066"/>
      <w:r>
        <w:rPr>
          <w:rFonts w:hint="eastAsia" w:ascii="仿宋" w:hAnsi="仿宋" w:eastAsia="仿宋" w:cs="仿宋"/>
          <w:b/>
          <w:color w:val="auto"/>
          <w:sz w:val="24"/>
          <w:highlight w:val="none"/>
        </w:rPr>
        <w:t>2.12 不可抗力</w:t>
      </w:r>
      <w:bookmarkEnd w:id="143"/>
      <w:bookmarkEnd w:id="144"/>
      <w:bookmarkEnd w:id="14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46" w:name="_Toc689"/>
      <w:bookmarkStart w:id="147" w:name="_Toc30676"/>
      <w:bookmarkStart w:id="148" w:name="_Toc487900365"/>
      <w:bookmarkStart w:id="149" w:name="_Toc279701255"/>
      <w:bookmarkStart w:id="150" w:name="_Toc259093684"/>
      <w:bookmarkStart w:id="151" w:name="_Toc6969"/>
      <w:r>
        <w:rPr>
          <w:rFonts w:hint="eastAsia" w:ascii="仿宋" w:hAnsi="仿宋" w:eastAsia="仿宋" w:cs="仿宋"/>
          <w:b/>
          <w:color w:val="auto"/>
          <w:sz w:val="24"/>
          <w:highlight w:val="none"/>
        </w:rPr>
        <w:t>2.13 税费</w:t>
      </w:r>
      <w:bookmarkEnd w:id="146"/>
      <w:bookmarkEnd w:id="147"/>
      <w:bookmarkEnd w:id="148"/>
      <w:bookmarkEnd w:id="149"/>
      <w:bookmarkEnd w:id="150"/>
      <w:bookmarkEnd w:id="15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52" w:name="_Toc279701258"/>
      <w:bookmarkStart w:id="153" w:name="_Toc8298"/>
      <w:bookmarkStart w:id="154" w:name="_Toc7102"/>
      <w:bookmarkStart w:id="155" w:name="_Toc259093687"/>
      <w:bookmarkStart w:id="156" w:name="_Toc487900368"/>
      <w:bookmarkStart w:id="157" w:name="_Toc16959"/>
      <w:r>
        <w:rPr>
          <w:rFonts w:hint="eastAsia" w:ascii="仿宋" w:hAnsi="仿宋" w:eastAsia="仿宋" w:cs="仿宋"/>
          <w:b/>
          <w:color w:val="auto"/>
          <w:sz w:val="24"/>
          <w:highlight w:val="none"/>
        </w:rPr>
        <w:t>2.14乙方破产</w:t>
      </w:r>
      <w:bookmarkEnd w:id="152"/>
      <w:bookmarkEnd w:id="153"/>
      <w:bookmarkEnd w:id="154"/>
      <w:bookmarkEnd w:id="155"/>
      <w:bookmarkEnd w:id="156"/>
      <w:bookmarkEnd w:id="1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58" w:name="_Toc15387"/>
      <w:bookmarkStart w:id="159" w:name="_Toc29333"/>
      <w:bookmarkStart w:id="160" w:name="_Toc6134"/>
      <w:r>
        <w:rPr>
          <w:rFonts w:hint="eastAsia" w:ascii="仿宋" w:hAnsi="仿宋" w:eastAsia="仿宋" w:cs="仿宋"/>
          <w:b/>
          <w:color w:val="auto"/>
          <w:sz w:val="24"/>
          <w:highlight w:val="none"/>
        </w:rPr>
        <w:t>2.15 合同中止、终止</w:t>
      </w:r>
      <w:bookmarkEnd w:id="158"/>
      <w:bookmarkEnd w:id="159"/>
      <w:bookmarkEnd w:id="16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61" w:name="_Toc14563"/>
      <w:bookmarkStart w:id="162" w:name="_Toc6596"/>
      <w:bookmarkStart w:id="163" w:name="_Toc1125"/>
      <w:r>
        <w:rPr>
          <w:rFonts w:hint="eastAsia" w:ascii="仿宋" w:hAnsi="仿宋" w:eastAsia="仿宋" w:cs="仿宋"/>
          <w:b/>
          <w:color w:val="auto"/>
          <w:sz w:val="24"/>
          <w:highlight w:val="none"/>
        </w:rPr>
        <w:t>2.16检验和验收</w:t>
      </w:r>
      <w:bookmarkEnd w:id="161"/>
      <w:bookmarkEnd w:id="162"/>
      <w:bookmarkEnd w:id="163"/>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3"/>
    <w:bookmarkEnd w:id="134"/>
    <w:bookmarkEnd w:id="135"/>
    <w:bookmarkEnd w:id="136"/>
    <w:p>
      <w:pPr>
        <w:spacing w:line="560" w:lineRule="exact"/>
        <w:ind w:firstLine="482" w:firstLineChars="200"/>
        <w:outlineLvl w:val="0"/>
        <w:rPr>
          <w:rFonts w:ascii="仿宋" w:hAnsi="仿宋" w:eastAsia="仿宋" w:cs="仿宋"/>
          <w:b/>
          <w:color w:val="auto"/>
          <w:sz w:val="24"/>
          <w:highlight w:val="none"/>
        </w:rPr>
      </w:pPr>
      <w:bookmarkStart w:id="164" w:name="_Toc259093690"/>
      <w:bookmarkStart w:id="165" w:name="_Toc279701261"/>
      <w:bookmarkStart w:id="166" w:name="_Toc487900371"/>
      <w:bookmarkStart w:id="167" w:name="_Toc19604"/>
      <w:bookmarkStart w:id="168" w:name="_Toc11284"/>
      <w:bookmarkStart w:id="169" w:name="_Toc25182"/>
      <w:r>
        <w:rPr>
          <w:rFonts w:hint="eastAsia" w:ascii="仿宋" w:hAnsi="仿宋" w:eastAsia="仿宋" w:cs="仿宋"/>
          <w:b/>
          <w:color w:val="auto"/>
          <w:sz w:val="24"/>
          <w:highlight w:val="none"/>
        </w:rPr>
        <w:t>2.17 通知</w:t>
      </w:r>
      <w:bookmarkEnd w:id="164"/>
      <w:bookmarkEnd w:id="165"/>
      <w:bookmarkEnd w:id="166"/>
      <w:r>
        <w:rPr>
          <w:rFonts w:hint="eastAsia" w:ascii="仿宋" w:hAnsi="仿宋" w:eastAsia="仿宋" w:cs="仿宋"/>
          <w:b/>
          <w:color w:val="auto"/>
          <w:sz w:val="24"/>
          <w:highlight w:val="none"/>
        </w:rPr>
        <w:t>和送达</w:t>
      </w:r>
      <w:bookmarkEnd w:id="167"/>
      <w:bookmarkEnd w:id="168"/>
      <w:bookmarkEnd w:id="169"/>
    </w:p>
    <w:p>
      <w:pPr>
        <w:spacing w:line="560" w:lineRule="exact"/>
        <w:ind w:firstLine="480" w:firstLineChars="200"/>
        <w:rPr>
          <w:rFonts w:ascii="仿宋" w:hAnsi="仿宋" w:eastAsia="仿宋" w:cs="仿宋"/>
          <w:color w:val="auto"/>
          <w:sz w:val="24"/>
          <w:highlight w:val="none"/>
        </w:rPr>
      </w:pPr>
      <w:bookmarkStart w:id="170" w:name="_Toc3135"/>
      <w:bookmarkStart w:id="171" w:name="_Toc6698"/>
      <w:bookmarkStart w:id="172" w:name="_Toc279701262"/>
      <w:bookmarkStart w:id="173" w:name="_Toc487900372"/>
      <w:bookmarkStart w:id="174"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0"/>
      <w:bookmarkEnd w:id="171"/>
    </w:p>
    <w:p>
      <w:pPr>
        <w:spacing w:line="560" w:lineRule="exact"/>
        <w:ind w:firstLine="480" w:firstLineChars="200"/>
        <w:rPr>
          <w:rFonts w:ascii="仿宋" w:hAnsi="仿宋" w:eastAsia="仿宋" w:cs="仿宋"/>
          <w:color w:val="auto"/>
          <w:sz w:val="24"/>
          <w:highlight w:val="none"/>
        </w:rPr>
      </w:pPr>
      <w:bookmarkStart w:id="175" w:name="_Toc23128"/>
      <w:bookmarkStart w:id="176"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5"/>
      <w:bookmarkEnd w:id="176"/>
    </w:p>
    <w:p>
      <w:pPr>
        <w:spacing w:line="560" w:lineRule="exact"/>
        <w:ind w:firstLine="482" w:firstLineChars="200"/>
        <w:outlineLvl w:val="0"/>
        <w:rPr>
          <w:rFonts w:ascii="仿宋" w:hAnsi="仿宋" w:eastAsia="仿宋" w:cs="仿宋"/>
          <w:b/>
          <w:color w:val="auto"/>
          <w:sz w:val="24"/>
          <w:highlight w:val="none"/>
        </w:rPr>
      </w:pPr>
      <w:bookmarkStart w:id="177" w:name="_Toc4355"/>
      <w:bookmarkStart w:id="178" w:name="_Toc30599"/>
      <w:bookmarkStart w:id="179" w:name="_Toc18540"/>
      <w:r>
        <w:rPr>
          <w:rFonts w:hint="eastAsia" w:ascii="仿宋" w:hAnsi="仿宋" w:eastAsia="仿宋" w:cs="仿宋"/>
          <w:b/>
          <w:color w:val="auto"/>
          <w:sz w:val="24"/>
          <w:highlight w:val="none"/>
        </w:rPr>
        <w:t>2.18 计量单位</w:t>
      </w:r>
      <w:bookmarkEnd w:id="172"/>
      <w:bookmarkEnd w:id="173"/>
      <w:bookmarkEnd w:id="174"/>
      <w:bookmarkEnd w:id="177"/>
      <w:bookmarkEnd w:id="178"/>
      <w:bookmarkEnd w:id="1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80" w:name="_Toc487900373"/>
      <w:bookmarkStart w:id="181" w:name="_Toc10330"/>
      <w:bookmarkStart w:id="182" w:name="_Toc18567"/>
      <w:bookmarkStart w:id="183" w:name="_Toc259093692"/>
      <w:bookmarkStart w:id="184" w:name="_Toc12773"/>
      <w:bookmarkStart w:id="185" w:name="_Toc279701263"/>
      <w:r>
        <w:rPr>
          <w:rFonts w:hint="eastAsia" w:ascii="仿宋" w:hAnsi="仿宋" w:eastAsia="仿宋" w:cs="仿宋"/>
          <w:b/>
          <w:color w:val="auto"/>
          <w:sz w:val="24"/>
          <w:highlight w:val="none"/>
        </w:rPr>
        <w:t>2.19 合同使用的文字和适用的法律</w:t>
      </w:r>
      <w:bookmarkEnd w:id="180"/>
      <w:bookmarkEnd w:id="181"/>
      <w:bookmarkEnd w:id="182"/>
      <w:bookmarkEnd w:id="183"/>
      <w:bookmarkEnd w:id="184"/>
      <w:bookmarkEnd w:id="18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86" w:name="_Toc6885"/>
      <w:bookmarkStart w:id="187" w:name="_Toc14001"/>
      <w:bookmarkStart w:id="188" w:name="_Toc19890"/>
      <w:r>
        <w:rPr>
          <w:rFonts w:hint="eastAsia" w:ascii="仿宋" w:hAnsi="仿宋" w:eastAsia="仿宋" w:cs="仿宋"/>
          <w:b/>
          <w:color w:val="auto"/>
          <w:sz w:val="24"/>
          <w:highlight w:val="none"/>
        </w:rPr>
        <w:t>2.20 合同份数</w:t>
      </w:r>
      <w:bookmarkEnd w:id="186"/>
      <w:bookmarkEnd w:id="187"/>
      <w:bookmarkEnd w:id="18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7"/>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ascii="仿宋" w:hAnsi="仿宋" w:eastAsia="仿宋" w:cs="仿宋"/>
                <w:color w:val="auto"/>
                <w:sz w:val="24"/>
                <w:highlight w:val="none"/>
              </w:rPr>
            </w:pPr>
          </w:p>
        </w:tc>
      </w:tr>
    </w:tbl>
    <w:p>
      <w:pPr>
        <w:rPr>
          <w:rFonts w:ascii="仿宋" w:hAnsi="仿宋" w:eastAsia="仿宋" w:cs="仿宋"/>
          <w:color w:val="auto"/>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w:t>
      </w:r>
      <w:r>
        <w:rPr>
          <w:rFonts w:hint="eastAsia" w:asciiTheme="minorEastAsia" w:hAnsiTheme="minorEastAsia" w:eastAsiaTheme="minorEastAsia"/>
          <w:b/>
          <w:bCs/>
          <w:iCs/>
          <w:color w:val="auto"/>
          <w:sz w:val="24"/>
          <w:bdr w:val="single" w:color="auto" w:sz="4" w:space="0"/>
        </w:rPr>
        <w:t>01标、02标</w:t>
      </w:r>
      <w:r>
        <w:rPr>
          <w:rFonts w:hint="eastAsia" w:asciiTheme="minorEastAsia" w:hAnsiTheme="minorEastAsia" w:eastAsiaTheme="minorEastAsia"/>
          <w:b/>
          <w:bCs/>
          <w:iCs/>
          <w:color w:val="auto"/>
          <w:sz w:val="24"/>
          <w:bdr w:val="single" w:color="auto" w:sz="4" w:space="0"/>
          <w:lang w:eastAsia="zh-CN"/>
        </w:rPr>
        <w:t>、</w:t>
      </w:r>
      <w:r>
        <w:rPr>
          <w:rFonts w:hint="eastAsia" w:asciiTheme="minorEastAsia" w:hAnsiTheme="minorEastAsia" w:eastAsiaTheme="minorEastAsia"/>
          <w:b/>
          <w:bCs/>
          <w:iCs/>
          <w:color w:val="auto"/>
          <w:sz w:val="24"/>
          <w:bdr w:val="single" w:color="auto" w:sz="4" w:space="0"/>
          <w:lang w:val="en-US" w:eastAsia="zh-CN"/>
        </w:rPr>
        <w:t>03标、04标、05标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rPr>
        <w:t xml:space="preserve">60 </w:t>
      </w:r>
      <w:r>
        <w:rPr>
          <w:rFonts w:hint="eastAsia" w:ascii="仿宋" w:hAnsi="仿宋" w:eastAsia="仿宋" w:cs="仿宋"/>
          <w:b/>
          <w:bCs/>
          <w:iCs/>
          <w:color w:val="auto"/>
          <w:sz w:val="24"/>
          <w:highlight w:val="none"/>
        </w:rPr>
        <w:t>分）</w:t>
      </w:r>
    </w:p>
    <w:tbl>
      <w:tblPr>
        <w:tblStyle w:val="17"/>
        <w:tblW w:w="9781" w:type="dxa"/>
        <w:tblInd w:w="108" w:type="dxa"/>
        <w:tblLayout w:type="fixed"/>
        <w:tblCellMar>
          <w:top w:w="0" w:type="dxa"/>
          <w:left w:w="108" w:type="dxa"/>
          <w:bottom w:w="0" w:type="dxa"/>
          <w:right w:w="108" w:type="dxa"/>
        </w:tblCellMar>
      </w:tblPr>
      <w:tblGrid>
        <w:gridCol w:w="851"/>
        <w:gridCol w:w="1417"/>
        <w:gridCol w:w="6663"/>
        <w:gridCol w:w="850"/>
      </w:tblGrid>
      <w:tr>
        <w:tblPrEx>
          <w:tblCellMar>
            <w:top w:w="0" w:type="dxa"/>
            <w:left w:w="108" w:type="dxa"/>
            <w:bottom w:w="0" w:type="dxa"/>
            <w:right w:w="108" w:type="dxa"/>
          </w:tblCellMar>
        </w:tblPrEx>
        <w:trPr>
          <w:trHeight w:val="608"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序号</w:t>
            </w:r>
          </w:p>
        </w:tc>
        <w:tc>
          <w:tcPr>
            <w:tcW w:w="14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评分项目</w:t>
            </w:r>
          </w:p>
        </w:tc>
        <w:tc>
          <w:tcPr>
            <w:tcW w:w="666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评分细则</w:t>
            </w:r>
          </w:p>
        </w:tc>
        <w:tc>
          <w:tcPr>
            <w:tcW w:w="8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分值</w:t>
            </w:r>
          </w:p>
        </w:tc>
      </w:tr>
      <w:tr>
        <w:tblPrEx>
          <w:tblCellMar>
            <w:top w:w="0" w:type="dxa"/>
            <w:left w:w="108" w:type="dxa"/>
            <w:bottom w:w="0" w:type="dxa"/>
            <w:right w:w="108" w:type="dxa"/>
          </w:tblCellMar>
        </w:tblPrEx>
        <w:trPr>
          <w:trHeight w:val="1328" w:hRule="atLeast"/>
        </w:trPr>
        <w:tc>
          <w:tcPr>
            <w:tcW w:w="851"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w:t>
            </w:r>
          </w:p>
        </w:tc>
        <w:tc>
          <w:tcPr>
            <w:tcW w:w="1417"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项目经验</w:t>
            </w:r>
          </w:p>
        </w:tc>
        <w:tc>
          <w:tcPr>
            <w:tcW w:w="6663"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1、投标人自202</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年1月1日以来（以合同签订时间为准）完成过同类合同业绩，每提供</w:t>
            </w:r>
            <w:r>
              <w:rPr>
                <w:rFonts w:hint="eastAsia" w:ascii="仿宋" w:hAnsi="仿宋" w:eastAsia="仿宋" w:cs="仿宋"/>
                <w:b w:val="0"/>
                <w:bCs w:val="0"/>
                <w:iCs/>
                <w:color w:val="auto"/>
                <w:sz w:val="24"/>
                <w:highlight w:val="none"/>
                <w:lang w:val="en-US" w:eastAsia="zh-CN"/>
              </w:rPr>
              <w:t>0.5</w:t>
            </w:r>
            <w:r>
              <w:rPr>
                <w:rFonts w:hint="eastAsia" w:ascii="仿宋" w:hAnsi="仿宋" w:eastAsia="仿宋" w:cs="仿宋"/>
                <w:b w:val="0"/>
                <w:bCs w:val="0"/>
                <w:iCs/>
                <w:color w:val="auto"/>
                <w:sz w:val="24"/>
                <w:highlight w:val="none"/>
              </w:rPr>
              <w:t>份得</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分，最高得2分。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2、投标人自202</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年1月1日以来同类项目用户质量评价，每提供1份良好以上的评价得1分，最高得2分。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rPr>
              <w:t>注：投标文件中提供相关证明材料并加盖投标人公章，未提供不得分。</w:t>
            </w:r>
          </w:p>
        </w:tc>
        <w:tc>
          <w:tcPr>
            <w:tcW w:w="850"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4分</w:t>
            </w:r>
          </w:p>
        </w:tc>
      </w:tr>
      <w:tr>
        <w:tblPrEx>
          <w:tblCellMar>
            <w:top w:w="0" w:type="dxa"/>
            <w:left w:w="108" w:type="dxa"/>
            <w:bottom w:w="0" w:type="dxa"/>
            <w:right w:w="108" w:type="dxa"/>
          </w:tblCellMar>
        </w:tblPrEx>
        <w:trPr>
          <w:trHeight w:val="942" w:hRule="atLeast"/>
        </w:trPr>
        <w:tc>
          <w:tcPr>
            <w:tcW w:w="851"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w:t>
            </w:r>
          </w:p>
        </w:tc>
        <w:tc>
          <w:tcPr>
            <w:tcW w:w="1417"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综合实力</w:t>
            </w:r>
          </w:p>
        </w:tc>
        <w:tc>
          <w:tcPr>
            <w:tcW w:w="6663"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投标人自202</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年1月1日以来获得过新华书店总店主办的《图书馆报》颁发的“全国优秀馆配商”或“省级优秀馆配商” ，每提供1份得1分，最高得3分。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lang w:val="en-US" w:eastAsia="zh-CN"/>
              </w:rPr>
              <w:t>注</w:t>
            </w:r>
            <w:r>
              <w:rPr>
                <w:rFonts w:hint="eastAsia" w:ascii="仿宋" w:hAnsi="仿宋" w:eastAsia="仿宋" w:cs="仿宋"/>
                <w:b/>
                <w:bCs/>
                <w:iCs/>
                <w:color w:val="auto"/>
                <w:sz w:val="24"/>
                <w:highlight w:val="none"/>
              </w:rPr>
              <w:t>：投标文件中提供相关证明材料并加盖投标人公章，未提供不得分。</w:t>
            </w:r>
          </w:p>
        </w:tc>
        <w:tc>
          <w:tcPr>
            <w:tcW w:w="850"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416" w:hRule="atLeast"/>
        </w:trPr>
        <w:tc>
          <w:tcPr>
            <w:tcW w:w="851"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w:t>
            </w:r>
          </w:p>
        </w:tc>
        <w:tc>
          <w:tcPr>
            <w:tcW w:w="1417"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进货渠道</w:t>
            </w:r>
          </w:p>
        </w:tc>
        <w:tc>
          <w:tcPr>
            <w:tcW w:w="6663"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人有以下出版社供书经验，每提供1份以下出版社的证明材料得0.5分，最高10分，未提供不得分；高等教育出版社、电子工业出版社、化学工业出版社、机械工业出版社、人民邮电出版社、科学出版社、中国建筑工业出版社、中国环境出版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广陵书社、岳麓书社、法律出版社等。</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rPr>
              <w:t>说明：证明材料为有效期内的合同或授权书等并加盖投标人公章，不提供不得分。</w:t>
            </w:r>
          </w:p>
        </w:tc>
        <w:tc>
          <w:tcPr>
            <w:tcW w:w="850"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10分</w:t>
            </w:r>
          </w:p>
        </w:tc>
      </w:tr>
      <w:tr>
        <w:tblPrEx>
          <w:tblCellMar>
            <w:top w:w="0" w:type="dxa"/>
            <w:left w:w="108" w:type="dxa"/>
            <w:bottom w:w="0" w:type="dxa"/>
            <w:right w:w="108" w:type="dxa"/>
          </w:tblCellMar>
        </w:tblPrEx>
        <w:trPr>
          <w:trHeight w:val="1698"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供货完成率</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人提供合作的同类型高校图书管理系统查询的2023年1月1日至2023年12月31日到货率数据，需要电脑截屏打印并加盖图书馆公章，每提供一份到书率95.00%（含）以上数据的得1分，每提供一份到书率92%-94.99%（含）以内数据的得0.5分，到书率91.99及以下的数据不得分。最多提供5份，最高得5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rPr>
              <w:t>注：投标文件中提供相关证明材料并加盖投标人公章，未提供不得分。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5分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5</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现采服务</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有一定规模的现采组织能力，能组织大型图书博览会现采活动。投标人现采场所对采购人现场采购的保障（方案可行性、距离、次数，组织大型书展等）程度。根据描述和相关证明材料横向比较打分，0-5分。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5分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6</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采访数据</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 投标人承诺提供符合Calis格式的CNMARC采访数据且能无缝导入采购人汇文图书管理平台（版本5.6及以上），必备ISBN、题名、责任者、版本、丛书名、出版社、出版时间、中图分类号、内容提要、读者对象、定价等字段，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 投标人承诺提供采访书目数据覆盖率达到出版社的95%以上，无不符合采购人的读者层次的数据，得1分，投标文件中提供承诺函，未提供不得分；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 投标人承诺提供常规采访书目数据为最近出版图书书目（出版信息一月内必须送达）且每周提供1次，每次不少于1500条，得1分，投标文件中提供承诺函，未提供不得分。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7</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编目数据</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1.投标人承诺提供的编目数据为符合CALIS标准格式的CNMARC机读目录数据，符合采购人汇文图书管理平台（版本5.6）要求，得1分，投标文件中提供承诺函，未提供不得分；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2.投标人承诺编目数据与到馆图书有100%覆盖率（不漏发，不错发），得1分，投标文件中提供承诺函，未提供不得分；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3.投标人承诺编目数据在每次送书前或同时移交图书馆，得1分，投标文件中提供承诺函，未提供不得分。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lang w:val="en-US" w:eastAsia="zh-CN"/>
              </w:rPr>
              <w:t>8</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图书质量</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rPr>
              <w:t>根据投标人对图书质量的承诺情况，包含图书是否为全新正版出版物，有无破损；附件是否齐全等，根据描述的内容由评委横向比较打分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0-3分</w:t>
            </w:r>
            <w:r>
              <w:rPr>
                <w:rFonts w:hint="eastAsia" w:ascii="仿宋" w:hAnsi="仿宋" w:eastAsia="仿宋" w:cs="仿宋"/>
                <w:b w:val="0"/>
                <w:bCs w:val="0"/>
                <w:iCs/>
                <w:color w:val="auto"/>
                <w:sz w:val="24"/>
                <w:highlight w:val="none"/>
                <w:lang w:eastAsia="zh-CN"/>
              </w:rPr>
              <w:t>。</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lang w:val="en-US" w:eastAsia="zh-CN"/>
              </w:rPr>
              <w:t>9</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订单调整与退书处理</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1.根据投标人对已订图书订单因情况变化，采购人要求减少或取消订单的反应能力，根据描述的内容由评委打分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2.根据投标人对图书质量问题、与馆藏要求不符、与预订不符等原因退书提供的处理方案及处理速度，根据描述的内容由评委横向比较打分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根据投标人对图书馆已预订，但因缺货、出版推迟、停止出版等不能及时到馆的图书，或取消出版的图书信息反馈能力、服务方案（投标人能否以清单、邮件、电话等形式通知采购人员）、处理方案，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0-2分。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6分</w:t>
            </w:r>
          </w:p>
        </w:tc>
      </w:tr>
      <w:tr>
        <w:tblPrEx>
          <w:tblCellMar>
            <w:top w:w="0" w:type="dxa"/>
            <w:left w:w="108" w:type="dxa"/>
            <w:bottom w:w="0" w:type="dxa"/>
            <w:right w:w="108" w:type="dxa"/>
          </w:tblCellMar>
        </w:tblPrEx>
        <w:trPr>
          <w:trHeight w:val="315"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lang w:val="en-US" w:eastAsia="zh-CN"/>
              </w:rPr>
              <w:t>10</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图书加工与运输</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1.投标人承诺根据采购人要求，及时、定期向采购人送货到指定地点签收，同时提供发货清单（包括电子清单）得1分，投标文件中提供承诺函，未提供不得分；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2.投标人承诺图书的物理加工符合采购人要求，得1分，投标文件中提供承诺函，未提供不得分。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投标人承诺提供优质的配送（包括快递发书），图书打包包装作防水防潮处理，打包整齐，大小适中，同种图书的复本在同一包内，同包里的图书按照发货清单顺序摆放，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4.根据投标人车辆配备、图书加工和服务场地（含异地加工）、仓库储备对项目实施保障、便利程度，由评委</w:t>
            </w:r>
            <w:r>
              <w:rPr>
                <w:rFonts w:hint="eastAsia" w:ascii="仿宋" w:hAnsi="仿宋" w:eastAsia="仿宋" w:cs="仿宋"/>
                <w:b w:val="0"/>
                <w:bCs w:val="0"/>
                <w:iCs/>
                <w:color w:val="auto"/>
                <w:sz w:val="24"/>
                <w:highlight w:val="none"/>
              </w:rPr>
              <w:t>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lang w:val="en-US" w:eastAsia="zh-CN"/>
              </w:rPr>
              <w:t>0-1分</w:t>
            </w:r>
            <w:r>
              <w:rPr>
                <w:rFonts w:hint="eastAsia" w:ascii="仿宋" w:hAnsi="仿宋" w:eastAsia="仿宋" w:cs="仿宋"/>
                <w:b w:val="0"/>
                <w:bCs w:val="0"/>
                <w:iCs/>
                <w:color w:val="auto"/>
                <w:sz w:val="24"/>
                <w:highlight w:val="none"/>
                <w:lang w:eastAsia="zh-CN"/>
              </w:rPr>
              <w:t>。</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4分</w:t>
            </w:r>
          </w:p>
        </w:tc>
      </w:tr>
      <w:tr>
        <w:tblPrEx>
          <w:tblCellMar>
            <w:top w:w="0" w:type="dxa"/>
            <w:left w:w="108" w:type="dxa"/>
            <w:bottom w:w="0" w:type="dxa"/>
            <w:right w:w="108" w:type="dxa"/>
          </w:tblCellMar>
        </w:tblPrEx>
        <w:trPr>
          <w:trHeight w:val="36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lang w:val="en-US" w:eastAsia="zh-CN"/>
              </w:rPr>
              <w:t>11</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本地化服务</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_GB2312" w:hAnsi="宋体" w:eastAsia="仿宋_GB2312"/>
                <w:color w:val="auto"/>
                <w:sz w:val="24"/>
              </w:rPr>
            </w:pPr>
            <w:r>
              <w:rPr>
                <w:rFonts w:hint="eastAsia" w:ascii="仿宋_GB2312" w:hAnsi="宋体" w:eastAsia="仿宋_GB2312"/>
                <w:color w:val="auto"/>
                <w:sz w:val="24"/>
              </w:rPr>
              <w:t>具有较强的本地化服务能力，在本地拥有常驻服务机构。非本地投标人在绍兴或杭州有分公司或办事处得2分，承诺中标后在1个月内在绍兴设立办事处得</w:t>
            </w:r>
            <w:r>
              <w:rPr>
                <w:rFonts w:ascii="仿宋_GB2312" w:hAnsi="宋体" w:eastAsia="仿宋_GB2312"/>
                <w:color w:val="auto"/>
                <w:sz w:val="24"/>
              </w:rPr>
              <w:t>1</w:t>
            </w:r>
            <w:r>
              <w:rPr>
                <w:rFonts w:hint="eastAsia" w:ascii="仿宋_GB2312" w:hAnsi="宋体" w:eastAsia="仿宋_GB2312"/>
                <w:color w:val="auto"/>
                <w:sz w:val="24"/>
              </w:rPr>
              <w:t>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_GB2312" w:hAnsi="宋体" w:eastAsia="仿宋_GB2312"/>
                <w:color w:val="auto"/>
                <w:sz w:val="24"/>
                <w:lang w:val="en-US" w:eastAsia="zh-CN"/>
              </w:rPr>
              <w:t>注：已拥有常驻服务机构的投标文件中提供营业执照或办事机构证明材料，承诺中标后设立的提供承诺书，未提供不得分。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rPr>
              <w:t>1</w:t>
            </w:r>
            <w:r>
              <w:rPr>
                <w:rFonts w:hint="eastAsia" w:ascii="仿宋" w:hAnsi="仿宋" w:eastAsia="仿宋" w:cs="仿宋"/>
                <w:b w:val="0"/>
                <w:bCs w:val="0"/>
                <w:iCs/>
                <w:color w:val="auto"/>
                <w:sz w:val="24"/>
                <w:highlight w:val="none"/>
                <w:lang w:val="en-US" w:eastAsia="zh-CN"/>
              </w:rPr>
              <w:t>2</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特色服务和特需服务</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特色服务：根据投标人针对馆藏建设提供的特色服务方案是否具有实际意义，可操作性等；为图书馆读书节等相关活动提供特色服务情况及活动支持、服务承诺等，根据描述的内容由评委横向比较打分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0-6分。</w:t>
            </w:r>
            <w:r>
              <w:rPr>
                <w:rFonts w:hint="eastAsia" w:ascii="仿宋" w:hAnsi="仿宋" w:eastAsia="仿宋" w:cs="仿宋"/>
                <w:b w:val="0"/>
                <w:bCs w:val="0"/>
                <w:iCs/>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特需图书书目服务：对采购人自备书书目、自定较窄主题书目及急需图书书目采购、快速响应方案的针对性、可行性。对于读者荐购，院系服务方案针对性，可行性，投标人具有的地方文献、古籍及自主出版物进货渠道情况，对采购人馆藏收录保障程度情况等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0-6分。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w:t>
            </w:r>
            <w:r>
              <w:rPr>
                <w:rFonts w:hint="eastAsia" w:ascii="仿宋" w:hAnsi="仿宋" w:eastAsia="仿宋" w:cs="仿宋"/>
                <w:b w:val="0"/>
                <w:bCs w:val="0"/>
                <w:iCs/>
                <w:color w:val="auto"/>
                <w:sz w:val="24"/>
                <w:highlight w:val="none"/>
                <w:lang w:val="en-US" w:eastAsia="zh-CN"/>
              </w:rPr>
              <w:t>2</w:t>
            </w:r>
            <w:r>
              <w:rPr>
                <w:rFonts w:hint="eastAsia" w:ascii="仿宋" w:hAnsi="仿宋" w:eastAsia="仿宋" w:cs="仿宋"/>
                <w:b w:val="0"/>
                <w:bCs w:val="0"/>
                <w:iCs/>
                <w:color w:val="auto"/>
                <w:sz w:val="24"/>
                <w:highlight w:val="none"/>
              </w:rPr>
              <w:t>分</w:t>
            </w:r>
          </w:p>
        </w:tc>
      </w:tr>
    </w:tbl>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Theme="minorEastAsia" w:hAnsiTheme="minorEastAsia" w:eastAsiaTheme="minorEastAsia"/>
          <w:b/>
          <w:bCs/>
          <w:iCs/>
          <w:color w:val="auto"/>
          <w:sz w:val="24"/>
          <w:bdr w:val="single" w:color="auto" w:sz="4" w:space="0"/>
        </w:rPr>
        <w:t>01标、02标</w:t>
      </w:r>
      <w:r>
        <w:rPr>
          <w:rFonts w:hint="eastAsia" w:asciiTheme="minorEastAsia" w:hAnsiTheme="minorEastAsia" w:eastAsiaTheme="minorEastAsia"/>
          <w:b/>
          <w:bCs/>
          <w:iCs/>
          <w:color w:val="auto"/>
          <w:sz w:val="24"/>
          <w:bdr w:val="single" w:color="auto" w:sz="4" w:space="0"/>
          <w:lang w:eastAsia="zh-CN"/>
        </w:rPr>
        <w:t>、</w:t>
      </w:r>
      <w:r>
        <w:rPr>
          <w:rFonts w:hint="eastAsia" w:asciiTheme="minorEastAsia" w:hAnsiTheme="minorEastAsia" w:eastAsiaTheme="minorEastAsia"/>
          <w:b/>
          <w:bCs/>
          <w:iCs/>
          <w:color w:val="auto"/>
          <w:sz w:val="24"/>
          <w:bdr w:val="single" w:color="auto" w:sz="4" w:space="0"/>
          <w:lang w:val="en-US" w:eastAsia="zh-CN"/>
        </w:rPr>
        <w:t>03标、04标、05标</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rPr>
        <w:t xml:space="preserve"> 40 </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2.2.1评标基准价：即满足招标文件要求且折扣系数最低的投标报价为评标基准价，其价格分为满分。折扣系数最多保留百分比小数点后一位，即**.*%</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投标人各标段投标报价=各标段最高限价×折扣系数。</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40 </w:t>
      </w: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pStyle w:val="33"/>
        <w:rPr>
          <w:rFonts w:ascii="仿宋" w:hAnsi="仿宋" w:eastAsia="仿宋" w:cs="仿宋"/>
          <w:b/>
          <w:color w:val="auto"/>
          <w:sz w:val="36"/>
          <w:szCs w:val="20"/>
          <w:highlight w:val="none"/>
        </w:rPr>
      </w:pPr>
    </w:p>
    <w:p>
      <w:pPr>
        <w:pStyle w:val="33"/>
        <w:rPr>
          <w:rFonts w:ascii="仿宋" w:hAnsi="仿宋" w:eastAsia="仿宋" w:cs="仿宋"/>
          <w:b/>
          <w:color w:val="auto"/>
          <w:sz w:val="36"/>
          <w:szCs w:val="20"/>
          <w:highlight w:val="none"/>
        </w:rPr>
      </w:pPr>
    </w:p>
    <w:p>
      <w:pPr>
        <w:pStyle w:val="33"/>
        <w:rPr>
          <w:rFonts w:ascii="仿宋" w:hAnsi="仿宋" w:eastAsia="仿宋" w:cs="仿宋"/>
          <w:b/>
          <w:color w:val="auto"/>
          <w:sz w:val="36"/>
          <w:szCs w:val="20"/>
          <w:highlight w:val="none"/>
        </w:rPr>
      </w:pPr>
    </w:p>
    <w:p>
      <w:pPr>
        <w:pStyle w:val="33"/>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pStyle w:val="2"/>
        <w:rPr>
          <w:rFonts w:ascii="仿宋" w:hAnsi="仿宋" w:eastAsia="仿宋" w:cs="仿宋"/>
          <w:color w:val="auto"/>
          <w:sz w:val="36"/>
          <w:szCs w:val="20"/>
          <w:highlight w:val="none"/>
        </w:rPr>
      </w:pPr>
    </w:p>
    <w:p>
      <w:pP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（1）符合参加政府采购活动应当具备的一般条件的承诺函……………（47）</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………………………………………………………………（48）</w:t>
      </w:r>
    </w:p>
    <w:p>
      <w:pPr>
        <w:pStyle w:val="7"/>
        <w:rPr>
          <w:rFonts w:ascii="仿宋" w:hAnsi="仿宋" w:eastAsia="仿宋" w:cs="仿宋"/>
          <w:color w:val="auto"/>
          <w:highlight w:val="none"/>
        </w:rPr>
      </w:pPr>
      <w:r>
        <w:rPr>
          <w:rFonts w:hint="eastAsia" w:ascii="仿宋" w:hAnsi="仿宋" w:eastAsia="仿宋" w:cs="仿宋"/>
          <w:color w:val="auto"/>
          <w:highlight w:val="none"/>
        </w:rPr>
        <w:t>（3）分包协议………………………………………………………………（</w:t>
      </w:r>
      <w:r>
        <w:rPr>
          <w:rFonts w:hint="eastAsia" w:ascii="仿宋" w:hAnsi="仿宋" w:eastAsia="仿宋" w:cs="仿宋"/>
          <w:color w:val="auto"/>
          <w:highlight w:val="none"/>
          <w:lang w:val="en-US"/>
        </w:rPr>
        <w:t>48</w:t>
      </w:r>
      <w:r>
        <w:rPr>
          <w:rFonts w:hint="eastAsia" w:ascii="仿宋" w:hAnsi="仿宋" w:eastAsia="仿宋" w:cs="仿宋"/>
          <w:color w:val="auto"/>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（4）落实政府采购政策需满足的资格要求………………………………（48）</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（5）本项目的特定资格要求………………………………………………（48）</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23"/>
        <w:rPr>
          <w:rFonts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法定代表人及其授权代表身份证复印件（复印件）………………………（</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sz w:val="24"/>
          <w:highlight w:val="none"/>
        </w:rPr>
        <w:t>）</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（8）技术解决方案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（9）组织实施方案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（10）售后服务方案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（11）供应商售后服务证明材料</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（12）项目小组人员名单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368" w:rightChars="-175"/>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pStyle w:val="2"/>
        <w:rPr>
          <w:rFonts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ascii="仿宋" w:hAnsi="仿宋" w:eastAsia="仿宋" w:cs="仿宋"/>
          <w:b/>
          <w:color w:val="auto"/>
          <w:kern w:val="0"/>
          <w:sz w:val="32"/>
          <w:szCs w:val="32"/>
          <w:highlight w:val="none"/>
        </w:rPr>
      </w:pPr>
    </w:p>
    <w:p>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4"/>
        <w:spacing w:line="336"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1.我方同意在投标人</w:t>
      </w:r>
      <w:r>
        <w:rPr>
          <w:rFonts w:hint="eastAsia" w:ascii="仿宋" w:hAnsi="仿宋" w:eastAsia="仿宋" w:cs="仿宋"/>
          <w:color w:val="auto"/>
          <w:kern w:val="44"/>
          <w:sz w:val="24"/>
          <w:highlight w:val="none"/>
        </w:rPr>
        <w:t>须知</w:t>
      </w:r>
      <w:r>
        <w:rPr>
          <w:rFonts w:hint="eastAsia" w:ascii="仿宋" w:hAnsi="仿宋" w:eastAsia="仿宋" w:cs="仿宋"/>
          <w:color w:val="auto"/>
          <w:sz w:val="24"/>
          <w:highlight w:val="none"/>
        </w:rPr>
        <w:t>规定的开标日期起遵守本投标文件中的承诺且在投标有效期满之前均具有约束力。</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4"/>
        <w:spacing w:line="336"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pStyle w:val="2"/>
        <w:rPr>
          <w:rFonts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571"/>
        <w:gridCol w:w="3437"/>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946"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1873"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673"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七、</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17"/>
        <w:tblW w:w="4997" w:type="pct"/>
        <w:tblInd w:w="0" w:type="dxa"/>
        <w:tblLayout w:type="autofit"/>
        <w:tblCellMar>
          <w:top w:w="0" w:type="dxa"/>
          <w:left w:w="108" w:type="dxa"/>
          <w:bottom w:w="0" w:type="dxa"/>
          <w:right w:w="108" w:type="dxa"/>
        </w:tblCellMar>
      </w:tblPr>
      <w:tblGrid>
        <w:gridCol w:w="1807"/>
        <w:gridCol w:w="954"/>
        <w:gridCol w:w="1361"/>
        <w:gridCol w:w="1147"/>
        <w:gridCol w:w="1158"/>
        <w:gridCol w:w="1521"/>
        <w:gridCol w:w="1220"/>
      </w:tblGrid>
      <w:tr>
        <w:tblPrEx>
          <w:tblCellMar>
            <w:top w:w="0" w:type="dxa"/>
            <w:left w:w="108" w:type="dxa"/>
            <w:bottom w:w="0" w:type="dxa"/>
            <w:right w:w="108" w:type="dxa"/>
          </w:tblCellMar>
        </w:tblPrEx>
        <w:trPr>
          <w:trHeight w:val="1177" w:hRule="atLeast"/>
        </w:trPr>
        <w:tc>
          <w:tcPr>
            <w:tcW w:w="98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520"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742"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62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631"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829"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66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highlight w:val="none"/>
        </w:rPr>
      </w:pPr>
    </w:p>
    <w:p>
      <w:pPr>
        <w:autoSpaceDE w:val="0"/>
        <w:autoSpaceDN w:val="0"/>
        <w:spacing w:line="360" w:lineRule="auto"/>
        <w:rPr>
          <w:rFonts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6"/>
        <w:ind w:firstLine="0"/>
        <w:jc w:val="both"/>
        <w:rPr>
          <w:rFonts w:ascii="仿宋" w:eastAsia="仿宋" w:cs="仿宋"/>
          <w:color w:val="auto"/>
          <w:highlight w:val="none"/>
        </w:rPr>
      </w:pP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八、技术解决方案</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29"/>
        <w:gridCol w:w="2158"/>
        <w:gridCol w:w="2338"/>
        <w:gridCol w:w="1079"/>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01"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3"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1176"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1274"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588"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2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highlight w:val="none"/>
        </w:rPr>
        <w:object>
          <v:shape id="_x0000_i1026" o:spt="75" type="#_x0000_t75" style="height:41.95pt;width:440.75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 w:hAnsi="仿宋" w:eastAsia="仿宋" w:cs="仿宋"/>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3"/>
        <w:rPr>
          <w:rFonts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17"/>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504"/>
        <w:gridCol w:w="504"/>
        <w:gridCol w:w="504"/>
        <w:gridCol w:w="504"/>
        <w:gridCol w:w="504"/>
        <w:gridCol w:w="504"/>
        <w:gridCol w:w="505"/>
        <w:gridCol w:w="505"/>
        <w:gridCol w:w="505"/>
        <w:gridCol w:w="505"/>
        <w:gridCol w:w="505"/>
        <w:gridCol w:w="505"/>
        <w:gridCol w:w="505"/>
        <w:gridCol w:w="505"/>
        <w:gridCol w:w="505"/>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92" w:type="pct"/>
            <w:tcBorders>
              <w:tl2br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color w:val="auto"/>
          <w:kern w:val="0"/>
          <w:sz w:val="24"/>
          <w:highlight w:val="none"/>
        </w:rPr>
      </w:pPr>
    </w:p>
    <w:p>
      <w:pPr>
        <w:spacing w:line="360" w:lineRule="auto"/>
        <w:jc w:val="center"/>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十、售后服务方案</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3"/>
        <w:rPr>
          <w:rFonts w:ascii="仿宋" w:hAnsi="仿宋" w:eastAsia="仿宋" w:cs="仿宋"/>
          <w:color w:val="auto"/>
          <w:highlight w:val="none"/>
        </w:rPr>
      </w:pP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132"/>
        <w:gridCol w:w="1600"/>
        <w:gridCol w:w="1229"/>
        <w:gridCol w:w="2149"/>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445"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162"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872"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670"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1171"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678"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17"/>
        <w:tblW w:w="4996" w:type="pct"/>
        <w:jc w:val="center"/>
        <w:tblLayout w:type="autofit"/>
        <w:tblCellMar>
          <w:top w:w="0" w:type="dxa"/>
          <w:left w:w="108" w:type="dxa"/>
          <w:bottom w:w="0" w:type="dxa"/>
          <w:right w:w="108" w:type="dxa"/>
        </w:tblCellMar>
      </w:tblPr>
      <w:tblGrid>
        <w:gridCol w:w="456"/>
        <w:gridCol w:w="700"/>
        <w:gridCol w:w="739"/>
        <w:gridCol w:w="456"/>
        <w:gridCol w:w="849"/>
        <w:gridCol w:w="1023"/>
        <w:gridCol w:w="1023"/>
        <w:gridCol w:w="1024"/>
        <w:gridCol w:w="1199"/>
        <w:gridCol w:w="850"/>
        <w:gridCol w:w="848"/>
      </w:tblGrid>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92"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41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21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47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66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47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472"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bl>
    <w:p>
      <w:pPr>
        <w:spacing w:line="360" w:lineRule="auto"/>
        <w:ind w:firstLine="480" w:firstLineChars="200"/>
        <w:rPr>
          <w:rFonts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十一、投标人售后服务能力证明材料</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23"/>
        <w:rPr>
          <w:rFonts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十二、项目小组人员名单</w:t>
      </w:r>
    </w:p>
    <w:p>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17"/>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23"/>
        <w:rPr>
          <w:rFonts w:ascii="仿宋" w:hAnsi="仿宋" w:eastAsia="仿宋" w:cs="仿宋"/>
          <w:color w:val="auto"/>
          <w:highlight w:val="none"/>
        </w:rPr>
      </w:pP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1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23"/>
        <w:rPr>
          <w:rFonts w:ascii="仿宋" w:hAnsi="仿宋" w:eastAsia="仿宋" w:cs="仿宋"/>
          <w:color w:val="auto"/>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ascii="仿宋" w:hAnsi="仿宋" w:eastAsia="仿宋" w:cs="仿宋"/>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 w:hAnsi="仿宋" w:eastAsia="仿宋" w:cs="仿宋"/>
          <w:b/>
          <w:bCs/>
          <w:color w:val="auto"/>
          <w:sz w:val="32"/>
          <w:szCs w:val="32"/>
          <w:highlight w:val="none"/>
        </w:rPr>
      </w:pPr>
    </w:p>
    <w:p>
      <w:pPr>
        <w:snapToGrid w:val="0"/>
        <w:spacing w:line="360" w:lineRule="auto"/>
        <w:ind w:right="960"/>
        <w:rPr>
          <w:rFonts w:ascii="仿宋" w:hAnsi="仿宋" w:eastAsia="仿宋" w:cs="仿宋"/>
          <w:color w:val="auto"/>
          <w:kern w:val="0"/>
          <w:sz w:val="24"/>
          <w:highlight w:val="none"/>
          <w:lang w:val="zh-CN"/>
        </w:rPr>
      </w:pPr>
    </w:p>
    <w:p>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十三、</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b/>
          <w:bCs/>
          <w:color w:val="auto"/>
          <w:sz w:val="18"/>
          <w:szCs w:val="18"/>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培训计划</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1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十六、验收方案</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十七、认为需要的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24"/>
          <w:highlight w:val="none"/>
        </w:rPr>
      </w:pPr>
    </w:p>
    <w:p>
      <w:pPr>
        <w:pStyle w:val="23"/>
        <w:rPr>
          <w:rFonts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4"/>
        <w:rPr>
          <w:rFonts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371"/>
        <w:gridCol w:w="2397"/>
        <w:gridCol w:w="2428"/>
        <w:gridCol w:w="1763"/>
        <w:gridCol w:w="2129"/>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7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86"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850" w:type="pct"/>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860"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62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5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单价</w:t>
            </w:r>
            <w:r>
              <w:rPr>
                <w:rFonts w:hint="eastAsia" w:ascii="仿宋" w:hAnsi="仿宋" w:eastAsia="仿宋" w:cs="仿宋"/>
                <w:b/>
                <w:color w:val="auto"/>
                <w:sz w:val="24"/>
                <w:highlight w:val="none"/>
              </w:rPr>
              <w:t>折扣系数</w:t>
            </w:r>
          </w:p>
        </w:tc>
        <w:tc>
          <w:tcPr>
            <w:tcW w:w="1247" w:type="pct"/>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5"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86" w:type="pct"/>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5"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486" w:type="pct"/>
            <w:vAlign w:val="center"/>
          </w:tcPr>
          <w:p>
            <w:pPr>
              <w:snapToGrid w:val="0"/>
              <w:spacing w:line="360" w:lineRule="auto"/>
              <w:jc w:val="center"/>
              <w:rPr>
                <w:rFonts w:ascii="仿宋" w:hAnsi="仿宋" w:eastAsia="仿宋" w:cs="仿宋"/>
                <w:color w:val="auto"/>
                <w:sz w:val="24"/>
                <w:highlight w:val="none"/>
              </w:rPr>
            </w:pP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5" w:type="pct"/>
            <w:vAlign w:val="center"/>
          </w:tcPr>
          <w:p>
            <w:pPr>
              <w:spacing w:line="360" w:lineRule="auto"/>
              <w:jc w:val="center"/>
              <w:rPr>
                <w:rFonts w:ascii="仿宋" w:hAnsi="仿宋" w:eastAsia="仿宋" w:cs="仿宋"/>
                <w:color w:val="auto"/>
                <w:sz w:val="24"/>
                <w:highlight w:val="none"/>
              </w:rPr>
            </w:pPr>
          </w:p>
        </w:tc>
        <w:tc>
          <w:tcPr>
            <w:tcW w:w="486" w:type="pct"/>
            <w:vAlign w:val="center"/>
          </w:tcPr>
          <w:p>
            <w:pPr>
              <w:snapToGrid w:val="0"/>
              <w:spacing w:line="360" w:lineRule="auto"/>
              <w:jc w:val="center"/>
              <w:rPr>
                <w:rFonts w:ascii="仿宋" w:hAnsi="仿宋" w:eastAsia="仿宋" w:cs="仿宋"/>
                <w:color w:val="auto"/>
                <w:sz w:val="24"/>
                <w:highlight w:val="none"/>
              </w:rPr>
            </w:pP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72" w:type="pct"/>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627" w:type="pct"/>
            <w:gridSpan w:val="3"/>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372" w:type="pct"/>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627" w:type="pct"/>
            <w:gridSpan w:val="3"/>
            <w:vAlign w:val="center"/>
          </w:tcPr>
          <w:p>
            <w:pPr>
              <w:spacing w:line="36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9" w:name="_Hlk101259491"/>
      <w:r>
        <w:rPr>
          <w:rFonts w:hint="eastAsia" w:ascii="仿宋" w:hAnsi="仿宋" w:eastAsia="仿宋" w:cs="仿宋"/>
          <w:color w:val="auto"/>
          <w:sz w:val="32"/>
          <w:szCs w:val="32"/>
          <w:highlight w:val="none"/>
        </w:rPr>
        <w:t>（如果有）</w:t>
      </w:r>
      <w:bookmarkEnd w:id="189"/>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3"/>
        <w:rPr>
          <w:rFonts w:ascii="仿宋" w:hAnsi="仿宋" w:eastAsia="仿宋" w:cs="仿宋"/>
          <w:b/>
          <w:color w:val="auto"/>
          <w:highlight w:val="none"/>
        </w:rPr>
      </w:pPr>
    </w:p>
    <w:p>
      <w:pPr>
        <w:pStyle w:val="24"/>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23"/>
        <w:rPr>
          <w:rFonts w:ascii="仿宋" w:hAnsi="仿宋" w:eastAsia="仿宋" w:cs="仿宋"/>
          <w:b/>
          <w:color w:val="auto"/>
          <w:highlight w:val="none"/>
        </w:rPr>
      </w:pPr>
    </w:p>
    <w:p>
      <w:pPr>
        <w:pStyle w:val="24"/>
        <w:rPr>
          <w:rFonts w:ascii="仿宋" w:hAnsi="仿宋" w:eastAsia="仿宋" w:cs="仿宋"/>
          <w:color w:val="auto"/>
          <w:highlight w:val="none"/>
        </w:rPr>
      </w:pPr>
    </w:p>
    <w:p>
      <w:pPr>
        <w:pStyle w:val="24"/>
        <w:rPr>
          <w:rFonts w:ascii="仿宋" w:hAnsi="仿宋" w:eastAsia="仿宋" w:cs="仿宋"/>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pPr>
        <w:pStyle w:val="23"/>
        <w:widowControl/>
        <w:spacing w:line="360" w:lineRule="auto"/>
        <w:ind w:firstLine="120" w:firstLineChars="50"/>
        <w:rPr>
          <w:rFonts w:ascii="仿宋" w:hAnsi="仿宋" w:eastAsia="仿宋" w:cs="仿宋"/>
          <w:b/>
          <w:color w:val="auto"/>
          <w:highlight w:val="none"/>
        </w:rPr>
      </w:pPr>
    </w:p>
    <w:p>
      <w:pPr>
        <w:pStyle w:val="24"/>
        <w:spacing w:line="360" w:lineRule="auto"/>
        <w:ind w:left="0" w:firstLine="120" w:firstLineChars="50"/>
        <w:jc w:val="left"/>
        <w:rPr>
          <w:rFonts w:ascii="仿宋" w:hAnsi="仿宋" w:eastAsia="仿宋" w:cs="仿宋"/>
          <w:b/>
          <w:color w:val="auto"/>
          <w:sz w:val="24"/>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rPr>
          <w:rFonts w:ascii="仿宋" w:hAnsi="仿宋" w:eastAsia="仿宋" w:cs="仿宋"/>
          <w:color w:val="auto"/>
          <w:highlight w:val="none"/>
        </w:rPr>
      </w:pPr>
      <w:bookmarkStart w:id="190" w:name="_Toc465665161"/>
      <w:r>
        <w:rPr>
          <w:rFonts w:hint="eastAsia" w:ascii="仿宋" w:hAnsi="仿宋" w:eastAsia="仿宋" w:cs="仿宋"/>
          <w:color w:val="auto"/>
          <w:highlight w:val="none"/>
        </w:rPr>
        <w:t>附件</w:t>
      </w:r>
      <w:bookmarkEnd w:id="190"/>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312"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pStyle w:val="2"/>
        <w:rPr>
          <w:rFonts w:ascii="仿宋" w:hAnsi="仿宋" w:eastAsia="仿宋" w:cs="仿宋"/>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color w:val="auto"/>
          <w:spacing w:val="6"/>
          <w:sz w:val="32"/>
          <w:szCs w:val="32"/>
          <w:highlight w:val="none"/>
        </w:rPr>
      </w:pPr>
    </w:p>
    <w:p>
      <w:pP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3"/>
        <w:rPr>
          <w:rFonts w:ascii="仿宋" w:hAnsi="仿宋" w:eastAsia="仿宋" w:cs="仿宋"/>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2843530</wp:posOffset>
                </wp:positionH>
                <wp:positionV relativeFrom="paragraph">
                  <wp:posOffset>78105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23.9pt;margin-top:6.15pt;height:177.45pt;width:212.95pt;z-index:-251656192;mso-width-relative:page;mso-height-relative:page;" fillcolor="#FFFFFF" filled="t" stroked="t" coordsize="21600,21600" o:gfxdata="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k1rXdkAAAAKAQAADwAAAAAAAAABACAAAAAiAAAAZHJzL2Rvd25yZXYueG1sUEsBAhQAFAAAAAgA&#10;h07iQA3yLMvrAQAAGgQAAA4AAAAAAAAAAQAgAAAAKAEAAGRycy9lMm9Eb2MueG1sUEsFBgAAAAAG&#10;AAYAWQEAAIUFAAAAAA==&#10;">
                <v:fill on="t" focussize="0,0"/>
                <v:stroke color="#000000" joinstyle="miter"/>
                <v:imagedata o:title=""/>
                <o:lock v:ext="edit" aspectratio="f"/>
              </v:rect>
            </w:pict>
          </mc:Fallback>
        </mc:AlternateConten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rFonts w:ascii="仿宋" w:hAnsi="仿宋" w:eastAsia="仿宋" w:cs="仿宋"/>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19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1"/>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color w:val="auto"/>
          <w:highlight w:val="none"/>
        </w:rPr>
      </w:pPr>
      <w:r>
        <w:rPr>
          <w:rFonts w:hint="eastAsia"/>
          <w:color w:val="auto"/>
          <w:highlight w:val="none"/>
        </w:rPr>
        <w:br w:type="page"/>
      </w:r>
    </w:p>
    <w:p>
      <w:pPr>
        <w:rPr>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2"/>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3"/>
        <w:rPr>
          <w:rFonts w:ascii="仿宋" w:hAnsi="仿宋" w:eastAsia="仿宋" w:cs="仿宋"/>
          <w:b/>
          <w:color w:val="auto"/>
          <w:spacing w:val="6"/>
          <w:sz w:val="32"/>
          <w:szCs w:val="32"/>
          <w:highlight w:val="none"/>
        </w:rPr>
      </w:pPr>
    </w:p>
    <w:p>
      <w:pPr>
        <w:pStyle w:val="24"/>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3"/>
        <w:rPr>
          <w:rFonts w:ascii="仿宋" w:hAnsi="仿宋" w:eastAsia="仿宋" w:cs="仿宋"/>
          <w:b/>
          <w:color w:val="auto"/>
          <w:spacing w:val="6"/>
          <w:sz w:val="32"/>
          <w:szCs w:val="32"/>
          <w:highlight w:val="none"/>
        </w:rPr>
      </w:pPr>
    </w:p>
    <w:p>
      <w:pPr>
        <w:pStyle w:val="24"/>
        <w:rPr>
          <w:rFonts w:ascii="仿宋" w:hAnsi="仿宋" w:eastAsia="仿宋" w:cs="仿宋"/>
          <w:color w:val="auto"/>
          <w:highlight w:val="none"/>
        </w:rPr>
      </w:pPr>
    </w:p>
    <w:p>
      <w:pPr>
        <w:spacing w:line="360" w:lineRule="auto"/>
        <w:rPr>
          <w:rFonts w:ascii="仿宋" w:hAnsi="仿宋" w:eastAsia="仿宋" w:cs="仿宋"/>
          <w:b/>
          <w:color w:val="auto"/>
          <w:spacing w:val="6"/>
          <w:sz w:val="32"/>
          <w:szCs w:val="32"/>
          <w:highlight w:val="none"/>
        </w:rPr>
      </w:pPr>
      <w:bookmarkStart w:id="193" w:name="OLE_LINK13"/>
      <w:bookmarkStart w:id="194" w:name="OLE_LINK14"/>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3"/>
    <w:bookmarkEnd w:id="194"/>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7"/>
        <w:rPr>
          <w:rFonts w:ascii="仿宋" w:hAnsi="仿宋" w:eastAsia="仿宋" w:cs="仿宋"/>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7"/>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pStyle w:val="2"/>
        <w:rPr>
          <w:rFonts w:ascii="仿宋" w:hAnsi="仿宋" w:eastAsia="仿宋" w:cs="仿宋"/>
          <w:color w:val="auto"/>
          <w:kern w:val="0"/>
          <w:sz w:val="24"/>
          <w:highlight w:val="none"/>
        </w:rPr>
      </w:pPr>
    </w:p>
    <w:p>
      <w:pPr>
        <w:rPr>
          <w:rFonts w:ascii="仿宋" w:hAnsi="仿宋" w:eastAsia="仿宋" w:cs="仿宋"/>
          <w:color w:val="auto"/>
          <w:kern w:val="0"/>
          <w:sz w:val="24"/>
          <w:highlight w:val="none"/>
        </w:rPr>
      </w:pPr>
    </w:p>
    <w:p>
      <w:pPr>
        <w:pStyle w:val="2"/>
        <w:rPr>
          <w:rFonts w:ascii="仿宋" w:hAnsi="仿宋" w:eastAsia="仿宋" w:cs="仿宋"/>
          <w:color w:val="auto"/>
          <w:kern w:val="0"/>
          <w:sz w:val="24"/>
          <w:highlight w:val="none"/>
        </w:rPr>
      </w:pPr>
    </w:p>
    <w:p>
      <w:pPr>
        <w:rPr>
          <w:color w:val="auto"/>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pStyle w:val="2"/>
        <w:rPr>
          <w:rFonts w:ascii="仿宋" w:hAnsi="仿宋" w:eastAsia="仿宋" w:cs="仿宋"/>
          <w:color w:val="auto"/>
          <w:kern w:val="0"/>
          <w:sz w:val="18"/>
          <w:szCs w:val="18"/>
          <w:highlight w:val="none"/>
        </w:rPr>
      </w:pPr>
    </w:p>
    <w:p>
      <w:pPr>
        <w:rPr>
          <w:rFonts w:ascii="仿宋" w:hAnsi="仿宋" w:eastAsia="仿宋" w:cs="仿宋"/>
          <w:color w:val="auto"/>
          <w:kern w:val="0"/>
          <w:sz w:val="18"/>
          <w:szCs w:val="18"/>
          <w:highlight w:val="none"/>
        </w:rPr>
      </w:pPr>
    </w:p>
    <w:p>
      <w:pPr>
        <w:pStyle w:val="2"/>
        <w:rPr>
          <w:color w:val="auto"/>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7"/>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rPr>
          <w:rFonts w:ascii="仿宋" w:hAnsi="仿宋" w:eastAsia="仿宋" w:cs="仿宋"/>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Wingdings 2">
    <w:panose1 w:val="05020102010507070707"/>
    <w:charset w:val="02"/>
    <w:family w:val="roman"/>
    <w:pitch w:val="default"/>
    <w:sig w:usb0="00000000" w:usb1="00000000" w:usb2="00000000" w:usb3="00000000" w:csb0="80000000" w:csb1="00000000"/>
  </w:font>
  <w:font w:name="Times New Roman Regular">
    <w:altName w:val="Times New Roman"/>
    <w:panose1 w:val="00000000000000000000"/>
    <w:charset w:val="00"/>
    <w:family w:val="auto"/>
    <w:pitch w:val="default"/>
    <w:sig w:usb0="00000000" w:usb1="00000000" w:usb2="00000001" w:usb3="00000000" w:csb0="400001BF" w:csb1="DFF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0"/>
      </w:rPr>
    </w:pPr>
    <w:r>
      <w:fldChar w:fldCharType="begin"/>
    </w:r>
    <w:r>
      <w:rPr>
        <w:rStyle w:val="20"/>
      </w:rPr>
      <w:instrText xml:space="preserve">PAGE  </w:instrText>
    </w:r>
    <w:r>
      <w:fldChar w:fldCharType="end"/>
    </w:r>
  </w:p>
  <w:p>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0"/>
      </w:rPr>
    </w:pPr>
    <w:r>
      <w:fldChar w:fldCharType="begin"/>
    </w:r>
    <w:r>
      <w:rPr>
        <w:rStyle w:val="20"/>
      </w:rPr>
      <w:instrText xml:space="preserve">PAGE  </w:instrText>
    </w:r>
    <w:r>
      <w:fldChar w:fldCharType="end"/>
    </w:r>
  </w:p>
  <w:p>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共86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rPr>
      <w:t xml:space="preserve">                  </w:t>
    </w:r>
    <w:r>
      <w:t></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p>
  <w:p>
    <w:pPr>
      <w:pStyle w:val="14"/>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5DFC4"/>
    <w:multiLevelType w:val="singleLevel"/>
    <w:tmpl w:val="83D5DFC4"/>
    <w:lvl w:ilvl="0" w:tentative="0">
      <w:start w:val="1"/>
      <w:numFmt w:val="decimal"/>
      <w:pStyle w:val="4"/>
      <w:lvlText w:val="%1."/>
      <w:lvlJc w:val="left"/>
      <w:pPr>
        <w:tabs>
          <w:tab w:val="left" w:pos="780"/>
        </w:tabs>
        <w:ind w:left="780" w:hanging="360"/>
      </w:pPr>
    </w:lvl>
  </w:abstractNum>
  <w:abstractNum w:abstractNumId="1">
    <w:nsid w:val="BDD23A40"/>
    <w:multiLevelType w:val="singleLevel"/>
    <w:tmpl w:val="BDD23A40"/>
    <w:lvl w:ilvl="0" w:tentative="0">
      <w:start w:val="1"/>
      <w:numFmt w:val="decimal"/>
      <w:suff w:val="nothing"/>
      <w:lvlText w:val="（%1）"/>
      <w:lvlJc w:val="left"/>
    </w:lvl>
  </w:abstractNum>
  <w:abstractNum w:abstractNumId="2">
    <w:nsid w:val="BE054470"/>
    <w:multiLevelType w:val="singleLevel"/>
    <w:tmpl w:val="BE054470"/>
    <w:lvl w:ilvl="0" w:tentative="0">
      <w:start w:val="1"/>
      <w:numFmt w:val="decimal"/>
      <w:pStyle w:val="5"/>
      <w:lvlText w:val="%1."/>
      <w:lvlJc w:val="left"/>
      <w:pPr>
        <w:tabs>
          <w:tab w:val="left" w:pos="360"/>
        </w:tabs>
        <w:ind w:left="360" w:hanging="360"/>
      </w:pPr>
    </w:lvl>
  </w:abstractNum>
  <w:abstractNum w:abstractNumId="3">
    <w:nsid w:val="DBDFAF7A"/>
    <w:multiLevelType w:val="singleLevel"/>
    <w:tmpl w:val="DBDFAF7A"/>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0ZDdlMmEyZjhlMTE3M2JiOTFiYjJmYjQ0MDE4YjgifQ=="/>
  </w:docVars>
  <w:rsids>
    <w:rsidRoot w:val="60FE6080"/>
    <w:rsid w:val="0011046C"/>
    <w:rsid w:val="005F7E8F"/>
    <w:rsid w:val="008932A5"/>
    <w:rsid w:val="00E4089F"/>
    <w:rsid w:val="01126A09"/>
    <w:rsid w:val="022C3967"/>
    <w:rsid w:val="07286770"/>
    <w:rsid w:val="0ADE0879"/>
    <w:rsid w:val="0CAE1114"/>
    <w:rsid w:val="10007453"/>
    <w:rsid w:val="107142B0"/>
    <w:rsid w:val="14210379"/>
    <w:rsid w:val="16D723EF"/>
    <w:rsid w:val="1A430ECE"/>
    <w:rsid w:val="2991662C"/>
    <w:rsid w:val="2993635E"/>
    <w:rsid w:val="2A511A1C"/>
    <w:rsid w:val="2C290DEF"/>
    <w:rsid w:val="2C3E18A0"/>
    <w:rsid w:val="304B18CB"/>
    <w:rsid w:val="30C145B6"/>
    <w:rsid w:val="3474010E"/>
    <w:rsid w:val="350902DA"/>
    <w:rsid w:val="38A72A28"/>
    <w:rsid w:val="3908363F"/>
    <w:rsid w:val="3CAC611A"/>
    <w:rsid w:val="3FAF2F1F"/>
    <w:rsid w:val="41247E12"/>
    <w:rsid w:val="43153DFE"/>
    <w:rsid w:val="442519AA"/>
    <w:rsid w:val="44A06593"/>
    <w:rsid w:val="48D928B8"/>
    <w:rsid w:val="49BD469B"/>
    <w:rsid w:val="50F35741"/>
    <w:rsid w:val="558B4B2B"/>
    <w:rsid w:val="55E82F63"/>
    <w:rsid w:val="59EF20E2"/>
    <w:rsid w:val="5C1540A9"/>
    <w:rsid w:val="5CBD0FC2"/>
    <w:rsid w:val="5DF16377"/>
    <w:rsid w:val="5DF8155E"/>
    <w:rsid w:val="5FB76A00"/>
    <w:rsid w:val="60FE6080"/>
    <w:rsid w:val="6685464A"/>
    <w:rsid w:val="695528F7"/>
    <w:rsid w:val="6B6A468A"/>
    <w:rsid w:val="6C4116C1"/>
    <w:rsid w:val="6CE9795C"/>
    <w:rsid w:val="6D920779"/>
    <w:rsid w:val="6F044625"/>
    <w:rsid w:val="76B07F4C"/>
    <w:rsid w:val="77204A34"/>
    <w:rsid w:val="7D20011E"/>
    <w:rsid w:val="7D545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List Number 2"/>
    <w:basedOn w:val="1"/>
    <w:autoRedefine/>
    <w:qFormat/>
    <w:uiPriority w:val="0"/>
    <w:pPr>
      <w:numPr>
        <w:ilvl w:val="0"/>
        <w:numId w:val="1"/>
      </w:numPr>
    </w:pPr>
  </w:style>
  <w:style w:type="paragraph" w:styleId="5">
    <w:name w:val="List Number"/>
    <w:basedOn w:val="1"/>
    <w:autoRedefine/>
    <w:qFormat/>
    <w:uiPriority w:val="0"/>
    <w:pPr>
      <w:numPr>
        <w:ilvl w:val="0"/>
        <w:numId w:val="2"/>
      </w:numPr>
    </w:pPr>
  </w:style>
  <w:style w:type="paragraph" w:styleId="6">
    <w:name w:val="annotation text"/>
    <w:basedOn w:val="1"/>
    <w:autoRedefine/>
    <w:qFormat/>
    <w:uiPriority w:val="99"/>
    <w:pPr>
      <w:jc w:val="left"/>
    </w:pPr>
  </w:style>
  <w:style w:type="paragraph" w:styleId="7">
    <w:name w:val="Body Text"/>
    <w:basedOn w:val="1"/>
    <w:next w:val="8"/>
    <w:autoRedefine/>
    <w:qFormat/>
    <w:uiPriority w:val="0"/>
    <w:pPr>
      <w:autoSpaceDE w:val="0"/>
      <w:autoSpaceDN w:val="0"/>
      <w:spacing w:line="360" w:lineRule="auto"/>
    </w:pPr>
    <w:rPr>
      <w:rFonts w:ascii="宋体" w:hAnsi="Arial" w:cs="Arial"/>
      <w:snapToGrid w:val="0"/>
      <w:sz w:val="24"/>
      <w:szCs w:val="21"/>
      <w:lang w:val="zh-CN"/>
    </w:rPr>
  </w:style>
  <w:style w:type="paragraph" w:styleId="8">
    <w:name w:val="Body Text First Indent"/>
    <w:basedOn w:val="7"/>
    <w:next w:val="1"/>
    <w:autoRedefine/>
    <w:qFormat/>
    <w:uiPriority w:val="0"/>
    <w:pPr>
      <w:ind w:firstLine="420"/>
    </w:pPr>
    <w:rPr>
      <w:rFonts w:hAnsi="Calibri" w:cs="Times New Roman"/>
      <w:snapToGrid/>
      <w:szCs w:val="20"/>
    </w:rPr>
  </w:style>
  <w:style w:type="paragraph" w:styleId="9">
    <w:name w:val="Body Text Indent"/>
    <w:basedOn w:val="1"/>
    <w:next w:val="10"/>
    <w:autoRedefine/>
    <w:qFormat/>
    <w:uiPriority w:val="0"/>
    <w:pPr>
      <w:spacing w:line="480" w:lineRule="exact"/>
      <w:ind w:firstLine="480" w:firstLineChars="200"/>
    </w:pPr>
    <w:rPr>
      <w:rFonts w:ascii="宋体" w:hAnsi="宋体"/>
      <w:sz w:val="24"/>
    </w:rPr>
  </w:style>
  <w:style w:type="paragraph" w:styleId="10">
    <w:name w:val="envelope return"/>
    <w:basedOn w:val="1"/>
    <w:autoRedefine/>
    <w:qFormat/>
    <w:uiPriority w:val="0"/>
    <w:pPr>
      <w:snapToGrid w:val="0"/>
    </w:pPr>
    <w:rPr>
      <w:rFonts w:ascii="Arial" w:hAnsi="Arial"/>
    </w:rPr>
  </w:style>
  <w:style w:type="paragraph" w:styleId="11">
    <w:name w:val="Plain Text"/>
    <w:basedOn w:val="1"/>
    <w:autoRedefine/>
    <w:qFormat/>
    <w:uiPriority w:val="0"/>
    <w:rPr>
      <w:rFonts w:ascii="宋体" w:hAnsi="Courier New" w:cs="Arial"/>
      <w:snapToGrid w:val="0"/>
      <w:szCs w:val="21"/>
    </w:rPr>
  </w:style>
  <w:style w:type="paragraph" w:styleId="12">
    <w:name w:val="Body Text Indent 2"/>
    <w:basedOn w:val="1"/>
    <w:autoRedefine/>
    <w:qFormat/>
    <w:uiPriority w:val="0"/>
    <w:pPr>
      <w:spacing w:line="360" w:lineRule="auto"/>
      <w:ind w:firstLine="601"/>
      <w:textAlignment w:val="baseline"/>
    </w:pPr>
    <w:rPr>
      <w:rFonts w:ascii="宋体"/>
      <w:kern w:val="0"/>
      <w:sz w:val="28"/>
      <w:szCs w:val="20"/>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16">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rPr>
      <w:rFonts w:ascii="Arial" w:hAnsi="Arial" w:eastAsia="黑体" w:cs="Arial"/>
      <w:snapToGrid w:val="0"/>
      <w:kern w:val="0"/>
      <w:szCs w:val="21"/>
    </w:rPr>
  </w:style>
  <w:style w:type="character" w:styleId="21">
    <w:name w:val="Hyperlink"/>
    <w:autoRedefine/>
    <w:qFormat/>
    <w:uiPriority w:val="99"/>
    <w:rPr>
      <w:rFonts w:ascii="Arial" w:hAnsi="Arial" w:eastAsia="黑体" w:cs="Arial"/>
      <w:snapToGrid w:val="0"/>
      <w:color w:val="000000"/>
      <w:kern w:val="0"/>
      <w:sz w:val="18"/>
      <w:szCs w:val="18"/>
      <w:u w:val="none"/>
    </w:rPr>
  </w:style>
  <w:style w:type="paragraph" w:customStyle="1" w:styleId="22">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23">
    <w:name w:val="Default"/>
    <w:next w:val="2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4">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5">
    <w:name w:val="正文2"/>
    <w:basedOn w:val="1"/>
    <w:autoRedefine/>
    <w:qFormat/>
    <w:uiPriority w:val="0"/>
    <w:pPr>
      <w:spacing w:before="156" w:line="360" w:lineRule="auto"/>
      <w:ind w:firstLine="510" w:firstLineChars="200"/>
    </w:pPr>
    <w:rPr>
      <w:sz w:val="24"/>
      <w:szCs w:val="20"/>
    </w:rPr>
  </w:style>
  <w:style w:type="character" w:customStyle="1" w:styleId="26">
    <w:name w:val="font41"/>
    <w:autoRedefine/>
    <w:qFormat/>
    <w:uiPriority w:val="0"/>
    <w:rPr>
      <w:rFonts w:hint="eastAsia" w:ascii="仿宋_GB2312" w:eastAsia="仿宋_GB2312" w:cs="仿宋_GB2312"/>
      <w:color w:val="000000"/>
      <w:sz w:val="22"/>
      <w:szCs w:val="22"/>
      <w:u w:val="none"/>
    </w:rPr>
  </w:style>
  <w:style w:type="character" w:customStyle="1" w:styleId="27">
    <w:name w:val="font31"/>
    <w:autoRedefine/>
    <w:qFormat/>
    <w:uiPriority w:val="0"/>
    <w:rPr>
      <w:rFonts w:hint="eastAsia" w:ascii="仿宋" w:hAnsi="仿宋" w:eastAsia="仿宋" w:cs="仿宋"/>
      <w:color w:val="000000"/>
      <w:sz w:val="20"/>
      <w:szCs w:val="20"/>
      <w:u w:val="none"/>
    </w:rPr>
  </w:style>
  <w:style w:type="paragraph" w:customStyle="1" w:styleId="28">
    <w:name w:val="正文缩进1"/>
    <w:basedOn w:val="1"/>
    <w:next w:val="9"/>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30">
    <w:name w:val="纯文本1"/>
    <w:basedOn w:val="1"/>
    <w:autoRedefine/>
    <w:qFormat/>
    <w:uiPriority w:val="0"/>
    <w:pPr>
      <w:adjustRightInd/>
    </w:pPr>
    <w:rPr>
      <w:rFonts w:ascii="宋体" w:hAnsi="Courier New"/>
      <w:kern w:val="0"/>
      <w:sz w:val="20"/>
      <w:szCs w:val="20"/>
    </w:rPr>
  </w:style>
  <w:style w:type="paragraph" w:customStyle="1" w:styleId="3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2">
    <w:name w:val="列出段落1"/>
    <w:basedOn w:val="1"/>
    <w:autoRedefine/>
    <w:qFormat/>
    <w:uiPriority w:val="34"/>
    <w:pPr>
      <w:spacing w:line="360" w:lineRule="auto"/>
      <w:ind w:firstLine="200" w:firstLineChars="200"/>
    </w:pPr>
    <w:rPr>
      <w:rFonts w:eastAsia="楷体_GB2312" w:cs="Lucida Sans"/>
      <w:sz w:val="24"/>
    </w:rPr>
  </w:style>
  <w:style w:type="paragraph" w:customStyle="1" w:styleId="33">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3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35">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3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8310</Words>
  <Characters>47370</Characters>
  <Lines>394</Lines>
  <Paragraphs>111</Paragraphs>
  <TotalTime>1</TotalTime>
  <ScaleCrop>false</ScaleCrop>
  <LinksUpToDate>false</LinksUpToDate>
  <CharactersWithSpaces>55569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2023-10-09T09:06:00Z</dcterms:created>
  <dc:creator>妳偌安好</dc:creator>
  <cp:lastModifiedBy>张峰</cp:lastModifiedBy>
  <dcterms:modified xsi:type="dcterms:W3CDTF">2024-03-05T07:22:28Z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6A063DF955DF4181AD0443F5DC4CD641_13</vt:lpwstr>
  </property>
</Properties>
</file>