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72"/>
        </w:rPr>
      </w:pPr>
      <w:bookmarkStart w:id="0" w:name="_Hlt392663657"/>
      <w:bookmarkStart w:id="1" w:name="_Hlt392663658"/>
    </w:p>
    <w:p>
      <w:pPr>
        <w:spacing w:line="360" w:lineRule="auto"/>
        <w:jc w:val="center"/>
        <w:rPr>
          <w:rFonts w:ascii="宋体" w:hAnsi="宋体" w:cs="宋体"/>
          <w:b/>
          <w:sz w:val="72"/>
        </w:rPr>
      </w:pPr>
      <w:r>
        <w:rPr>
          <w:rFonts w:hint="eastAsia" w:ascii="宋体" w:hAnsi="宋体" w:cs="宋体"/>
          <w:b/>
          <w:sz w:val="72"/>
        </w:rPr>
        <w:t>公开招标文件</w:t>
      </w:r>
    </w:p>
    <w:p>
      <w:pPr>
        <w:rPr>
          <w:rFonts w:ascii="宋体" w:hAnsi="宋体" w:cs="宋体"/>
        </w:rPr>
      </w:pPr>
    </w:p>
    <w:p>
      <w:pPr>
        <w:rPr>
          <w:rFonts w:ascii="宋体" w:hAnsi="宋体" w:cs="宋体"/>
        </w:rPr>
      </w:pPr>
    </w:p>
    <w:p>
      <w:pPr>
        <w:rPr>
          <w:rFonts w:ascii="宋体" w:hAnsi="宋体" w:cs="宋体"/>
        </w:rPr>
      </w:pPr>
    </w:p>
    <w:p>
      <w:pPr>
        <w:spacing w:line="360" w:lineRule="auto"/>
        <w:ind w:firstLine="1506" w:firstLineChars="500"/>
        <w:rPr>
          <w:rFonts w:hint="eastAsia" w:ascii="宋体" w:hAnsi="宋体" w:eastAsia="宋体" w:cs="宋体"/>
          <w:b/>
          <w:sz w:val="30"/>
          <w:szCs w:val="30"/>
          <w:lang w:eastAsia="zh-CN"/>
        </w:rPr>
      </w:pPr>
      <w:r>
        <w:rPr>
          <w:rFonts w:hint="eastAsia" w:ascii="宋体" w:hAnsi="宋体" w:cs="宋体"/>
          <w:b/>
          <w:sz w:val="30"/>
          <w:szCs w:val="30"/>
        </w:rPr>
        <w:t>项目名称：</w:t>
      </w:r>
      <w:r>
        <w:rPr>
          <w:rFonts w:hint="eastAsia" w:ascii="宋体" w:hAnsi="宋体" w:cs="宋体"/>
          <w:b/>
          <w:sz w:val="30"/>
          <w:szCs w:val="30"/>
          <w:lang w:eastAsia="zh-CN"/>
        </w:rPr>
        <w:t>龙港市职业中等专业学校学生宿舍床设备</w:t>
      </w:r>
    </w:p>
    <w:p>
      <w:pPr>
        <w:spacing w:line="360" w:lineRule="auto"/>
        <w:ind w:firstLine="1506" w:firstLineChars="500"/>
        <w:rPr>
          <w:rFonts w:ascii="宋体" w:hAnsi="宋体" w:cs="宋体"/>
          <w:b/>
          <w:sz w:val="30"/>
          <w:szCs w:val="30"/>
        </w:rPr>
      </w:pPr>
      <w:r>
        <w:rPr>
          <w:rFonts w:hint="eastAsia" w:ascii="宋体" w:hAnsi="宋体" w:cs="宋体"/>
          <w:b/>
          <w:sz w:val="30"/>
          <w:szCs w:val="30"/>
        </w:rPr>
        <w:t>采购方式：公开招标</w:t>
      </w:r>
    </w:p>
    <w:p>
      <w:pPr>
        <w:pStyle w:val="2"/>
        <w:rPr>
          <w:rFonts w:ascii="宋体" w:hAnsi="宋体" w:cs="宋体"/>
        </w:rPr>
      </w:pPr>
    </w:p>
    <w:p>
      <w:pPr>
        <w:spacing w:line="360" w:lineRule="auto"/>
        <w:ind w:firstLine="2096" w:firstLineChars="696"/>
        <w:rPr>
          <w:rFonts w:hint="eastAsia" w:ascii="宋体" w:hAnsi="宋体" w:eastAsia="宋体" w:cs="宋体"/>
          <w:b/>
          <w:sz w:val="30"/>
          <w:szCs w:val="30"/>
          <w:lang w:eastAsia="zh-CN"/>
        </w:rPr>
      </w:pPr>
      <w:r>
        <w:rPr>
          <w:rFonts w:hint="eastAsia" w:ascii="宋体" w:hAnsi="宋体" w:cs="宋体"/>
          <w:b/>
          <w:sz w:val="30"/>
          <w:szCs w:val="30"/>
        </w:rPr>
        <w:t>采 购 人：</w:t>
      </w:r>
      <w:r>
        <w:rPr>
          <w:rFonts w:hint="eastAsia" w:ascii="宋体" w:hAnsi="宋体" w:cs="宋体"/>
          <w:b/>
          <w:sz w:val="30"/>
          <w:szCs w:val="30"/>
          <w:lang w:eastAsia="zh-CN"/>
        </w:rPr>
        <w:t>龙港市职业中等专业学校</w:t>
      </w:r>
    </w:p>
    <w:p>
      <w:pPr>
        <w:spacing w:line="360" w:lineRule="auto"/>
        <w:ind w:firstLine="908" w:firstLineChars="696"/>
        <w:rPr>
          <w:rFonts w:ascii="宋体" w:hAnsi="宋体" w:cs="宋体"/>
          <w:b/>
          <w:sz w:val="13"/>
          <w:szCs w:val="30"/>
        </w:rPr>
      </w:pPr>
    </w:p>
    <w:p>
      <w:pPr>
        <w:pStyle w:val="16"/>
        <w:rPr>
          <w:rFonts w:ascii="宋体" w:hAnsi="宋体" w:eastAsia="宋体" w:cs="宋体"/>
        </w:rPr>
      </w:pPr>
    </w:p>
    <w:p>
      <w:pPr>
        <w:spacing w:line="360" w:lineRule="auto"/>
        <w:ind w:firstLine="908" w:firstLineChars="696"/>
        <w:rPr>
          <w:rFonts w:ascii="宋体" w:hAnsi="宋体" w:cs="宋体"/>
          <w:b/>
          <w:sz w:val="13"/>
          <w:szCs w:val="30"/>
        </w:rPr>
      </w:pPr>
    </w:p>
    <w:p>
      <w:pPr>
        <w:spacing w:line="360" w:lineRule="auto"/>
        <w:ind w:firstLine="2096" w:firstLineChars="696"/>
        <w:rPr>
          <w:rFonts w:ascii="宋体" w:hAnsi="宋体" w:cs="宋体"/>
          <w:b/>
          <w:sz w:val="30"/>
          <w:szCs w:val="30"/>
        </w:rPr>
      </w:pPr>
      <w:r>
        <w:rPr>
          <w:rFonts w:hint="eastAsia" w:ascii="宋体" w:hAnsi="宋体" w:cs="宋体"/>
          <w:b/>
          <w:sz w:val="30"/>
          <w:szCs w:val="30"/>
        </w:rPr>
        <w:t>采购机构：杭州华旗招标代理有限公司</w:t>
      </w:r>
    </w:p>
    <w:p>
      <w:pPr>
        <w:spacing w:line="360" w:lineRule="auto"/>
        <w:ind w:firstLine="2096" w:firstLineChars="696"/>
        <w:rPr>
          <w:rFonts w:ascii="宋体" w:hAnsi="宋体" w:cs="宋体"/>
          <w:b/>
          <w:sz w:val="30"/>
          <w:szCs w:val="30"/>
        </w:rPr>
      </w:pPr>
      <w:r>
        <w:rPr>
          <w:rFonts w:hint="eastAsia" w:ascii="宋体" w:hAnsi="宋体" w:cs="宋体"/>
          <w:b/>
          <w:sz w:val="30"/>
          <w:szCs w:val="30"/>
        </w:rPr>
        <w:t>联 系 人：陈先生</w:t>
      </w:r>
    </w:p>
    <w:p>
      <w:pPr>
        <w:jc w:val="center"/>
        <w:rPr>
          <w:rFonts w:ascii="宋体" w:hAnsi="宋体" w:cs="宋体"/>
          <w:b/>
          <w:sz w:val="30"/>
          <w:szCs w:val="30"/>
        </w:rPr>
      </w:pPr>
    </w:p>
    <w:p>
      <w:pPr>
        <w:pStyle w:val="16"/>
        <w:rPr>
          <w:rFonts w:ascii="宋体" w:hAnsi="宋体" w:eastAsia="宋体" w:cs="宋体"/>
        </w:rPr>
      </w:pP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 xml:space="preserve">    监督机构: 龙港市财政局财政监督科</w:t>
      </w:r>
    </w:p>
    <w:p>
      <w:pPr>
        <w:ind w:firstLine="539" w:firstLineChars="179"/>
        <w:rPr>
          <w:rFonts w:ascii="宋体" w:hAnsi="宋体" w:cs="宋体"/>
          <w:b/>
          <w:sz w:val="30"/>
          <w:szCs w:val="30"/>
        </w:rPr>
      </w:pPr>
    </w:p>
    <w:p>
      <w:pPr>
        <w:ind w:firstLine="539" w:firstLineChars="179"/>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二○二</w:t>
      </w:r>
      <w:r>
        <w:rPr>
          <w:rFonts w:hint="eastAsia" w:ascii="宋体" w:hAnsi="宋体" w:cs="宋体"/>
          <w:b/>
          <w:sz w:val="30"/>
          <w:szCs w:val="30"/>
          <w:lang w:val="en-US" w:eastAsia="zh-CN"/>
        </w:rPr>
        <w:t>四</w:t>
      </w:r>
      <w:r>
        <w:rPr>
          <w:rFonts w:hint="eastAsia" w:ascii="宋体" w:hAnsi="宋体" w:cs="宋体"/>
          <w:b/>
          <w:sz w:val="30"/>
          <w:szCs w:val="30"/>
        </w:rPr>
        <w:t>年</w:t>
      </w:r>
      <w:r>
        <w:rPr>
          <w:rFonts w:hint="eastAsia" w:ascii="宋体" w:hAnsi="宋体" w:cs="宋体"/>
          <w:b/>
          <w:sz w:val="30"/>
          <w:szCs w:val="30"/>
          <w:lang w:val="en-US" w:eastAsia="zh-CN"/>
        </w:rPr>
        <w:t>五</w:t>
      </w:r>
      <w:bookmarkStart w:id="21" w:name="_GoBack"/>
      <w:bookmarkEnd w:id="21"/>
      <w:r>
        <w:rPr>
          <w:rFonts w:hint="eastAsia" w:ascii="宋体" w:hAnsi="宋体" w:cs="宋体"/>
          <w:b/>
          <w:sz w:val="30"/>
          <w:szCs w:val="30"/>
        </w:rPr>
        <w:t>月</w:t>
      </w:r>
    </w:p>
    <w:p>
      <w:pPr>
        <w:pStyle w:val="3"/>
        <w:jc w:val="center"/>
        <w:rPr>
          <w:rFonts w:ascii="宋体" w:hAnsi="宋体" w:eastAsia="宋体" w:cs="宋体"/>
          <w:b w:val="0"/>
          <w:sz w:val="44"/>
          <w:szCs w:val="44"/>
        </w:rPr>
      </w:pPr>
      <w:r>
        <w:rPr>
          <w:rFonts w:hint="eastAsia" w:ascii="宋体" w:hAnsi="宋体" w:eastAsia="宋体" w:cs="宋体"/>
          <w:b w:val="0"/>
          <w:sz w:val="44"/>
          <w:szCs w:val="44"/>
        </w:rPr>
        <w:t>目  录</w:t>
      </w:r>
    </w:p>
    <w:p>
      <w:pPr>
        <w:numPr>
          <w:ilvl w:val="0"/>
          <w:numId w:val="4"/>
        </w:numPr>
        <w:spacing w:line="360" w:lineRule="auto"/>
        <w:rPr>
          <w:rFonts w:ascii="宋体" w:hAnsi="宋体" w:cs="宋体"/>
          <w:sz w:val="24"/>
        </w:rPr>
      </w:pPr>
      <w:r>
        <w:rPr>
          <w:rFonts w:hint="eastAsia" w:ascii="宋体" w:hAnsi="宋体" w:cs="宋体"/>
          <w:sz w:val="24"/>
        </w:rPr>
        <w:t>招标公告  ———————————————————————————   2</w:t>
      </w:r>
    </w:p>
    <w:p>
      <w:pPr>
        <w:numPr>
          <w:ilvl w:val="0"/>
          <w:numId w:val="4"/>
        </w:numPr>
        <w:spacing w:line="360" w:lineRule="auto"/>
        <w:rPr>
          <w:rFonts w:ascii="宋体" w:hAnsi="宋体" w:cs="宋体"/>
          <w:sz w:val="24"/>
        </w:rPr>
      </w:pPr>
      <w:r>
        <w:rPr>
          <w:rFonts w:hint="eastAsia" w:ascii="宋体" w:hAnsi="宋体" w:cs="宋体"/>
          <w:sz w:val="24"/>
        </w:rPr>
        <w:t xml:space="preserve"> 投标须知及前附表   ——————————————————————   6</w:t>
      </w:r>
    </w:p>
    <w:p>
      <w:pPr>
        <w:spacing w:line="360" w:lineRule="auto"/>
        <w:ind w:firstLine="570"/>
        <w:rPr>
          <w:rFonts w:ascii="宋体" w:hAnsi="宋体" w:cs="宋体"/>
          <w:szCs w:val="21"/>
        </w:rPr>
      </w:pPr>
      <w:r>
        <w:rPr>
          <w:rFonts w:hint="eastAsia" w:ascii="宋体" w:hAnsi="宋体" w:cs="宋体"/>
          <w:szCs w:val="21"/>
        </w:rPr>
        <w:t>一、投标须知前附表  ————————————————————————————— 6</w:t>
      </w:r>
    </w:p>
    <w:p>
      <w:pPr>
        <w:spacing w:line="360" w:lineRule="auto"/>
        <w:ind w:firstLine="570"/>
        <w:rPr>
          <w:rFonts w:ascii="宋体" w:hAnsi="宋体" w:cs="宋体"/>
          <w:szCs w:val="21"/>
        </w:rPr>
      </w:pPr>
      <w:r>
        <w:rPr>
          <w:rFonts w:hint="eastAsia" w:ascii="宋体" w:hAnsi="宋体" w:cs="宋体"/>
          <w:szCs w:val="21"/>
        </w:rPr>
        <w:t>二、总则 ——————————————————————————————————   8</w:t>
      </w:r>
    </w:p>
    <w:p>
      <w:pPr>
        <w:spacing w:line="360" w:lineRule="auto"/>
        <w:ind w:firstLine="570"/>
        <w:rPr>
          <w:rFonts w:ascii="宋体" w:hAnsi="宋体" w:cs="宋体"/>
          <w:szCs w:val="21"/>
        </w:rPr>
      </w:pPr>
      <w:r>
        <w:rPr>
          <w:rFonts w:hint="eastAsia" w:ascii="宋体" w:hAnsi="宋体" w:cs="宋体"/>
          <w:szCs w:val="21"/>
        </w:rPr>
        <w:t>三、招标文件说明  ——————————————————————————————  9</w:t>
      </w:r>
    </w:p>
    <w:p>
      <w:pPr>
        <w:spacing w:line="360" w:lineRule="auto"/>
        <w:ind w:firstLine="570"/>
        <w:rPr>
          <w:rFonts w:ascii="宋体" w:hAnsi="宋体" w:cs="宋体"/>
          <w:szCs w:val="21"/>
        </w:rPr>
      </w:pPr>
      <w:r>
        <w:rPr>
          <w:rFonts w:hint="eastAsia" w:ascii="宋体" w:hAnsi="宋体" w:cs="宋体"/>
          <w:szCs w:val="21"/>
        </w:rPr>
        <w:t>四、投标文件的编制  —————————————————————————————  10</w:t>
      </w:r>
    </w:p>
    <w:p>
      <w:pPr>
        <w:spacing w:line="360" w:lineRule="auto"/>
        <w:ind w:firstLine="570"/>
        <w:rPr>
          <w:rFonts w:ascii="宋体" w:hAnsi="宋体" w:cs="宋体"/>
          <w:szCs w:val="21"/>
        </w:rPr>
      </w:pPr>
      <w:r>
        <w:rPr>
          <w:rFonts w:hint="eastAsia" w:ascii="宋体" w:hAnsi="宋体" w:cs="宋体"/>
          <w:szCs w:val="21"/>
        </w:rPr>
        <w:t>五、投标文件的递交  —————————————————————————————  13</w:t>
      </w:r>
    </w:p>
    <w:p>
      <w:pPr>
        <w:spacing w:line="360" w:lineRule="auto"/>
        <w:ind w:firstLine="570"/>
        <w:rPr>
          <w:rFonts w:ascii="宋体" w:hAnsi="宋体" w:cs="宋体"/>
          <w:szCs w:val="21"/>
        </w:rPr>
      </w:pPr>
      <w:r>
        <w:rPr>
          <w:rFonts w:hint="eastAsia" w:ascii="宋体" w:hAnsi="宋体" w:cs="宋体"/>
          <w:szCs w:val="21"/>
        </w:rPr>
        <w:t>六、开标与评审   ——————————————————————————————   14</w:t>
      </w:r>
    </w:p>
    <w:p>
      <w:pPr>
        <w:spacing w:line="360" w:lineRule="auto"/>
        <w:ind w:firstLine="570"/>
        <w:rPr>
          <w:rFonts w:ascii="宋体" w:hAnsi="宋体" w:cs="宋体"/>
          <w:szCs w:val="21"/>
        </w:rPr>
      </w:pPr>
      <w:r>
        <w:rPr>
          <w:rFonts w:hint="eastAsia" w:ascii="宋体" w:hAnsi="宋体" w:cs="宋体"/>
          <w:szCs w:val="21"/>
        </w:rPr>
        <w:t>七、授予合同  ————————————————————————————————  17</w:t>
      </w:r>
    </w:p>
    <w:p>
      <w:pPr>
        <w:tabs>
          <w:tab w:val="left" w:pos="0"/>
        </w:tabs>
        <w:snapToGrid w:val="0"/>
        <w:spacing w:line="360" w:lineRule="auto"/>
        <w:ind w:left="2" w:right="-50" w:rightChars="-24" w:hanging="2"/>
        <w:rPr>
          <w:rFonts w:ascii="宋体" w:hAnsi="宋体" w:cs="宋体"/>
          <w:sz w:val="24"/>
        </w:rPr>
      </w:pPr>
      <w:r>
        <w:rPr>
          <w:rFonts w:hint="eastAsia" w:ascii="宋体" w:hAnsi="宋体" w:cs="宋体"/>
          <w:sz w:val="24"/>
        </w:rPr>
        <w:t>第三章  招标内容及要求   ———————————————————————   19</w:t>
      </w:r>
    </w:p>
    <w:p>
      <w:pPr>
        <w:tabs>
          <w:tab w:val="left" w:pos="0"/>
        </w:tabs>
        <w:snapToGrid w:val="0"/>
        <w:spacing w:line="360" w:lineRule="auto"/>
        <w:ind w:left="2"/>
        <w:rPr>
          <w:rFonts w:ascii="宋体" w:hAnsi="宋体" w:cs="宋体"/>
          <w:sz w:val="24"/>
        </w:rPr>
      </w:pPr>
      <w:r>
        <w:rPr>
          <w:rFonts w:hint="eastAsia" w:ascii="宋体" w:hAnsi="宋体" w:cs="宋体"/>
          <w:sz w:val="24"/>
        </w:rPr>
        <w:t>第四章  合同主要条款   ————————————————————————— 28</w:t>
      </w:r>
    </w:p>
    <w:p>
      <w:pPr>
        <w:tabs>
          <w:tab w:val="left" w:pos="0"/>
        </w:tabs>
        <w:snapToGrid w:val="0"/>
        <w:spacing w:line="360" w:lineRule="auto"/>
        <w:ind w:left="2"/>
        <w:rPr>
          <w:rFonts w:ascii="宋体" w:hAnsi="宋体" w:cs="宋体"/>
          <w:sz w:val="24"/>
        </w:rPr>
      </w:pPr>
      <w:r>
        <w:rPr>
          <w:rFonts w:hint="eastAsia" w:ascii="宋体" w:hAnsi="宋体" w:cs="宋体"/>
          <w:sz w:val="24"/>
        </w:rPr>
        <w:t>第五章  投标文件格式   ————————————————————————— 32</w:t>
      </w:r>
    </w:p>
    <w:p>
      <w:pPr>
        <w:tabs>
          <w:tab w:val="left" w:pos="0"/>
        </w:tabs>
        <w:snapToGrid w:val="0"/>
        <w:spacing w:line="360" w:lineRule="auto"/>
        <w:ind w:left="2"/>
        <w:rPr>
          <w:rFonts w:ascii="宋体" w:hAnsi="宋体" w:cs="宋体"/>
          <w:sz w:val="24"/>
        </w:rPr>
      </w:pPr>
      <w:r>
        <w:rPr>
          <w:rFonts w:hint="eastAsia" w:ascii="宋体" w:hAnsi="宋体" w:cs="宋体"/>
          <w:sz w:val="24"/>
        </w:rPr>
        <w:t>第六章  评标原则及方法   ————————————————————————55</w:t>
      </w:r>
    </w:p>
    <w:p>
      <w:pPr>
        <w:rPr>
          <w:rFonts w:ascii="宋体" w:hAnsi="宋体" w:cs="宋体"/>
          <w:sz w:val="24"/>
        </w:rPr>
      </w:pPr>
    </w:p>
    <w:p>
      <w:pPr>
        <w:rPr>
          <w:rFonts w:ascii="宋体" w:hAnsi="宋体" w:cs="宋体"/>
          <w:sz w:val="24"/>
        </w:rPr>
      </w:pPr>
    </w:p>
    <w:p>
      <w:pPr>
        <w:spacing w:line="500" w:lineRule="exact"/>
        <w:rPr>
          <w:rFonts w:ascii="宋体" w:hAnsi="宋体" w:cs="宋体"/>
          <w:b/>
          <w:bCs/>
          <w:sz w:val="22"/>
          <w:szCs w:val="22"/>
        </w:rPr>
      </w:pPr>
      <w:r>
        <w:rPr>
          <w:rFonts w:hint="eastAsia" w:ascii="宋体" w:hAnsi="宋体" w:cs="宋体"/>
          <w:b/>
          <w:bCs/>
          <w:sz w:val="22"/>
          <w:szCs w:val="22"/>
        </w:rPr>
        <w:t>注：1.本招标文件的解释按目录顺序确定，前章规定优先于后章，实质性条款优先于一般条款，如本规定与国家法律法规有相抵触的,以国家法律法规为准。 </w:t>
      </w:r>
    </w:p>
    <w:p>
      <w:pPr>
        <w:spacing w:line="500" w:lineRule="exact"/>
        <w:ind w:firstLine="442" w:firstLineChars="200"/>
        <w:rPr>
          <w:rFonts w:ascii="宋体" w:hAnsi="宋体" w:cs="宋体"/>
          <w:b/>
          <w:bCs/>
          <w:sz w:val="22"/>
          <w:szCs w:val="22"/>
        </w:rPr>
      </w:pPr>
      <w:r>
        <w:rPr>
          <w:rFonts w:hint="eastAsia" w:ascii="宋体" w:hAnsi="宋体" w:cs="宋体"/>
          <w:b/>
          <w:bCs/>
          <w:sz w:val="22"/>
          <w:szCs w:val="22"/>
        </w:rPr>
        <w:t>2.本招标文件中部分加“</w:t>
      </w:r>
      <w:r>
        <w:rPr>
          <w:rFonts w:hint="eastAsia" w:ascii="宋体" w:hAnsi="宋体" w:cs="宋体"/>
          <w:b/>
          <w:bCs/>
          <w:szCs w:val="21"/>
        </w:rPr>
        <w:t>★、</w:t>
      </w:r>
      <w:r>
        <w:rPr>
          <w:rFonts w:hint="eastAsia" w:ascii="宋体" w:hAnsi="宋体" w:cs="宋体"/>
          <w:b/>
          <w:bCs/>
          <w:sz w:val="22"/>
          <w:szCs w:val="22"/>
        </w:rPr>
        <w:t>▲”、加粗及加下划线的条款，为采购的重要要求和条件，着重提醒各供应商注意，并认真查看招标文件中的每一个条款及要求，因误读招标文件而造成的后果，采购人概不负责。</w:t>
      </w:r>
    </w:p>
    <w:p>
      <w:pPr>
        <w:spacing w:line="500" w:lineRule="exact"/>
        <w:ind w:firstLine="442" w:firstLineChars="200"/>
        <w:rPr>
          <w:rFonts w:ascii="宋体" w:hAnsi="宋体" w:cs="宋体"/>
          <w:b/>
          <w:bCs/>
          <w:sz w:val="22"/>
          <w:szCs w:val="22"/>
        </w:rPr>
      </w:pPr>
    </w:p>
    <w:p>
      <w:pPr>
        <w:rPr>
          <w:rFonts w:ascii="宋体" w:hAnsi="宋体" w:cs="宋体"/>
          <w:sz w:val="24"/>
        </w:rPr>
      </w:pPr>
    </w:p>
    <w:p>
      <w:pPr>
        <w:rPr>
          <w:rFonts w:ascii="宋体" w:hAnsi="宋体" w:cs="宋体"/>
          <w:sz w:val="24"/>
        </w:rPr>
      </w:pPr>
    </w:p>
    <w:p>
      <w:pPr>
        <w:spacing w:line="480" w:lineRule="auto"/>
        <w:jc w:val="center"/>
        <w:rPr>
          <w:rFonts w:ascii="宋体" w:hAnsi="宋体" w:cs="宋体"/>
          <w:b/>
          <w:sz w:val="36"/>
          <w:szCs w:val="36"/>
          <w:lang w:val="zh-CN"/>
        </w:rPr>
      </w:pPr>
      <w:r>
        <w:rPr>
          <w:rFonts w:hint="eastAsia" w:ascii="宋体" w:hAnsi="宋体" w:cs="宋体"/>
          <w:sz w:val="24"/>
        </w:rPr>
        <w:br w:type="page"/>
      </w:r>
      <w:r>
        <w:rPr>
          <w:rFonts w:hint="eastAsia" w:ascii="宋体" w:hAnsi="宋体" w:cs="宋体"/>
          <w:b/>
          <w:sz w:val="36"/>
          <w:szCs w:val="36"/>
          <w:lang w:val="zh-CN"/>
        </w:rPr>
        <w:t>第一章  招标公告</w:t>
      </w:r>
    </w:p>
    <w:p>
      <w:pPr>
        <w:spacing w:line="360" w:lineRule="auto"/>
        <w:jc w:val="center"/>
        <w:rPr>
          <w:rFonts w:ascii="宋体" w:hAnsi="宋体" w:cs="宋体"/>
          <w:b/>
          <w:sz w:val="30"/>
          <w:szCs w:val="30"/>
        </w:rPr>
      </w:pPr>
      <w:bookmarkStart w:id="2" w:name="OLE_LINK3"/>
      <w:bookmarkStart w:id="3" w:name="OLE_LINK6"/>
      <w:bookmarkStart w:id="4" w:name="OLE_LINK5"/>
      <w:bookmarkStart w:id="5" w:name="OLE_LINK1"/>
      <w:r>
        <w:rPr>
          <w:rFonts w:hint="eastAsia" w:ascii="宋体" w:hAnsi="宋体" w:cs="宋体"/>
          <w:b/>
          <w:sz w:val="30"/>
          <w:szCs w:val="30"/>
        </w:rPr>
        <w:t>关于</w:t>
      </w:r>
      <w:bookmarkStart w:id="6" w:name="OLE_LINK2"/>
      <w:bookmarkStart w:id="7" w:name="OLE_LINK7"/>
      <w:r>
        <w:rPr>
          <w:rFonts w:hint="eastAsia" w:ascii="宋体" w:hAnsi="宋体" w:cs="宋体"/>
          <w:b/>
          <w:sz w:val="30"/>
          <w:szCs w:val="30"/>
          <w:lang w:eastAsia="zh-CN"/>
        </w:rPr>
        <w:t>龙港市职业中等专业学校龙港市职业中等专业学校学生宿舍床设备</w:t>
      </w:r>
      <w:r>
        <w:rPr>
          <w:rFonts w:hint="eastAsia" w:ascii="宋体" w:hAnsi="宋体" w:cs="宋体"/>
          <w:b/>
          <w:sz w:val="30"/>
          <w:szCs w:val="30"/>
        </w:rPr>
        <w:t>的公开招标公告</w:t>
      </w:r>
      <w:bookmarkEnd w:id="2"/>
      <w:bookmarkEnd w:id="3"/>
      <w:bookmarkEnd w:id="4"/>
      <w:bookmarkEnd w:id="5"/>
      <w:bookmarkEnd w:id="6"/>
      <w:bookmarkStart w:id="8" w:name="OLE_LINK8"/>
    </w:p>
    <w:p>
      <w:pPr>
        <w:pStyle w:val="41"/>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t>项目概况</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eastAsia="zh-CN"/>
        </w:rPr>
        <w:t>龙港市职业中等专业学校学生宿舍床设备</w:t>
      </w:r>
      <w:r>
        <w:rPr>
          <w:rFonts w:hint="eastAsia" w:ascii="仿宋" w:hAnsi="仿宋" w:eastAsia="仿宋" w:cs="仿宋"/>
          <w:i w:val="0"/>
          <w:iCs w:val="0"/>
          <w:caps w:val="0"/>
          <w:color w:val="000000"/>
          <w:spacing w:val="0"/>
          <w:sz w:val="27"/>
          <w:szCs w:val="27"/>
        </w:rPr>
        <w:t>招标项目的潜在投标人应在</w:t>
      </w:r>
      <w:r>
        <w:rPr>
          <w:rFonts w:hint="eastAsia" w:ascii="仿宋" w:hAnsi="仿宋" w:eastAsia="仿宋" w:cs="仿宋"/>
          <w:i w:val="0"/>
          <w:iCs w:val="0"/>
          <w:caps w:val="0"/>
          <w:color w:val="000000"/>
          <w:spacing w:val="0"/>
          <w:sz w:val="27"/>
          <w:szCs w:val="27"/>
          <w:u w:val="none"/>
        </w:rPr>
        <w:t>政采云平台线上获取</w:t>
      </w:r>
      <w:r>
        <w:rPr>
          <w:rFonts w:hint="eastAsia" w:ascii="仿宋" w:hAnsi="仿宋" w:eastAsia="仿宋" w:cs="仿宋"/>
          <w:i w:val="0"/>
          <w:iCs w:val="0"/>
          <w:caps w:val="0"/>
          <w:color w:val="000000"/>
          <w:spacing w:val="0"/>
          <w:sz w:val="27"/>
          <w:szCs w:val="27"/>
        </w:rPr>
        <w:t>获取（下载）招标文件，并于 202</w:t>
      </w:r>
      <w:r>
        <w:rPr>
          <w:rFonts w:hint="eastAsia" w:ascii="仿宋" w:hAnsi="仿宋" w:eastAsia="仿宋" w:cs="仿宋"/>
          <w:i w:val="0"/>
          <w:iCs w:val="0"/>
          <w:caps w:val="0"/>
          <w:color w:val="000000"/>
          <w:spacing w:val="0"/>
          <w:sz w:val="27"/>
          <w:szCs w:val="27"/>
          <w:lang w:val="en-US" w:eastAsia="zh-CN"/>
        </w:rPr>
        <w:t>4</w:t>
      </w:r>
      <w:r>
        <w:rPr>
          <w:rFonts w:hint="eastAsia" w:ascii="仿宋" w:hAnsi="仿宋" w:eastAsia="仿宋" w:cs="仿宋"/>
          <w:i w:val="0"/>
          <w:iCs w:val="0"/>
          <w:caps w:val="0"/>
          <w:color w:val="000000"/>
          <w:spacing w:val="0"/>
          <w:sz w:val="27"/>
          <w:szCs w:val="27"/>
        </w:rPr>
        <w:t>年月日 09:30（北京时间）前递交（上传）投标文件。</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9"/>
          <w:rFonts w:ascii="黑体" w:hAnsi="宋体" w:eastAsia="黑体" w:cs="黑体"/>
          <w:i w:val="0"/>
          <w:iCs w:val="0"/>
          <w:caps w:val="0"/>
          <w:color w:val="000000"/>
          <w:spacing w:val="0"/>
          <w:sz w:val="27"/>
          <w:szCs w:val="27"/>
        </w:rPr>
        <w:t>一、项目基本情况</w:t>
      </w:r>
      <w:r>
        <w:rPr>
          <w:rFonts w:ascii="黑体" w:hAnsi="宋体" w:eastAsia="黑体" w:cs="黑体"/>
          <w:i w:val="0"/>
          <w:iCs w:val="0"/>
          <w:caps w:val="0"/>
          <w:color w:val="000000"/>
          <w:spacing w:val="0"/>
          <w:sz w:val="27"/>
          <w:szCs w:val="27"/>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w:t>
      </w:r>
      <w:r>
        <w:rPr>
          <w:rFonts w:hint="eastAsia" w:ascii="仿宋" w:hAnsi="仿宋" w:eastAsia="仿宋" w:cs="仿宋"/>
          <w:i w:val="0"/>
          <w:iCs w:val="0"/>
          <w:caps w:val="0"/>
          <w:color w:val="000000"/>
          <w:spacing w:val="0"/>
          <w:sz w:val="27"/>
          <w:szCs w:val="27"/>
          <w:lang w:eastAsia="zh-CN"/>
        </w:rPr>
        <w:t>LGCG2024</w:t>
      </w:r>
      <w:r>
        <w:rPr>
          <w:rFonts w:hint="eastAsia" w:ascii="仿宋" w:hAnsi="仿宋" w:eastAsia="仿宋" w:cs="仿宋"/>
          <w:i w:val="0"/>
          <w:iCs w:val="0"/>
          <w:caps w:val="0"/>
          <w:color w:val="000000"/>
          <w:spacing w:val="0"/>
          <w:sz w:val="27"/>
          <w:szCs w:val="27"/>
        </w:rPr>
        <w:t> </w:t>
      </w:r>
    </w:p>
    <w:p>
      <w:pPr>
        <w:pStyle w:val="41"/>
        <w:keepNext w:val="0"/>
        <w:keepLines w:val="0"/>
        <w:widowControl/>
        <w:suppressLineNumbers w:val="0"/>
        <w:spacing w:before="75" w:beforeAutospacing="0" w:after="75" w:afterAutospacing="0" w:line="300" w:lineRule="atLeast"/>
        <w:ind w:left="0" w:right="0"/>
        <w:rPr>
          <w:rFonts w:hint="eastAsia" w:eastAsia="仿宋"/>
          <w:lang w:eastAsia="zh-CN"/>
        </w:rPr>
      </w:pPr>
      <w:r>
        <w:rPr>
          <w:rFonts w:hint="eastAsia" w:ascii="仿宋" w:hAnsi="仿宋" w:eastAsia="仿宋" w:cs="仿宋"/>
          <w:i w:val="0"/>
          <w:iCs w:val="0"/>
          <w:caps w:val="0"/>
          <w:color w:val="000000"/>
          <w:spacing w:val="0"/>
          <w:sz w:val="27"/>
          <w:szCs w:val="27"/>
        </w:rPr>
        <w:t>    项目名称：</w:t>
      </w:r>
      <w:r>
        <w:rPr>
          <w:rFonts w:hint="eastAsia" w:ascii="仿宋" w:hAnsi="仿宋" w:eastAsia="仿宋" w:cs="仿宋"/>
          <w:i w:val="0"/>
          <w:iCs w:val="0"/>
          <w:caps w:val="0"/>
          <w:color w:val="000000"/>
          <w:spacing w:val="0"/>
          <w:sz w:val="27"/>
          <w:szCs w:val="27"/>
          <w:lang w:eastAsia="zh-CN"/>
        </w:rPr>
        <w:t>龙港市职业中等专业学校学生宿舍床设备</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预算金额（元）：</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最高限价（元）：/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采购需求：</w:t>
      </w:r>
    </w:p>
    <w:p>
      <w:pPr>
        <w:pStyle w:val="4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标项</w:t>
      </w:r>
      <w:r>
        <w:rPr>
          <w:rFonts w:hint="eastAsia" w:ascii="仿宋" w:hAnsi="仿宋" w:eastAsia="仿宋" w:cs="仿宋"/>
          <w:i w:val="0"/>
          <w:iCs w:val="0"/>
          <w:caps w:val="0"/>
          <w:color w:val="000000"/>
          <w:spacing w:val="0"/>
          <w:sz w:val="27"/>
          <w:szCs w:val="27"/>
          <w:lang w:val="en-US" w:eastAsia="zh-CN"/>
        </w:rPr>
        <w:t>一</w:t>
      </w:r>
      <w:r>
        <w:rPr>
          <w:rFonts w:hint="eastAsia" w:ascii="仿宋" w:hAnsi="仿宋" w:eastAsia="仿宋" w:cs="仿宋"/>
          <w:i w:val="0"/>
          <w:iCs w:val="0"/>
          <w:caps w:val="0"/>
          <w:color w:val="000000"/>
          <w:spacing w:val="0"/>
          <w:sz w:val="27"/>
          <w:szCs w:val="27"/>
        </w:rPr>
        <w:t>名称:</w:t>
      </w:r>
      <w:r>
        <w:rPr>
          <w:rFonts w:hint="eastAsia" w:ascii="仿宋" w:hAnsi="仿宋" w:eastAsia="仿宋" w:cs="仿宋"/>
          <w:i w:val="0"/>
          <w:iCs w:val="0"/>
          <w:caps w:val="0"/>
          <w:color w:val="000000"/>
          <w:spacing w:val="0"/>
          <w:sz w:val="27"/>
          <w:szCs w:val="27"/>
          <w:lang w:eastAsia="zh-CN"/>
        </w:rPr>
        <w:t>龙港市职业中等专业学校学生宿舍床设备</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数量: 不限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预算金额（元）: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简要规格描述或项目基本概况介绍、用途：详见招标文件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备注： </w:t>
      </w:r>
    </w:p>
    <w:p>
      <w:pPr>
        <w:pStyle w:val="41"/>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合同履约期限：标项 1，按要求执行</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本项目（否）接受联合体投标。</w:t>
      </w:r>
    </w:p>
    <w:p>
      <w:pPr>
        <w:pStyle w:val="41"/>
        <w:keepNext w:val="0"/>
        <w:keepLines w:val="0"/>
        <w:widowControl/>
        <w:suppressLineNumbers w:val="0"/>
        <w:spacing w:before="225" w:beforeAutospacing="0" w:after="225" w:afterAutospacing="0" w:line="300" w:lineRule="atLeast"/>
        <w:ind w:left="0" w:right="0"/>
      </w:pPr>
      <w:r>
        <w:rPr>
          <w:rStyle w:val="49"/>
          <w:rFonts w:ascii="黑体" w:hAnsi="宋体" w:eastAsia="黑体" w:cs="黑体"/>
          <w:i w:val="0"/>
          <w:iCs w:val="0"/>
          <w:caps w:val="0"/>
          <w:color w:val="000000"/>
          <w:spacing w:val="0"/>
          <w:sz w:val="27"/>
          <w:szCs w:val="27"/>
        </w:rPr>
        <w:t>二、申请人的资格要求：</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2.落实政府采购政策需满足的资格要求：标项1：无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4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9"/>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时间：/至202</w:t>
      </w:r>
      <w:r>
        <w:rPr>
          <w:rFonts w:hint="eastAsia" w:ascii="仿宋" w:hAnsi="仿宋" w:eastAsia="仿宋" w:cs="仿宋"/>
          <w:i w:val="0"/>
          <w:iCs w:val="0"/>
          <w:caps w:val="0"/>
          <w:color w:val="000000"/>
          <w:spacing w:val="0"/>
          <w:sz w:val="27"/>
          <w:szCs w:val="27"/>
          <w:u w:val="none"/>
          <w:lang w:val="en-US" w:eastAsia="zh-CN"/>
        </w:rPr>
        <w:t>4</w:t>
      </w:r>
      <w:r>
        <w:rPr>
          <w:rFonts w:hint="eastAsia" w:ascii="仿宋" w:hAnsi="仿宋" w:eastAsia="仿宋" w:cs="仿宋"/>
          <w:i w:val="0"/>
          <w:iCs w:val="0"/>
          <w:caps w:val="0"/>
          <w:color w:val="000000"/>
          <w:spacing w:val="0"/>
          <w:sz w:val="27"/>
          <w:szCs w:val="27"/>
          <w:u w:val="none"/>
        </w:rPr>
        <w:t>年月日 ，每天上午00:00至12:00 ，下午12:00至23:59（北京时间，线上获取法定节假日均可，线下获取文件法定节假日除外）</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地点（网址）：政采云平台线上获取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方式：供应商登录政采云平台https://www.zcygov.cn/在线申请获取采购文件（进入“项目采购”应用，在获取采购文件菜单中选择项目，申请获取采购文件）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9"/>
          <w:rFonts w:ascii="黑体" w:hAnsi="宋体" w:eastAsia="黑体" w:cs="黑体"/>
          <w:i w:val="0"/>
          <w:iCs w:val="0"/>
          <w:caps w:val="0"/>
          <w:color w:val="000000"/>
          <w:spacing w:val="0"/>
          <w:sz w:val="27"/>
          <w:szCs w:val="27"/>
        </w:rPr>
        <w:t>四、提交投标文件截止时间、开标时间和地点</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w:t>
      </w:r>
      <w:r>
        <w:rPr>
          <w:rFonts w:hint="eastAsia" w:ascii="仿宋" w:hAnsi="仿宋" w:eastAsia="仿宋" w:cs="仿宋"/>
          <w:i w:val="0"/>
          <w:iCs w:val="0"/>
          <w:caps w:val="0"/>
          <w:color w:val="000000"/>
          <w:spacing w:val="0"/>
          <w:sz w:val="27"/>
          <w:szCs w:val="27"/>
          <w:u w:val="none"/>
          <w:lang w:val="en-US" w:eastAsia="zh-CN"/>
        </w:rPr>
        <w:t>4</w:t>
      </w:r>
      <w:r>
        <w:rPr>
          <w:rFonts w:hint="eastAsia" w:ascii="仿宋" w:hAnsi="仿宋" w:eastAsia="仿宋" w:cs="仿宋"/>
          <w:i w:val="0"/>
          <w:iCs w:val="0"/>
          <w:caps w:val="0"/>
          <w:color w:val="000000"/>
          <w:spacing w:val="0"/>
          <w:sz w:val="27"/>
          <w:szCs w:val="27"/>
          <w:u w:val="none"/>
        </w:rPr>
        <w:t>年月日 09:30（北京时间）</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投标地点（网址）：请登录政采云投标客户端投标</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w:t>
      </w:r>
      <w:r>
        <w:rPr>
          <w:rFonts w:hint="eastAsia" w:ascii="仿宋" w:hAnsi="仿宋" w:eastAsia="仿宋" w:cs="仿宋"/>
          <w:i w:val="0"/>
          <w:iCs w:val="0"/>
          <w:caps w:val="0"/>
          <w:color w:val="000000"/>
          <w:spacing w:val="0"/>
          <w:sz w:val="27"/>
          <w:szCs w:val="27"/>
          <w:u w:val="none"/>
          <w:lang w:val="en-US" w:eastAsia="zh-CN"/>
        </w:rPr>
        <w:t>4</w:t>
      </w:r>
      <w:r>
        <w:rPr>
          <w:rFonts w:hint="eastAsia" w:ascii="仿宋" w:hAnsi="仿宋" w:eastAsia="仿宋" w:cs="仿宋"/>
          <w:i w:val="0"/>
          <w:iCs w:val="0"/>
          <w:caps w:val="0"/>
          <w:color w:val="000000"/>
          <w:spacing w:val="0"/>
          <w:sz w:val="27"/>
          <w:szCs w:val="27"/>
          <w:u w:val="none"/>
        </w:rPr>
        <w:t>年月日 09:30</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开标地点（网址）：1、浙江政府采购网（http://zfcg.czt.zj.gov.cn）2、开评标活动实施地点：龙港市世纪大道4518号龙港市政务客厅4楼</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49"/>
          <w:rFonts w:ascii="黑体" w:hAnsi="宋体" w:eastAsia="黑体" w:cs="黑体"/>
          <w:i w:val="0"/>
          <w:iCs w:val="0"/>
          <w:caps w:val="0"/>
          <w:color w:val="000000"/>
          <w:spacing w:val="0"/>
          <w:sz w:val="27"/>
          <w:szCs w:val="27"/>
        </w:rPr>
        <w:t>五、公告期限</w:t>
      </w:r>
      <w:r>
        <w:rPr>
          <w:rFonts w:ascii="黑体" w:hAnsi="宋体" w:eastAsia="黑体" w:cs="黑体"/>
          <w:i w:val="0"/>
          <w:iCs w:val="0"/>
          <w:caps w:val="0"/>
          <w:color w:val="000000"/>
          <w:spacing w:val="0"/>
          <w:sz w:val="31"/>
          <w:szCs w:val="31"/>
        </w:rPr>
        <w:t> </w:t>
      </w:r>
    </w:p>
    <w:p>
      <w:pPr>
        <w:pStyle w:val="41"/>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pPr>
        <w:pStyle w:val="41"/>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49"/>
          <w:rFonts w:ascii="黑体" w:hAnsi="宋体" w:eastAsia="黑体" w:cs="黑体"/>
          <w:i w:val="0"/>
          <w:iCs w:val="0"/>
          <w:caps w:val="0"/>
          <w:color w:val="000000"/>
          <w:spacing w:val="0"/>
          <w:sz w:val="27"/>
          <w:szCs w:val="27"/>
        </w:rPr>
        <w:t>六、其他补充事宜</w:t>
      </w:r>
    </w:p>
    <w:p>
      <w:pPr>
        <w:pStyle w:val="41"/>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1"/>
        <w:keepNext w:val="0"/>
        <w:keepLines w:val="0"/>
        <w:widowControl/>
        <w:suppressLineNumbers w:val="0"/>
        <w:spacing w:before="255" w:beforeAutospacing="0" w:after="255" w:afterAutospacing="0" w:line="300" w:lineRule="atLeast"/>
        <w:ind w:left="0" w:right="0" w:firstLine="420"/>
        <w:jc w:val="both"/>
        <w:rPr>
          <w:rFonts w:ascii="黑体" w:hAnsi="宋体" w:eastAsia="黑体" w:cs="黑体"/>
          <w:sz w:val="27"/>
          <w:szCs w:val="27"/>
        </w:rPr>
      </w:pPr>
      <w:r>
        <w:rPr>
          <w:rFonts w:hint="eastAsia" w:ascii="仿宋" w:hAnsi="仿宋" w:eastAsia="仿宋" w:cs="仿宋"/>
          <w:i w:val="0"/>
          <w:iCs w:val="0"/>
          <w:caps w:val="0"/>
          <w:color w:val="000000"/>
          <w:spacing w:val="0"/>
          <w:sz w:val="27"/>
          <w:szCs w:val="27"/>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41"/>
        <w:keepNext w:val="0"/>
        <w:keepLines w:val="0"/>
        <w:widowControl/>
        <w:suppressLineNumbers w:val="0"/>
        <w:spacing w:before="75" w:beforeAutospacing="0" w:after="75" w:afterAutospacing="0" w:line="315" w:lineRule="atLeast"/>
        <w:ind w:left="0" w:right="0" w:firstLine="420"/>
      </w:pPr>
      <w:r>
        <w:rPr>
          <w:rFonts w:hint="eastAsia" w:ascii="仿宋" w:hAnsi="仿宋" w:eastAsia="仿宋" w:cs="仿宋"/>
          <w:i w:val="0"/>
          <w:iCs w:val="0"/>
          <w:caps w:val="0"/>
          <w:color w:val="000000"/>
          <w:spacing w:val="0"/>
          <w:sz w:val="27"/>
          <w:szCs w:val="27"/>
        </w:rPr>
        <w:t>3.其他事项：（1）、在线投标响应（电子投标）说明 1.本项目通过“政采云平台（www.zcygov.cn）”实行在线投标响应（电子投标）（不接受现场递交的纸质响应文件），供应商应先安装“政采云电子交易客户端”，并按照本采购文件和“政采云平台”的要求，通过“政采云电子交易客户端”编制并加密响应文件。供应商未按规定加密的响应文件，“政采云平台”将予以拒收。 “政采云电子交易客户端”请自行前往“浙江政府采购网-下载专区-电子交易客户端”进行下载；电子投标具体操作流程详见“政采云平台（www.zcygov.cn）-服务中心-帮助文档-项目采购-操作流程-电子招投标”；在线投标时如遇平台操作/技术问题详询政采云客服400-881-7190。 2.为确保网上操作合法、有效和安全，政采云规定投标供应商应当在投标截止时间前完成在“政采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 3.投标供应商应当在投标截止时间前，将生成的《电子加密响应文件》上传递交至“政采云平台”并在开标时在“政采云平台”进行CA数字证书解密参与投标。投标截止时间以后上传的响应文件将被“政采云平台”拒收。 4.投标供应商在“政采云平台”完成“电子加密响应文件”的上传递交后，还可以人工递交或（顺丰邮寄形式）在投标截止时间前递交以（U盘）存储的数据电文形式的“备份响应文件”1份至代理公司，“备份响应文件”应当密封包装并在包装上标注投标项目、投标单位并加盖公章。详细操作见“磋商通知(邀请)书”。 5.通过“政府采购云平台”上传递交的“电子加密响应文件”无法按时解密，投标供应商有递交了备份响应文件的，以备份响应文件为依据，否则视为响应文件撤回，放弃投标。通过“政府采购云平台”上传递交的“电子加密响应文件”已按时解密的，“备份响应文件”自动失效。投标供应商仅递交备份响应文件的，投标无效。 6.其他内容详见磋商文件 （2）本项目在报价分评审时对小微型企业,监狱企业，残疾人福利性单位给予价格优惠扶持，具体规定见“评审办法”。 （3）本项目按《财政部关于在政府采购活动中查询及使用信用记录的通知》（财库〔2016〕125号）相关规定，对供应商进行信用甄别，详细规定见磋商文件。7、支持创新发展1）采购人优先采购被认定为首台套产品和“制造精品”的自主创新产品。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  </w:t>
      </w:r>
    </w:p>
    <w:p>
      <w:pPr>
        <w:pStyle w:val="41"/>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49"/>
          <w:rFonts w:ascii="黑体" w:hAnsi="宋体" w:eastAsia="黑体" w:cs="黑体"/>
          <w:i w:val="0"/>
          <w:iCs w:val="0"/>
          <w:caps w:val="0"/>
          <w:color w:val="000000"/>
          <w:spacing w:val="0"/>
          <w:sz w:val="27"/>
          <w:szCs w:val="27"/>
        </w:rPr>
        <w:t>七、对本次采购提出询问、质疑、投诉，请按以下方式联系</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w:t>
      </w:r>
      <w:r>
        <w:rPr>
          <w:rFonts w:hint="eastAsia" w:ascii="仿宋" w:hAnsi="仿宋" w:eastAsia="仿宋" w:cs="仿宋"/>
          <w:i w:val="0"/>
          <w:iCs w:val="0"/>
          <w:caps w:val="0"/>
          <w:color w:val="000000"/>
          <w:spacing w:val="0"/>
          <w:sz w:val="27"/>
          <w:szCs w:val="27"/>
          <w:lang w:eastAsia="zh-CN"/>
        </w:rPr>
        <w:t>龙港市职业中等专业学校</w:t>
      </w:r>
      <w:r>
        <w:rPr>
          <w:rFonts w:hint="eastAsia" w:ascii="仿宋" w:hAnsi="仿宋" w:eastAsia="仿宋" w:cs="仿宋"/>
          <w:i w:val="0"/>
          <w:iCs w:val="0"/>
          <w:caps w:val="0"/>
          <w:color w:val="000000"/>
          <w:spacing w:val="0"/>
          <w:sz w:val="27"/>
          <w:szCs w:val="27"/>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w:t>
      </w:r>
      <w:r>
        <w:rPr>
          <w:rFonts w:hint="eastAsia" w:ascii="仿宋" w:hAnsi="仿宋" w:eastAsia="仿宋" w:cs="仿宋"/>
          <w:i w:val="0"/>
          <w:iCs w:val="0"/>
          <w:caps w:val="0"/>
          <w:color w:val="000000"/>
          <w:spacing w:val="0"/>
          <w:sz w:val="24"/>
          <w:szCs w:val="24"/>
        </w:rPr>
        <w:t xml:space="preserve">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称：杭州华旗招标代理有限公司 </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址：牛山商务大厦907 </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 </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项目联系人（询问）：陈维文  </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项目联系方式（询问）：13738772079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质疑联系人：黄鹏 </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质疑联系方式：13676441826 　　　　　　</w:t>
      </w: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3.</w:t>
      </w:r>
      <w:r>
        <w:rPr>
          <w:rStyle w:val="56"/>
          <w:rFonts w:hint="eastAsia" w:ascii="仿宋" w:hAnsi="仿宋" w:eastAsia="仿宋" w:cs="仿宋"/>
          <w:i w:val="0"/>
          <w:iCs w:val="0"/>
          <w:caps w:val="0"/>
          <w:color w:val="000000"/>
          <w:spacing w:val="0"/>
          <w:sz w:val="27"/>
          <w:szCs w:val="27"/>
        </w:rPr>
        <w:t>同级政府采购监督管理部门</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称：龙港市财政局财政督查科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址：龙港市龙港大道与西五街交叉路口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传    真：0577-68081810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联 系 人：陈先生</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监督投诉电话：0577-68081810 </w:t>
      </w:r>
    </w:p>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7"/>
          <w:szCs w:val="27"/>
          <w:lang w:val="en-US" w:eastAsia="zh-CN" w:bidi="ar"/>
        </w:rPr>
        <w:t> </w:t>
      </w:r>
      <w:r>
        <w:rPr>
          <w:rFonts w:hint="eastAsia" w:ascii="仿宋" w:hAnsi="仿宋" w:eastAsia="仿宋" w:cs="仿宋"/>
          <w:i w:val="0"/>
          <w:iCs w:val="0"/>
          <w:caps w:val="0"/>
          <w:color w:val="000000"/>
          <w:spacing w:val="0"/>
          <w:kern w:val="0"/>
          <w:sz w:val="24"/>
          <w:szCs w:val="24"/>
          <w:lang w:val="en-US" w:eastAsia="zh-CN" w:bidi="ar"/>
        </w:rPr>
        <w:t>           </w:t>
      </w:r>
    </w:p>
    <w:p>
      <w:pPr>
        <w:pStyle w:val="41"/>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4"/>
          <w:szCs w:val="24"/>
        </w:rPr>
        <w:t>         </w:t>
      </w:r>
    </w:p>
    <w:p>
      <w:pPr>
        <w:pStyle w:val="41"/>
        <w:keepNext w:val="0"/>
        <w:keepLines w:val="0"/>
        <w:widowControl/>
        <w:suppressLineNumbers w:val="0"/>
        <w:spacing w:before="75" w:beforeAutospacing="0" w:after="75" w:afterAutospacing="0"/>
        <w:ind w:left="0" w:right="0"/>
      </w:pP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若对项目采购电子交易系统操作有疑问，可登录政采云（https://www.zcygov.cn/），点击右侧咨询小采，获取采小蜜智能服务管家帮助，或拨打政采云服务热线95763获取热线服务帮助。       </w:t>
      </w:r>
    </w:p>
    <w:p>
      <w:pPr>
        <w:keepNext w:val="0"/>
        <w:keepLines w:val="0"/>
        <w:widowControl/>
        <w:suppressLineNumbers w:val="0"/>
        <w:ind w:left="0" w:firstLine="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CA问题联系电话（人工）：汇信CA 400-888-4636；天谷CA 400-087-8198。</w:t>
      </w:r>
    </w:p>
    <w:p>
      <w:pPr>
        <w:pStyle w:val="41"/>
        <w:spacing w:before="50" w:beforeAutospacing="0" w:after="50" w:afterAutospacing="0"/>
      </w:pPr>
    </w:p>
    <w:p>
      <w:pPr>
        <w:widowControl/>
        <w:jc w:val="left"/>
        <w:rPr>
          <w:rFonts w:ascii="仿宋" w:hAnsi="仿宋" w:eastAsia="仿宋" w:cs="仿宋"/>
        </w:rPr>
      </w:pPr>
    </w:p>
    <w:p>
      <w:pPr>
        <w:pStyle w:val="41"/>
        <w:spacing w:before="50" w:beforeAutospacing="0" w:after="50" w:afterAutospacing="0"/>
      </w:pPr>
    </w:p>
    <w:p>
      <w:pPr>
        <w:pStyle w:val="41"/>
        <w:spacing w:before="50" w:beforeAutospacing="0" w:after="50" w:afterAutospacing="0"/>
        <w:rPr>
          <w:rFonts w:ascii="宋体" w:hAnsi="宋体" w:eastAsia="宋体" w:cs="宋体"/>
        </w:rPr>
      </w:pPr>
    </w:p>
    <w:bookmarkEnd w:id="7"/>
    <w:bookmarkEnd w:id="8"/>
    <w:p>
      <w:pPr>
        <w:spacing w:line="400" w:lineRule="exact"/>
        <w:ind w:right="480" w:firstLine="6000" w:firstLineChars="2500"/>
        <w:rPr>
          <w:rFonts w:ascii="宋体" w:hAnsi="宋体" w:cs="宋体"/>
          <w:kern w:val="24"/>
          <w:sz w:val="24"/>
        </w:rPr>
        <w:sectPr>
          <w:headerReference r:id="rId4" w:type="first"/>
          <w:footerReference r:id="rId7" w:type="first"/>
          <w:headerReference r:id="rId3" w:type="default"/>
          <w:footerReference r:id="rId5" w:type="default"/>
          <w:footerReference r:id="rId6" w:type="even"/>
          <w:pgSz w:w="11907" w:h="16840"/>
          <w:pgMar w:top="1928" w:right="1304" w:bottom="1531" w:left="1474" w:header="1077" w:footer="964" w:gutter="0"/>
          <w:pgNumType w:fmt="decimalFullWidth" w:start="0"/>
          <w:cols w:space="720" w:num="1"/>
          <w:titlePg/>
          <w:docGrid w:linePitch="326" w:charSpace="-3415"/>
        </w:sectPr>
      </w:pPr>
    </w:p>
    <w:p>
      <w:pPr>
        <w:pStyle w:val="2"/>
        <w:keepNext w:val="0"/>
        <w:keepLines w:val="0"/>
        <w:pageBreakBefore/>
        <w:spacing w:line="240" w:lineRule="auto"/>
        <w:jc w:val="center"/>
        <w:rPr>
          <w:rFonts w:ascii="宋体" w:hAnsi="宋体" w:cs="宋体"/>
          <w:sz w:val="32"/>
          <w:szCs w:val="32"/>
        </w:rPr>
      </w:pPr>
      <w:r>
        <w:rPr>
          <w:rFonts w:hint="eastAsia" w:ascii="宋体" w:hAnsi="宋体" w:cs="宋体"/>
          <w:sz w:val="32"/>
          <w:szCs w:val="32"/>
        </w:rPr>
        <w:t>第二章  投标人须知前附表</w:t>
      </w:r>
    </w:p>
    <w:p>
      <w:pPr>
        <w:numPr>
          <w:ilvl w:val="0"/>
          <w:numId w:val="2"/>
        </w:numPr>
        <w:jc w:val="center"/>
        <w:rPr>
          <w:rFonts w:ascii="宋体" w:hAnsi="宋体" w:cs="宋体"/>
          <w:b/>
          <w:bCs/>
          <w:sz w:val="24"/>
          <w:szCs w:val="21"/>
        </w:rPr>
      </w:pPr>
      <w:r>
        <w:rPr>
          <w:rFonts w:hint="eastAsia" w:ascii="宋体" w:hAnsi="宋体" w:cs="宋体"/>
          <w:b/>
          <w:bCs/>
          <w:sz w:val="24"/>
          <w:szCs w:val="21"/>
        </w:rPr>
        <w:t>投标须知前附表</w:t>
      </w:r>
    </w:p>
    <w:p>
      <w:pPr>
        <w:autoSpaceDE w:val="0"/>
        <w:autoSpaceDN w:val="0"/>
        <w:adjustRightInd w:val="0"/>
        <w:spacing w:line="460" w:lineRule="exact"/>
        <w:ind w:left="-1" w:leftChars="-86" w:hanging="180" w:hangingChars="75"/>
        <w:rPr>
          <w:rFonts w:ascii="宋体" w:hAnsi="宋体" w:cs="宋体"/>
          <w:kern w:val="24"/>
          <w:sz w:val="24"/>
        </w:rPr>
      </w:pPr>
      <w:r>
        <w:rPr>
          <w:rFonts w:hint="eastAsia" w:ascii="宋体" w:hAnsi="宋体" w:cs="宋体"/>
          <w:sz w:val="24"/>
          <w:lang w:val="zh-CN"/>
        </w:rPr>
        <w:t>本表是对投标须知的补充和修改，如有矛盾以本表为准</w:t>
      </w:r>
    </w:p>
    <w:tbl>
      <w:tblPr>
        <w:tblStyle w:val="46"/>
        <w:tblW w:w="956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356" w:type="dxa"/>
            <w:tcBorders>
              <w:top w:val="double" w:color="auto" w:sz="4" w:space="0"/>
              <w:left w:val="double" w:color="auto" w:sz="4" w:space="0"/>
            </w:tcBorders>
            <w:vAlign w:val="center"/>
          </w:tcPr>
          <w:p>
            <w:pPr>
              <w:pStyle w:val="14"/>
              <w:adjustRightInd w:val="0"/>
              <w:snapToGrid w:val="0"/>
              <w:spacing w:before="0" w:line="360" w:lineRule="atLeast"/>
              <w:rPr>
                <w:rFonts w:ascii="宋体" w:hAnsi="宋体" w:eastAsia="宋体" w:cs="宋体"/>
                <w:b w:val="0"/>
                <w:bCs w:val="0"/>
                <w:color w:val="auto"/>
                <w:szCs w:val="24"/>
              </w:rPr>
            </w:pPr>
            <w:r>
              <w:rPr>
                <w:rFonts w:hint="eastAsia" w:ascii="宋体" w:hAnsi="宋体" w:eastAsia="宋体" w:cs="宋体"/>
                <w:b w:val="0"/>
                <w:bCs w:val="0"/>
                <w:color w:val="auto"/>
                <w:szCs w:val="24"/>
              </w:rPr>
              <w:t>招标编号</w:t>
            </w:r>
          </w:p>
        </w:tc>
        <w:tc>
          <w:tcPr>
            <w:tcW w:w="7211" w:type="dxa"/>
            <w:tcBorders>
              <w:top w:val="double" w:color="auto" w:sz="4" w:space="0"/>
              <w:right w:val="double" w:color="auto" w:sz="4" w:space="0"/>
            </w:tcBorders>
            <w:vAlign w:val="center"/>
          </w:tcPr>
          <w:p>
            <w:pPr>
              <w:pStyle w:val="14"/>
              <w:adjustRightInd w:val="0"/>
              <w:snapToGrid w:val="0"/>
              <w:spacing w:before="0" w:line="360" w:lineRule="atLeast"/>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lang w:eastAsia="zh-CN"/>
              </w:rPr>
              <w:t>LGCG2024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356" w:type="dxa"/>
            <w:tcBorders>
              <w:left w:val="double" w:color="auto" w:sz="4" w:space="0"/>
            </w:tcBorders>
            <w:vAlign w:val="center"/>
          </w:tcPr>
          <w:p>
            <w:pPr>
              <w:pStyle w:val="14"/>
              <w:adjustRightInd w:val="0"/>
              <w:snapToGrid w:val="0"/>
              <w:spacing w:before="0" w:line="360" w:lineRule="atLeast"/>
              <w:rPr>
                <w:rFonts w:ascii="宋体" w:hAnsi="宋体" w:eastAsia="宋体" w:cs="宋体"/>
                <w:b w:val="0"/>
                <w:bCs w:val="0"/>
                <w:color w:val="auto"/>
                <w:szCs w:val="24"/>
              </w:rPr>
            </w:pPr>
            <w:r>
              <w:rPr>
                <w:rFonts w:hint="eastAsia" w:ascii="宋体" w:hAnsi="宋体" w:eastAsia="宋体" w:cs="宋体"/>
                <w:b w:val="0"/>
                <w:bCs w:val="0"/>
                <w:color w:val="auto"/>
                <w:szCs w:val="24"/>
              </w:rPr>
              <w:t xml:space="preserve">招标内容 </w:t>
            </w:r>
          </w:p>
        </w:tc>
        <w:tc>
          <w:tcPr>
            <w:tcW w:w="7211" w:type="dxa"/>
            <w:tcBorders>
              <w:right w:val="double" w:color="auto" w:sz="4" w:space="0"/>
            </w:tcBorders>
            <w:vAlign w:val="center"/>
          </w:tcPr>
          <w:p>
            <w:pPr>
              <w:pStyle w:val="14"/>
              <w:adjustRightInd w:val="0"/>
              <w:snapToGrid w:val="0"/>
              <w:spacing w:before="0" w:line="360" w:lineRule="atLeast"/>
              <w:rPr>
                <w:rFonts w:hint="eastAsia" w:ascii="宋体" w:hAnsi="宋体" w:eastAsia="宋体" w:cs="宋体"/>
                <w:b w:val="0"/>
                <w:bCs w:val="0"/>
                <w:color w:val="auto"/>
                <w:szCs w:val="24"/>
                <w:lang w:eastAsia="zh-CN"/>
              </w:rPr>
            </w:pPr>
            <w:r>
              <w:rPr>
                <w:rFonts w:hint="eastAsia" w:ascii="宋体" w:hAnsi="宋体" w:eastAsia="宋体" w:cs="宋体"/>
                <w:b w:val="0"/>
                <w:bCs w:val="0"/>
                <w:color w:val="auto"/>
                <w:szCs w:val="24"/>
                <w:lang w:eastAsia="zh-CN"/>
              </w:rPr>
              <w:t>龙港市职业中等专业学校学生宿舍床设备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56" w:type="dxa"/>
            <w:tcBorders>
              <w:left w:val="double" w:color="auto" w:sz="4" w:space="0"/>
            </w:tcBorders>
            <w:vAlign w:val="center"/>
          </w:tcPr>
          <w:p>
            <w:pPr>
              <w:adjustRightInd w:val="0"/>
              <w:snapToGrid w:val="0"/>
              <w:spacing w:line="360" w:lineRule="atLeast"/>
              <w:rPr>
                <w:rFonts w:ascii="宋体" w:hAnsi="宋体" w:cs="宋体"/>
                <w:sz w:val="24"/>
              </w:rPr>
            </w:pPr>
            <w:r>
              <w:rPr>
                <w:rFonts w:hint="eastAsia" w:ascii="宋体" w:hAnsi="宋体" w:cs="宋体"/>
                <w:sz w:val="24"/>
              </w:rPr>
              <w:t>资金来源</w:t>
            </w:r>
          </w:p>
        </w:tc>
        <w:tc>
          <w:tcPr>
            <w:tcW w:w="7211" w:type="dxa"/>
            <w:tcBorders>
              <w:right w:val="double" w:color="auto" w:sz="4" w:space="0"/>
            </w:tcBorders>
            <w:vAlign w:val="center"/>
          </w:tcPr>
          <w:p>
            <w:pPr>
              <w:pStyle w:val="14"/>
              <w:adjustRightInd w:val="0"/>
              <w:snapToGrid w:val="0"/>
              <w:spacing w:before="0" w:line="360" w:lineRule="atLeast"/>
              <w:rPr>
                <w:rFonts w:ascii="宋体" w:hAnsi="宋体" w:eastAsia="宋体" w:cs="宋体"/>
                <w:b w:val="0"/>
                <w:bCs w:val="0"/>
                <w:color w:val="auto"/>
                <w:szCs w:val="30"/>
              </w:rPr>
            </w:pPr>
            <w:r>
              <w:rPr>
                <w:rFonts w:hint="eastAsia" w:ascii="宋体" w:hAnsi="宋体" w:eastAsia="宋体" w:cs="宋体"/>
                <w:b w:val="0"/>
                <w:bCs w:val="0"/>
                <w:color w:val="auto"/>
                <w:szCs w:val="30"/>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356" w:type="dxa"/>
            <w:tcBorders>
              <w:left w:val="double" w:color="auto" w:sz="4" w:space="0"/>
            </w:tcBorders>
            <w:vAlign w:val="center"/>
          </w:tcPr>
          <w:p>
            <w:pPr>
              <w:adjustRightInd w:val="0"/>
              <w:snapToGrid w:val="0"/>
              <w:spacing w:line="360" w:lineRule="atLeast"/>
              <w:rPr>
                <w:rFonts w:ascii="宋体" w:hAnsi="宋体" w:cs="宋体"/>
                <w:sz w:val="24"/>
              </w:rPr>
            </w:pPr>
            <w:r>
              <w:rPr>
                <w:rFonts w:hint="eastAsia" w:ascii="宋体" w:hAnsi="宋体" w:cs="宋体"/>
                <w:sz w:val="24"/>
              </w:rPr>
              <w:t>招标方式</w:t>
            </w:r>
          </w:p>
        </w:tc>
        <w:tc>
          <w:tcPr>
            <w:tcW w:w="7211" w:type="dxa"/>
            <w:tcBorders>
              <w:right w:val="double" w:color="auto" w:sz="4" w:space="0"/>
            </w:tcBorders>
            <w:vAlign w:val="center"/>
          </w:tcPr>
          <w:p>
            <w:pPr>
              <w:adjustRightInd w:val="0"/>
              <w:snapToGrid w:val="0"/>
              <w:spacing w:line="360" w:lineRule="atLeast"/>
              <w:rPr>
                <w:rFonts w:ascii="宋体" w:hAnsi="宋体" w:cs="宋体"/>
                <w:sz w:val="24"/>
              </w:rPr>
            </w:pPr>
            <w:r>
              <w:rPr>
                <w:rFonts w:hint="eastAsia" w:ascii="宋体" w:hAnsi="宋体" w:cs="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356" w:type="dxa"/>
            <w:tcBorders>
              <w:left w:val="double" w:color="auto" w:sz="4" w:space="0"/>
            </w:tcBorders>
            <w:vAlign w:val="center"/>
          </w:tcPr>
          <w:p>
            <w:pPr>
              <w:adjustRightInd w:val="0"/>
              <w:snapToGrid w:val="0"/>
              <w:spacing w:line="360" w:lineRule="atLeast"/>
              <w:rPr>
                <w:rFonts w:ascii="宋体" w:hAnsi="宋体" w:cs="宋体"/>
                <w:sz w:val="24"/>
              </w:rPr>
            </w:pPr>
            <w:r>
              <w:rPr>
                <w:rFonts w:hint="eastAsia" w:ascii="宋体" w:hAnsi="宋体" w:cs="宋体"/>
                <w:sz w:val="24"/>
              </w:rPr>
              <w:t>评标办法</w:t>
            </w:r>
          </w:p>
        </w:tc>
        <w:tc>
          <w:tcPr>
            <w:tcW w:w="7211" w:type="dxa"/>
            <w:tcBorders>
              <w:right w:val="double" w:color="auto" w:sz="4" w:space="0"/>
            </w:tcBorders>
            <w:vAlign w:val="center"/>
          </w:tcPr>
          <w:p>
            <w:pPr>
              <w:adjustRightInd w:val="0"/>
              <w:snapToGrid w:val="0"/>
              <w:spacing w:line="360" w:lineRule="atLeast"/>
              <w:rPr>
                <w:rFonts w:ascii="宋体" w:hAnsi="宋体" w:cs="宋体"/>
                <w:sz w:val="24"/>
              </w:rPr>
            </w:pPr>
            <w:r>
              <w:rPr>
                <w:rFonts w:hint="eastAsia" w:ascii="宋体" w:hAnsi="宋体"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356" w:type="dxa"/>
            <w:tcBorders>
              <w:left w:val="double" w:color="auto" w:sz="4" w:space="0"/>
            </w:tcBorders>
            <w:vAlign w:val="center"/>
          </w:tcPr>
          <w:p>
            <w:pPr>
              <w:adjustRightInd w:val="0"/>
              <w:snapToGrid w:val="0"/>
              <w:spacing w:line="360" w:lineRule="atLeast"/>
              <w:rPr>
                <w:rFonts w:ascii="宋体" w:hAnsi="宋体" w:cs="宋体"/>
                <w:sz w:val="24"/>
              </w:rPr>
            </w:pPr>
            <w:r>
              <w:rPr>
                <w:rFonts w:hint="eastAsia" w:ascii="宋体" w:hAnsi="宋体" w:cs="宋体"/>
                <w:sz w:val="24"/>
              </w:rPr>
              <w:t>最高限价</w:t>
            </w:r>
          </w:p>
        </w:tc>
        <w:tc>
          <w:tcPr>
            <w:tcW w:w="7211" w:type="dxa"/>
            <w:tcBorders>
              <w:right w:val="double" w:color="auto" w:sz="4" w:space="0"/>
            </w:tcBorders>
            <w:vAlign w:val="center"/>
          </w:tcPr>
          <w:p>
            <w:pPr>
              <w:adjustRightInd w:val="0"/>
              <w:snapToGrid w:val="0"/>
              <w:spacing w:line="360" w:lineRule="atLeast"/>
              <w:ind w:firstLine="960" w:firstLineChars="400"/>
              <w:rPr>
                <w:rFonts w:ascii="宋体" w:hAnsi="宋体" w:cs="宋体"/>
                <w:sz w:val="24"/>
              </w:rPr>
            </w:pPr>
            <w:r>
              <w:rPr>
                <w:rFonts w:hint="eastAsia" w:ascii="宋体" w:hAnsi="宋体" w:cs="宋体"/>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356" w:type="dxa"/>
            <w:tcBorders>
              <w:left w:val="double" w:color="auto" w:sz="4" w:space="0"/>
            </w:tcBorders>
            <w:vAlign w:val="center"/>
          </w:tcPr>
          <w:p>
            <w:pPr>
              <w:adjustRightInd w:val="0"/>
              <w:snapToGrid w:val="0"/>
              <w:spacing w:line="360" w:lineRule="atLeast"/>
              <w:rPr>
                <w:rFonts w:ascii="宋体" w:hAnsi="宋体" w:cs="宋体"/>
                <w:sz w:val="24"/>
              </w:rPr>
            </w:pPr>
            <w:r>
              <w:rPr>
                <w:rFonts w:hint="eastAsia" w:ascii="宋体" w:hAnsi="宋体" w:cs="宋体"/>
                <w:sz w:val="24"/>
              </w:rPr>
              <w:t>投标有效期</w:t>
            </w:r>
          </w:p>
        </w:tc>
        <w:tc>
          <w:tcPr>
            <w:tcW w:w="7211" w:type="dxa"/>
            <w:tcBorders>
              <w:right w:val="double" w:color="auto" w:sz="4" w:space="0"/>
            </w:tcBorders>
            <w:vAlign w:val="center"/>
          </w:tcPr>
          <w:p>
            <w:pPr>
              <w:adjustRightInd w:val="0"/>
              <w:snapToGrid w:val="0"/>
              <w:spacing w:line="360" w:lineRule="atLeast"/>
              <w:rPr>
                <w:rFonts w:ascii="宋体" w:hAnsi="宋体" w:cs="宋体"/>
                <w:sz w:val="24"/>
              </w:rPr>
            </w:pPr>
            <w:r>
              <w:rPr>
                <w:rFonts w:hint="eastAsia" w:ascii="宋体" w:hAnsi="宋体" w:cs="宋体"/>
                <w:sz w:val="24"/>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投标文件形式、制作</w:t>
            </w:r>
          </w:p>
        </w:tc>
        <w:tc>
          <w:tcPr>
            <w:tcW w:w="7211" w:type="dxa"/>
            <w:tcBorders>
              <w:right w:val="double" w:color="auto" w:sz="4" w:space="0"/>
            </w:tcBorders>
            <w:vAlign w:val="center"/>
          </w:tcPr>
          <w:p>
            <w:pPr>
              <w:wordWrap w:val="0"/>
              <w:spacing w:line="500" w:lineRule="exact"/>
              <w:rPr>
                <w:rFonts w:ascii="宋体" w:hAnsi="宋体" w:cs="宋体"/>
                <w:sz w:val="24"/>
              </w:rPr>
            </w:pPr>
            <w:r>
              <w:rPr>
                <w:rFonts w:hint="eastAsia" w:ascii="宋体" w:hAnsi="宋体" w:cs="宋体"/>
                <w:sz w:val="24"/>
              </w:rPr>
              <w:t>电子投标文件和电子备份投标文件：</w:t>
            </w:r>
          </w:p>
          <w:p>
            <w:pPr>
              <w:wordWrap w:val="0"/>
              <w:spacing w:line="500" w:lineRule="exact"/>
              <w:rPr>
                <w:rFonts w:ascii="宋体" w:hAnsi="宋体" w:cs="宋体"/>
                <w:sz w:val="24"/>
              </w:rPr>
            </w:pPr>
            <w:r>
              <w:rPr>
                <w:rFonts w:hint="eastAsia" w:ascii="宋体" w:hAnsi="宋体" w:cs="宋体"/>
                <w:sz w:val="24"/>
              </w:rPr>
              <w:t>（1）电子投标文件，按政采云平台供应商项目采购-电子招投标操作指南及本招标文件要求递交。</w:t>
            </w:r>
          </w:p>
          <w:p>
            <w:pPr>
              <w:wordWrap w:val="0"/>
              <w:spacing w:line="500" w:lineRule="exact"/>
              <w:rPr>
                <w:rFonts w:ascii="宋体" w:hAnsi="宋体" w:cs="宋体"/>
                <w:sz w:val="24"/>
              </w:rPr>
            </w:pPr>
            <w:r>
              <w:rPr>
                <w:rFonts w:hint="eastAsia" w:ascii="宋体" w:hAnsi="宋体" w:cs="宋体"/>
                <w:sz w:val="24"/>
              </w:rPr>
              <w:t>（2）电子备份投标文件系政采云平台系统生成的电子加密备份文件，如投标人提供的备份有误，启用时将无法成功导入，责任自负。以U盘存储，装密封袋内递交，密封袋上标明“招标项目名称、招标编号、投标人名称等字样”并加盖单位公章，可邮寄(建议用EMS或顺丰等)数量： 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投标文件的签章</w:t>
            </w:r>
          </w:p>
        </w:tc>
        <w:tc>
          <w:tcPr>
            <w:tcW w:w="7211" w:type="dxa"/>
            <w:tcBorders>
              <w:right w:val="double" w:color="auto" w:sz="4" w:space="0"/>
            </w:tcBorders>
            <w:vAlign w:val="center"/>
          </w:tcPr>
          <w:p>
            <w:pPr>
              <w:wordWrap w:val="0"/>
              <w:spacing w:line="500" w:lineRule="exact"/>
              <w:rPr>
                <w:rFonts w:ascii="宋体" w:hAnsi="宋体" w:cs="宋体"/>
                <w:sz w:val="24"/>
              </w:rPr>
            </w:pPr>
            <w:r>
              <w:rPr>
                <w:rFonts w:hint="eastAsia" w:ascii="宋体" w:hAnsi="宋体" w:cs="宋体"/>
                <w:sz w:val="24"/>
              </w:rPr>
              <w:t>☑电子签章（投标文件里要求盖公章和代表盖章的均使用电子签章，如无法使用电子签章时，供应商需将响应文件打印出再盖上公章、签字后再扫描至客户端按要求继续进行编制）。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356" w:type="dxa"/>
            <w:tcBorders>
              <w:left w:val="double" w:color="auto" w:sz="4" w:space="0"/>
            </w:tcBorders>
            <w:vAlign w:val="center"/>
          </w:tcPr>
          <w:p>
            <w:pPr>
              <w:pStyle w:val="24"/>
              <w:snapToGrid w:val="0"/>
              <w:spacing w:line="380" w:lineRule="exact"/>
              <w:rPr>
                <w:rFonts w:hAnsi="宋体" w:cs="宋体"/>
                <w:kern w:val="0"/>
                <w:sz w:val="24"/>
                <w:szCs w:val="24"/>
              </w:rPr>
            </w:pPr>
            <w:r>
              <w:rPr>
                <w:rFonts w:hint="eastAsia" w:hAnsi="宋体" w:cs="宋体"/>
                <w:kern w:val="0"/>
                <w:sz w:val="24"/>
                <w:szCs w:val="24"/>
              </w:rPr>
              <w:t>电子投标文件的传输递交</w:t>
            </w:r>
          </w:p>
        </w:tc>
        <w:tc>
          <w:tcPr>
            <w:tcW w:w="7211" w:type="dxa"/>
            <w:tcBorders>
              <w:right w:val="double" w:color="auto" w:sz="4" w:space="0"/>
            </w:tcBorders>
            <w:vAlign w:val="center"/>
          </w:tcPr>
          <w:p>
            <w:pPr>
              <w:pStyle w:val="24"/>
              <w:adjustRightInd w:val="0"/>
              <w:snapToGrid w:val="0"/>
              <w:spacing w:before="120" w:after="120" w:line="500" w:lineRule="exact"/>
              <w:rPr>
                <w:rFonts w:hAnsi="宋体" w:cs="宋体"/>
                <w:kern w:val="0"/>
                <w:sz w:val="24"/>
                <w:szCs w:val="24"/>
              </w:rPr>
            </w:pPr>
            <w:r>
              <w:rPr>
                <w:rFonts w:hint="eastAsia" w:hAnsi="宋体" w:cs="宋体"/>
                <w:kern w:val="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w:t>
            </w:r>
            <w:r>
              <w:rPr>
                <w:rFonts w:hint="eastAsia" w:hAnsi="宋体" w:cs="宋体"/>
                <w:sz w:val="24"/>
              </w:rPr>
              <w:t>电子备份投标文件</w:t>
            </w:r>
            <w:r>
              <w:rPr>
                <w:rFonts w:hint="eastAsia" w:hAnsi="宋体" w:cs="宋体"/>
                <w:kern w:val="0"/>
                <w:sz w:val="24"/>
                <w:szCs w:val="24"/>
              </w:rPr>
              <w:t>），将被拒收。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56" w:type="dxa"/>
            <w:tcBorders>
              <w:left w:val="double" w:color="auto" w:sz="4" w:space="0"/>
            </w:tcBorders>
            <w:vAlign w:val="center"/>
          </w:tcPr>
          <w:p>
            <w:pPr>
              <w:pStyle w:val="24"/>
              <w:snapToGrid w:val="0"/>
              <w:spacing w:line="380" w:lineRule="exact"/>
              <w:rPr>
                <w:rFonts w:hAnsi="宋体" w:cs="宋体"/>
                <w:spacing w:val="-20"/>
                <w:kern w:val="0"/>
                <w:sz w:val="24"/>
                <w:szCs w:val="24"/>
              </w:rPr>
            </w:pPr>
            <w:r>
              <w:rPr>
                <w:rFonts w:hint="eastAsia" w:hAnsi="宋体" w:cs="宋体"/>
                <w:kern w:val="0"/>
                <w:sz w:val="24"/>
                <w:szCs w:val="24"/>
              </w:rPr>
              <w:t>电子备份投标文件的递交（不作强制要求）</w:t>
            </w:r>
          </w:p>
        </w:tc>
        <w:tc>
          <w:tcPr>
            <w:tcW w:w="7211" w:type="dxa"/>
            <w:tcBorders>
              <w:right w:val="double" w:color="auto" w:sz="4" w:space="0"/>
            </w:tcBorders>
            <w:vAlign w:val="center"/>
          </w:tcPr>
          <w:p>
            <w:pPr>
              <w:pStyle w:val="24"/>
              <w:snapToGrid w:val="0"/>
              <w:spacing w:line="500" w:lineRule="exact"/>
              <w:rPr>
                <w:rFonts w:hAnsi="宋体" w:cs="宋体"/>
                <w:kern w:val="0"/>
                <w:sz w:val="24"/>
                <w:szCs w:val="24"/>
              </w:rPr>
            </w:pPr>
            <w:r>
              <w:rPr>
                <w:rFonts w:hint="eastAsia" w:hAnsi="宋体" w:cs="宋体"/>
                <w:kern w:val="0"/>
                <w:sz w:val="24"/>
                <w:szCs w:val="24"/>
              </w:rPr>
              <w:t>如有提供电子备份文件投标人应当在投标截止时间前将电子备份投标文按要求密封送交（可邮寄）到龙港市世纪大道4518号龙港市政务客厅4楼政府采购科，逾期送达或未按要求密封将被拒收，以送件人送达指定地点且政府采购科实际收到为准。</w:t>
            </w:r>
            <w:r>
              <w:rPr>
                <w:rFonts w:hint="eastAsia" w:hAnsi="宋体" w:cs="宋体"/>
                <w:kern w:val="0"/>
                <w:sz w:val="24"/>
                <w:szCs w:val="24"/>
                <w:u w:val="single"/>
              </w:rPr>
              <w:t>如投标人未在投标截止时间前完成电子投标文件的传输递交，其电子备份投标文件也将被拒收，其投标无效。电子备份投标文件如因邮寄等情况（如破损、遗失、未按时送达、备份导入和解密失败等）产生的后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356" w:type="dxa"/>
            <w:tcBorders>
              <w:left w:val="double" w:color="auto" w:sz="4" w:space="0"/>
            </w:tcBorders>
            <w:vAlign w:val="center"/>
          </w:tcPr>
          <w:p>
            <w:pPr>
              <w:pStyle w:val="24"/>
              <w:spacing w:line="380" w:lineRule="exact"/>
              <w:rPr>
                <w:rFonts w:hAnsi="宋体" w:cs="宋体"/>
                <w:kern w:val="0"/>
                <w:sz w:val="24"/>
                <w:szCs w:val="24"/>
              </w:rPr>
            </w:pPr>
            <w:r>
              <w:rPr>
                <w:rFonts w:hint="eastAsia" w:hAnsi="宋体" w:cs="宋体"/>
                <w:kern w:val="0"/>
                <w:sz w:val="24"/>
                <w:szCs w:val="24"/>
              </w:rPr>
              <w:t>注意事项</w:t>
            </w:r>
          </w:p>
        </w:tc>
        <w:tc>
          <w:tcPr>
            <w:tcW w:w="7211" w:type="dxa"/>
            <w:tcBorders>
              <w:right w:val="double" w:color="auto" w:sz="4" w:space="0"/>
            </w:tcBorders>
            <w:vAlign w:val="center"/>
          </w:tcPr>
          <w:p>
            <w:pPr>
              <w:pStyle w:val="24"/>
              <w:numPr>
                <w:ilvl w:val="0"/>
                <w:numId w:val="5"/>
              </w:numPr>
              <w:snapToGrid w:val="0"/>
              <w:spacing w:line="380" w:lineRule="exact"/>
              <w:rPr>
                <w:rStyle w:val="159"/>
                <w:rFonts w:hint="default" w:cs="宋体"/>
                <w:kern w:val="0"/>
                <w:sz w:val="24"/>
                <w:szCs w:val="24"/>
                <w:u w:val="single"/>
              </w:rPr>
            </w:pPr>
            <w:r>
              <w:rPr>
                <w:rStyle w:val="159"/>
                <w:rFonts w:hint="default" w:cs="宋体"/>
                <w:kern w:val="0"/>
                <w:sz w:val="24"/>
                <w:szCs w:val="24"/>
              </w:rPr>
              <w:t>建议投标人在政采云平台系统密切注意开评标进程，按规定完成 CA</w:t>
            </w:r>
            <w:r>
              <w:rPr>
                <w:rFonts w:hint="eastAsia" w:hAnsi="宋体" w:cs="宋体"/>
                <w:kern w:val="0"/>
                <w:sz w:val="24"/>
                <w:szCs w:val="24"/>
              </w:rPr>
              <w:t>数字证书</w:t>
            </w:r>
            <w:r>
              <w:rPr>
                <w:rStyle w:val="159"/>
                <w:rFonts w:hint="default" w:cs="宋体"/>
                <w:kern w:val="0"/>
                <w:sz w:val="24"/>
                <w:szCs w:val="24"/>
              </w:rPr>
              <w:t>传输、解密、询标等事宜。</w:t>
            </w:r>
            <w:r>
              <w:rPr>
                <w:rStyle w:val="159"/>
                <w:rFonts w:hint="default" w:cs="宋体"/>
                <w:kern w:val="0"/>
                <w:sz w:val="24"/>
                <w:szCs w:val="24"/>
                <w:u w:val="single"/>
              </w:rPr>
              <w:t>解密从投标</w:t>
            </w:r>
            <w:r>
              <w:rPr>
                <w:rStyle w:val="159"/>
                <w:rFonts w:hint="default" w:cs="宋体"/>
                <w:kern w:val="0"/>
                <w:sz w:val="24"/>
                <w:szCs w:val="24"/>
              </w:rPr>
              <w:t>截止时间后，</w:t>
            </w:r>
            <w:r>
              <w:rPr>
                <w:rStyle w:val="159"/>
                <w:rFonts w:hint="default" w:cs="宋体"/>
                <w:kern w:val="0"/>
                <w:sz w:val="24"/>
                <w:szCs w:val="24"/>
                <w:u w:val="single"/>
              </w:rPr>
              <w:t>开始解密起30分</w:t>
            </w:r>
            <w:r>
              <w:rPr>
                <w:rFonts w:hint="eastAsia" w:hAnsi="宋体" w:cs="宋体"/>
                <w:sz w:val="24"/>
                <w:u w:val="single"/>
              </w:rPr>
              <w:t>钟内如未进行解密或者解密失败，将启用</w:t>
            </w:r>
            <w:r>
              <w:rPr>
                <w:rFonts w:hint="eastAsia" w:hAnsi="宋体" w:cs="宋体"/>
                <w:kern w:val="0"/>
                <w:sz w:val="24"/>
                <w:szCs w:val="24"/>
                <w:u w:val="single"/>
              </w:rPr>
              <w:t>电子备份投标文件。</w:t>
            </w:r>
          </w:p>
          <w:p>
            <w:pPr>
              <w:pStyle w:val="24"/>
              <w:numPr>
                <w:ilvl w:val="0"/>
                <w:numId w:val="5"/>
              </w:numPr>
              <w:snapToGrid w:val="0"/>
              <w:spacing w:line="380" w:lineRule="exact"/>
              <w:rPr>
                <w:rFonts w:hAnsi="宋体" w:cs="宋体"/>
                <w:kern w:val="0"/>
                <w:sz w:val="24"/>
                <w:szCs w:val="24"/>
                <w:u w:val="single"/>
              </w:rPr>
            </w:pPr>
            <w:r>
              <w:rPr>
                <w:rStyle w:val="159"/>
                <w:rFonts w:hint="default" w:cs="宋体"/>
                <w:kern w:val="0"/>
                <w:sz w:val="24"/>
                <w:szCs w:val="24"/>
              </w:rPr>
              <w:t>考虑到系统兼容性建议投标人在操作电子投标流程时使用windows7 64位操作系统。</w:t>
            </w:r>
          </w:p>
          <w:p>
            <w:pPr>
              <w:pStyle w:val="24"/>
              <w:numPr>
                <w:ilvl w:val="0"/>
                <w:numId w:val="5"/>
              </w:numPr>
              <w:snapToGrid w:val="0"/>
              <w:spacing w:line="380" w:lineRule="exact"/>
              <w:rPr>
                <w:rStyle w:val="159"/>
                <w:rFonts w:hint="default" w:cs="宋体"/>
                <w:kern w:val="0"/>
                <w:sz w:val="24"/>
                <w:szCs w:val="24"/>
              </w:rPr>
            </w:pPr>
            <w:r>
              <w:rPr>
                <w:rFonts w:hint="eastAsia" w:hAnsi="宋体" w:cs="宋体"/>
                <w:kern w:val="0"/>
                <w:sz w:val="24"/>
                <w:szCs w:val="24"/>
                <w:u w:val="single"/>
              </w:rPr>
              <w:t>评审过程中涉及询标事项，请各供应商注意按系统规定时间在网上进行应答，超出时限未做应答的视为默认，后果自行负责。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2356" w:type="dxa"/>
            <w:tcBorders>
              <w:lef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投标截止与开标时间</w:t>
            </w:r>
          </w:p>
        </w:tc>
        <w:tc>
          <w:tcPr>
            <w:tcW w:w="7211" w:type="dxa"/>
            <w:tcBorders>
              <w:right w:val="double" w:color="auto" w:sz="4" w:space="0"/>
            </w:tcBorders>
            <w:vAlign w:val="center"/>
          </w:tcPr>
          <w:p>
            <w:pPr>
              <w:snapToGrid w:val="0"/>
              <w:spacing w:line="360" w:lineRule="atLeast"/>
              <w:rPr>
                <w:rFonts w:ascii="宋体" w:hAnsi="宋体" w:cs="宋体"/>
                <w:sz w:val="24"/>
              </w:rPr>
            </w:pP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 xml:space="preserve">年月日  </w:t>
            </w:r>
            <w:r>
              <w:rPr>
                <w:rFonts w:hint="eastAsia" w:ascii="宋体" w:hAnsi="宋体" w:cs="宋体"/>
                <w:sz w:val="24"/>
              </w:rPr>
              <w:t>09:30:00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356" w:type="dxa"/>
            <w:tcBorders>
              <w:lef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投标开标地点</w:t>
            </w:r>
          </w:p>
        </w:tc>
        <w:tc>
          <w:tcPr>
            <w:tcW w:w="7211" w:type="dxa"/>
            <w:tcBorders>
              <w:righ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龙港市世纪大道4518号龙港市政务客厅4楼（政采云平台系统线上开标）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2356" w:type="dxa"/>
            <w:tcBorders>
              <w:lef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杭州华旗代理有限公司</w:t>
            </w:r>
          </w:p>
        </w:tc>
        <w:tc>
          <w:tcPr>
            <w:tcW w:w="7211" w:type="dxa"/>
            <w:tcBorders>
              <w:righ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咨询电话：13738772079   联系人：陈先生</w:t>
            </w:r>
          </w:p>
          <w:p>
            <w:pPr>
              <w:snapToGrid w:val="0"/>
              <w:spacing w:line="360" w:lineRule="atLeast"/>
              <w:rPr>
                <w:rFonts w:ascii="宋体" w:hAnsi="宋体" w:cs="宋体"/>
                <w:kern w:val="0"/>
                <w:sz w:val="24"/>
              </w:rPr>
            </w:pPr>
            <w:r>
              <w:rPr>
                <w:rFonts w:hint="eastAsia" w:ascii="宋体" w:hAnsi="宋体" w:cs="宋体"/>
                <w:sz w:val="24"/>
              </w:rPr>
              <w:t>技术咨询：</w:t>
            </w:r>
            <w:r>
              <w:rPr>
                <w:rFonts w:hint="eastAsia" w:ascii="宋体" w:hAnsi="宋体" w:cs="宋体"/>
                <w:kern w:val="0"/>
                <w:sz w:val="24"/>
              </w:rPr>
              <w:t>400-881-7190   政采云平台技术支持热线咨询</w:t>
            </w:r>
          </w:p>
          <w:p>
            <w:pPr>
              <w:snapToGrid w:val="0"/>
              <w:spacing w:line="360" w:lineRule="atLeast"/>
              <w:rPr>
                <w:rFonts w:ascii="宋体" w:hAnsi="宋体" w:cs="宋体"/>
                <w:sz w:val="24"/>
              </w:rPr>
            </w:pPr>
            <w:r>
              <w:fldChar w:fldCharType="begin"/>
            </w:r>
            <w:r>
              <w:instrText xml:space="preserve"> HYPERLINK "https://edu.zcygov.cn/luban/e-biding" </w:instrText>
            </w:r>
            <w:r>
              <w:fldChar w:fldCharType="separate"/>
            </w:r>
            <w:r>
              <w:rPr>
                <w:rStyle w:val="54"/>
                <w:rFonts w:hint="eastAsia" w:ascii="宋体" w:hAnsi="宋体" w:cs="宋体"/>
                <w:color w:val="auto"/>
                <w:sz w:val="24"/>
              </w:rPr>
              <w:t>https://edu.zcygov.cn/luban/e-biding</w:t>
            </w:r>
            <w:r>
              <w:rPr>
                <w:rStyle w:val="54"/>
                <w:rFonts w:hint="eastAsia" w:ascii="宋体" w:hAnsi="宋体" w:cs="宋体"/>
                <w:color w:val="auto"/>
                <w:sz w:val="24"/>
              </w:rPr>
              <w:fldChar w:fldCharType="end"/>
            </w:r>
            <w:r>
              <w:rPr>
                <w:rFonts w:hint="eastAsia" w:ascii="宋体" w:hAnsi="宋体" w:cs="宋体"/>
                <w:sz w:val="24"/>
              </w:rPr>
              <w:t xml:space="preserve"> （政采云学习专题版块）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信用记录</w:t>
            </w:r>
          </w:p>
        </w:tc>
        <w:tc>
          <w:tcPr>
            <w:tcW w:w="7211" w:type="dxa"/>
            <w:tcBorders>
              <w:righ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根据《财政部关于在政府采购活动中查询及使用信用记录的通知》（财库〔2016〕125号）相关规定，评审时采购组织机构将统一通过“信用中国”网站（www.creditchina.gov.cn）、中国政府采购网（www.ccgp.gov.cn）查询供应商信用记录，对供应商信用记录进行甄别。凡是列入失信被执行人、重大税收违法案件当事人名单、政府采购严重违法失信行为记录名单及其他不符合《中华人民共和国政府采购法》第二十二条规定条件的供应商，将拒绝其参加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356" w:type="dxa"/>
            <w:tcBorders>
              <w:left w:val="double" w:color="auto" w:sz="4" w:space="0"/>
            </w:tcBorders>
            <w:vAlign w:val="center"/>
          </w:tcPr>
          <w:p>
            <w:pPr>
              <w:snapToGrid w:val="0"/>
              <w:spacing w:line="360" w:lineRule="atLeast"/>
              <w:rPr>
                <w:rFonts w:ascii="宋体" w:hAnsi="宋体" w:cs="宋体"/>
                <w:sz w:val="24"/>
              </w:rPr>
            </w:pPr>
            <w:r>
              <w:rPr>
                <w:rFonts w:hint="eastAsia" w:ascii="宋体" w:hAnsi="宋体" w:cs="宋体"/>
                <w:sz w:val="24"/>
              </w:rPr>
              <w:t>中小企业政策</w:t>
            </w:r>
          </w:p>
        </w:tc>
        <w:tc>
          <w:tcPr>
            <w:tcW w:w="7211" w:type="dxa"/>
            <w:tcBorders>
              <w:right w:val="double" w:color="auto" w:sz="4" w:space="0"/>
            </w:tcBorders>
            <w:vAlign w:val="center"/>
          </w:tcPr>
          <w:p>
            <w:pPr>
              <w:rPr>
                <w:rFonts w:ascii="宋体" w:hAnsi="宋体" w:cs="宋体"/>
                <w:sz w:val="24"/>
              </w:rPr>
            </w:pPr>
            <w:r>
              <w:rPr>
                <w:rFonts w:hint="eastAsia" w:ascii="宋体" w:hAnsi="宋体" w:cs="宋体"/>
                <w:sz w:val="24"/>
              </w:rPr>
              <w:t>根据《政府采购促进中小企业发展暂行办法》（财库[2011]181号）的规定本次政府采购，对小型和微型企业（监狱企业，残疾人福利性单位视同小型、微型企业）产品的价格给予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%的扣除，用扣除后的价格参与评审，小型、微型企业提供中型企业制造的货物的，视同为中型企业。（详见第六章  评标原则及方法）</w:t>
            </w:r>
          </w:p>
          <w:p>
            <w:pPr>
              <w:pStyle w:val="57"/>
              <w:rPr>
                <w:rFonts w:hAnsi="宋体" w:cs="宋体"/>
                <w:kern w:val="2"/>
                <w:sz w:val="24"/>
                <w:szCs w:val="24"/>
              </w:rPr>
            </w:pPr>
            <w:r>
              <w:rPr>
                <w:rFonts w:hint="eastAsia" w:hAnsi="宋体" w:cs="宋体"/>
                <w:kern w:val="2"/>
                <w:sz w:val="24"/>
                <w:szCs w:val="24"/>
              </w:rPr>
              <w:t>本项目属于货物类，行业为工业。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356" w:type="dxa"/>
            <w:tcBorders>
              <w:left w:val="double" w:color="auto" w:sz="4" w:space="0"/>
            </w:tcBorders>
            <w:vAlign w:val="center"/>
          </w:tcPr>
          <w:p>
            <w:pPr>
              <w:snapToGrid w:val="0"/>
              <w:spacing w:line="360" w:lineRule="atLeast"/>
              <w:rPr>
                <w:rFonts w:ascii="宋体" w:hAnsi="宋体" w:cs="宋体"/>
                <w:bCs/>
                <w:sz w:val="24"/>
              </w:rPr>
            </w:pPr>
            <w:r>
              <w:rPr>
                <w:rFonts w:hint="eastAsia" w:ascii="宋体" w:hAnsi="宋体" w:cs="宋体"/>
                <w:bCs/>
                <w:sz w:val="24"/>
              </w:rPr>
              <w:t>信用融资政策</w:t>
            </w:r>
          </w:p>
        </w:tc>
        <w:tc>
          <w:tcPr>
            <w:tcW w:w="7211" w:type="dxa"/>
            <w:tcBorders>
              <w:right w:val="double" w:color="auto" w:sz="4" w:space="0"/>
            </w:tcBorders>
            <w:vAlign w:val="center"/>
          </w:tcPr>
          <w:p>
            <w:pPr>
              <w:jc w:val="left"/>
              <w:rPr>
                <w:rFonts w:ascii="宋体" w:hAnsi="宋体" w:cs="宋体"/>
                <w:bCs/>
                <w:sz w:val="24"/>
              </w:rPr>
            </w:pPr>
            <w:r>
              <w:rPr>
                <w:rFonts w:hint="eastAsia" w:ascii="宋体" w:hAnsi="宋体" w:cs="宋体"/>
                <w:bCs/>
                <w:sz w:val="24"/>
              </w:rPr>
              <w:t>为支持中小企业政府采购信用融资，进一步发挥促进中小企业发展中的政策引导作用，凡政府采购中标企业有意向融资的可向相关金融机构申请，温州市政府采购信用融资意向银行选择表和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2356" w:type="dxa"/>
            <w:tcBorders>
              <w:left w:val="double" w:color="auto" w:sz="4" w:space="0"/>
            </w:tcBorders>
            <w:vAlign w:val="center"/>
          </w:tcPr>
          <w:p>
            <w:pPr>
              <w:snapToGrid w:val="0"/>
              <w:spacing w:line="360" w:lineRule="atLeast"/>
              <w:rPr>
                <w:rFonts w:ascii="宋体" w:hAnsi="宋体" w:cs="宋体"/>
                <w:bCs/>
                <w:sz w:val="24"/>
              </w:rPr>
            </w:pPr>
            <w:r>
              <w:rPr>
                <w:rFonts w:hint="eastAsia" w:ascii="宋体" w:hAnsi="宋体" w:cs="宋体"/>
                <w:kern w:val="0"/>
                <w:sz w:val="24"/>
              </w:rPr>
              <w:t>特殊说明</w:t>
            </w:r>
          </w:p>
        </w:tc>
        <w:tc>
          <w:tcPr>
            <w:tcW w:w="7211" w:type="dxa"/>
            <w:tcBorders>
              <w:right w:val="double" w:color="auto" w:sz="4" w:space="0"/>
            </w:tcBorders>
            <w:vAlign w:val="center"/>
          </w:tcPr>
          <w:p>
            <w:pPr>
              <w:rPr>
                <w:rFonts w:ascii="宋体" w:hAnsi="宋体" w:cs="宋体"/>
                <w:kern w:val="0"/>
                <w:sz w:val="24"/>
              </w:rPr>
            </w:pPr>
            <w:r>
              <w:rPr>
                <w:rFonts w:hint="eastAsia" w:ascii="宋体" w:hAnsi="宋体" w:cs="宋体"/>
                <w:kern w:val="0"/>
                <w:sz w:val="24"/>
              </w:rPr>
              <w:t>依据浙江省财政厅《关于规范政府采购供应商资格设定及资格审查的通知》（浙财采监[2013]24号）的相关规定，金融、保险、通讯等特定行业的全国性企业所设立的区域性分支机构，以及个体工商户、个人独资企业、合伙企业，允许满足上述规定条款的供应商独立参加政府采购活动。上述机构独立参加本次项目的投标，必须同时满足以下条件：（1）投标截止时间前已依法办理工商、税务及社保登记；（2）取得总公司（或总机构）出具的授权，或能够提供房产权证（或其他有效财产证明材料）证明其具备实际承担责任的能力和法定的缔结合同能力。本招标文件中所列“法定代表人”也是指该机构营业执照上所列的“负责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tcBorders>
            <w:vAlign w:val="center"/>
          </w:tcPr>
          <w:p>
            <w:pPr>
              <w:spacing w:line="360" w:lineRule="auto"/>
              <w:jc w:val="center"/>
              <w:rPr>
                <w:rFonts w:ascii="宋体" w:hAnsi="宋体" w:cs="宋体"/>
                <w:b/>
                <w:bCs/>
                <w:sz w:val="24"/>
                <w:lang w:bidi="ar"/>
              </w:rPr>
            </w:pPr>
            <w:r>
              <w:rPr>
                <w:rFonts w:hint="eastAsia" w:ascii="宋体" w:hAnsi="宋体" w:cs="宋体"/>
                <w:b/>
                <w:bCs/>
                <w:sz w:val="24"/>
                <w:lang w:bidi="ar"/>
              </w:rPr>
              <w:t>节能环保政策</w:t>
            </w:r>
          </w:p>
        </w:tc>
        <w:tc>
          <w:tcPr>
            <w:tcW w:w="7211" w:type="dxa"/>
            <w:tcBorders>
              <w:right w:val="double" w:color="auto" w:sz="4" w:space="0"/>
            </w:tcBorders>
            <w:vAlign w:val="center"/>
          </w:tcPr>
          <w:p>
            <w:pPr>
              <w:spacing w:line="296" w:lineRule="auto"/>
              <w:rPr>
                <w:rFonts w:ascii="宋体" w:hAnsi="宋体" w:cs="宋体"/>
                <w:sz w:val="24"/>
                <w:lang w:bidi="ar"/>
              </w:rPr>
            </w:pPr>
            <w:r>
              <w:rPr>
                <w:rFonts w:hint="eastAsia" w:ascii="宋体" w:hAnsi="宋体" w:cs="宋体"/>
                <w:sz w:val="24"/>
                <w:lang w:bidi="ar"/>
              </w:rPr>
              <w:t>（1）节能产品、环境标志产品的强制采购政策</w:t>
            </w:r>
          </w:p>
          <w:p>
            <w:pPr>
              <w:spacing w:line="296" w:lineRule="auto"/>
              <w:rPr>
                <w:rFonts w:ascii="宋体" w:hAnsi="宋体" w:cs="宋体"/>
                <w:sz w:val="24"/>
                <w:lang w:bidi="ar"/>
              </w:rPr>
            </w:pPr>
            <w:r>
              <w:rPr>
                <w:rFonts w:hint="eastAsia" w:ascii="宋体" w:hAnsi="宋体" w:cs="宋体"/>
                <w:sz w:val="24"/>
                <w:lang w:bidi="ar"/>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p>
            <w:pPr>
              <w:spacing w:line="296" w:lineRule="auto"/>
              <w:rPr>
                <w:rFonts w:ascii="宋体" w:hAnsi="宋体" w:cs="宋体"/>
                <w:sz w:val="24"/>
                <w:lang w:bidi="ar"/>
              </w:rPr>
            </w:pPr>
            <w:r>
              <w:rPr>
                <w:rFonts w:hint="eastAsia" w:ascii="宋体" w:hAnsi="宋体" w:cs="宋体"/>
                <w:sz w:val="24"/>
                <w:lang w:bidi="ar"/>
              </w:rPr>
              <w:t>（2）节能产品、环境标志产品的优先采购政策</w:t>
            </w:r>
          </w:p>
          <w:p>
            <w:pPr>
              <w:spacing w:line="296" w:lineRule="auto"/>
              <w:rPr>
                <w:rFonts w:ascii="宋体" w:hAnsi="宋体" w:cs="宋体"/>
                <w:sz w:val="24"/>
                <w:lang w:bidi="ar"/>
              </w:rPr>
            </w:pPr>
            <w:r>
              <w:rPr>
                <w:rFonts w:hint="eastAsia" w:ascii="宋体" w:hAnsi="宋体" w:cs="宋体"/>
                <w:sz w:val="24"/>
                <w:lang w:bidi="ar"/>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w:t>
            </w:r>
          </w:p>
          <w:p>
            <w:pPr>
              <w:spacing w:line="296" w:lineRule="auto"/>
              <w:rPr>
                <w:rFonts w:ascii="宋体" w:hAnsi="宋体" w:cs="宋体"/>
                <w:sz w:val="24"/>
                <w:lang w:bidi="ar"/>
              </w:rPr>
            </w:pPr>
            <w:r>
              <w:rPr>
                <w:rFonts w:hint="eastAsia" w:ascii="宋体" w:hAnsi="宋体" w:cs="宋体"/>
                <w:sz w:val="24"/>
                <w:lang w:bidi="ar"/>
              </w:rPr>
              <w:t>（注：本项目执行最新政府采购节能产品、环境标志产品品目清单。）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6" w:type="dxa"/>
            <w:tcBorders>
              <w:left w:val="double" w:color="auto" w:sz="4" w:space="0"/>
              <w:bottom w:val="double" w:color="auto" w:sz="4" w:space="0"/>
            </w:tcBorders>
            <w:vAlign w:val="center"/>
          </w:tcPr>
          <w:p>
            <w:pPr>
              <w:pStyle w:val="14"/>
              <w:snapToGrid w:val="0"/>
              <w:spacing w:before="0" w:line="360" w:lineRule="atLeast"/>
              <w:rPr>
                <w:rFonts w:ascii="宋体" w:hAnsi="宋体" w:eastAsia="宋体" w:cs="宋体"/>
                <w:b w:val="0"/>
                <w:color w:val="auto"/>
                <w:szCs w:val="24"/>
              </w:rPr>
            </w:pPr>
            <w:r>
              <w:rPr>
                <w:rFonts w:hint="eastAsia" w:ascii="宋体" w:hAnsi="宋体" w:eastAsia="宋体" w:cs="宋体"/>
                <w:b w:val="0"/>
                <w:color w:val="auto"/>
                <w:szCs w:val="24"/>
              </w:rPr>
              <w:t>备注</w:t>
            </w:r>
          </w:p>
        </w:tc>
        <w:tc>
          <w:tcPr>
            <w:tcW w:w="7211" w:type="dxa"/>
            <w:tcBorders>
              <w:bottom w:val="double" w:color="auto" w:sz="4" w:space="0"/>
              <w:right w:val="double" w:color="auto" w:sz="4" w:space="0"/>
            </w:tcBorders>
            <w:vAlign w:val="center"/>
          </w:tcPr>
          <w:p>
            <w:pPr>
              <w:pStyle w:val="14"/>
              <w:snapToGrid w:val="0"/>
              <w:spacing w:before="0" w:line="360" w:lineRule="atLeast"/>
              <w:rPr>
                <w:rFonts w:ascii="宋体" w:hAnsi="宋体" w:eastAsia="宋体" w:cs="宋体"/>
                <w:b w:val="0"/>
                <w:color w:val="auto"/>
                <w:szCs w:val="24"/>
              </w:rPr>
            </w:pPr>
            <w:r>
              <w:rPr>
                <w:rFonts w:hint="eastAsia" w:ascii="宋体" w:hAnsi="宋体" w:eastAsia="宋体" w:cs="宋体"/>
                <w:b w:val="0"/>
                <w:color w:val="auto"/>
                <w:szCs w:val="24"/>
              </w:rPr>
              <w:t>如发现招标文件及其评标办法中存在含糊不清、相互矛盾、多种含义以及歧视性不公正条款或违法违规等内容时，请在规定的招标质疑截止时间前向采购机构书面反映，逾期不得再对招标文件的条款提出质疑。招标文件如有更正补充将按规定时间发布在浙江政府采购网和龙港市政务服务中心网站，请供应商注意查看并按更正补充文件投标，如供应商未按更正补充文件投标，后果自负。</w:t>
            </w:r>
            <w:r>
              <w:rPr>
                <w:rFonts w:hint="eastAsia" w:ascii="宋体" w:hAnsi="宋体" w:eastAsia="宋体" w:cs="宋体"/>
                <w:b w:val="0"/>
                <w:bCs w:val="0"/>
                <w:color w:val="auto"/>
                <w:szCs w:val="24"/>
              </w:rPr>
              <w:t>▲</w:t>
            </w:r>
            <w:r>
              <w:rPr>
                <w:rFonts w:hint="eastAsia" w:ascii="宋体" w:hAnsi="宋体" w:eastAsia="宋体" w:cs="宋体"/>
                <w:b w:val="0"/>
                <w:color w:val="auto"/>
                <w:szCs w:val="24"/>
              </w:rPr>
              <w:t>招标文件解释权归采购机构与采购人所有。</w:t>
            </w:r>
          </w:p>
        </w:tc>
      </w:tr>
    </w:tbl>
    <w:p>
      <w:pPr>
        <w:spacing w:line="600" w:lineRule="exact"/>
        <w:jc w:val="center"/>
        <w:rPr>
          <w:rFonts w:ascii="宋体" w:hAnsi="宋体" w:cs="宋体"/>
          <w:b/>
          <w:sz w:val="36"/>
        </w:rPr>
      </w:pPr>
    </w:p>
    <w:p>
      <w:pPr>
        <w:spacing w:line="600" w:lineRule="exact"/>
        <w:jc w:val="center"/>
        <w:rPr>
          <w:rFonts w:ascii="宋体" w:hAnsi="宋体" w:cs="宋体"/>
          <w:b/>
          <w:sz w:val="36"/>
        </w:rPr>
      </w:pPr>
    </w:p>
    <w:p>
      <w:pPr>
        <w:pStyle w:val="17"/>
        <w:ind w:firstLine="361"/>
        <w:rPr>
          <w:rFonts w:ascii="宋体" w:hAnsi="宋体" w:cs="宋体"/>
          <w:b/>
          <w:sz w:val="36"/>
        </w:rPr>
      </w:pPr>
    </w:p>
    <w:p>
      <w:pPr>
        <w:rPr>
          <w:rFonts w:ascii="宋体" w:hAnsi="宋体" w:cs="宋体"/>
          <w:b/>
          <w:sz w:val="36"/>
        </w:rPr>
      </w:pPr>
    </w:p>
    <w:p>
      <w:pPr>
        <w:pStyle w:val="17"/>
        <w:ind w:firstLine="361"/>
        <w:rPr>
          <w:rFonts w:ascii="宋体" w:hAnsi="宋体" w:cs="宋体"/>
          <w:b/>
          <w:sz w:val="36"/>
        </w:rPr>
      </w:pPr>
    </w:p>
    <w:p>
      <w:pPr>
        <w:rPr>
          <w:rFonts w:ascii="宋体" w:hAnsi="宋体" w:cs="宋体"/>
          <w:b/>
          <w:sz w:val="36"/>
        </w:rPr>
      </w:pPr>
    </w:p>
    <w:p>
      <w:pPr>
        <w:pStyle w:val="17"/>
        <w:ind w:firstLine="361"/>
        <w:rPr>
          <w:rFonts w:ascii="宋体" w:hAnsi="宋体" w:cs="宋体"/>
          <w:b/>
          <w:sz w:val="36"/>
        </w:rPr>
      </w:pPr>
    </w:p>
    <w:p>
      <w:pPr>
        <w:rPr>
          <w:rFonts w:ascii="宋体" w:hAnsi="宋体" w:cs="宋体"/>
          <w:b/>
          <w:sz w:val="36"/>
        </w:rPr>
      </w:pPr>
    </w:p>
    <w:p>
      <w:pPr>
        <w:pStyle w:val="17"/>
        <w:ind w:firstLine="361"/>
        <w:rPr>
          <w:rFonts w:ascii="宋体" w:hAnsi="宋体" w:cs="宋体"/>
          <w:b/>
          <w:sz w:val="36"/>
        </w:rPr>
      </w:pPr>
    </w:p>
    <w:p>
      <w:pPr>
        <w:rPr>
          <w:rFonts w:ascii="宋体" w:hAnsi="宋体" w:cs="宋体"/>
          <w:b/>
          <w:sz w:val="36"/>
        </w:rPr>
      </w:pPr>
    </w:p>
    <w:p>
      <w:pPr>
        <w:pStyle w:val="17"/>
        <w:ind w:firstLine="361"/>
        <w:rPr>
          <w:rFonts w:ascii="宋体" w:hAnsi="宋体" w:cs="宋体"/>
          <w:b/>
          <w:sz w:val="36"/>
        </w:rPr>
      </w:pPr>
    </w:p>
    <w:p>
      <w:pPr>
        <w:rPr>
          <w:rFonts w:ascii="宋体" w:hAnsi="宋体" w:cs="宋体"/>
          <w:b/>
          <w:sz w:val="36"/>
        </w:rPr>
      </w:pPr>
    </w:p>
    <w:p>
      <w:pPr>
        <w:pStyle w:val="17"/>
        <w:ind w:firstLine="361"/>
        <w:rPr>
          <w:rFonts w:ascii="宋体" w:hAnsi="宋体" w:cs="宋体"/>
          <w:b/>
          <w:sz w:val="36"/>
        </w:rPr>
      </w:pPr>
    </w:p>
    <w:p>
      <w:pPr>
        <w:rPr>
          <w:rFonts w:ascii="宋体" w:hAnsi="宋体" w:cs="宋体"/>
          <w:b/>
          <w:sz w:val="36"/>
        </w:rPr>
      </w:pPr>
    </w:p>
    <w:p>
      <w:pPr>
        <w:pStyle w:val="17"/>
        <w:ind w:firstLine="361"/>
        <w:rPr>
          <w:rFonts w:ascii="宋体" w:hAnsi="宋体" w:cs="宋体"/>
          <w:b/>
          <w:sz w:val="36"/>
        </w:rPr>
      </w:pPr>
    </w:p>
    <w:p>
      <w:pPr>
        <w:pStyle w:val="17"/>
        <w:ind w:left="0" w:leftChars="0" w:firstLine="0" w:firstLineChars="0"/>
        <w:rPr>
          <w:rFonts w:ascii="宋体" w:hAnsi="宋体" w:cs="宋体"/>
          <w:b/>
          <w:sz w:val="36"/>
        </w:rPr>
      </w:pPr>
    </w:p>
    <w:p>
      <w:pPr>
        <w:spacing w:line="600" w:lineRule="exact"/>
        <w:jc w:val="center"/>
        <w:rPr>
          <w:rFonts w:ascii="宋体" w:hAnsi="宋体" w:cs="宋体"/>
          <w:b/>
          <w:sz w:val="24"/>
        </w:rPr>
      </w:pPr>
      <w:r>
        <w:rPr>
          <w:rFonts w:hint="eastAsia" w:ascii="宋体" w:hAnsi="宋体" w:cs="宋体"/>
          <w:b/>
          <w:sz w:val="36"/>
        </w:rPr>
        <w:t>二. 总则</w:t>
      </w:r>
    </w:p>
    <w:p>
      <w:pPr>
        <w:widowControl/>
        <w:numPr>
          <w:ilvl w:val="0"/>
          <w:numId w:val="3"/>
        </w:numPr>
        <w:tabs>
          <w:tab w:val="left" w:pos="618"/>
          <w:tab w:val="clear" w:pos="851"/>
        </w:tabs>
        <w:snapToGrid w:val="0"/>
        <w:spacing w:line="360" w:lineRule="exact"/>
        <w:ind w:left="618" w:hanging="618"/>
        <w:rPr>
          <w:rFonts w:ascii="宋体" w:hAnsi="宋体" w:cs="宋体"/>
          <w:b/>
          <w:szCs w:val="21"/>
        </w:rPr>
      </w:pPr>
      <w:r>
        <w:rPr>
          <w:rFonts w:hint="eastAsia" w:ascii="宋体" w:hAnsi="宋体" w:cs="宋体"/>
          <w:b/>
          <w:szCs w:val="21"/>
        </w:rPr>
        <w:t>说明</w:t>
      </w:r>
    </w:p>
    <w:p>
      <w:pPr>
        <w:widowControl/>
        <w:numPr>
          <w:ilvl w:val="1"/>
          <w:numId w:val="3"/>
        </w:numPr>
        <w:tabs>
          <w:tab w:val="left" w:pos="618"/>
        </w:tabs>
        <w:snapToGrid w:val="0"/>
        <w:spacing w:line="360" w:lineRule="exact"/>
        <w:ind w:left="618" w:hanging="618"/>
        <w:jc w:val="left"/>
        <w:rPr>
          <w:rFonts w:ascii="宋体" w:hAnsi="宋体" w:cs="宋体"/>
          <w:szCs w:val="21"/>
        </w:rPr>
      </w:pPr>
      <w:r>
        <w:rPr>
          <w:rFonts w:hint="eastAsia" w:ascii="宋体" w:hAnsi="宋体" w:cs="宋体"/>
          <w:szCs w:val="21"/>
        </w:rPr>
        <w:t>本次招标工作是按照《中华人民共和国政府采购法》、《政府采购货物和服务招标投标管理办法》和浙江省及项目所在地的有关招投标规定并结合本项目的实际组织和实施。</w:t>
      </w:r>
    </w:p>
    <w:p>
      <w:pPr>
        <w:widowControl/>
        <w:numPr>
          <w:ilvl w:val="1"/>
          <w:numId w:val="3"/>
        </w:numPr>
        <w:tabs>
          <w:tab w:val="left" w:pos="618"/>
        </w:tabs>
        <w:snapToGrid w:val="0"/>
        <w:spacing w:line="360" w:lineRule="exact"/>
        <w:ind w:left="618" w:hanging="618"/>
        <w:jc w:val="left"/>
        <w:rPr>
          <w:rFonts w:ascii="宋体" w:hAnsi="宋体" w:cs="宋体"/>
          <w:szCs w:val="21"/>
        </w:rPr>
      </w:pPr>
      <w:r>
        <w:rPr>
          <w:rFonts w:hint="eastAsia" w:ascii="宋体" w:hAnsi="宋体" w:cs="宋体"/>
          <w:szCs w:val="21"/>
        </w:rPr>
        <w:t>资金来源</w:t>
      </w:r>
    </w:p>
    <w:p>
      <w:pPr>
        <w:tabs>
          <w:tab w:val="left" w:pos="618"/>
        </w:tabs>
        <w:snapToGrid w:val="0"/>
        <w:spacing w:line="360" w:lineRule="exact"/>
        <w:ind w:firstLine="630" w:firstLineChars="300"/>
        <w:rPr>
          <w:rFonts w:ascii="宋体" w:hAnsi="宋体" w:cs="宋体"/>
          <w:szCs w:val="21"/>
        </w:rPr>
      </w:pPr>
      <w:r>
        <w:rPr>
          <w:rFonts w:hint="eastAsia" w:ascii="宋体" w:hAnsi="宋体" w:cs="宋体"/>
          <w:szCs w:val="21"/>
        </w:rPr>
        <w:t>龙港市国家机关财政性资金。</w:t>
      </w:r>
    </w:p>
    <w:p>
      <w:pPr>
        <w:widowControl/>
        <w:numPr>
          <w:ilvl w:val="0"/>
          <w:numId w:val="3"/>
        </w:numPr>
        <w:tabs>
          <w:tab w:val="left" w:pos="618"/>
          <w:tab w:val="clear" w:pos="851"/>
        </w:tabs>
        <w:snapToGrid w:val="0"/>
        <w:spacing w:line="360" w:lineRule="exact"/>
        <w:ind w:left="618" w:hanging="618"/>
        <w:rPr>
          <w:rFonts w:ascii="宋体" w:hAnsi="宋体" w:cs="宋体"/>
          <w:b/>
          <w:szCs w:val="21"/>
        </w:rPr>
      </w:pPr>
      <w:r>
        <w:rPr>
          <w:rFonts w:hint="eastAsia" w:ascii="宋体" w:hAnsi="宋体" w:cs="宋体"/>
          <w:b/>
          <w:szCs w:val="21"/>
        </w:rPr>
        <w:t>定义及解释</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zCs w:val="21"/>
        </w:rPr>
        <w:t>采购人：系指按政府采购法有关规定，</w:t>
      </w:r>
      <w:r>
        <w:rPr>
          <w:rStyle w:val="95"/>
          <w:rFonts w:hint="eastAsia" w:cs="宋体"/>
          <w:sz w:val="21"/>
          <w:szCs w:val="21"/>
        </w:rPr>
        <w:t>提出招标项目、进行招标的</w:t>
      </w:r>
      <w:r>
        <w:rPr>
          <w:rStyle w:val="95"/>
          <w:rFonts w:hint="eastAsia" w:cs="宋体"/>
          <w:sz w:val="21"/>
          <w:szCs w:val="21"/>
          <w:lang w:eastAsia="zh-CN"/>
        </w:rPr>
        <w:t>龙港市职业中等专业学校</w:t>
      </w:r>
      <w:r>
        <w:rPr>
          <w:rFonts w:hint="eastAsia" w:ascii="宋体" w:hAnsi="宋体" w:cs="宋体"/>
          <w:szCs w:val="21"/>
        </w:rPr>
        <w:t>。</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zCs w:val="21"/>
        </w:rPr>
        <w:t>采购机构：系指依法受采购人委托，组织本次招标的杭州华旗招标代理有限公司。</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zCs w:val="21"/>
        </w:rPr>
        <w:t>投标人：投标人是响应采购、参加投标竞争的依法成立的制造企业或代理商。</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zCs w:val="21"/>
        </w:rPr>
        <w:t>中标人：系指在本次招标中中标的投标人。</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zCs w:val="21"/>
        </w:rPr>
        <w:t>评标委员会：指依《政府采购法》组建的专门负责采购评审工作的临时性机构。</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zCs w:val="21"/>
        </w:rPr>
        <w:t>日期：指公历日；时间：指北京时间。</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zCs w:val="21"/>
        </w:rPr>
        <w:t>合同：指由采购所产生的合同或合约文件。</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zCs w:val="21"/>
        </w:rPr>
        <w:t>招标文件中的标题或题名仅起引导作用，而不应视为对招标文件内容的理解和解释。</w:t>
      </w:r>
    </w:p>
    <w:p>
      <w:pPr>
        <w:widowControl/>
        <w:numPr>
          <w:ilvl w:val="1"/>
          <w:numId w:val="3"/>
        </w:numPr>
        <w:tabs>
          <w:tab w:val="left" w:pos="618"/>
        </w:tabs>
        <w:snapToGrid w:val="0"/>
        <w:spacing w:line="360" w:lineRule="exact"/>
        <w:ind w:left="618" w:hanging="618"/>
        <w:rPr>
          <w:rFonts w:ascii="宋体" w:hAnsi="宋体" w:cs="宋体"/>
          <w:szCs w:val="21"/>
        </w:rPr>
      </w:pPr>
      <w:r>
        <w:rPr>
          <w:rFonts w:hint="eastAsia" w:ascii="宋体" w:hAnsi="宋体" w:cs="宋体"/>
          <w:spacing w:val="-10"/>
          <w:szCs w:val="21"/>
        </w:rPr>
        <w:t>“书面形式”是指任何手写的、打印的或印刷的文件，包括电报和传真发送。</w:t>
      </w:r>
    </w:p>
    <w:p>
      <w:pPr>
        <w:widowControl/>
        <w:numPr>
          <w:ilvl w:val="0"/>
          <w:numId w:val="3"/>
        </w:numPr>
        <w:tabs>
          <w:tab w:val="left" w:pos="618"/>
          <w:tab w:val="clear" w:pos="851"/>
        </w:tabs>
        <w:snapToGrid w:val="0"/>
        <w:spacing w:line="360" w:lineRule="exact"/>
        <w:ind w:left="618" w:hanging="618"/>
        <w:rPr>
          <w:rFonts w:ascii="宋体" w:hAnsi="宋体" w:cs="宋体"/>
          <w:b/>
          <w:szCs w:val="21"/>
        </w:rPr>
      </w:pPr>
      <w:r>
        <w:rPr>
          <w:rFonts w:hint="eastAsia" w:ascii="宋体" w:hAnsi="宋体" w:cs="宋体"/>
          <w:b/>
          <w:szCs w:val="21"/>
        </w:rPr>
        <w:t>合格的投标人</w:t>
      </w:r>
    </w:p>
    <w:p>
      <w:pPr>
        <w:widowControl/>
        <w:numPr>
          <w:ilvl w:val="1"/>
          <w:numId w:val="3"/>
        </w:numPr>
        <w:spacing w:line="360" w:lineRule="exact"/>
        <w:rPr>
          <w:rFonts w:ascii="宋体" w:hAnsi="宋体" w:cs="宋体"/>
          <w:szCs w:val="21"/>
        </w:rPr>
      </w:pPr>
      <w:r>
        <w:rPr>
          <w:rFonts w:hint="eastAsia" w:ascii="宋体" w:hAnsi="宋体" w:cs="宋体"/>
          <w:szCs w:val="21"/>
        </w:rPr>
        <w:t>满足《中华人民共和国政府采购法》第二十二条规定；未被“信用中国”（www.creditchina.gov.cn)、中国政府采购网（www.ccgp.gov.cn）列入失信被执行人、重大税收违法案件当事人名单、政府采购严重违法失信行为记录名单。</w:t>
      </w:r>
    </w:p>
    <w:p>
      <w:pPr>
        <w:widowControl/>
        <w:numPr>
          <w:ilvl w:val="1"/>
          <w:numId w:val="3"/>
        </w:numPr>
        <w:spacing w:line="360" w:lineRule="exact"/>
        <w:rPr>
          <w:rFonts w:ascii="宋体" w:hAnsi="宋体" w:cs="宋体"/>
          <w:szCs w:val="21"/>
        </w:rPr>
      </w:pPr>
      <w:r>
        <w:rPr>
          <w:rFonts w:hint="eastAsia" w:ascii="宋体" w:hAnsi="宋体" w:cs="宋体"/>
          <w:szCs w:val="21"/>
        </w:rPr>
        <w:t>落实政府采购政策需满足的资格要求：无</w:t>
      </w:r>
    </w:p>
    <w:p>
      <w:pPr>
        <w:widowControl/>
        <w:numPr>
          <w:ilvl w:val="1"/>
          <w:numId w:val="3"/>
        </w:numPr>
        <w:spacing w:line="360" w:lineRule="exact"/>
        <w:rPr>
          <w:rFonts w:ascii="宋体" w:hAnsi="宋体" w:cs="宋体"/>
          <w:szCs w:val="21"/>
        </w:rPr>
      </w:pPr>
      <w:r>
        <w:rPr>
          <w:rFonts w:hint="eastAsia" w:ascii="宋体" w:hAnsi="宋体" w:cs="宋体"/>
          <w:szCs w:val="21"/>
        </w:rPr>
        <w:t>本项目的特定资格要求：无</w:t>
      </w:r>
    </w:p>
    <w:p>
      <w:pPr>
        <w:widowControl/>
        <w:numPr>
          <w:ilvl w:val="0"/>
          <w:numId w:val="3"/>
        </w:numPr>
        <w:tabs>
          <w:tab w:val="left" w:pos="618"/>
          <w:tab w:val="clear" w:pos="851"/>
        </w:tabs>
        <w:spacing w:line="360" w:lineRule="exact"/>
        <w:ind w:left="618" w:hanging="618"/>
        <w:jc w:val="left"/>
        <w:rPr>
          <w:rFonts w:ascii="宋体" w:hAnsi="宋体" w:cs="宋体"/>
          <w:b/>
          <w:szCs w:val="21"/>
        </w:rPr>
      </w:pPr>
      <w:r>
        <w:rPr>
          <w:rFonts w:hint="eastAsia" w:ascii="宋体" w:hAnsi="宋体" w:cs="宋体"/>
          <w:b/>
          <w:szCs w:val="21"/>
        </w:rPr>
        <w:t>保密与披露事项</w:t>
      </w:r>
    </w:p>
    <w:p>
      <w:pPr>
        <w:widowControl/>
        <w:numPr>
          <w:ilvl w:val="1"/>
          <w:numId w:val="3"/>
        </w:numPr>
        <w:tabs>
          <w:tab w:val="left" w:pos="618"/>
        </w:tabs>
        <w:spacing w:line="360" w:lineRule="exact"/>
        <w:ind w:left="618" w:hanging="618"/>
        <w:jc w:val="left"/>
        <w:rPr>
          <w:rFonts w:ascii="宋体" w:hAnsi="宋体" w:cs="宋体"/>
          <w:szCs w:val="21"/>
        </w:rPr>
      </w:pPr>
      <w:r>
        <w:rPr>
          <w:rFonts w:hint="eastAsia" w:ascii="宋体" w:hAnsi="宋体" w:cs="宋体"/>
          <w:szCs w:val="21"/>
        </w:rPr>
        <w:t>投标人不得串通，以不正当的手段妨碍排挤其他投标人，扰乱市场，破坏公平竞争原则。</w:t>
      </w:r>
    </w:p>
    <w:p>
      <w:pPr>
        <w:widowControl/>
        <w:numPr>
          <w:ilvl w:val="1"/>
          <w:numId w:val="3"/>
        </w:numPr>
        <w:tabs>
          <w:tab w:val="left" w:pos="618"/>
        </w:tabs>
        <w:spacing w:line="360" w:lineRule="exact"/>
        <w:ind w:left="618" w:hanging="618"/>
        <w:rPr>
          <w:rFonts w:ascii="宋体" w:hAnsi="宋体" w:cs="宋体"/>
          <w:szCs w:val="21"/>
        </w:rPr>
      </w:pPr>
      <w:r>
        <w:rPr>
          <w:rFonts w:hint="eastAsia" w:ascii="宋体" w:hAnsi="宋体" w:cs="宋体"/>
          <w:szCs w:val="21"/>
        </w:rPr>
        <w:t>投标人自购买招标文件之日起，须承诺承担本招标项目下保密义务，不得将因本次招标获得的信息向第三方外传。</w:t>
      </w:r>
    </w:p>
    <w:p>
      <w:pPr>
        <w:widowControl/>
        <w:numPr>
          <w:ilvl w:val="1"/>
          <w:numId w:val="3"/>
        </w:numPr>
        <w:tabs>
          <w:tab w:val="left" w:pos="618"/>
        </w:tabs>
        <w:spacing w:line="360" w:lineRule="exact"/>
        <w:ind w:left="618" w:hanging="618"/>
        <w:rPr>
          <w:rFonts w:ascii="宋体" w:hAnsi="宋体" w:cs="宋体"/>
          <w:szCs w:val="21"/>
        </w:rPr>
      </w:pPr>
      <w:r>
        <w:rPr>
          <w:rFonts w:hint="eastAsia" w:ascii="宋体" w:hAnsi="宋体" w:cs="宋体"/>
          <w:szCs w:val="21"/>
        </w:rPr>
        <w:t>采购人及采购机构有权将投标人提供的所有资料向其他政府部门或有关的非政府机构负责评审标书的人员或与评标有关的人员披露。</w:t>
      </w:r>
    </w:p>
    <w:p>
      <w:pPr>
        <w:widowControl/>
        <w:numPr>
          <w:ilvl w:val="1"/>
          <w:numId w:val="3"/>
        </w:numPr>
        <w:tabs>
          <w:tab w:val="left" w:pos="618"/>
        </w:tabs>
        <w:spacing w:line="380" w:lineRule="exact"/>
        <w:ind w:left="618" w:hanging="618"/>
        <w:rPr>
          <w:rFonts w:ascii="宋体" w:hAnsi="宋体" w:cs="宋体"/>
          <w:b/>
          <w:szCs w:val="21"/>
        </w:rPr>
      </w:pPr>
      <w:r>
        <w:rPr>
          <w:rFonts w:hint="eastAsia" w:ascii="宋体" w:hAnsi="宋体" w:cs="宋体"/>
          <w:szCs w:val="21"/>
        </w:rPr>
        <w:t>采购人及采购机构有权在认为适当时，或在任何第三者提出要求（书面或其他方式）时，无须事先征求中标人同意而披露关于已订立合约的资料、中标人的名称及地址、中标服务的有关信息以及合约条款等。</w:t>
      </w:r>
    </w:p>
    <w:p>
      <w:pPr>
        <w:widowControl/>
        <w:numPr>
          <w:ilvl w:val="0"/>
          <w:numId w:val="3"/>
        </w:numPr>
        <w:tabs>
          <w:tab w:val="left" w:pos="618"/>
          <w:tab w:val="clear" w:pos="851"/>
        </w:tabs>
        <w:spacing w:line="380" w:lineRule="exact"/>
        <w:jc w:val="left"/>
        <w:rPr>
          <w:rFonts w:ascii="宋体" w:hAnsi="宋体" w:cs="宋体"/>
          <w:b/>
          <w:szCs w:val="21"/>
        </w:rPr>
      </w:pPr>
      <w:r>
        <w:rPr>
          <w:rFonts w:hint="eastAsia" w:ascii="宋体" w:hAnsi="宋体" w:cs="宋体"/>
          <w:b/>
          <w:szCs w:val="21"/>
        </w:rPr>
        <w:t>投标费用</w:t>
      </w:r>
    </w:p>
    <w:p>
      <w:pPr>
        <w:widowControl/>
        <w:numPr>
          <w:ilvl w:val="1"/>
          <w:numId w:val="3"/>
        </w:numPr>
        <w:tabs>
          <w:tab w:val="left" w:pos="618"/>
        </w:tabs>
        <w:spacing w:line="380" w:lineRule="exact"/>
        <w:ind w:left="618" w:hanging="618"/>
        <w:jc w:val="left"/>
        <w:rPr>
          <w:rFonts w:ascii="宋体" w:hAnsi="宋体" w:cs="宋体"/>
          <w:szCs w:val="21"/>
        </w:rPr>
      </w:pPr>
      <w:r>
        <w:rPr>
          <w:rFonts w:hint="eastAsia" w:ascii="宋体" w:hAnsi="宋体" w:cs="宋体"/>
          <w:szCs w:val="21"/>
        </w:rPr>
        <w:t>投标人应承担所有与编写和提交投标文件有关的费用，不论投标的结果如何，采购人和采购机构在任何情况下均无义务和责任承担这些费用 。</w:t>
      </w:r>
    </w:p>
    <w:p>
      <w:pPr>
        <w:widowControl/>
        <w:numPr>
          <w:ilvl w:val="0"/>
          <w:numId w:val="3"/>
        </w:numPr>
        <w:tabs>
          <w:tab w:val="left" w:pos="618"/>
          <w:tab w:val="clear" w:pos="851"/>
        </w:tabs>
        <w:spacing w:line="380" w:lineRule="exact"/>
        <w:ind w:left="618" w:hanging="618"/>
        <w:jc w:val="left"/>
        <w:rPr>
          <w:rFonts w:ascii="宋体" w:hAnsi="宋体" w:cs="宋体"/>
          <w:b/>
          <w:szCs w:val="21"/>
        </w:rPr>
      </w:pPr>
      <w:r>
        <w:rPr>
          <w:rFonts w:hint="eastAsia" w:ascii="宋体" w:hAnsi="宋体" w:cs="宋体"/>
          <w:b/>
          <w:szCs w:val="21"/>
        </w:rPr>
        <w:t>投标委托</w:t>
      </w:r>
    </w:p>
    <w:p>
      <w:pPr>
        <w:ind w:firstLine="630" w:firstLineChars="300"/>
        <w:rPr>
          <w:rFonts w:ascii="宋体" w:hAnsi="宋体" w:cs="宋体"/>
          <w:szCs w:val="21"/>
        </w:rPr>
      </w:pPr>
      <w:r>
        <w:rPr>
          <w:rFonts w:hint="eastAsia" w:ascii="宋体" w:hAnsi="宋体" w:cs="宋体"/>
          <w:szCs w:val="21"/>
        </w:rPr>
        <w:t>如投标人代表不是法定代表人，须持有《法定代表人授权委托书》。</w:t>
      </w:r>
    </w:p>
    <w:p>
      <w:pPr>
        <w:widowControl/>
        <w:numPr>
          <w:ilvl w:val="0"/>
          <w:numId w:val="3"/>
        </w:numPr>
        <w:tabs>
          <w:tab w:val="left" w:pos="425"/>
          <w:tab w:val="left" w:pos="618"/>
          <w:tab w:val="clear" w:pos="851"/>
        </w:tabs>
        <w:spacing w:line="380" w:lineRule="exact"/>
        <w:ind w:left="618" w:hanging="618"/>
        <w:jc w:val="left"/>
        <w:rPr>
          <w:rFonts w:ascii="宋体" w:hAnsi="宋体" w:cs="宋体"/>
          <w:b/>
          <w:szCs w:val="21"/>
        </w:rPr>
      </w:pPr>
      <w:r>
        <w:rPr>
          <w:rFonts w:hint="eastAsia" w:ascii="宋体" w:hAnsi="宋体" w:cs="宋体"/>
          <w:b/>
          <w:bCs/>
          <w:kern w:val="0"/>
          <w:sz w:val="19"/>
        </w:rPr>
        <w:t xml:space="preserve"> </w:t>
      </w:r>
      <w:r>
        <w:rPr>
          <w:rFonts w:hint="eastAsia" w:ascii="宋体" w:hAnsi="宋体" w:cs="宋体"/>
          <w:b/>
          <w:szCs w:val="21"/>
        </w:rPr>
        <w:t xml:space="preserve"> 供应商资格的审查和认定</w:t>
      </w:r>
    </w:p>
    <w:p>
      <w:pPr>
        <w:widowControl/>
        <w:numPr>
          <w:ilvl w:val="1"/>
          <w:numId w:val="3"/>
        </w:numPr>
        <w:tabs>
          <w:tab w:val="left" w:pos="618"/>
        </w:tabs>
        <w:spacing w:line="380" w:lineRule="exact"/>
        <w:ind w:left="618" w:hanging="618"/>
        <w:jc w:val="left"/>
        <w:rPr>
          <w:rFonts w:ascii="宋体" w:hAnsi="宋体" w:cs="宋体"/>
          <w:szCs w:val="21"/>
        </w:rPr>
      </w:pPr>
      <w:r>
        <w:rPr>
          <w:rFonts w:hint="eastAsia" w:ascii="宋体" w:hAnsi="宋体" w:cs="宋体"/>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取报价分最高者；均相同时，采取随机抽取方式确定，其他同品牌投标人不作为中标候选人。</w:t>
      </w:r>
    </w:p>
    <w:p>
      <w:pPr>
        <w:widowControl/>
        <w:numPr>
          <w:ilvl w:val="1"/>
          <w:numId w:val="3"/>
        </w:numPr>
        <w:tabs>
          <w:tab w:val="left" w:pos="618"/>
        </w:tabs>
        <w:spacing w:line="380" w:lineRule="exact"/>
        <w:ind w:left="618" w:hanging="618"/>
        <w:jc w:val="left"/>
        <w:rPr>
          <w:rFonts w:ascii="宋体" w:hAnsi="宋体" w:cs="宋体"/>
          <w:szCs w:val="21"/>
        </w:rPr>
      </w:pPr>
      <w:r>
        <w:rPr>
          <w:rFonts w:hint="eastAsia" w:ascii="宋体" w:hAnsi="宋体" w:cs="宋体"/>
          <w:szCs w:val="21"/>
        </w:rPr>
        <w:t>非单一产品采购项目中，产品品牌相同部分报价占项目总报价50%以上（含本数，下同）的即确定为核心产品品牌相同，视为提供的是同品牌的产品；多家供应商中，有一家供应商的报价达到50%以上，提供同品牌产品的供应商均按一家供应商认定，确定原则按7.1款。</w:t>
      </w:r>
    </w:p>
    <w:p>
      <w:pPr>
        <w:widowControl/>
        <w:tabs>
          <w:tab w:val="left" w:pos="851"/>
        </w:tabs>
        <w:spacing w:line="380" w:lineRule="exact"/>
        <w:ind w:left="618"/>
        <w:rPr>
          <w:rFonts w:ascii="宋体" w:hAnsi="宋体" w:cs="宋体"/>
          <w:b/>
          <w:szCs w:val="21"/>
        </w:rPr>
      </w:pPr>
    </w:p>
    <w:p>
      <w:pPr>
        <w:tabs>
          <w:tab w:val="left" w:pos="618"/>
        </w:tabs>
        <w:spacing w:line="600" w:lineRule="exact"/>
        <w:ind w:left="618" w:hanging="618"/>
        <w:jc w:val="center"/>
        <w:rPr>
          <w:rFonts w:ascii="宋体" w:hAnsi="宋体" w:cs="宋体"/>
          <w:b/>
          <w:sz w:val="36"/>
        </w:rPr>
      </w:pPr>
      <w:r>
        <w:rPr>
          <w:rFonts w:hint="eastAsia" w:ascii="宋体" w:hAnsi="宋体" w:cs="宋体"/>
          <w:b/>
          <w:sz w:val="36"/>
        </w:rPr>
        <w:t>三．招标文件说明</w:t>
      </w:r>
    </w:p>
    <w:p>
      <w:pPr>
        <w:tabs>
          <w:tab w:val="left" w:pos="618"/>
        </w:tabs>
        <w:spacing w:line="600" w:lineRule="exact"/>
        <w:ind w:left="618" w:hanging="618"/>
        <w:jc w:val="center"/>
        <w:rPr>
          <w:rFonts w:ascii="宋体" w:hAnsi="宋体" w:cs="宋体"/>
          <w:sz w:val="36"/>
        </w:rPr>
      </w:pPr>
    </w:p>
    <w:p>
      <w:pPr>
        <w:widowControl/>
        <w:numPr>
          <w:ilvl w:val="0"/>
          <w:numId w:val="3"/>
        </w:numPr>
        <w:tabs>
          <w:tab w:val="left" w:pos="618"/>
          <w:tab w:val="clear" w:pos="851"/>
        </w:tabs>
        <w:snapToGrid w:val="0"/>
        <w:spacing w:line="400" w:lineRule="atLeast"/>
        <w:ind w:left="618" w:hanging="618"/>
        <w:rPr>
          <w:rFonts w:ascii="宋体" w:hAnsi="宋体" w:cs="宋体"/>
          <w:b/>
          <w:szCs w:val="21"/>
        </w:rPr>
      </w:pPr>
      <w:r>
        <w:rPr>
          <w:rFonts w:hint="eastAsia" w:ascii="宋体" w:hAnsi="宋体" w:cs="宋体"/>
          <w:b/>
          <w:szCs w:val="21"/>
        </w:rPr>
        <w:t>招标文件构成</w:t>
      </w:r>
      <w:bookmarkStart w:id="9" w:name="_Hlt509038174"/>
      <w:bookmarkEnd w:id="9"/>
    </w:p>
    <w:p>
      <w:pPr>
        <w:widowControl/>
        <w:numPr>
          <w:ilvl w:val="1"/>
          <w:numId w:val="3"/>
        </w:numPr>
        <w:tabs>
          <w:tab w:val="left" w:pos="618"/>
        </w:tabs>
        <w:snapToGrid w:val="0"/>
        <w:spacing w:line="400" w:lineRule="atLeast"/>
        <w:ind w:left="618" w:hanging="618"/>
        <w:rPr>
          <w:rFonts w:ascii="宋体" w:hAnsi="宋体" w:cs="宋体"/>
          <w:szCs w:val="21"/>
        </w:rPr>
      </w:pPr>
      <w:r>
        <w:rPr>
          <w:rFonts w:hint="eastAsia" w:ascii="宋体" w:hAnsi="宋体" w:cs="宋体"/>
          <w:szCs w:val="21"/>
        </w:rPr>
        <w:t>招标文件是用以阐明本次招标所需设备及相关服务的情况，以及招标、投标程序和相应的合同条款。“招标文件”由下述部分组成：</w:t>
      </w:r>
    </w:p>
    <w:p>
      <w:pPr>
        <w:tabs>
          <w:tab w:val="left" w:pos="618"/>
        </w:tabs>
        <w:snapToGrid w:val="0"/>
        <w:spacing w:line="400" w:lineRule="atLeast"/>
        <w:ind w:left="618"/>
        <w:rPr>
          <w:rFonts w:ascii="宋体" w:hAnsi="宋体" w:cs="宋体"/>
          <w:szCs w:val="21"/>
        </w:rPr>
      </w:pPr>
      <w:r>
        <w:rPr>
          <w:rFonts w:hint="eastAsia" w:ascii="宋体" w:hAnsi="宋体" w:cs="宋体"/>
          <w:szCs w:val="21"/>
        </w:rPr>
        <w:t>第一章   招标公告</w:t>
      </w:r>
    </w:p>
    <w:p>
      <w:pPr>
        <w:tabs>
          <w:tab w:val="left" w:pos="618"/>
        </w:tabs>
        <w:snapToGrid w:val="0"/>
        <w:spacing w:line="400" w:lineRule="atLeast"/>
        <w:ind w:left="618"/>
        <w:rPr>
          <w:rFonts w:ascii="宋体" w:hAnsi="宋体" w:cs="宋体"/>
          <w:szCs w:val="21"/>
        </w:rPr>
      </w:pPr>
      <w:r>
        <w:rPr>
          <w:rFonts w:hint="eastAsia" w:ascii="宋体" w:hAnsi="宋体" w:cs="宋体"/>
          <w:szCs w:val="21"/>
        </w:rPr>
        <w:t>第二章   投标人须知及前附表</w:t>
      </w:r>
    </w:p>
    <w:p>
      <w:pPr>
        <w:tabs>
          <w:tab w:val="left" w:pos="618"/>
        </w:tabs>
        <w:snapToGrid w:val="0"/>
        <w:spacing w:line="400" w:lineRule="atLeast"/>
        <w:ind w:left="618"/>
        <w:rPr>
          <w:rFonts w:ascii="宋体" w:hAnsi="宋体" w:cs="宋体"/>
          <w:szCs w:val="21"/>
        </w:rPr>
      </w:pPr>
      <w:r>
        <w:rPr>
          <w:rFonts w:hint="eastAsia" w:ascii="宋体" w:hAnsi="宋体" w:cs="宋体"/>
          <w:szCs w:val="21"/>
        </w:rPr>
        <w:t>第三章   招标内容及要求</w:t>
      </w:r>
    </w:p>
    <w:p>
      <w:pPr>
        <w:tabs>
          <w:tab w:val="left" w:pos="618"/>
        </w:tabs>
        <w:snapToGrid w:val="0"/>
        <w:spacing w:line="400" w:lineRule="atLeast"/>
        <w:ind w:left="618"/>
        <w:rPr>
          <w:rFonts w:ascii="宋体" w:hAnsi="宋体" w:cs="宋体"/>
          <w:szCs w:val="21"/>
        </w:rPr>
      </w:pPr>
      <w:r>
        <w:rPr>
          <w:rFonts w:hint="eastAsia" w:ascii="宋体" w:hAnsi="宋体" w:cs="宋体"/>
          <w:szCs w:val="21"/>
        </w:rPr>
        <w:t>第四章   合同主要条款</w:t>
      </w:r>
    </w:p>
    <w:p>
      <w:pPr>
        <w:tabs>
          <w:tab w:val="left" w:pos="618"/>
        </w:tabs>
        <w:snapToGrid w:val="0"/>
        <w:spacing w:line="400" w:lineRule="atLeast"/>
        <w:ind w:left="618"/>
        <w:rPr>
          <w:rFonts w:ascii="宋体" w:hAnsi="宋体" w:cs="宋体"/>
          <w:szCs w:val="21"/>
        </w:rPr>
      </w:pPr>
      <w:r>
        <w:rPr>
          <w:rFonts w:hint="eastAsia" w:ascii="宋体" w:hAnsi="宋体" w:cs="宋体"/>
          <w:szCs w:val="21"/>
        </w:rPr>
        <w:t>第五章   投标文件格式</w:t>
      </w:r>
    </w:p>
    <w:p>
      <w:pPr>
        <w:tabs>
          <w:tab w:val="left" w:pos="618"/>
        </w:tabs>
        <w:snapToGrid w:val="0"/>
        <w:spacing w:line="400" w:lineRule="atLeast"/>
        <w:ind w:left="618"/>
        <w:rPr>
          <w:rFonts w:ascii="宋体" w:hAnsi="宋体" w:cs="宋体"/>
          <w:szCs w:val="21"/>
        </w:rPr>
      </w:pPr>
      <w:r>
        <w:rPr>
          <w:rFonts w:hint="eastAsia" w:ascii="宋体" w:hAnsi="宋体" w:cs="宋体"/>
          <w:szCs w:val="21"/>
        </w:rPr>
        <w:t xml:space="preserve">第六章   评标原则及方法 </w:t>
      </w:r>
    </w:p>
    <w:p>
      <w:pPr>
        <w:widowControl/>
        <w:numPr>
          <w:ilvl w:val="1"/>
          <w:numId w:val="3"/>
        </w:numPr>
        <w:tabs>
          <w:tab w:val="left" w:pos="618"/>
        </w:tabs>
        <w:snapToGrid w:val="0"/>
        <w:spacing w:line="400" w:lineRule="atLeast"/>
        <w:ind w:left="618" w:hanging="618"/>
        <w:rPr>
          <w:rFonts w:ascii="宋体" w:hAnsi="宋体" w:cs="宋体"/>
          <w:szCs w:val="21"/>
        </w:rPr>
      </w:pPr>
      <w:r>
        <w:rPr>
          <w:rFonts w:hint="eastAsia" w:ascii="宋体" w:hAnsi="宋体" w:cs="宋体"/>
          <w:szCs w:val="21"/>
        </w:rPr>
        <w:t>投标人应详细阅读招标文件的全部内容，没有按照招标文件要求提交全部资料或者没有对招标文件在各方面的要求都做出实质性响应，是投标人的风险。没有实质上响应招标文件要求的投标将被拒绝。</w:t>
      </w:r>
    </w:p>
    <w:p>
      <w:pPr>
        <w:widowControl/>
        <w:numPr>
          <w:ilvl w:val="0"/>
          <w:numId w:val="3"/>
        </w:numPr>
        <w:tabs>
          <w:tab w:val="left" w:pos="618"/>
          <w:tab w:val="clear" w:pos="851"/>
        </w:tabs>
        <w:snapToGrid w:val="0"/>
        <w:spacing w:line="400" w:lineRule="atLeast"/>
        <w:ind w:left="618" w:hanging="618"/>
        <w:rPr>
          <w:rFonts w:ascii="宋体" w:hAnsi="宋体" w:cs="宋体"/>
          <w:b/>
          <w:szCs w:val="21"/>
        </w:rPr>
      </w:pPr>
      <w:r>
        <w:rPr>
          <w:rFonts w:hint="eastAsia" w:ascii="宋体" w:hAnsi="宋体" w:cs="宋体"/>
          <w:b/>
          <w:szCs w:val="21"/>
        </w:rPr>
        <w:t>招标文件的澄清</w:t>
      </w:r>
    </w:p>
    <w:p>
      <w:pPr>
        <w:widowControl/>
        <w:numPr>
          <w:ilvl w:val="1"/>
          <w:numId w:val="3"/>
        </w:numPr>
        <w:tabs>
          <w:tab w:val="left" w:pos="618"/>
        </w:tabs>
        <w:snapToGrid w:val="0"/>
        <w:spacing w:line="400" w:lineRule="atLeast"/>
        <w:ind w:left="618" w:hanging="618"/>
        <w:rPr>
          <w:rFonts w:ascii="宋体" w:hAnsi="宋体" w:cs="宋体"/>
          <w:szCs w:val="21"/>
        </w:rPr>
      </w:pPr>
      <w:r>
        <w:rPr>
          <w:rFonts w:hint="eastAsia" w:ascii="宋体" w:hAnsi="宋体" w:cs="宋体"/>
          <w:bCs/>
          <w:szCs w:val="21"/>
        </w:rPr>
        <w:t>投标人对本招标文件如有疑问，请于质疑时间截止前将问题以书面</w:t>
      </w:r>
      <w:r>
        <w:rPr>
          <w:rFonts w:hint="eastAsia" w:ascii="宋体" w:hAnsi="宋体" w:cs="宋体"/>
          <w:szCs w:val="21"/>
        </w:rPr>
        <w:t>函件</w:t>
      </w:r>
      <w:r>
        <w:rPr>
          <w:rFonts w:hint="eastAsia" w:ascii="宋体" w:hAnsi="宋体" w:cs="宋体"/>
          <w:bCs/>
          <w:szCs w:val="21"/>
        </w:rPr>
        <w:t>形式（</w:t>
      </w:r>
      <w:r>
        <w:rPr>
          <w:rFonts w:hint="eastAsia" w:ascii="宋体" w:hAnsi="宋体" w:cs="宋体"/>
          <w:szCs w:val="21"/>
        </w:rPr>
        <w:t>信函、传真，</w:t>
      </w:r>
      <w:r>
        <w:rPr>
          <w:rFonts w:hint="eastAsia" w:ascii="宋体" w:hAnsi="宋体" w:cs="宋体"/>
          <w:bCs/>
          <w:szCs w:val="21"/>
        </w:rPr>
        <w:t>加盖投标人法人公章）</w:t>
      </w:r>
      <w:r>
        <w:rPr>
          <w:rFonts w:hint="eastAsia" w:ascii="宋体" w:hAnsi="宋体" w:cs="宋体"/>
          <w:szCs w:val="21"/>
        </w:rPr>
        <w:t>交至采购机构</w:t>
      </w:r>
      <w:r>
        <w:rPr>
          <w:rFonts w:hint="eastAsia" w:ascii="宋体" w:hAnsi="宋体" w:cs="宋体"/>
          <w:bCs/>
          <w:szCs w:val="21"/>
        </w:rPr>
        <w:t>，超出上述截止时间提出的任何疑问，</w:t>
      </w:r>
      <w:r>
        <w:rPr>
          <w:rFonts w:hint="eastAsia" w:ascii="宋体" w:hAnsi="宋体" w:cs="宋体"/>
          <w:szCs w:val="21"/>
        </w:rPr>
        <w:t>采购机构</w:t>
      </w:r>
      <w:r>
        <w:rPr>
          <w:rFonts w:hint="eastAsia" w:ascii="宋体" w:hAnsi="宋体" w:cs="宋体"/>
          <w:bCs/>
          <w:szCs w:val="21"/>
        </w:rPr>
        <w:t>可不予答复。</w:t>
      </w:r>
      <w:r>
        <w:rPr>
          <w:rFonts w:hint="eastAsia" w:ascii="宋体" w:hAnsi="宋体" w:cs="宋体"/>
          <w:szCs w:val="21"/>
        </w:rPr>
        <w:t>如有必要</w:t>
      </w:r>
      <w:r>
        <w:rPr>
          <w:rFonts w:hint="eastAsia" w:ascii="宋体" w:hAnsi="宋体" w:cs="宋体"/>
          <w:bCs/>
          <w:szCs w:val="21"/>
        </w:rPr>
        <w:t>，</w:t>
      </w:r>
      <w:r>
        <w:rPr>
          <w:rFonts w:hint="eastAsia" w:ascii="宋体" w:hAnsi="宋体" w:cs="宋体"/>
          <w:b/>
        </w:rPr>
        <w:t>将在规定时间内发布在浙江政府采购网和龙港市政务服务中心网站，请供应商注意查看并按更正补充文件投标，如供应商未按更正补充文件投标，后果自负，</w:t>
      </w:r>
      <w:r>
        <w:rPr>
          <w:rFonts w:hint="eastAsia" w:ascii="宋体" w:hAnsi="宋体" w:cs="宋体"/>
          <w:szCs w:val="21"/>
        </w:rPr>
        <w:t>该答疑文件为招标文件的组成部分。如果答疑期内未收到有关疑问，视为投标人完全同意招标文件所有条款，且对于招标文件的内容表述以及未尽事宜如有争议，以采购机构解释为准。</w:t>
      </w:r>
    </w:p>
    <w:p>
      <w:pPr>
        <w:widowControl/>
        <w:numPr>
          <w:ilvl w:val="1"/>
          <w:numId w:val="3"/>
        </w:numPr>
        <w:tabs>
          <w:tab w:val="left" w:pos="618"/>
        </w:tabs>
        <w:snapToGrid w:val="0"/>
        <w:spacing w:line="400" w:lineRule="atLeast"/>
        <w:ind w:left="618" w:hanging="618"/>
        <w:rPr>
          <w:rFonts w:ascii="宋体" w:hAnsi="宋体" w:cs="宋体"/>
          <w:szCs w:val="21"/>
        </w:rPr>
      </w:pPr>
      <w:r>
        <w:rPr>
          <w:rFonts w:hint="eastAsia" w:ascii="宋体" w:hAnsi="宋体" w:cs="宋体"/>
          <w:szCs w:val="21"/>
        </w:rPr>
        <w:t>采购机构将视情况确定是否有必要召开标前会，如需召开将会以书面形式通知所有的投标人。</w:t>
      </w:r>
    </w:p>
    <w:p>
      <w:pPr>
        <w:widowControl/>
        <w:numPr>
          <w:ilvl w:val="0"/>
          <w:numId w:val="3"/>
        </w:numPr>
        <w:tabs>
          <w:tab w:val="left" w:pos="618"/>
          <w:tab w:val="clear" w:pos="851"/>
        </w:tabs>
        <w:snapToGrid w:val="0"/>
        <w:spacing w:line="400" w:lineRule="atLeast"/>
        <w:ind w:left="618" w:hanging="618"/>
        <w:rPr>
          <w:rFonts w:ascii="宋体" w:hAnsi="宋体" w:cs="宋体"/>
          <w:b/>
          <w:sz w:val="22"/>
          <w:szCs w:val="22"/>
        </w:rPr>
      </w:pPr>
      <w:r>
        <w:rPr>
          <w:rFonts w:hint="eastAsia" w:ascii="宋体" w:hAnsi="宋体" w:cs="宋体"/>
          <w:b/>
          <w:sz w:val="22"/>
          <w:szCs w:val="22"/>
        </w:rPr>
        <w:t>招标文件的修改</w:t>
      </w:r>
    </w:p>
    <w:p>
      <w:pPr>
        <w:widowControl/>
        <w:numPr>
          <w:ilvl w:val="1"/>
          <w:numId w:val="3"/>
        </w:numPr>
        <w:tabs>
          <w:tab w:val="left" w:pos="618"/>
        </w:tabs>
        <w:snapToGrid w:val="0"/>
        <w:spacing w:line="400" w:lineRule="atLeast"/>
        <w:ind w:left="618" w:hanging="618"/>
        <w:rPr>
          <w:rFonts w:ascii="宋体" w:hAnsi="宋体" w:cs="宋体"/>
          <w:szCs w:val="21"/>
        </w:rPr>
      </w:pPr>
      <w:bookmarkStart w:id="10" w:name="_Toc495977856"/>
      <w:r>
        <w:rPr>
          <w:rFonts w:hint="eastAsia" w:ascii="宋体" w:hAnsi="宋体" w:cs="宋体"/>
          <w:szCs w:val="21"/>
        </w:rPr>
        <w:t>在规定前任何时候，采购机构无论是出于何种原因，均可对招标文件用补充文件的方式进行修改。</w:t>
      </w:r>
    </w:p>
    <w:p>
      <w:pPr>
        <w:widowControl/>
        <w:numPr>
          <w:ilvl w:val="1"/>
          <w:numId w:val="3"/>
        </w:numPr>
        <w:tabs>
          <w:tab w:val="left" w:pos="618"/>
        </w:tabs>
        <w:snapToGrid w:val="0"/>
        <w:spacing w:line="400" w:lineRule="atLeast"/>
        <w:ind w:left="618" w:hanging="618"/>
        <w:rPr>
          <w:rFonts w:ascii="宋体" w:hAnsi="宋体" w:cs="宋体"/>
          <w:szCs w:val="21"/>
        </w:rPr>
      </w:pPr>
      <w:r>
        <w:rPr>
          <w:rFonts w:hint="eastAsia" w:ascii="宋体" w:hAnsi="宋体" w:cs="宋体"/>
          <w:szCs w:val="21"/>
        </w:rPr>
        <w:t>补充文件将作为招标文件的组成部分，对所有投标人有约束力。</w:t>
      </w:r>
    </w:p>
    <w:p>
      <w:pPr>
        <w:tabs>
          <w:tab w:val="left" w:pos="618"/>
        </w:tabs>
        <w:snapToGrid w:val="0"/>
        <w:spacing w:line="400" w:lineRule="atLeast"/>
        <w:jc w:val="center"/>
        <w:rPr>
          <w:rFonts w:ascii="宋体" w:hAnsi="宋体" w:cs="宋体"/>
          <w:b/>
          <w:sz w:val="36"/>
          <w:szCs w:val="21"/>
        </w:rPr>
      </w:pPr>
      <w:r>
        <w:rPr>
          <w:rFonts w:hint="eastAsia" w:ascii="宋体" w:hAnsi="宋体" w:cs="宋体"/>
          <w:b/>
          <w:sz w:val="36"/>
          <w:szCs w:val="21"/>
        </w:rPr>
        <w:t>四．投标文件的编制</w:t>
      </w:r>
    </w:p>
    <w:p>
      <w:pPr>
        <w:tabs>
          <w:tab w:val="left" w:pos="618"/>
        </w:tabs>
        <w:snapToGrid w:val="0"/>
        <w:spacing w:line="400" w:lineRule="atLeast"/>
        <w:jc w:val="center"/>
        <w:rPr>
          <w:rFonts w:ascii="宋体" w:hAnsi="宋体" w:cs="宋体"/>
          <w:b/>
          <w:sz w:val="36"/>
          <w:szCs w:val="21"/>
        </w:rPr>
      </w:pPr>
    </w:p>
    <w:bookmarkEnd w:id="10"/>
    <w:p>
      <w:pPr>
        <w:widowControl/>
        <w:numPr>
          <w:ilvl w:val="0"/>
          <w:numId w:val="3"/>
        </w:numPr>
        <w:tabs>
          <w:tab w:val="left" w:pos="618"/>
          <w:tab w:val="clear" w:pos="851"/>
        </w:tabs>
        <w:snapToGrid w:val="0"/>
        <w:spacing w:line="380" w:lineRule="exact"/>
        <w:ind w:left="618" w:hanging="618"/>
        <w:rPr>
          <w:rFonts w:ascii="宋体" w:hAnsi="宋体" w:cs="宋体"/>
          <w:b/>
          <w:bCs/>
          <w:sz w:val="22"/>
          <w:szCs w:val="22"/>
        </w:rPr>
      </w:pPr>
      <w:r>
        <w:rPr>
          <w:rFonts w:hint="eastAsia" w:ascii="宋体" w:hAnsi="宋体" w:cs="宋体"/>
          <w:b/>
          <w:bCs/>
          <w:sz w:val="22"/>
          <w:szCs w:val="22"/>
        </w:rPr>
        <w:t>投标文件的说明</w:t>
      </w:r>
    </w:p>
    <w:p>
      <w:pPr>
        <w:widowControl/>
        <w:numPr>
          <w:ilvl w:val="1"/>
          <w:numId w:val="3"/>
        </w:numPr>
        <w:tabs>
          <w:tab w:val="left" w:pos="618"/>
        </w:tabs>
        <w:snapToGrid w:val="0"/>
        <w:spacing w:line="380" w:lineRule="exact"/>
        <w:ind w:left="618" w:hanging="618"/>
        <w:rPr>
          <w:rFonts w:ascii="宋体" w:hAnsi="宋体" w:cs="宋体"/>
          <w:szCs w:val="21"/>
        </w:rPr>
      </w:pPr>
      <w:r>
        <w:rPr>
          <w:rFonts w:hint="eastAsia" w:ascii="宋体" w:hAnsi="宋体" w:cs="宋体"/>
          <w:bCs/>
          <w:szCs w:val="21"/>
        </w:rPr>
        <w:t>投标人的投标文件以及投标人与采购机构就有关投标的所有往来函电均应使用中文，度量衡单位采用中华人民共和国法定计量单位。</w:t>
      </w:r>
    </w:p>
    <w:p>
      <w:pPr>
        <w:widowControl/>
        <w:numPr>
          <w:ilvl w:val="1"/>
          <w:numId w:val="3"/>
        </w:numPr>
        <w:tabs>
          <w:tab w:val="left" w:pos="618"/>
        </w:tabs>
        <w:snapToGrid w:val="0"/>
        <w:spacing w:line="380" w:lineRule="exact"/>
        <w:ind w:left="618" w:hanging="618"/>
        <w:rPr>
          <w:rFonts w:ascii="宋体" w:hAnsi="宋体" w:cs="宋体"/>
          <w:szCs w:val="21"/>
        </w:rPr>
      </w:pPr>
      <w:r>
        <w:rPr>
          <w:rFonts w:hint="eastAsia" w:ascii="宋体" w:hAnsi="宋体" w:cs="宋体"/>
          <w:szCs w:val="21"/>
        </w:rPr>
        <w:t>投标人所提供的技术文件和资料（包括图片资料）应使用中文简化字。</w:t>
      </w:r>
    </w:p>
    <w:p>
      <w:pPr>
        <w:widowControl/>
        <w:numPr>
          <w:ilvl w:val="1"/>
          <w:numId w:val="3"/>
        </w:numPr>
        <w:tabs>
          <w:tab w:val="left" w:pos="618"/>
        </w:tabs>
        <w:snapToGrid w:val="0"/>
        <w:spacing w:line="380" w:lineRule="exact"/>
        <w:ind w:left="618" w:hanging="618"/>
        <w:rPr>
          <w:rFonts w:ascii="宋体" w:hAnsi="宋体" w:cs="宋体"/>
          <w:szCs w:val="21"/>
          <w:u w:val="single"/>
        </w:rPr>
      </w:pPr>
      <w:r>
        <w:rPr>
          <w:rFonts w:hint="eastAsia" w:ascii="宋体" w:hAnsi="宋体" w:cs="宋体"/>
          <w:szCs w:val="21"/>
        </w:rPr>
        <w:t>投标人必须按招标文件的要求提供相关技术参数、资料，包括采用的计量单位，并保证投标文件的正确性和真实性，否则评标委员会将作出不利于其投标的评定。技术和商务如有偏离均应填写偏离表。</w:t>
      </w:r>
      <w:r>
        <w:rPr>
          <w:rFonts w:hint="eastAsia" w:ascii="宋体" w:hAnsi="宋体" w:cs="宋体"/>
          <w:b/>
          <w:bCs/>
          <w:szCs w:val="21"/>
        </w:rPr>
        <w:t>不按招标文件要求提供的投标文件可能导致被拒绝。</w:t>
      </w:r>
    </w:p>
    <w:p>
      <w:pPr>
        <w:widowControl/>
        <w:numPr>
          <w:ilvl w:val="1"/>
          <w:numId w:val="3"/>
        </w:numPr>
        <w:tabs>
          <w:tab w:val="left" w:pos="618"/>
        </w:tabs>
        <w:snapToGrid w:val="0"/>
        <w:spacing w:line="380" w:lineRule="exact"/>
        <w:ind w:left="618" w:hanging="618"/>
        <w:rPr>
          <w:rFonts w:ascii="宋体" w:hAnsi="宋体" w:cs="宋体"/>
          <w:b/>
          <w:szCs w:val="21"/>
        </w:rPr>
      </w:pPr>
      <w:r>
        <w:rPr>
          <w:rFonts w:hint="eastAsia" w:ascii="宋体" w:hAnsi="宋体" w:cs="宋体"/>
          <w:b/>
          <w:szCs w:val="21"/>
        </w:rPr>
        <w:t>投标文件分为电子投标文件（必须提交）和电子备份投标文件（不做强制要求）两种提交方式。电子投标文件按政采云平台供应商项目采购-电子招投标操作指南及本招标文件要求制作、加密并递交；电子备份投标文件系政采云平台系统生成的电子加密备份文件，如投标人提供的备份有误，启用时将无法成功导入，责任自负。</w:t>
      </w:r>
    </w:p>
    <w:p>
      <w:pPr>
        <w:widowControl/>
        <w:numPr>
          <w:ilvl w:val="1"/>
          <w:numId w:val="3"/>
        </w:numPr>
        <w:tabs>
          <w:tab w:val="left" w:pos="618"/>
        </w:tabs>
        <w:snapToGrid w:val="0"/>
        <w:spacing w:line="380" w:lineRule="exact"/>
        <w:ind w:left="618" w:hanging="618"/>
        <w:rPr>
          <w:rFonts w:ascii="宋体" w:hAnsi="宋体" w:cs="宋体"/>
          <w:b/>
          <w:szCs w:val="21"/>
        </w:rPr>
      </w:pPr>
      <w:r>
        <w:rPr>
          <w:rFonts w:hint="eastAsia" w:ascii="宋体" w:hAnsi="宋体" w:cs="宋体"/>
          <w:b/>
          <w:szCs w:val="21"/>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widowControl/>
        <w:numPr>
          <w:ilvl w:val="0"/>
          <w:numId w:val="3"/>
        </w:numPr>
        <w:tabs>
          <w:tab w:val="left" w:pos="618"/>
          <w:tab w:val="clear" w:pos="851"/>
        </w:tabs>
        <w:snapToGrid w:val="0"/>
        <w:spacing w:line="380" w:lineRule="exact"/>
        <w:ind w:left="618" w:hanging="618"/>
        <w:rPr>
          <w:rFonts w:ascii="宋体" w:hAnsi="宋体" w:cs="宋体"/>
          <w:b/>
          <w:sz w:val="22"/>
          <w:szCs w:val="22"/>
        </w:rPr>
      </w:pPr>
      <w:r>
        <w:rPr>
          <w:rFonts w:hint="eastAsia" w:ascii="宋体" w:hAnsi="宋体" w:cs="宋体"/>
          <w:b/>
          <w:sz w:val="22"/>
          <w:szCs w:val="22"/>
        </w:rPr>
        <w:t>投标文件的组成</w:t>
      </w:r>
    </w:p>
    <w:p>
      <w:pPr>
        <w:autoSpaceDE w:val="0"/>
        <w:autoSpaceDN w:val="0"/>
        <w:adjustRightInd w:val="0"/>
        <w:snapToGrid w:val="0"/>
        <w:spacing w:line="454" w:lineRule="atLeast"/>
        <w:ind w:firstLine="442" w:firstLineChars="200"/>
        <w:textAlignment w:val="bottom"/>
        <w:rPr>
          <w:rFonts w:ascii="宋体" w:hAnsi="宋体" w:cs="宋体"/>
          <w:sz w:val="22"/>
          <w:szCs w:val="22"/>
        </w:rPr>
      </w:pPr>
      <w:r>
        <w:rPr>
          <w:rFonts w:hint="eastAsia" w:ascii="宋体" w:hAnsi="宋体" w:cs="宋体"/>
          <w:b/>
          <w:bCs/>
          <w:sz w:val="22"/>
          <w:szCs w:val="22"/>
          <w:u w:val="single"/>
        </w:rPr>
        <w:t>投标文件由资格文件和技术资信文件部分、报价文件三</w:t>
      </w:r>
      <w:r>
        <w:rPr>
          <w:rFonts w:hint="eastAsia" w:ascii="宋体" w:hAnsi="宋体" w:cs="宋体"/>
          <w:b/>
          <w:sz w:val="22"/>
          <w:szCs w:val="22"/>
          <w:u w:val="single"/>
        </w:rPr>
        <w:t>部分组成</w:t>
      </w:r>
      <w:r>
        <w:rPr>
          <w:rFonts w:hint="eastAsia" w:ascii="宋体" w:hAnsi="宋体" w:cs="宋体"/>
          <w:b/>
          <w:bCs/>
          <w:sz w:val="22"/>
          <w:szCs w:val="22"/>
          <w:u w:val="single"/>
        </w:rPr>
        <w:t>。资格文件和技术资信文件中不得含报价，否则投标文件将被拒绝。</w:t>
      </w:r>
    </w:p>
    <w:p>
      <w:pPr>
        <w:widowControl/>
        <w:snapToGrid w:val="0"/>
        <w:spacing w:line="380" w:lineRule="exact"/>
        <w:rPr>
          <w:rFonts w:ascii="宋体" w:hAnsi="宋体" w:cs="宋体"/>
          <w:b/>
          <w:szCs w:val="21"/>
        </w:rPr>
      </w:pPr>
      <w:r>
        <w:rPr>
          <w:rFonts w:hint="eastAsia" w:ascii="宋体" w:hAnsi="宋体" w:cs="宋体"/>
          <w:szCs w:val="21"/>
        </w:rPr>
        <w:t>一、</w:t>
      </w:r>
      <w:r>
        <w:rPr>
          <w:rFonts w:hint="eastAsia" w:ascii="宋体" w:hAnsi="宋体" w:cs="宋体"/>
          <w:b/>
          <w:szCs w:val="21"/>
        </w:rPr>
        <w:t>资格文件</w:t>
      </w:r>
      <w:r>
        <w:rPr>
          <w:rFonts w:hint="eastAsia" w:ascii="宋体" w:hAnsi="宋体" w:cs="宋体"/>
          <w:szCs w:val="21"/>
        </w:rPr>
        <w:t>：</w:t>
      </w:r>
    </w:p>
    <w:p>
      <w:pPr>
        <w:widowControl/>
        <w:spacing w:line="380" w:lineRule="exact"/>
        <w:ind w:left="309"/>
        <w:jc w:val="left"/>
        <w:rPr>
          <w:rFonts w:ascii="宋体" w:hAnsi="宋体" w:cs="宋体"/>
          <w:szCs w:val="21"/>
        </w:rPr>
      </w:pPr>
      <w:r>
        <w:rPr>
          <w:rFonts w:hint="eastAsia" w:ascii="宋体" w:hAnsi="宋体" w:cs="宋体"/>
          <w:szCs w:val="21"/>
        </w:rPr>
        <w:t xml:space="preserve">（1）具有独立承担民事责任的能力：提供投标人营业执照扫描件（加盖公章） </w:t>
      </w:r>
    </w:p>
    <w:p>
      <w:pPr>
        <w:tabs>
          <w:tab w:val="left" w:pos="927"/>
        </w:tabs>
        <w:spacing w:line="380" w:lineRule="exact"/>
        <w:ind w:firstLine="315" w:firstLineChars="150"/>
        <w:rPr>
          <w:rFonts w:ascii="宋体" w:hAnsi="宋体" w:cs="宋体"/>
          <w:szCs w:val="21"/>
        </w:rPr>
      </w:pPr>
      <w:r>
        <w:rPr>
          <w:rFonts w:hint="eastAsia" w:ascii="宋体" w:hAnsi="宋体" w:cs="宋体"/>
          <w:szCs w:val="21"/>
        </w:rPr>
        <w:t>（2）</w:t>
      </w:r>
      <w:r>
        <w:rPr>
          <w:rFonts w:hint="eastAsia" w:ascii="宋体" w:hAnsi="宋体"/>
          <w:szCs w:val="21"/>
        </w:rPr>
        <w:t>资格承诺函</w:t>
      </w:r>
      <w:r>
        <w:rPr>
          <w:rFonts w:hint="eastAsia" w:ascii="宋体" w:hAnsi="宋体" w:cs="宋体"/>
          <w:szCs w:val="21"/>
        </w:rPr>
        <w:t>（附件九）</w:t>
      </w:r>
    </w:p>
    <w:p>
      <w:pPr>
        <w:tabs>
          <w:tab w:val="left" w:pos="927"/>
        </w:tabs>
        <w:spacing w:line="380" w:lineRule="exact"/>
        <w:ind w:firstLine="315" w:firstLineChars="15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）法定代表人授权委托书   （附件九）                    </w:t>
      </w:r>
    </w:p>
    <w:p>
      <w:pPr>
        <w:widowControl/>
        <w:snapToGrid w:val="0"/>
        <w:spacing w:line="380" w:lineRule="exact"/>
        <w:rPr>
          <w:rFonts w:ascii="宋体" w:hAnsi="宋体" w:cs="宋体"/>
          <w:b/>
          <w:szCs w:val="21"/>
        </w:rPr>
      </w:pPr>
      <w:r>
        <w:rPr>
          <w:rFonts w:hint="eastAsia" w:ascii="宋体" w:hAnsi="宋体" w:cs="宋体"/>
          <w:b/>
          <w:szCs w:val="21"/>
        </w:rPr>
        <w:t>二、 技术资信文件：</w:t>
      </w:r>
    </w:p>
    <w:p>
      <w:pPr>
        <w:widowControl/>
        <w:numPr>
          <w:ilvl w:val="0"/>
          <w:numId w:val="6"/>
        </w:numPr>
        <w:tabs>
          <w:tab w:val="left" w:pos="824"/>
          <w:tab w:val="clear" w:pos="1347"/>
        </w:tabs>
        <w:snapToGrid w:val="0"/>
        <w:spacing w:line="380" w:lineRule="exact"/>
        <w:ind w:hanging="1095"/>
        <w:rPr>
          <w:rFonts w:ascii="宋体" w:hAnsi="宋体" w:cs="宋体"/>
          <w:szCs w:val="21"/>
        </w:rPr>
      </w:pPr>
      <w:r>
        <w:rPr>
          <w:rFonts w:hint="eastAsia" w:ascii="宋体" w:hAnsi="宋体" w:cs="宋体"/>
          <w:szCs w:val="21"/>
        </w:rPr>
        <w:t>投标函                                        （附件一）</w:t>
      </w:r>
    </w:p>
    <w:p>
      <w:pPr>
        <w:widowControl/>
        <w:numPr>
          <w:ilvl w:val="0"/>
          <w:numId w:val="6"/>
        </w:numPr>
        <w:tabs>
          <w:tab w:val="left" w:pos="824"/>
          <w:tab w:val="clear" w:pos="1347"/>
        </w:tabs>
        <w:spacing w:line="380" w:lineRule="exact"/>
        <w:ind w:hanging="1095"/>
        <w:jc w:val="left"/>
        <w:rPr>
          <w:rFonts w:ascii="宋体" w:hAnsi="宋体" w:cs="宋体"/>
          <w:szCs w:val="21"/>
        </w:rPr>
      </w:pPr>
      <w:r>
        <w:rPr>
          <w:rFonts w:hint="eastAsia" w:ascii="宋体" w:hAnsi="宋体" w:cs="宋体"/>
          <w:szCs w:val="21"/>
        </w:rPr>
        <w:t>技术规格表    （附件五）</w:t>
      </w:r>
    </w:p>
    <w:p>
      <w:pPr>
        <w:widowControl/>
        <w:numPr>
          <w:ilvl w:val="0"/>
          <w:numId w:val="6"/>
        </w:numPr>
        <w:tabs>
          <w:tab w:val="left" w:pos="824"/>
          <w:tab w:val="clear" w:pos="1347"/>
        </w:tabs>
        <w:spacing w:line="380" w:lineRule="exact"/>
        <w:ind w:hanging="1095"/>
        <w:jc w:val="left"/>
        <w:rPr>
          <w:rFonts w:ascii="宋体" w:hAnsi="宋体" w:cs="宋体"/>
          <w:szCs w:val="21"/>
        </w:rPr>
      </w:pPr>
      <w:r>
        <w:rPr>
          <w:rFonts w:hint="eastAsia" w:ascii="宋体" w:hAnsi="宋体" w:cs="宋体"/>
          <w:szCs w:val="21"/>
        </w:rPr>
        <w:t>技术、商务偏离表                            （附件六）</w:t>
      </w:r>
    </w:p>
    <w:p>
      <w:pPr>
        <w:widowControl/>
        <w:numPr>
          <w:ilvl w:val="0"/>
          <w:numId w:val="6"/>
        </w:numPr>
        <w:tabs>
          <w:tab w:val="left" w:pos="824"/>
          <w:tab w:val="clear" w:pos="1347"/>
        </w:tabs>
        <w:spacing w:line="380" w:lineRule="exact"/>
        <w:ind w:hanging="1095"/>
        <w:jc w:val="left"/>
        <w:rPr>
          <w:rFonts w:ascii="宋体" w:hAnsi="宋体" w:cs="宋体"/>
          <w:szCs w:val="21"/>
        </w:rPr>
      </w:pPr>
      <w:r>
        <w:rPr>
          <w:rFonts w:hint="eastAsia" w:ascii="宋体" w:hAnsi="宋体" w:cs="宋体"/>
          <w:bCs/>
          <w:szCs w:val="21"/>
        </w:rPr>
        <w:t>随机备品、备件、专用工具清单</w:t>
      </w:r>
      <w:r>
        <w:rPr>
          <w:rFonts w:hint="eastAsia" w:ascii="宋体" w:hAnsi="宋体" w:cs="宋体"/>
          <w:spacing w:val="8"/>
          <w:szCs w:val="21"/>
        </w:rPr>
        <w:t xml:space="preserve">（如有）       </w:t>
      </w:r>
      <w:r>
        <w:rPr>
          <w:rFonts w:hint="eastAsia" w:ascii="宋体" w:hAnsi="宋体" w:cs="宋体"/>
          <w:szCs w:val="21"/>
        </w:rPr>
        <w:t>（附件七）</w:t>
      </w:r>
    </w:p>
    <w:p>
      <w:pPr>
        <w:widowControl/>
        <w:numPr>
          <w:ilvl w:val="0"/>
          <w:numId w:val="6"/>
        </w:numPr>
        <w:tabs>
          <w:tab w:val="left" w:pos="824"/>
          <w:tab w:val="clear" w:pos="1347"/>
        </w:tabs>
        <w:spacing w:line="380" w:lineRule="exact"/>
        <w:ind w:left="306" w:firstLine="0"/>
        <w:jc w:val="left"/>
        <w:rPr>
          <w:rFonts w:ascii="宋体" w:hAnsi="宋体" w:cs="宋体"/>
          <w:b/>
          <w:szCs w:val="21"/>
        </w:rPr>
      </w:pPr>
      <w:r>
        <w:rPr>
          <w:rFonts w:hint="eastAsia" w:ascii="宋体" w:hAnsi="宋体" w:cs="宋体"/>
          <w:szCs w:val="21"/>
        </w:rPr>
        <w:t>投标产品的主要技术、配置、性能、特点和质量水平的详细描述及产品样本图册</w:t>
      </w:r>
      <w:r>
        <w:rPr>
          <w:rFonts w:hint="eastAsia" w:ascii="宋体" w:hAnsi="宋体" w:cs="宋体"/>
          <w:szCs w:val="21"/>
          <w:u w:val="thick"/>
        </w:rPr>
        <w:t>（包括配置、部件来源说明等）</w:t>
      </w:r>
      <w:r>
        <w:rPr>
          <w:rFonts w:hint="eastAsia" w:ascii="宋体" w:hAnsi="宋体" w:cs="宋体"/>
          <w:szCs w:val="21"/>
        </w:rPr>
        <w:t>（</w:t>
      </w:r>
      <w:r>
        <w:rPr>
          <w:rFonts w:hint="eastAsia" w:ascii="宋体" w:hAnsi="宋体" w:cs="宋体"/>
          <w:b/>
          <w:szCs w:val="21"/>
          <w:u w:val="thick"/>
        </w:rPr>
        <w:t>如果资料提供不全或完全抄袭招标文件，可能导致对供应商不利的评定）</w:t>
      </w:r>
      <w:r>
        <w:rPr>
          <w:rFonts w:hint="eastAsia" w:ascii="宋体" w:hAnsi="宋体" w:cs="宋体"/>
          <w:b/>
          <w:szCs w:val="21"/>
        </w:rPr>
        <w:t>；</w:t>
      </w:r>
    </w:p>
    <w:p>
      <w:pPr>
        <w:widowControl/>
        <w:numPr>
          <w:ilvl w:val="0"/>
          <w:numId w:val="6"/>
        </w:numPr>
        <w:tabs>
          <w:tab w:val="left" w:pos="824"/>
          <w:tab w:val="clear" w:pos="1347"/>
        </w:tabs>
        <w:spacing w:line="380" w:lineRule="exact"/>
        <w:ind w:hanging="1095"/>
        <w:jc w:val="left"/>
        <w:rPr>
          <w:rFonts w:hint="eastAsia" w:ascii="宋体" w:hAnsi="宋体" w:cs="宋体"/>
          <w:szCs w:val="21"/>
        </w:rPr>
      </w:pPr>
      <w:r>
        <w:rPr>
          <w:rFonts w:hint="eastAsia" w:ascii="宋体" w:hAnsi="宋体" w:cs="宋体"/>
          <w:szCs w:val="21"/>
        </w:rPr>
        <w:t>评分办法中需要</w:t>
      </w:r>
      <w:r>
        <w:rPr>
          <w:rFonts w:hint="eastAsia" w:ascii="宋体" w:hAnsi="宋体" w:cs="宋体"/>
          <w:szCs w:val="21"/>
          <w:lang w:val="en-US" w:eastAsia="zh-CN"/>
        </w:rPr>
        <w:t>提供</w:t>
      </w:r>
      <w:r>
        <w:rPr>
          <w:rFonts w:hint="eastAsia" w:ascii="宋体" w:hAnsi="宋体" w:cs="宋体"/>
          <w:szCs w:val="21"/>
        </w:rPr>
        <w:t>的打分项目</w:t>
      </w:r>
      <w:r>
        <w:rPr>
          <w:rFonts w:hint="eastAsia" w:ascii="宋体" w:hAnsi="宋体" w:cs="宋体"/>
          <w:szCs w:val="21"/>
          <w:lang w:val="en-US" w:eastAsia="zh-CN"/>
        </w:rPr>
        <w:t>内容</w:t>
      </w:r>
      <w:r>
        <w:rPr>
          <w:rFonts w:hint="eastAsia" w:ascii="宋体" w:hAnsi="宋体" w:cs="宋体"/>
          <w:szCs w:val="21"/>
        </w:rPr>
        <w:t>（附件八）</w:t>
      </w:r>
    </w:p>
    <w:p>
      <w:pPr>
        <w:widowControl/>
        <w:numPr>
          <w:ilvl w:val="0"/>
          <w:numId w:val="6"/>
        </w:numPr>
        <w:tabs>
          <w:tab w:val="left" w:pos="824"/>
          <w:tab w:val="clear" w:pos="1347"/>
        </w:tabs>
        <w:spacing w:line="380" w:lineRule="exact"/>
        <w:ind w:hanging="1095"/>
        <w:jc w:val="left"/>
        <w:rPr>
          <w:rFonts w:hint="eastAsia" w:ascii="宋体" w:hAnsi="宋体" w:cs="宋体"/>
          <w:szCs w:val="21"/>
        </w:rPr>
      </w:pPr>
      <w:r>
        <w:rPr>
          <w:rFonts w:hint="eastAsia" w:ascii="宋体" w:hAnsi="宋体" w:cs="宋体"/>
          <w:szCs w:val="21"/>
        </w:rPr>
        <w:t>各种优惠条件（如有）</w:t>
      </w:r>
    </w:p>
    <w:p>
      <w:pPr>
        <w:widowControl/>
        <w:numPr>
          <w:ilvl w:val="0"/>
          <w:numId w:val="6"/>
        </w:numPr>
        <w:tabs>
          <w:tab w:val="left" w:pos="824"/>
          <w:tab w:val="clear" w:pos="1347"/>
        </w:tabs>
        <w:spacing w:line="380" w:lineRule="exact"/>
        <w:ind w:hanging="1095"/>
        <w:jc w:val="left"/>
        <w:rPr>
          <w:rFonts w:ascii="宋体" w:hAnsi="宋体" w:cs="宋体"/>
          <w:szCs w:val="21"/>
        </w:rPr>
      </w:pPr>
      <w:r>
        <w:rPr>
          <w:rFonts w:hint="eastAsia" w:ascii="宋体" w:hAnsi="宋体" w:cs="宋体"/>
          <w:szCs w:val="21"/>
        </w:rPr>
        <w:t>业绩情况</w:t>
      </w:r>
    </w:p>
    <w:p>
      <w:pPr>
        <w:widowControl/>
        <w:spacing w:line="380" w:lineRule="exact"/>
        <w:ind w:firstLine="210" w:firstLineChars="100"/>
        <w:jc w:val="left"/>
        <w:rPr>
          <w:rFonts w:ascii="宋体" w:hAnsi="宋体" w:cs="宋体"/>
          <w:bCs/>
          <w:szCs w:val="21"/>
        </w:rPr>
      </w:pPr>
      <w:r>
        <w:rPr>
          <w:rFonts w:hint="eastAsia" w:ascii="宋体" w:hAnsi="宋体" w:cs="宋体"/>
          <w:bCs/>
          <w:szCs w:val="21"/>
        </w:rPr>
        <w:t>（11）节能环保产品声明函及投标产品政府采购节能产品或环境标志产品认证证书扫描件，加盖公章。（如有）    （附件十）</w:t>
      </w:r>
    </w:p>
    <w:p>
      <w:pPr>
        <w:widowControl/>
        <w:numPr>
          <w:ilvl w:val="0"/>
          <w:numId w:val="6"/>
        </w:numPr>
        <w:tabs>
          <w:tab w:val="left" w:pos="824"/>
          <w:tab w:val="clear" w:pos="1347"/>
        </w:tabs>
        <w:spacing w:line="380" w:lineRule="exact"/>
        <w:ind w:hanging="1095"/>
        <w:jc w:val="left"/>
        <w:rPr>
          <w:rFonts w:ascii="宋体" w:hAnsi="宋体" w:cs="宋体"/>
          <w:szCs w:val="21"/>
        </w:rPr>
      </w:pPr>
      <w:r>
        <w:rPr>
          <w:rFonts w:hint="eastAsia" w:ascii="宋体" w:hAnsi="宋体" w:cs="宋体"/>
          <w:szCs w:val="21"/>
        </w:rPr>
        <w:t>投标人认为需要提供的其他相关资料</w:t>
      </w:r>
    </w:p>
    <w:p>
      <w:pPr>
        <w:widowControl/>
        <w:numPr>
          <w:ilvl w:val="0"/>
          <w:numId w:val="6"/>
        </w:numPr>
        <w:tabs>
          <w:tab w:val="left" w:pos="824"/>
          <w:tab w:val="clear" w:pos="1347"/>
        </w:tabs>
        <w:spacing w:line="380" w:lineRule="exact"/>
        <w:ind w:left="306" w:firstLine="0"/>
        <w:jc w:val="left"/>
        <w:rPr>
          <w:rFonts w:ascii="宋体" w:hAnsi="宋体" w:cs="宋体"/>
          <w:szCs w:val="21"/>
        </w:rPr>
      </w:pPr>
      <w:r>
        <w:rPr>
          <w:rFonts w:hint="eastAsia" w:ascii="宋体" w:hAnsi="宋体" w:cs="宋体"/>
          <w:szCs w:val="21"/>
        </w:rPr>
        <w:t>供应商（制造商）质量体系认证证书、供应商相关资质、资信或信用证书（如有则提供，扫描件加盖有效公章）；</w:t>
      </w:r>
    </w:p>
    <w:p>
      <w:pPr>
        <w:widowControl/>
        <w:numPr>
          <w:ilvl w:val="0"/>
          <w:numId w:val="6"/>
        </w:numPr>
        <w:tabs>
          <w:tab w:val="left" w:pos="824"/>
          <w:tab w:val="clear" w:pos="1347"/>
        </w:tabs>
        <w:spacing w:line="380" w:lineRule="exact"/>
        <w:ind w:left="306" w:firstLine="0"/>
        <w:jc w:val="left"/>
        <w:rPr>
          <w:rFonts w:ascii="宋体" w:hAnsi="宋体" w:cs="宋体"/>
          <w:szCs w:val="21"/>
        </w:rPr>
      </w:pPr>
      <w:r>
        <w:rPr>
          <w:rFonts w:hint="eastAsia" w:ascii="宋体" w:hAnsi="宋体" w:cs="宋体"/>
          <w:szCs w:val="21"/>
        </w:rPr>
        <w:t>相关投标产品的生产许可证、3C认证、检测报告、（如有则提供，扫描件加盖投标供应商有效公章）</w:t>
      </w:r>
    </w:p>
    <w:p>
      <w:pPr>
        <w:widowControl/>
        <w:numPr>
          <w:ilvl w:val="0"/>
          <w:numId w:val="6"/>
        </w:numPr>
        <w:tabs>
          <w:tab w:val="left" w:pos="824"/>
          <w:tab w:val="clear" w:pos="1347"/>
        </w:tabs>
        <w:spacing w:line="380" w:lineRule="exact"/>
        <w:ind w:left="306" w:firstLine="0"/>
        <w:jc w:val="left"/>
        <w:rPr>
          <w:rFonts w:ascii="宋体" w:hAnsi="宋体" w:cs="宋体"/>
          <w:szCs w:val="21"/>
        </w:rPr>
      </w:pPr>
      <w:r>
        <w:rPr>
          <w:rFonts w:hint="eastAsia" w:ascii="宋体" w:hAnsi="宋体" w:cs="宋体"/>
          <w:szCs w:val="21"/>
        </w:rPr>
        <w:t>项目负责人及团队成员介绍    （</w:t>
      </w:r>
      <w:r>
        <w:rPr>
          <w:rFonts w:hint="eastAsia" w:ascii="宋体" w:hAnsi="宋体" w:cs="宋体"/>
          <w:bCs/>
          <w:szCs w:val="21"/>
        </w:rPr>
        <w:t>附件十一）</w:t>
      </w:r>
    </w:p>
    <w:p>
      <w:pPr>
        <w:widowControl/>
        <w:numPr>
          <w:ilvl w:val="0"/>
          <w:numId w:val="6"/>
        </w:numPr>
        <w:tabs>
          <w:tab w:val="left" w:pos="824"/>
          <w:tab w:val="clear" w:pos="1347"/>
        </w:tabs>
        <w:spacing w:line="380" w:lineRule="exact"/>
        <w:ind w:hanging="1095"/>
        <w:jc w:val="left"/>
        <w:rPr>
          <w:rFonts w:ascii="宋体" w:hAnsi="宋体" w:cs="宋体"/>
          <w:szCs w:val="21"/>
        </w:rPr>
      </w:pPr>
      <w:r>
        <w:rPr>
          <w:rFonts w:hint="eastAsia" w:ascii="宋体" w:hAnsi="宋体" w:cs="宋体"/>
          <w:szCs w:val="21"/>
        </w:rPr>
        <w:t xml:space="preserve">技术资信评分项索引表 (根据评分项自行编制相对页码) </w:t>
      </w:r>
    </w:p>
    <w:p>
      <w:pPr>
        <w:widowControl/>
        <w:numPr>
          <w:ilvl w:val="0"/>
          <w:numId w:val="6"/>
        </w:numPr>
        <w:tabs>
          <w:tab w:val="left" w:pos="824"/>
          <w:tab w:val="clear" w:pos="1347"/>
        </w:tabs>
        <w:spacing w:line="380" w:lineRule="exact"/>
        <w:ind w:left="306" w:firstLine="0"/>
        <w:jc w:val="left"/>
        <w:rPr>
          <w:rFonts w:ascii="宋体" w:hAnsi="宋体" w:cs="宋体"/>
          <w:b/>
          <w:szCs w:val="21"/>
        </w:rPr>
      </w:pPr>
      <w:r>
        <w:rPr>
          <w:rFonts w:hint="eastAsia" w:ascii="宋体" w:hAnsi="宋体" w:cs="宋体"/>
          <w:b/>
          <w:szCs w:val="21"/>
        </w:rPr>
        <w:t>政府采购活动现场确认声明书（</w:t>
      </w:r>
      <w:r>
        <w:rPr>
          <w:rFonts w:hint="eastAsia" w:ascii="宋体" w:hAnsi="宋体" w:cs="宋体"/>
          <w:b/>
          <w:bCs/>
          <w:szCs w:val="21"/>
        </w:rPr>
        <w:t>附件十五），本表格不用在投标文件中提供，将在开标后通系统询标方式回复，未按时回复视作默认无。</w:t>
      </w:r>
    </w:p>
    <w:p>
      <w:pPr>
        <w:snapToGrid w:val="0"/>
        <w:spacing w:line="380" w:lineRule="exact"/>
        <w:rPr>
          <w:rFonts w:ascii="宋体" w:hAnsi="宋体" w:cs="宋体"/>
          <w:b/>
          <w:szCs w:val="21"/>
        </w:rPr>
      </w:pPr>
      <w:r>
        <w:rPr>
          <w:rFonts w:hint="eastAsia" w:ascii="宋体" w:hAnsi="宋体" w:cs="宋体"/>
          <w:b/>
          <w:szCs w:val="21"/>
        </w:rPr>
        <w:t>三、 报价文件：</w:t>
      </w:r>
    </w:p>
    <w:p>
      <w:pPr>
        <w:widowControl/>
        <w:numPr>
          <w:ilvl w:val="0"/>
          <w:numId w:val="7"/>
        </w:numPr>
        <w:tabs>
          <w:tab w:val="left" w:pos="927"/>
          <w:tab w:val="clear" w:pos="1029"/>
        </w:tabs>
        <w:snapToGrid w:val="0"/>
        <w:spacing w:line="380" w:lineRule="exact"/>
        <w:rPr>
          <w:rFonts w:ascii="宋体" w:hAnsi="宋体" w:cs="宋体"/>
          <w:szCs w:val="21"/>
        </w:rPr>
      </w:pPr>
      <w:r>
        <w:rPr>
          <w:rFonts w:hint="eastAsia" w:ascii="宋体" w:hAnsi="宋体" w:cs="宋体"/>
          <w:szCs w:val="21"/>
        </w:rPr>
        <w:t xml:space="preserve"> 投标一览表（统一格式，用于唱标）            （见附件二）；</w:t>
      </w:r>
    </w:p>
    <w:p>
      <w:pPr>
        <w:widowControl/>
        <w:numPr>
          <w:ilvl w:val="0"/>
          <w:numId w:val="7"/>
        </w:numPr>
        <w:tabs>
          <w:tab w:val="left" w:pos="927"/>
          <w:tab w:val="clear" w:pos="1029"/>
        </w:tabs>
        <w:snapToGrid w:val="0"/>
        <w:spacing w:line="380" w:lineRule="exact"/>
        <w:rPr>
          <w:rFonts w:ascii="宋体" w:hAnsi="宋体" w:cs="宋体"/>
          <w:szCs w:val="21"/>
        </w:rPr>
      </w:pPr>
      <w:r>
        <w:rPr>
          <w:rFonts w:hint="eastAsia" w:ascii="宋体" w:hAnsi="宋体" w:cs="宋体"/>
          <w:bCs/>
          <w:szCs w:val="21"/>
        </w:rPr>
        <w:t xml:space="preserve"> 投标报价明细表</w:t>
      </w:r>
      <w:r>
        <w:rPr>
          <w:rFonts w:hint="eastAsia" w:ascii="宋体" w:hAnsi="宋体" w:cs="宋体"/>
          <w:szCs w:val="21"/>
        </w:rPr>
        <w:t xml:space="preserve">                             （见附件三）；</w:t>
      </w:r>
    </w:p>
    <w:p>
      <w:pPr>
        <w:widowControl/>
        <w:numPr>
          <w:ilvl w:val="0"/>
          <w:numId w:val="7"/>
        </w:numPr>
        <w:tabs>
          <w:tab w:val="clear" w:pos="1029"/>
        </w:tabs>
        <w:snapToGrid w:val="0"/>
        <w:spacing w:line="380" w:lineRule="exact"/>
        <w:rPr>
          <w:rFonts w:ascii="宋体" w:hAnsi="宋体" w:cs="宋体"/>
          <w:szCs w:val="21"/>
        </w:rPr>
      </w:pPr>
      <w:r>
        <w:rPr>
          <w:rFonts w:hint="eastAsia" w:ascii="宋体" w:hAnsi="宋体" w:cs="宋体"/>
          <w:szCs w:val="21"/>
        </w:rPr>
        <w:t>质保期外产品零件、易损件、备品备件报价表  （见附件四）（如有）。</w:t>
      </w:r>
    </w:p>
    <w:p>
      <w:pPr>
        <w:widowControl/>
        <w:numPr>
          <w:ilvl w:val="0"/>
          <w:numId w:val="0"/>
        </w:numPr>
        <w:tabs>
          <w:tab w:val="left" w:pos="824"/>
        </w:tabs>
        <w:spacing w:line="380" w:lineRule="exact"/>
        <w:ind w:firstLine="420" w:firstLineChars="200"/>
        <w:jc w:val="left"/>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中小企业声明函 (如有)（附件十二）、</w:t>
      </w:r>
      <w:r>
        <w:rPr>
          <w:rFonts w:hint="eastAsia" w:ascii="宋体" w:hAnsi="宋体" w:cs="宋体"/>
          <w:bCs/>
          <w:szCs w:val="21"/>
        </w:rPr>
        <w:t>监狱企业证明文件（如有）（由相关部门出具）</w:t>
      </w:r>
      <w:r>
        <w:rPr>
          <w:rFonts w:hint="eastAsia" w:ascii="宋体" w:hAnsi="宋体" w:cs="宋体"/>
          <w:szCs w:val="21"/>
        </w:rPr>
        <w:t>（附件十三）</w:t>
      </w:r>
      <w:r>
        <w:rPr>
          <w:rFonts w:hint="eastAsia" w:ascii="宋体" w:hAnsi="宋体" w:cs="宋体"/>
          <w:bCs/>
          <w:szCs w:val="21"/>
        </w:rPr>
        <w:t>、残疾人福利性单位声明函（如有）</w:t>
      </w:r>
      <w:r>
        <w:rPr>
          <w:rFonts w:hint="eastAsia" w:ascii="宋体" w:hAnsi="宋体" w:cs="宋体"/>
          <w:szCs w:val="21"/>
        </w:rPr>
        <w:t>（附件十四）</w:t>
      </w:r>
    </w:p>
    <w:p>
      <w:pPr>
        <w:widowControl/>
        <w:numPr>
          <w:ilvl w:val="0"/>
          <w:numId w:val="3"/>
        </w:numPr>
        <w:tabs>
          <w:tab w:val="left" w:pos="721"/>
          <w:tab w:val="clear" w:pos="851"/>
        </w:tabs>
        <w:snapToGrid w:val="0"/>
        <w:spacing w:line="380" w:lineRule="exact"/>
        <w:ind w:left="721" w:hanging="721"/>
        <w:rPr>
          <w:rFonts w:ascii="宋体" w:hAnsi="宋体" w:cs="宋体"/>
          <w:b/>
          <w:szCs w:val="21"/>
        </w:rPr>
      </w:pPr>
      <w:r>
        <w:rPr>
          <w:rFonts w:hint="eastAsia" w:ascii="宋体" w:hAnsi="宋体" w:cs="宋体"/>
          <w:b/>
          <w:szCs w:val="21"/>
        </w:rPr>
        <w:t>投标文件格式填写说明</w:t>
      </w:r>
    </w:p>
    <w:p>
      <w:pPr>
        <w:widowControl/>
        <w:numPr>
          <w:ilvl w:val="1"/>
          <w:numId w:val="3"/>
        </w:numPr>
        <w:tabs>
          <w:tab w:val="left" w:pos="721"/>
        </w:tabs>
        <w:snapToGrid w:val="0"/>
        <w:spacing w:line="380" w:lineRule="exact"/>
        <w:ind w:left="721" w:hanging="721"/>
        <w:jc w:val="left"/>
        <w:rPr>
          <w:rFonts w:ascii="宋体" w:hAnsi="宋体" w:cs="宋体"/>
          <w:b/>
          <w:szCs w:val="21"/>
        </w:rPr>
      </w:pPr>
      <w:r>
        <w:rPr>
          <w:rFonts w:hint="eastAsia" w:ascii="宋体" w:hAnsi="宋体" w:cs="宋体"/>
          <w:szCs w:val="21"/>
        </w:rPr>
        <w:t>投标人应认真阅读招标文件的所有内容，并严格按照招标文件规定的统一格式、顺序（按第11条顺序）及要求编制、填写完整的投标文件。投标文件应按照招标文件中规定的统一格式填写：电子投标文件按政采云平台供应商项目采购-电子招投标操作指南及本招标文件要求制作、加密。</w:t>
      </w:r>
      <w:r>
        <w:rPr>
          <w:rFonts w:hint="eastAsia" w:ascii="宋体" w:hAnsi="宋体" w:cs="宋体"/>
          <w:b/>
          <w:szCs w:val="21"/>
        </w:rPr>
        <w:t>混乱的编排或未对关联定位，导致投标文件被误读或查找不到有效文件所导致的风险投标人自行承担。</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投标人对招标文件中有特定格式要求的内容应按规定格式逐项填写，若无相应内容可填写“无”、“未测试”、“没有相应指标”等明确的回答文字，不准有空项。留有空项的投标文件，将有可能被视为非响应性投标而被拒绝。具体格式见招标文件第五部分附件。</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投标人必须保证投标文件所提供的全部资料真实可靠，并接受采购机构对其中任何资料进一步审查的要求。提供虚假证明的投标人将被取消政府采购</w:t>
      </w:r>
      <w:r>
        <w:rPr>
          <w:rFonts w:hint="eastAsia" w:ascii="宋体" w:hAnsi="宋体" w:cs="宋体"/>
          <w:bCs/>
          <w:szCs w:val="21"/>
        </w:rPr>
        <w:t>供应商</w:t>
      </w:r>
      <w:r>
        <w:rPr>
          <w:rFonts w:hint="eastAsia" w:ascii="宋体" w:hAnsi="宋体" w:cs="宋体"/>
          <w:szCs w:val="21"/>
        </w:rPr>
        <w:t>资格，并在政府采购宣传媒体上予以公告。</w:t>
      </w:r>
    </w:p>
    <w:p>
      <w:pPr>
        <w:widowControl/>
        <w:numPr>
          <w:ilvl w:val="1"/>
          <w:numId w:val="3"/>
        </w:numPr>
        <w:tabs>
          <w:tab w:val="left" w:pos="721"/>
        </w:tabs>
        <w:snapToGrid w:val="0"/>
        <w:spacing w:line="380" w:lineRule="exact"/>
        <w:ind w:left="721" w:hanging="721"/>
        <w:rPr>
          <w:rFonts w:ascii="宋体" w:hAnsi="宋体" w:cs="宋体"/>
          <w:szCs w:val="21"/>
          <w:u w:val="single"/>
        </w:rPr>
      </w:pPr>
      <w:r>
        <w:rPr>
          <w:rFonts w:hint="eastAsia" w:ascii="宋体" w:hAnsi="宋体" w:cs="宋体"/>
          <w:szCs w:val="21"/>
          <w:u w:val="single"/>
        </w:rPr>
        <w:t>《投标一览表》为在开标仪式上唱标的内容，要求按统一格式填写，不得自行增减内容。</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投标文件须对招标文件中的内容做出实质性和完整的响应，否则其投标将被拒绝。如果投标书填报的内容资料不详，或没有提供招标文件中所要求的全部资料及数据，将可能会导致投标被拒绝。</w:t>
      </w:r>
    </w:p>
    <w:p>
      <w:pPr>
        <w:widowControl/>
        <w:numPr>
          <w:ilvl w:val="0"/>
          <w:numId w:val="3"/>
        </w:numPr>
        <w:tabs>
          <w:tab w:val="left" w:pos="721"/>
          <w:tab w:val="left" w:pos="1145"/>
          <w:tab w:val="clear" w:pos="851"/>
        </w:tabs>
        <w:snapToGrid w:val="0"/>
        <w:spacing w:line="380" w:lineRule="exact"/>
        <w:ind w:left="721" w:hanging="721"/>
        <w:rPr>
          <w:rFonts w:ascii="宋体" w:hAnsi="宋体" w:cs="宋体"/>
          <w:b/>
          <w:sz w:val="22"/>
          <w:szCs w:val="22"/>
        </w:rPr>
      </w:pPr>
      <w:r>
        <w:rPr>
          <w:rFonts w:hint="eastAsia" w:ascii="宋体" w:hAnsi="宋体" w:cs="宋体"/>
          <w:b/>
          <w:sz w:val="22"/>
          <w:szCs w:val="22"/>
        </w:rPr>
        <w:t>优惠条件</w:t>
      </w:r>
    </w:p>
    <w:p>
      <w:pPr>
        <w:tabs>
          <w:tab w:val="left" w:pos="721"/>
        </w:tabs>
        <w:snapToGrid w:val="0"/>
        <w:spacing w:line="380" w:lineRule="exact"/>
        <w:ind w:left="757" w:leftChars="344" w:hanging="35" w:hangingChars="17"/>
        <w:rPr>
          <w:rFonts w:ascii="宋体" w:hAnsi="宋体" w:cs="宋体"/>
          <w:szCs w:val="21"/>
        </w:rPr>
      </w:pPr>
      <w:r>
        <w:rPr>
          <w:rFonts w:hint="eastAsia" w:ascii="宋体" w:hAnsi="宋体" w:cs="宋体"/>
          <w:szCs w:val="21"/>
        </w:rPr>
        <w:t>投标人承诺给予采购人提供的各种优惠条件，包括货物、运输、保险、安装调试、各种费率、付款条件、技术服务、售后服务、质量保证等。</w:t>
      </w:r>
      <w:r>
        <w:rPr>
          <w:rFonts w:hint="eastAsia" w:ascii="宋体" w:hAnsi="宋体" w:cs="宋体"/>
          <w:b/>
          <w:szCs w:val="21"/>
          <w:u w:val="single"/>
        </w:rPr>
        <w:t>上述优惠条件投标人应在技术资信文件中注明（是否接受由采购人决定）。</w:t>
      </w:r>
    </w:p>
    <w:p>
      <w:pPr>
        <w:widowControl/>
        <w:numPr>
          <w:ilvl w:val="0"/>
          <w:numId w:val="3"/>
        </w:numPr>
        <w:tabs>
          <w:tab w:val="left" w:pos="721"/>
          <w:tab w:val="left" w:pos="1145"/>
          <w:tab w:val="clear" w:pos="851"/>
        </w:tabs>
        <w:snapToGrid w:val="0"/>
        <w:spacing w:line="380" w:lineRule="exact"/>
        <w:ind w:left="721" w:hanging="721"/>
        <w:rPr>
          <w:rFonts w:ascii="宋体" w:hAnsi="宋体" w:cs="宋体"/>
          <w:sz w:val="22"/>
          <w:szCs w:val="22"/>
        </w:rPr>
      </w:pPr>
      <w:r>
        <w:rPr>
          <w:rFonts w:hint="eastAsia" w:ascii="宋体" w:hAnsi="宋体" w:cs="宋体"/>
          <w:b/>
          <w:sz w:val="22"/>
          <w:szCs w:val="22"/>
        </w:rPr>
        <w:t>投标报价</w:t>
      </w:r>
    </w:p>
    <w:p>
      <w:pPr>
        <w:widowControl/>
        <w:numPr>
          <w:ilvl w:val="1"/>
          <w:numId w:val="3"/>
        </w:numPr>
        <w:tabs>
          <w:tab w:val="left" w:pos="721"/>
          <w:tab w:val="left" w:pos="1470"/>
        </w:tabs>
        <w:snapToGrid w:val="0"/>
        <w:spacing w:line="380" w:lineRule="exact"/>
        <w:ind w:left="721" w:hanging="721"/>
        <w:rPr>
          <w:rFonts w:ascii="宋体" w:hAnsi="宋体" w:cs="宋体"/>
          <w:szCs w:val="21"/>
        </w:rPr>
      </w:pPr>
      <w:r>
        <w:rPr>
          <w:rFonts w:hint="eastAsia" w:ascii="宋体" w:hAnsi="宋体" w:cs="宋体"/>
          <w:bCs/>
          <w:szCs w:val="21"/>
        </w:rPr>
        <w:t>投标人必须按第五部分附件中的投标一览表、详细分项报价表（均统一格式）内容填写</w:t>
      </w:r>
      <w:r>
        <w:rPr>
          <w:rFonts w:hint="eastAsia" w:ascii="宋体" w:hAnsi="宋体" w:cs="宋体"/>
          <w:szCs w:val="21"/>
        </w:rPr>
        <w:t>货物的单价、合价和总价，</w:t>
      </w:r>
      <w:r>
        <w:rPr>
          <w:rFonts w:hint="eastAsia" w:ascii="宋体" w:hAnsi="宋体" w:cs="宋体"/>
          <w:bCs/>
          <w:szCs w:val="21"/>
        </w:rPr>
        <w:t>并由法定代表人或授权代表人签字或盖章。</w:t>
      </w:r>
    </w:p>
    <w:p>
      <w:pPr>
        <w:widowControl/>
        <w:numPr>
          <w:ilvl w:val="1"/>
          <w:numId w:val="3"/>
        </w:numPr>
        <w:tabs>
          <w:tab w:val="left" w:pos="721"/>
          <w:tab w:val="left" w:pos="1470"/>
        </w:tabs>
        <w:snapToGrid w:val="0"/>
        <w:spacing w:line="380" w:lineRule="exact"/>
        <w:ind w:left="721" w:hanging="721"/>
        <w:rPr>
          <w:rFonts w:ascii="宋体" w:hAnsi="宋体" w:cs="宋体"/>
          <w:szCs w:val="21"/>
        </w:rPr>
      </w:pPr>
      <w:r>
        <w:rPr>
          <w:rFonts w:hint="eastAsia" w:ascii="宋体" w:hAnsi="宋体" w:cs="宋体"/>
          <w:szCs w:val="21"/>
        </w:rPr>
        <w:t>投标报价应包括：货物及其附件的采购、制造、检测、试验、运输、保险、现场仓储、税费（含进口关税、增值税等）以及安装、验收、技术服务（包括技术资料和技术培训）、质保期保障等相关服务的全部费用，</w:t>
      </w:r>
      <w:r>
        <w:rPr>
          <w:rFonts w:hint="eastAsia" w:ascii="宋体" w:hAnsi="宋体" w:cs="宋体"/>
          <w:bCs/>
          <w:szCs w:val="21"/>
        </w:rPr>
        <w:t>并</w:t>
      </w:r>
      <w:r>
        <w:rPr>
          <w:rFonts w:hint="eastAsia" w:ascii="宋体" w:hAnsi="宋体" w:cs="宋体"/>
          <w:szCs w:val="21"/>
        </w:rPr>
        <w:t>已扣除所有商业折扣以及现金折扣。</w:t>
      </w:r>
      <w:r>
        <w:rPr>
          <w:rFonts w:hint="eastAsia" w:ascii="宋体" w:hAnsi="宋体" w:cs="宋体"/>
          <w:szCs w:val="21"/>
          <w:u w:val="single"/>
        </w:rPr>
        <w:t>投标价格</w:t>
      </w:r>
      <w:r>
        <w:rPr>
          <w:rFonts w:hint="eastAsia" w:ascii="宋体" w:hAnsi="宋体" w:cs="宋体"/>
          <w:bCs/>
          <w:szCs w:val="21"/>
          <w:u w:val="single"/>
        </w:rPr>
        <w:t>须以人民币报价，以其它货币报价的投标将不予接受。</w:t>
      </w:r>
    </w:p>
    <w:p>
      <w:pPr>
        <w:widowControl/>
        <w:numPr>
          <w:ilvl w:val="1"/>
          <w:numId w:val="3"/>
        </w:numPr>
        <w:tabs>
          <w:tab w:val="left" w:pos="721"/>
          <w:tab w:val="left" w:pos="1470"/>
        </w:tabs>
        <w:snapToGrid w:val="0"/>
        <w:spacing w:line="380" w:lineRule="exact"/>
        <w:ind w:left="721" w:hanging="721"/>
        <w:rPr>
          <w:rFonts w:ascii="宋体" w:hAnsi="宋体" w:cs="宋体"/>
          <w:szCs w:val="21"/>
        </w:rPr>
      </w:pPr>
      <w:r>
        <w:rPr>
          <w:rFonts w:hint="eastAsia" w:ascii="宋体" w:hAnsi="宋体" w:cs="宋体"/>
          <w:szCs w:val="21"/>
        </w:rPr>
        <w:t>采购机构不接受任何选择报价，对每一种货物只允许一个报价。投标人应在各自技术和商务占优势的基础上并充分考虑本次采购的重要性，提供对采购人及买方最优惠的投标报价。</w:t>
      </w:r>
    </w:p>
    <w:p>
      <w:pPr>
        <w:widowControl/>
        <w:numPr>
          <w:ilvl w:val="1"/>
          <w:numId w:val="3"/>
        </w:numPr>
        <w:tabs>
          <w:tab w:val="left" w:pos="721"/>
          <w:tab w:val="left" w:pos="1470"/>
        </w:tabs>
        <w:snapToGrid w:val="0"/>
        <w:spacing w:line="380" w:lineRule="exact"/>
        <w:ind w:left="721" w:hanging="721"/>
        <w:rPr>
          <w:rFonts w:ascii="宋体" w:hAnsi="宋体" w:cs="宋体"/>
          <w:b/>
          <w:bCs/>
          <w:szCs w:val="21"/>
          <w:u w:val="single"/>
        </w:rPr>
      </w:pPr>
      <w:r>
        <w:rPr>
          <w:rFonts w:hint="eastAsia" w:ascii="宋体" w:hAnsi="宋体" w:cs="宋体"/>
          <w:szCs w:val="21"/>
        </w:rPr>
        <w:t>在同一地方，中标供应商应保证投标报价低于其他非政府采购价或市场平均的价格。</w:t>
      </w:r>
      <w:r>
        <w:rPr>
          <w:rFonts w:hint="eastAsia" w:ascii="宋体" w:hAnsi="宋体" w:cs="宋体"/>
          <w:szCs w:val="21"/>
          <w:u w:val="single"/>
        </w:rPr>
        <w:t>同时，</w:t>
      </w:r>
      <w:r>
        <w:rPr>
          <w:rFonts w:hint="eastAsia" w:ascii="宋体" w:hAnsi="宋体" w:cs="宋体"/>
          <w:b/>
          <w:szCs w:val="21"/>
          <w:u w:val="single"/>
        </w:rPr>
        <w:t>中标供应商应保证投标报价在配置等基本条件相同、设备市场价格稳定的情况下不得明显高于温州地区其他县市同等项目的成交价格，</w:t>
      </w:r>
      <w:r>
        <w:rPr>
          <w:rFonts w:hint="eastAsia" w:ascii="宋体" w:hAnsi="宋体" w:cs="宋体"/>
          <w:b/>
          <w:szCs w:val="21"/>
        </w:rPr>
        <w:t>否则可能导致中标结果做无效处理。</w:t>
      </w:r>
    </w:p>
    <w:p>
      <w:pPr>
        <w:widowControl/>
        <w:numPr>
          <w:ilvl w:val="1"/>
          <w:numId w:val="3"/>
        </w:numPr>
        <w:tabs>
          <w:tab w:val="left" w:pos="721"/>
          <w:tab w:val="left" w:pos="1470"/>
        </w:tabs>
        <w:snapToGrid w:val="0"/>
        <w:spacing w:line="380" w:lineRule="exact"/>
        <w:ind w:left="721" w:hanging="721"/>
        <w:rPr>
          <w:rFonts w:ascii="宋体" w:hAnsi="宋体" w:cs="宋体"/>
          <w:b/>
          <w:bCs/>
          <w:sz w:val="22"/>
          <w:szCs w:val="22"/>
        </w:rPr>
      </w:pPr>
      <w:r>
        <w:rPr>
          <w:rFonts w:hint="eastAsia" w:ascii="宋体" w:hAnsi="宋体" w:cs="宋体"/>
          <w:b/>
          <w:bCs/>
          <w:sz w:val="22"/>
          <w:szCs w:val="22"/>
        </w:rPr>
        <w:t>不合理的低报价，可能导致中标结果做无效处理。</w:t>
      </w:r>
    </w:p>
    <w:p>
      <w:pPr>
        <w:widowControl/>
        <w:numPr>
          <w:ilvl w:val="1"/>
          <w:numId w:val="3"/>
        </w:numPr>
        <w:tabs>
          <w:tab w:val="left" w:pos="721"/>
          <w:tab w:val="left" w:pos="1470"/>
        </w:tabs>
        <w:snapToGrid w:val="0"/>
        <w:spacing w:line="380" w:lineRule="exact"/>
        <w:ind w:left="721" w:hanging="721"/>
      </w:pPr>
      <w:r>
        <w:rPr>
          <w:rFonts w:hint="eastAsia" w:ascii="宋体" w:hAnsi="宋体" w:cs="宋体"/>
        </w:rPr>
        <w:t>投标人若有方案和报价未被唱标，应在开标大会上及时声明并提请采购机构注意，否则是投标人自己的风险，采购机构对此不承担任何责任。</w:t>
      </w:r>
    </w:p>
    <w:p>
      <w:pPr>
        <w:widowControl/>
        <w:numPr>
          <w:ilvl w:val="0"/>
          <w:numId w:val="3"/>
        </w:numPr>
        <w:tabs>
          <w:tab w:val="left" w:pos="721"/>
          <w:tab w:val="clear" w:pos="851"/>
        </w:tabs>
        <w:snapToGrid w:val="0"/>
        <w:spacing w:line="380" w:lineRule="exact"/>
        <w:ind w:left="721" w:hanging="721"/>
        <w:rPr>
          <w:rFonts w:ascii="宋体" w:hAnsi="宋体" w:cs="宋体"/>
          <w:b/>
          <w:sz w:val="22"/>
          <w:szCs w:val="22"/>
        </w:rPr>
      </w:pPr>
      <w:r>
        <w:rPr>
          <w:rFonts w:hint="eastAsia" w:ascii="宋体" w:hAnsi="宋体" w:cs="宋体"/>
          <w:b/>
          <w:sz w:val="22"/>
          <w:szCs w:val="22"/>
        </w:rPr>
        <w:t>投标有效期</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提交投标文件截止日起60天内，投标书应保持有效。投标有效期短于规定期限的将被视为非响应投标而予以拒绝。</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特殊情况下，采购机构可于投标有效期满之前要求投标人同意延长有效期，要求与答复均应为书面形式。对于同意该要求的投标人，既不要求也不允许其修改投标文件。</w:t>
      </w:r>
    </w:p>
    <w:p>
      <w:pPr>
        <w:widowControl/>
        <w:numPr>
          <w:ilvl w:val="0"/>
          <w:numId w:val="3"/>
        </w:numPr>
        <w:tabs>
          <w:tab w:val="left" w:pos="721"/>
          <w:tab w:val="clear" w:pos="851"/>
        </w:tabs>
        <w:snapToGrid w:val="0"/>
        <w:spacing w:line="380" w:lineRule="exact"/>
        <w:ind w:left="721" w:hanging="721"/>
        <w:rPr>
          <w:rFonts w:ascii="宋体" w:hAnsi="宋体" w:cs="宋体"/>
          <w:sz w:val="22"/>
          <w:szCs w:val="22"/>
        </w:rPr>
      </w:pPr>
      <w:r>
        <w:rPr>
          <w:rFonts w:hint="eastAsia" w:ascii="宋体" w:hAnsi="宋体" w:cs="宋体"/>
          <w:b/>
          <w:sz w:val="22"/>
          <w:szCs w:val="22"/>
        </w:rPr>
        <w:t>投标文件的式样和签署</w:t>
      </w:r>
    </w:p>
    <w:p>
      <w:pPr>
        <w:snapToGrid w:val="0"/>
        <w:spacing w:before="120" w:beforeLines="50" w:after="120" w:afterLines="50" w:line="500" w:lineRule="exact"/>
        <w:ind w:left="740" w:leftChars="300" w:hanging="110" w:hangingChars="50"/>
        <w:jc w:val="left"/>
        <w:outlineLvl w:val="1"/>
        <w:rPr>
          <w:rFonts w:ascii="宋体" w:hAnsi="宋体" w:cs="宋体"/>
          <w:b/>
          <w:bCs/>
          <w:sz w:val="22"/>
          <w:szCs w:val="22"/>
        </w:rPr>
      </w:pPr>
      <w:r>
        <w:rPr>
          <w:rFonts w:hint="eastAsia" w:ascii="宋体" w:hAnsi="宋体" w:cs="宋体"/>
          <w:b/>
          <w:sz w:val="22"/>
          <w:szCs w:val="22"/>
        </w:rPr>
        <w:t>（1）投标文件</w:t>
      </w:r>
      <w:r>
        <w:rPr>
          <w:rFonts w:hint="eastAsia" w:ascii="宋体" w:hAnsi="宋体" w:cs="宋体"/>
          <w:b/>
          <w:bCs/>
          <w:sz w:val="22"/>
          <w:szCs w:val="22"/>
        </w:rPr>
        <w:t>按政采云平台供应商项目采购-电子招投标操作指南及本招标文件规定的格式和顺序编制电子投标文件并进行关联定位。</w:t>
      </w:r>
    </w:p>
    <w:p>
      <w:pPr>
        <w:widowControl/>
        <w:tabs>
          <w:tab w:val="left" w:pos="1031"/>
        </w:tabs>
        <w:snapToGrid w:val="0"/>
        <w:spacing w:line="380" w:lineRule="exact"/>
        <w:ind w:left="721"/>
        <w:rPr>
          <w:rFonts w:ascii="宋体" w:hAnsi="宋体" w:cs="宋体"/>
          <w:szCs w:val="21"/>
        </w:rPr>
      </w:pPr>
      <w:r>
        <w:rPr>
          <w:rFonts w:hint="eastAsia" w:ascii="宋体" w:hAnsi="宋体" w:cs="宋体"/>
          <w:szCs w:val="21"/>
        </w:rPr>
        <w:t>（2）在“投标文件格式”规定处由投标人的法定代表人或其授权代表人签字或盖章并加盖投标人法人公章。</w:t>
      </w:r>
    </w:p>
    <w:p>
      <w:pPr>
        <w:widowControl/>
        <w:tabs>
          <w:tab w:val="left" w:pos="1031"/>
        </w:tabs>
        <w:snapToGrid w:val="0"/>
        <w:spacing w:line="380" w:lineRule="exact"/>
        <w:ind w:left="735" w:leftChars="350"/>
        <w:rPr>
          <w:rFonts w:ascii="宋体" w:hAnsi="宋体" w:cs="宋体"/>
          <w:szCs w:val="21"/>
        </w:rPr>
      </w:pPr>
      <w:r>
        <w:rPr>
          <w:rFonts w:hint="eastAsia" w:ascii="宋体" w:hAnsi="宋体" w:cs="宋体"/>
          <w:szCs w:val="21"/>
        </w:rPr>
        <w:t>（3）投标文件不得涂改和增删，如有错漏必须修改。</w:t>
      </w:r>
    </w:p>
    <w:p>
      <w:pPr>
        <w:widowControl/>
        <w:tabs>
          <w:tab w:val="left" w:pos="1031"/>
        </w:tabs>
        <w:snapToGrid w:val="0"/>
        <w:spacing w:line="380" w:lineRule="exact"/>
        <w:ind w:left="721"/>
        <w:rPr>
          <w:rFonts w:ascii="宋体" w:hAnsi="宋体" w:cs="宋体"/>
          <w:szCs w:val="21"/>
        </w:rPr>
      </w:pPr>
      <w:r>
        <w:rPr>
          <w:rFonts w:hint="eastAsia" w:ascii="宋体" w:hAnsi="宋体" w:cs="宋体"/>
          <w:szCs w:val="21"/>
        </w:rPr>
        <w:t>（4）投标文件因字迹模糊或在关键的技术、商务条款上表述不清楚，将可能导致其投标被拒绝。</w:t>
      </w:r>
    </w:p>
    <w:p>
      <w:pPr>
        <w:widowControl/>
        <w:snapToGrid w:val="0"/>
        <w:spacing w:line="400" w:lineRule="exact"/>
        <w:ind w:left="721"/>
        <w:rPr>
          <w:rFonts w:ascii="宋体" w:hAnsi="宋体" w:cs="宋体"/>
          <w:b/>
          <w:szCs w:val="21"/>
        </w:rPr>
      </w:pPr>
      <w:r>
        <w:rPr>
          <w:rFonts w:hint="eastAsia" w:ascii="宋体" w:hAnsi="宋体" w:cs="宋体"/>
          <w:szCs w:val="21"/>
        </w:rPr>
        <w:t xml:space="preserve">（5）电子备份投标文件的密封和标记：投标人须将存有备份文件的U盘密封装袋，且在密封袋上标明“招标项目名称、招标编号、投标人名称等字样”并加盖单位公章。如果投标人未按要求标注清楚，采购人对投标文件的误投和提前启封不负责任。 </w:t>
      </w:r>
    </w:p>
    <w:p>
      <w:pPr>
        <w:widowControl/>
        <w:numPr>
          <w:ilvl w:val="0"/>
          <w:numId w:val="3"/>
        </w:numPr>
        <w:tabs>
          <w:tab w:val="left" w:pos="721"/>
          <w:tab w:val="clear" w:pos="851"/>
        </w:tabs>
        <w:snapToGrid w:val="0"/>
        <w:spacing w:line="380" w:lineRule="exact"/>
        <w:ind w:left="721" w:hanging="721"/>
        <w:rPr>
          <w:rFonts w:ascii="宋体" w:hAnsi="宋体" w:cs="宋体"/>
          <w:b/>
          <w:szCs w:val="21"/>
        </w:rPr>
      </w:pPr>
      <w:r>
        <w:rPr>
          <w:rFonts w:hint="eastAsia" w:ascii="宋体" w:hAnsi="宋体" w:cs="宋体"/>
          <w:b/>
          <w:szCs w:val="21"/>
        </w:rPr>
        <w:t>知识产权</w:t>
      </w:r>
    </w:p>
    <w:p>
      <w:pPr>
        <w:widowControl/>
        <w:numPr>
          <w:ilvl w:val="1"/>
          <w:numId w:val="3"/>
        </w:numPr>
        <w:tabs>
          <w:tab w:val="left" w:pos="721"/>
        </w:tabs>
        <w:snapToGrid w:val="0"/>
        <w:spacing w:line="380" w:lineRule="exact"/>
        <w:ind w:left="721" w:hanging="721"/>
        <w:rPr>
          <w:rFonts w:ascii="宋体" w:hAnsi="宋体" w:cs="宋体"/>
          <w:b/>
          <w:szCs w:val="21"/>
        </w:rPr>
      </w:pPr>
      <w:r>
        <w:rPr>
          <w:rFonts w:hint="eastAsia" w:ascii="宋体" w:hAnsi="宋体" w:cs="宋体"/>
          <w:szCs w:val="21"/>
        </w:rPr>
        <w:t>投标人应保证，采购人在中华人民共和国使用货物的任何一部分时，采购人免受第三方提出侵犯其专利权、商标权或其它知识产权的起诉；采购人免受有关行业监督机构和同业自律组织提出的起诉和投诉。</w:t>
      </w:r>
    </w:p>
    <w:p>
      <w:pPr>
        <w:widowControl/>
        <w:numPr>
          <w:ilvl w:val="1"/>
          <w:numId w:val="3"/>
        </w:numPr>
        <w:tabs>
          <w:tab w:val="left" w:pos="721"/>
        </w:tabs>
        <w:snapToGrid w:val="0"/>
        <w:spacing w:line="380" w:lineRule="exact"/>
        <w:ind w:left="721" w:hanging="721"/>
        <w:rPr>
          <w:rFonts w:ascii="宋体" w:hAnsi="宋体" w:cs="宋体"/>
          <w:b/>
          <w:szCs w:val="21"/>
        </w:rPr>
      </w:pPr>
      <w:r>
        <w:rPr>
          <w:rFonts w:hint="eastAsia" w:ascii="宋体" w:hAnsi="宋体" w:cs="宋体"/>
          <w:szCs w:val="21"/>
        </w:rPr>
        <w:t>投标报价应包括所有应支付的对专利权和</w:t>
      </w:r>
      <w:r>
        <w:rPr>
          <w:rFonts w:hint="eastAsia" w:ascii="宋体" w:hAnsi="宋体" w:cs="宋体"/>
          <w:spacing w:val="-10"/>
          <w:szCs w:val="21"/>
        </w:rPr>
        <w:t>版权、设计或其他知识产权而需要向其他方支付的版税。</w:t>
      </w:r>
    </w:p>
    <w:p>
      <w:pPr>
        <w:widowControl/>
        <w:snapToGrid w:val="0"/>
        <w:spacing w:line="380" w:lineRule="exact"/>
        <w:rPr>
          <w:rFonts w:ascii="宋体" w:hAnsi="宋体" w:cs="宋体"/>
          <w:szCs w:val="21"/>
        </w:rPr>
      </w:pPr>
    </w:p>
    <w:p>
      <w:pPr>
        <w:widowControl/>
        <w:snapToGrid w:val="0"/>
        <w:spacing w:line="380" w:lineRule="exact"/>
        <w:rPr>
          <w:rFonts w:ascii="宋体" w:hAnsi="宋体" w:cs="宋体"/>
          <w:szCs w:val="21"/>
        </w:rPr>
      </w:pPr>
    </w:p>
    <w:p>
      <w:pPr>
        <w:snapToGrid w:val="0"/>
        <w:spacing w:line="400" w:lineRule="atLeast"/>
        <w:jc w:val="center"/>
        <w:rPr>
          <w:rFonts w:ascii="宋体" w:hAnsi="宋体" w:cs="宋体"/>
          <w:b/>
          <w:sz w:val="36"/>
          <w:szCs w:val="21"/>
        </w:rPr>
      </w:pPr>
      <w:bookmarkStart w:id="11" w:name="_Toc495977857"/>
      <w:r>
        <w:rPr>
          <w:rFonts w:hint="eastAsia" w:ascii="宋体" w:hAnsi="宋体" w:cs="宋体"/>
          <w:b/>
          <w:sz w:val="36"/>
          <w:szCs w:val="21"/>
        </w:rPr>
        <w:t>五.  投标文件的递交</w:t>
      </w:r>
      <w:bookmarkEnd w:id="11"/>
    </w:p>
    <w:p>
      <w:pPr>
        <w:widowControl/>
        <w:numPr>
          <w:ilvl w:val="0"/>
          <w:numId w:val="3"/>
        </w:numPr>
        <w:tabs>
          <w:tab w:val="left" w:pos="721"/>
          <w:tab w:val="clear" w:pos="851"/>
        </w:tabs>
        <w:snapToGrid w:val="0"/>
        <w:spacing w:line="400" w:lineRule="exact"/>
        <w:ind w:left="721" w:hanging="721"/>
        <w:rPr>
          <w:rFonts w:ascii="宋体" w:hAnsi="宋体" w:cs="宋体"/>
          <w:b/>
          <w:szCs w:val="21"/>
        </w:rPr>
      </w:pPr>
      <w:r>
        <w:rPr>
          <w:rFonts w:hint="eastAsia" w:ascii="宋体" w:hAnsi="宋体" w:cs="宋体"/>
          <w:b/>
          <w:szCs w:val="21"/>
        </w:rPr>
        <w:t>投标文件的递交</w:t>
      </w:r>
    </w:p>
    <w:p>
      <w:pPr>
        <w:numPr>
          <w:ilvl w:val="1"/>
          <w:numId w:val="3"/>
        </w:numPr>
        <w:snapToGrid w:val="0"/>
        <w:spacing w:line="400" w:lineRule="exact"/>
        <w:rPr>
          <w:rFonts w:ascii="宋体" w:hAnsi="宋体" w:cs="宋体"/>
          <w:b/>
          <w:bCs/>
          <w:szCs w:val="21"/>
        </w:rPr>
      </w:pPr>
      <w:r>
        <w:rPr>
          <w:rFonts w:hint="eastAsia" w:ascii="宋体" w:hAnsi="宋体" w:cs="宋体"/>
          <w:bCs/>
          <w:szCs w:val="21"/>
        </w:rPr>
        <w:t>投标人应当在投标截止时间前</w:t>
      </w:r>
      <w:r>
        <w:rPr>
          <w:rFonts w:hint="eastAsia" w:ascii="宋体" w:hAnsi="宋体" w:cs="宋体"/>
          <w:b/>
          <w:bCs/>
          <w:szCs w:val="21"/>
        </w:rPr>
        <w:t>完成电子投标文件的传输递交</w:t>
      </w:r>
      <w:r>
        <w:rPr>
          <w:rFonts w:hint="eastAsia" w:ascii="宋体" w:hAnsi="宋体" w:cs="宋体"/>
          <w:bCs/>
          <w:szCs w:val="21"/>
        </w:rPr>
        <w:t>，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pPr>
        <w:numPr>
          <w:ilvl w:val="1"/>
          <w:numId w:val="3"/>
        </w:numPr>
        <w:snapToGrid w:val="0"/>
        <w:spacing w:line="400" w:lineRule="exact"/>
        <w:rPr>
          <w:rFonts w:ascii="宋体" w:hAnsi="宋体" w:cs="宋体"/>
          <w:b/>
          <w:bCs/>
          <w:szCs w:val="21"/>
        </w:rPr>
      </w:pPr>
      <w:r>
        <w:rPr>
          <w:rFonts w:hint="eastAsia" w:ascii="宋体" w:hAnsi="宋体" w:cs="宋体"/>
          <w:szCs w:val="21"/>
        </w:rPr>
        <w:t>递交电子备份投标文件必须在规定的</w:t>
      </w:r>
      <w:r>
        <w:rPr>
          <w:rFonts w:hint="eastAsia" w:ascii="宋体" w:hAnsi="宋体" w:cs="宋体"/>
          <w:bCs/>
          <w:szCs w:val="21"/>
        </w:rPr>
        <w:t>投标</w:t>
      </w:r>
      <w:r>
        <w:rPr>
          <w:rFonts w:hint="eastAsia" w:ascii="宋体" w:hAnsi="宋体" w:cs="宋体"/>
          <w:szCs w:val="21"/>
        </w:rPr>
        <w:t>截止时间前送达（可邮寄）到指定的投标地点</w:t>
      </w:r>
      <w:r>
        <w:rPr>
          <w:rFonts w:hint="eastAsia" w:ascii="宋体" w:hAnsi="宋体" w:cs="宋体"/>
          <w:b/>
          <w:bCs/>
          <w:szCs w:val="21"/>
        </w:rPr>
        <w:t>。</w:t>
      </w:r>
    </w:p>
    <w:p>
      <w:pPr>
        <w:widowControl/>
        <w:numPr>
          <w:ilvl w:val="0"/>
          <w:numId w:val="3"/>
        </w:numPr>
        <w:tabs>
          <w:tab w:val="left" w:pos="721"/>
          <w:tab w:val="clear" w:pos="851"/>
        </w:tabs>
        <w:snapToGrid w:val="0"/>
        <w:spacing w:line="400" w:lineRule="exact"/>
        <w:ind w:left="721" w:hanging="721"/>
        <w:rPr>
          <w:rFonts w:ascii="宋体" w:hAnsi="宋体" w:cs="宋体"/>
          <w:b/>
          <w:szCs w:val="21"/>
        </w:rPr>
      </w:pPr>
      <w:r>
        <w:rPr>
          <w:rFonts w:hint="eastAsia" w:ascii="宋体" w:hAnsi="宋体" w:cs="宋体"/>
          <w:b/>
          <w:szCs w:val="21"/>
        </w:rPr>
        <w:t>投标文件的修改与撤回</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投标人在递交投标文件后，可以修改或撤回其投标文件:</w:t>
      </w:r>
      <w:r>
        <w:rPr>
          <w:rFonts w:hint="eastAsia" w:ascii="宋体" w:hAnsi="宋体" w:cs="宋体"/>
          <w:b/>
          <w:szCs w:val="21"/>
        </w:rPr>
        <w:t>（1）递交投标文件截止时间之前补充或者修改电子投标文件的，应当先行撤回原文件，补充、修改后重新传输递交；</w:t>
      </w:r>
      <w:r>
        <w:rPr>
          <w:rFonts w:hint="eastAsia" w:ascii="宋体" w:hAnsi="宋体" w:cs="宋体"/>
          <w:szCs w:val="21"/>
        </w:rPr>
        <w:t>（2）递交投标文件截止时间之前补充或者修改电子备份投标文件的，采购人必须在规定的投标截止时间之前收到修改包括替代或撤回的书面通知。该通知须有经正式授权的投标人代表签字。</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投标人对投标文件修改的书面材料或撤销的通知应按规定进行编写、密封、标注和递送。</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在投标截止时间之后至投标有效期满止，投标人不得对其投标文件做任何修改，亦不得撤回其投标。</w:t>
      </w:r>
    </w:p>
    <w:p>
      <w:pPr>
        <w:widowControl/>
        <w:numPr>
          <w:ilvl w:val="0"/>
          <w:numId w:val="3"/>
        </w:numPr>
        <w:tabs>
          <w:tab w:val="left" w:pos="425"/>
          <w:tab w:val="left" w:pos="721"/>
          <w:tab w:val="clear" w:pos="851"/>
        </w:tabs>
        <w:snapToGrid w:val="0"/>
        <w:spacing w:line="400" w:lineRule="exact"/>
        <w:ind w:left="721" w:hanging="721"/>
        <w:rPr>
          <w:rFonts w:ascii="宋体" w:hAnsi="宋体" w:cs="宋体"/>
          <w:b/>
          <w:bCs/>
          <w:sz w:val="22"/>
          <w:szCs w:val="22"/>
        </w:rPr>
      </w:pPr>
      <w:r>
        <w:rPr>
          <w:rFonts w:hint="eastAsia" w:ascii="宋体" w:hAnsi="宋体" w:cs="宋体"/>
          <w:b/>
          <w:sz w:val="22"/>
          <w:szCs w:val="22"/>
        </w:rPr>
        <w:t>在投标截止时间以后</w:t>
      </w:r>
      <w:r>
        <w:rPr>
          <w:rFonts w:hint="eastAsia" w:ascii="宋体" w:hAnsi="宋体" w:cs="宋体"/>
          <w:b/>
          <w:bCs/>
          <w:sz w:val="22"/>
          <w:szCs w:val="22"/>
        </w:rPr>
        <w:t>传输递交的电子投标文件将拒收。</w:t>
      </w:r>
    </w:p>
    <w:p>
      <w:pPr>
        <w:widowControl/>
        <w:numPr>
          <w:ilvl w:val="0"/>
          <w:numId w:val="3"/>
        </w:numPr>
        <w:tabs>
          <w:tab w:val="left" w:pos="425"/>
          <w:tab w:val="left" w:pos="721"/>
          <w:tab w:val="clear" w:pos="851"/>
        </w:tabs>
        <w:snapToGrid w:val="0"/>
        <w:spacing w:line="400" w:lineRule="exact"/>
        <w:ind w:left="721" w:hanging="721"/>
        <w:rPr>
          <w:rFonts w:ascii="宋体" w:hAnsi="宋体" w:cs="宋体"/>
          <w:b/>
          <w:szCs w:val="21"/>
        </w:rPr>
      </w:pPr>
      <w:r>
        <w:rPr>
          <w:rFonts w:hint="eastAsia" w:ascii="宋体" w:hAnsi="宋体" w:cs="宋体"/>
          <w:b/>
          <w:bCs/>
          <w:sz w:val="22"/>
          <w:szCs w:val="22"/>
        </w:rPr>
        <w:t xml:space="preserve">发生下列情况之一的电子备份投标文件将拒收: </w:t>
      </w:r>
    </w:p>
    <w:p>
      <w:pPr>
        <w:widowControl/>
        <w:numPr>
          <w:ilvl w:val="1"/>
          <w:numId w:val="3"/>
        </w:numPr>
        <w:tabs>
          <w:tab w:val="left" w:pos="567"/>
          <w:tab w:val="left" w:pos="721"/>
          <w:tab w:val="clear" w:pos="1031"/>
        </w:tabs>
        <w:snapToGrid w:val="0"/>
        <w:spacing w:line="380" w:lineRule="exact"/>
        <w:ind w:left="721" w:hanging="721"/>
        <w:rPr>
          <w:rFonts w:ascii="宋体" w:hAnsi="宋体" w:cs="宋体"/>
          <w:szCs w:val="21"/>
        </w:rPr>
      </w:pPr>
      <w:r>
        <w:rPr>
          <w:rFonts w:hint="eastAsia" w:ascii="宋体" w:hAnsi="宋体" w:cs="宋体"/>
          <w:b/>
          <w:bCs/>
          <w:sz w:val="22"/>
          <w:szCs w:val="22"/>
        </w:rPr>
        <w:t>未传输递交的电子投标文件的；</w:t>
      </w:r>
    </w:p>
    <w:p>
      <w:pPr>
        <w:widowControl/>
        <w:numPr>
          <w:ilvl w:val="1"/>
          <w:numId w:val="3"/>
        </w:numPr>
        <w:tabs>
          <w:tab w:val="left" w:pos="567"/>
          <w:tab w:val="left" w:pos="721"/>
          <w:tab w:val="clear" w:pos="1031"/>
        </w:tabs>
        <w:snapToGrid w:val="0"/>
        <w:spacing w:line="380" w:lineRule="exact"/>
        <w:ind w:left="721" w:hanging="721"/>
        <w:rPr>
          <w:rFonts w:ascii="宋体" w:hAnsi="宋体" w:cs="宋体"/>
          <w:szCs w:val="21"/>
        </w:rPr>
      </w:pPr>
      <w:r>
        <w:rPr>
          <w:rFonts w:hint="eastAsia" w:ascii="宋体" w:hAnsi="宋体" w:cs="宋体"/>
          <w:b/>
          <w:sz w:val="22"/>
          <w:szCs w:val="22"/>
        </w:rPr>
        <w:t>在投标截止时间以后送达的投标文件；</w:t>
      </w:r>
    </w:p>
    <w:p>
      <w:pPr>
        <w:widowControl/>
        <w:numPr>
          <w:ilvl w:val="1"/>
          <w:numId w:val="3"/>
        </w:numPr>
        <w:tabs>
          <w:tab w:val="left" w:pos="567"/>
          <w:tab w:val="left" w:pos="721"/>
          <w:tab w:val="clear" w:pos="1031"/>
        </w:tabs>
        <w:snapToGrid w:val="0"/>
        <w:spacing w:line="380" w:lineRule="exact"/>
        <w:ind w:left="721" w:hanging="721"/>
        <w:rPr>
          <w:rFonts w:ascii="宋体" w:hAnsi="宋体" w:cs="宋体"/>
          <w:szCs w:val="21"/>
        </w:rPr>
      </w:pPr>
      <w:r>
        <w:rPr>
          <w:rFonts w:hint="eastAsia" w:ascii="宋体" w:hAnsi="宋体" w:cs="宋体"/>
          <w:b/>
          <w:sz w:val="22"/>
          <w:szCs w:val="22"/>
        </w:rPr>
        <w:t>未存U盘且装袋密封的电子备份投标文件或由于包装不妥在送达途中严重破损或失散的；</w:t>
      </w:r>
    </w:p>
    <w:p>
      <w:pPr>
        <w:snapToGrid w:val="0"/>
        <w:spacing w:line="400" w:lineRule="atLeast"/>
        <w:jc w:val="center"/>
        <w:rPr>
          <w:rFonts w:ascii="宋体" w:hAnsi="宋体" w:cs="宋体"/>
          <w:b/>
          <w:sz w:val="36"/>
          <w:szCs w:val="21"/>
        </w:rPr>
      </w:pPr>
      <w:bookmarkStart w:id="12" w:name="_Toc495977858"/>
    </w:p>
    <w:p>
      <w:pPr>
        <w:snapToGrid w:val="0"/>
        <w:spacing w:line="400" w:lineRule="atLeast"/>
        <w:jc w:val="center"/>
        <w:rPr>
          <w:rFonts w:ascii="宋体" w:hAnsi="宋体" w:cs="宋体"/>
          <w:b/>
          <w:sz w:val="36"/>
          <w:szCs w:val="21"/>
        </w:rPr>
      </w:pPr>
      <w:r>
        <w:rPr>
          <w:rFonts w:hint="eastAsia" w:ascii="宋体" w:hAnsi="宋体" w:cs="宋体"/>
          <w:b/>
          <w:sz w:val="36"/>
          <w:szCs w:val="21"/>
        </w:rPr>
        <w:t>六. 开标与评审</w:t>
      </w:r>
      <w:bookmarkEnd w:id="12"/>
    </w:p>
    <w:p>
      <w:pPr>
        <w:snapToGrid w:val="0"/>
        <w:spacing w:line="400" w:lineRule="atLeast"/>
        <w:jc w:val="center"/>
        <w:rPr>
          <w:rFonts w:ascii="宋体" w:hAnsi="宋体" w:cs="宋体"/>
          <w:b/>
          <w:sz w:val="36"/>
          <w:szCs w:val="21"/>
        </w:rPr>
      </w:pPr>
    </w:p>
    <w:p>
      <w:pPr>
        <w:widowControl/>
        <w:numPr>
          <w:ilvl w:val="0"/>
          <w:numId w:val="3"/>
        </w:numPr>
        <w:tabs>
          <w:tab w:val="left" w:pos="618"/>
          <w:tab w:val="clear" w:pos="851"/>
        </w:tabs>
        <w:snapToGrid w:val="0"/>
        <w:spacing w:line="380" w:lineRule="exact"/>
        <w:rPr>
          <w:rFonts w:ascii="宋体" w:hAnsi="宋体" w:cs="宋体"/>
          <w:b/>
          <w:szCs w:val="21"/>
        </w:rPr>
      </w:pPr>
      <w:r>
        <w:rPr>
          <w:rFonts w:hint="eastAsia" w:ascii="宋体" w:hAnsi="宋体" w:cs="宋体"/>
          <w:b/>
          <w:szCs w:val="21"/>
        </w:rPr>
        <w:t>评标委员会</w:t>
      </w:r>
    </w:p>
    <w:p>
      <w:pPr>
        <w:snapToGrid w:val="0"/>
        <w:spacing w:line="380" w:lineRule="exact"/>
        <w:ind w:left="540" w:leftChars="257"/>
        <w:rPr>
          <w:rFonts w:ascii="宋体" w:hAnsi="宋体" w:cs="宋体"/>
          <w:szCs w:val="21"/>
        </w:rPr>
      </w:pPr>
      <w:r>
        <w:rPr>
          <w:rFonts w:hint="eastAsia" w:ascii="宋体" w:hAnsi="宋体" w:cs="宋体"/>
          <w:szCs w:val="21"/>
        </w:rPr>
        <w:t>采购机构依法组建评标委员会，评标委员会的成员在评标过程中必须严格遵守《政府采购法》等有关法律法规的规定。</w:t>
      </w:r>
    </w:p>
    <w:p>
      <w:pPr>
        <w:widowControl/>
        <w:numPr>
          <w:ilvl w:val="0"/>
          <w:numId w:val="3"/>
        </w:numPr>
        <w:tabs>
          <w:tab w:val="left" w:pos="618"/>
          <w:tab w:val="clear" w:pos="851"/>
        </w:tabs>
        <w:snapToGrid w:val="0"/>
        <w:spacing w:line="380" w:lineRule="exact"/>
        <w:rPr>
          <w:rFonts w:ascii="宋体" w:hAnsi="宋体" w:cs="宋体"/>
          <w:b/>
          <w:szCs w:val="21"/>
        </w:rPr>
      </w:pPr>
      <w:r>
        <w:rPr>
          <w:rFonts w:hint="eastAsia" w:ascii="宋体" w:hAnsi="宋体" w:cs="宋体"/>
          <w:b/>
          <w:szCs w:val="21"/>
        </w:rPr>
        <w:t>评标过程的保密性</w:t>
      </w:r>
    </w:p>
    <w:p>
      <w:pPr>
        <w:snapToGrid w:val="0"/>
        <w:spacing w:line="380" w:lineRule="exact"/>
        <w:ind w:left="649" w:leftChars="209" w:hanging="210" w:hangingChars="100"/>
        <w:rPr>
          <w:rFonts w:ascii="宋体" w:hAnsi="宋体" w:cs="宋体"/>
          <w:b/>
          <w:szCs w:val="21"/>
        </w:rPr>
      </w:pPr>
      <w:r>
        <w:rPr>
          <w:rFonts w:hint="eastAsia" w:ascii="宋体" w:hAnsi="宋体" w:cs="宋体"/>
          <w:szCs w:val="21"/>
        </w:rPr>
        <w:t xml:space="preserve">  开标后，直至向中标人授予合同时止，凡与评审有关的资料均不得向投标人及与评标无关人员透露。如果投标人在评标过程试图向采购人或采购机构施加影响，其投标文件将被拒绝。</w:t>
      </w:r>
    </w:p>
    <w:p>
      <w:pPr>
        <w:widowControl/>
        <w:numPr>
          <w:ilvl w:val="0"/>
          <w:numId w:val="3"/>
        </w:numPr>
        <w:tabs>
          <w:tab w:val="left" w:pos="618"/>
          <w:tab w:val="clear" w:pos="851"/>
        </w:tabs>
        <w:snapToGrid w:val="0"/>
        <w:spacing w:line="380" w:lineRule="exact"/>
        <w:ind w:left="618" w:hanging="618"/>
        <w:rPr>
          <w:rFonts w:ascii="宋体" w:hAnsi="宋体" w:cs="宋体"/>
          <w:b/>
          <w:szCs w:val="21"/>
        </w:rPr>
      </w:pPr>
      <w:r>
        <w:rPr>
          <w:rFonts w:hint="eastAsia" w:ascii="宋体" w:hAnsi="宋体" w:cs="宋体"/>
          <w:b/>
          <w:szCs w:val="21"/>
        </w:rPr>
        <w:t>开标</w:t>
      </w:r>
    </w:p>
    <w:p>
      <w:pPr>
        <w:widowControl/>
        <w:numPr>
          <w:ilvl w:val="1"/>
          <w:numId w:val="3"/>
        </w:numPr>
        <w:tabs>
          <w:tab w:val="left" w:pos="618"/>
        </w:tabs>
        <w:snapToGrid w:val="0"/>
        <w:spacing w:line="380" w:lineRule="exact"/>
        <w:ind w:left="618" w:hanging="618"/>
        <w:rPr>
          <w:rFonts w:ascii="宋体" w:hAnsi="宋体" w:cs="宋体"/>
          <w:szCs w:val="21"/>
        </w:rPr>
      </w:pPr>
      <w:r>
        <w:rPr>
          <w:rFonts w:hint="eastAsia" w:ascii="宋体" w:hAnsi="宋体" w:cs="宋体"/>
          <w:szCs w:val="21"/>
        </w:rPr>
        <w:t>采购机构按招标文件规定的时间、地点组织开标会。</w:t>
      </w:r>
    </w:p>
    <w:p>
      <w:pPr>
        <w:widowControl/>
        <w:numPr>
          <w:ilvl w:val="1"/>
          <w:numId w:val="3"/>
        </w:numPr>
        <w:tabs>
          <w:tab w:val="left" w:pos="618"/>
        </w:tabs>
        <w:snapToGrid w:val="0"/>
        <w:spacing w:line="380" w:lineRule="exact"/>
        <w:ind w:left="618" w:hanging="618"/>
        <w:rPr>
          <w:rFonts w:ascii="宋体" w:hAnsi="宋体" w:cs="宋体"/>
          <w:b/>
          <w:szCs w:val="21"/>
        </w:rPr>
      </w:pPr>
      <w:r>
        <w:rPr>
          <w:rFonts w:hint="eastAsia" w:ascii="宋体" w:hAnsi="宋体" w:cs="宋体"/>
          <w:b/>
          <w:szCs w:val="21"/>
        </w:rPr>
        <w:t>电子投标文件开标</w:t>
      </w:r>
    </w:p>
    <w:p>
      <w:pPr>
        <w:widowControl/>
        <w:snapToGrid w:val="0"/>
        <w:spacing w:line="380" w:lineRule="exact"/>
        <w:ind w:left="618"/>
        <w:rPr>
          <w:rFonts w:ascii="宋体" w:hAnsi="宋体" w:cs="宋体"/>
          <w:b/>
          <w:szCs w:val="21"/>
        </w:rPr>
      </w:pPr>
      <w:r>
        <w:rPr>
          <w:rFonts w:hint="eastAsia" w:ascii="宋体" w:hAnsi="宋体" w:cs="宋体"/>
          <w:b/>
          <w:szCs w:val="21"/>
        </w:rPr>
        <w:t>（1）投标截止时间后，投标人登录政采云平台，用“项目采购-开标评标”功能对电子投标文件进行在线解密。在线解密电子投标文件时间为开始解密起30分钟内。未按时解密的投标人将启用其送交的电子备份投标文件，由代理机构导入平台系统，否则视为投标撤回。投标文件按时解密的，电子备份投标文件自动失效。</w:t>
      </w:r>
    </w:p>
    <w:p>
      <w:pPr>
        <w:widowControl/>
        <w:tabs>
          <w:tab w:val="left" w:pos="1031"/>
        </w:tabs>
        <w:snapToGrid w:val="0"/>
        <w:spacing w:line="380" w:lineRule="exact"/>
        <w:ind w:left="618"/>
        <w:rPr>
          <w:rFonts w:ascii="宋体" w:hAnsi="宋体" w:cs="宋体"/>
          <w:b/>
          <w:szCs w:val="21"/>
        </w:rPr>
      </w:pPr>
      <w:r>
        <w:rPr>
          <w:rFonts w:hint="eastAsia" w:ascii="宋体" w:hAnsi="宋体" w:cs="宋体"/>
          <w:b/>
          <w:szCs w:val="21"/>
        </w:rPr>
        <w:t>（2）</w:t>
      </w:r>
      <w:r>
        <w:rPr>
          <w:rFonts w:hint="eastAsia" w:ascii="宋体" w:hAnsi="宋体" w:cs="宋体"/>
          <w:szCs w:val="21"/>
        </w:rPr>
        <w:t>采购机构按招标文件规定的时间、地点开启投标文件，</w:t>
      </w:r>
      <w:r>
        <w:rPr>
          <w:rFonts w:hint="eastAsia" w:ascii="宋体" w:hAnsi="宋体" w:cs="宋体"/>
          <w:b/>
          <w:szCs w:val="21"/>
        </w:rPr>
        <w:t>由采购人代表对供应商资格文件进行审查，若资格审查不符合招标文件要求，即终止其参与投标资格。</w:t>
      </w:r>
      <w:r>
        <w:rPr>
          <w:rFonts w:hint="eastAsia" w:ascii="宋体" w:hAnsi="宋体" w:cs="宋体"/>
          <w:szCs w:val="21"/>
        </w:rPr>
        <w:t>评审委员会对通过资格审查的投标人技术资信文件进行评审，技术资信文件评审结束后，开启技术资信文件合格投标人的报价文件，</w:t>
      </w:r>
      <w:r>
        <w:rPr>
          <w:rFonts w:hint="eastAsia" w:ascii="宋体" w:hAnsi="宋体" w:cs="宋体"/>
          <w:b/>
          <w:szCs w:val="21"/>
        </w:rPr>
        <w:t>开评标程序均在政采云平台上完成</w:t>
      </w:r>
      <w:r>
        <w:rPr>
          <w:rFonts w:hint="eastAsia" w:ascii="宋体" w:hAnsi="宋体" w:cs="宋体"/>
          <w:szCs w:val="21"/>
        </w:rPr>
        <w:t>，投标人可在平台系统开标评标信息页面查看得分报价等信息。</w:t>
      </w:r>
      <w:r>
        <w:rPr>
          <w:rFonts w:hint="eastAsia" w:ascii="宋体" w:hAnsi="宋体" w:cs="宋体"/>
          <w:b/>
          <w:szCs w:val="21"/>
        </w:rPr>
        <w:t>因开评标期间会涉及询标、声明等环节，未按时回复的视作默认，在评审结束前投标人应全程密切关注，否则后果自负。</w:t>
      </w:r>
    </w:p>
    <w:p>
      <w:pPr>
        <w:widowControl/>
        <w:numPr>
          <w:ilvl w:val="0"/>
          <w:numId w:val="3"/>
        </w:numPr>
        <w:tabs>
          <w:tab w:val="left" w:pos="618"/>
          <w:tab w:val="clear" w:pos="851"/>
        </w:tabs>
        <w:spacing w:line="380" w:lineRule="exact"/>
        <w:ind w:left="618" w:hanging="618"/>
        <w:jc w:val="left"/>
        <w:rPr>
          <w:rFonts w:ascii="宋体" w:hAnsi="宋体" w:cs="宋体"/>
          <w:b/>
          <w:szCs w:val="21"/>
        </w:rPr>
      </w:pPr>
      <w:r>
        <w:rPr>
          <w:rFonts w:hint="eastAsia" w:ascii="宋体" w:hAnsi="宋体" w:cs="宋体"/>
          <w:b/>
          <w:szCs w:val="21"/>
        </w:rPr>
        <w:t>投标文件的评审</w:t>
      </w:r>
    </w:p>
    <w:p>
      <w:pPr>
        <w:spacing w:line="380" w:lineRule="exact"/>
        <w:ind w:left="-105" w:leftChars="-50" w:firstLine="105" w:firstLineChars="50"/>
        <w:rPr>
          <w:rFonts w:ascii="宋体" w:hAnsi="宋体" w:cs="宋体"/>
          <w:b/>
          <w:szCs w:val="21"/>
        </w:rPr>
      </w:pPr>
      <w:r>
        <w:rPr>
          <w:rFonts w:hint="eastAsia" w:ascii="宋体" w:hAnsi="宋体" w:cs="宋体"/>
          <w:szCs w:val="21"/>
        </w:rPr>
        <w:t>27.1  开标后，对投标文件进行初审，初审内容为：</w:t>
      </w:r>
    </w:p>
    <w:p>
      <w:pPr>
        <w:spacing w:line="380" w:lineRule="exact"/>
        <w:ind w:left="525" w:hanging="525" w:hangingChars="250"/>
        <w:rPr>
          <w:rFonts w:ascii="宋体" w:hAnsi="宋体" w:cs="宋体"/>
          <w:b/>
          <w:szCs w:val="21"/>
        </w:rPr>
      </w:pPr>
      <w:r>
        <w:rPr>
          <w:rFonts w:hint="eastAsia" w:ascii="宋体" w:hAnsi="宋体" w:cs="宋体"/>
          <w:szCs w:val="21"/>
        </w:rPr>
        <w:t>（1）资格性检查。依据法律法规和招标文件的规定，</w:t>
      </w:r>
      <w:r>
        <w:rPr>
          <w:rFonts w:hint="eastAsia" w:ascii="宋体" w:hAnsi="宋体" w:cs="宋体"/>
          <w:b/>
          <w:szCs w:val="21"/>
        </w:rPr>
        <w:t>查验资格条件，采购人根据投标资格要求对各投标供应商投标资格进行审核，资格审核未通过的供应商做无效标处理，不进入技术资信及报价评审。</w:t>
      </w:r>
    </w:p>
    <w:p>
      <w:pPr>
        <w:spacing w:line="380" w:lineRule="exact"/>
        <w:ind w:left="554" w:leftChars="14" w:hanging="525" w:hangingChars="250"/>
        <w:rPr>
          <w:rFonts w:ascii="宋体" w:hAnsi="宋体" w:cs="宋体"/>
          <w:szCs w:val="21"/>
        </w:rPr>
      </w:pPr>
      <w:r>
        <w:rPr>
          <w:rFonts w:hint="eastAsia" w:ascii="宋体" w:hAnsi="宋体" w:cs="宋体"/>
          <w:szCs w:val="21"/>
        </w:rPr>
        <w:t>（2）符合性检查。</w:t>
      </w:r>
      <w:r>
        <w:rPr>
          <w:rFonts w:hint="eastAsia" w:ascii="宋体" w:hAnsi="宋体" w:cs="宋体"/>
          <w:b/>
          <w:szCs w:val="21"/>
        </w:rPr>
        <w:t>评标委员会</w:t>
      </w:r>
      <w:r>
        <w:rPr>
          <w:rFonts w:hint="eastAsia" w:ascii="宋体" w:hAnsi="宋体" w:cs="宋体"/>
          <w:szCs w:val="21"/>
        </w:rPr>
        <w:t>依据招标文件的规定，从投标文件的有效性、完整性和对招标文件的响应程度进行审查，以确定是否对招标文件的实质性要求作出响应。</w:t>
      </w:r>
    </w:p>
    <w:p>
      <w:pPr>
        <w:spacing w:line="380" w:lineRule="exact"/>
        <w:ind w:left="562" w:leftChars="-40" w:hanging="646" w:hangingChars="308"/>
        <w:rPr>
          <w:rFonts w:ascii="宋体" w:hAnsi="宋体" w:cs="宋体"/>
          <w:szCs w:val="21"/>
        </w:rPr>
      </w:pPr>
      <w:r>
        <w:rPr>
          <w:rFonts w:hint="eastAsia" w:ascii="宋体" w:hAnsi="宋体" w:cs="宋体"/>
          <w:szCs w:val="21"/>
        </w:rPr>
        <w:t>27.2 初审时若发现投标货物与招标货物在型号规格、技术性能、质量、保质保修期等有重大偏离，或缺少招标文件要求必须提供的投标内容条款，其投标将被拒绝。但允许投标文件中有不构成实质性偏差的微小差异。</w:t>
      </w:r>
    </w:p>
    <w:p>
      <w:pPr>
        <w:spacing w:line="380" w:lineRule="exact"/>
        <w:ind w:left="562" w:leftChars="-46" w:hanging="659" w:hangingChars="314"/>
        <w:rPr>
          <w:rFonts w:ascii="宋体" w:hAnsi="宋体" w:cs="宋体"/>
          <w:szCs w:val="21"/>
        </w:rPr>
      </w:pPr>
      <w:r>
        <w:rPr>
          <w:rFonts w:hint="eastAsia" w:ascii="宋体" w:hAnsi="宋体" w:cs="宋体"/>
          <w:szCs w:val="21"/>
        </w:rPr>
        <w:t>27.3 在详细评标之前，评标委员会要审查每份投标文件是否实质上响应了招标文件的要求。实质上响应的投标应该是与招标文件要求的全部条款、条件和规格相符，没有重大偏离的投标。评标委员会决定投标的响应性只根据投标文件本身的内容，而不寻求外部的证据。</w:t>
      </w:r>
    </w:p>
    <w:p>
      <w:pPr>
        <w:spacing w:line="380" w:lineRule="exact"/>
        <w:ind w:left="515" w:leftChars="-45" w:hanging="609" w:hangingChars="290"/>
        <w:rPr>
          <w:rFonts w:ascii="宋体" w:hAnsi="宋体" w:cs="宋体"/>
          <w:szCs w:val="21"/>
        </w:rPr>
      </w:pPr>
      <w:r>
        <w:rPr>
          <w:rFonts w:hint="eastAsia" w:ascii="宋体" w:hAnsi="宋体" w:cs="宋体"/>
          <w:szCs w:val="21"/>
        </w:rPr>
        <w:t>27.4  实质上没有响应招标文件要求的投标将被拒绝，投标人不得通过修正或撤销不合要求的偏离或保留从而使其投标成为实质上响应的投标。</w:t>
      </w:r>
    </w:p>
    <w:p>
      <w:pPr>
        <w:spacing w:line="380" w:lineRule="exact"/>
        <w:ind w:left="527" w:leftChars="-49" w:hanging="630" w:hangingChars="300"/>
        <w:rPr>
          <w:rFonts w:ascii="宋体" w:hAnsi="宋体" w:cs="宋体"/>
          <w:szCs w:val="21"/>
        </w:rPr>
      </w:pPr>
      <w:r>
        <w:rPr>
          <w:rFonts w:hint="eastAsia" w:ascii="宋体" w:hAnsi="宋体" w:cs="宋体"/>
          <w:szCs w:val="21"/>
        </w:rPr>
        <w:t>27.5  评标委员会成员对资格性、符合性检查合格的投标文件按照招标文件中制订的评分办法进行综合评定打分。</w:t>
      </w:r>
    </w:p>
    <w:p>
      <w:pPr>
        <w:spacing w:line="380" w:lineRule="exact"/>
        <w:ind w:left="485" w:leftChars="-49" w:hanging="588" w:hangingChars="280"/>
        <w:rPr>
          <w:rFonts w:ascii="宋体" w:hAnsi="宋体" w:cs="宋体"/>
          <w:szCs w:val="21"/>
        </w:rPr>
      </w:pPr>
      <w:r>
        <w:rPr>
          <w:rFonts w:hint="eastAsia" w:ascii="宋体" w:hAnsi="宋体" w:cs="宋体"/>
          <w:szCs w:val="21"/>
        </w:rPr>
        <w:t>27.6  评标过程中遇到特殊情况，由评标委员会遵循公平、公正原则，采取记名投票方式按照少数服从多数原则决定。</w:t>
      </w:r>
    </w:p>
    <w:p>
      <w:pPr>
        <w:spacing w:line="380" w:lineRule="exact"/>
        <w:ind w:left="487" w:leftChars="-49" w:hanging="590" w:hangingChars="280"/>
        <w:rPr>
          <w:rFonts w:ascii="宋体" w:hAnsi="宋体" w:cs="宋体"/>
          <w:b/>
          <w:szCs w:val="21"/>
        </w:rPr>
      </w:pPr>
      <w:r>
        <w:rPr>
          <w:rFonts w:hint="eastAsia" w:ascii="宋体" w:hAnsi="宋体" w:cs="宋体"/>
          <w:b/>
          <w:szCs w:val="21"/>
        </w:rPr>
        <w:t>27.7  属于下列情况按</w:t>
      </w:r>
      <w:r>
        <w:rPr>
          <w:rFonts w:hint="eastAsia" w:ascii="宋体" w:hAnsi="宋体" w:cs="宋体"/>
          <w:b/>
          <w:bCs/>
          <w:szCs w:val="21"/>
        </w:rPr>
        <w:t>无效标</w:t>
      </w:r>
      <w:r>
        <w:rPr>
          <w:rFonts w:hint="eastAsia" w:ascii="宋体" w:hAnsi="宋体" w:cs="宋体"/>
          <w:b/>
          <w:szCs w:val="21"/>
        </w:rPr>
        <w:t>处理</w:t>
      </w:r>
      <w:r>
        <w:rPr>
          <w:rFonts w:hint="eastAsia" w:ascii="宋体" w:hAnsi="宋体" w:cs="宋体"/>
          <w:b/>
          <w:bCs/>
          <w:szCs w:val="21"/>
        </w:rPr>
        <w:t>：</w:t>
      </w:r>
    </w:p>
    <w:p>
      <w:pPr>
        <w:widowControl/>
        <w:numPr>
          <w:ilvl w:val="0"/>
          <w:numId w:val="8"/>
        </w:numPr>
        <w:tabs>
          <w:tab w:val="left" w:pos="206"/>
          <w:tab w:val="left" w:pos="515"/>
          <w:tab w:val="clear" w:pos="832"/>
        </w:tabs>
        <w:spacing w:line="380" w:lineRule="exact"/>
        <w:ind w:left="515" w:hanging="515"/>
        <w:jc w:val="left"/>
        <w:rPr>
          <w:rFonts w:ascii="宋体" w:hAnsi="宋体" w:cs="宋体"/>
          <w:bCs/>
          <w:szCs w:val="21"/>
        </w:rPr>
      </w:pPr>
      <w:r>
        <w:rPr>
          <w:rFonts w:hint="eastAsia" w:ascii="宋体" w:hAnsi="宋体" w:cs="宋体"/>
          <w:bCs/>
          <w:szCs w:val="21"/>
        </w:rPr>
        <w:t>资格文件和技术资信文件中出现报价的；</w:t>
      </w:r>
    </w:p>
    <w:p>
      <w:pPr>
        <w:widowControl/>
        <w:numPr>
          <w:ilvl w:val="0"/>
          <w:numId w:val="8"/>
        </w:numPr>
        <w:tabs>
          <w:tab w:val="left" w:pos="206"/>
          <w:tab w:val="left" w:pos="515"/>
          <w:tab w:val="clear" w:pos="832"/>
        </w:tabs>
        <w:spacing w:line="380" w:lineRule="exact"/>
        <w:ind w:left="515" w:hanging="515"/>
        <w:jc w:val="left"/>
        <w:rPr>
          <w:rFonts w:ascii="宋体" w:hAnsi="宋体" w:cs="宋体"/>
          <w:bCs/>
          <w:szCs w:val="21"/>
        </w:rPr>
      </w:pPr>
      <w:r>
        <w:rPr>
          <w:rFonts w:hint="eastAsia" w:ascii="宋体" w:hAnsi="宋体" w:cs="宋体"/>
          <w:bCs/>
          <w:szCs w:val="21"/>
        </w:rPr>
        <w:t>未按招标文件要求编制</w:t>
      </w:r>
      <w:r>
        <w:rPr>
          <w:rFonts w:hint="eastAsia" w:ascii="宋体" w:hAnsi="宋体" w:cs="宋体"/>
          <w:b/>
          <w:bCs/>
          <w:szCs w:val="21"/>
        </w:rPr>
        <w:t>(技术资信文件中未提供所投产品的品牌及型号)</w:t>
      </w:r>
      <w:r>
        <w:rPr>
          <w:rFonts w:hint="eastAsia" w:ascii="宋体" w:hAnsi="宋体" w:cs="宋体"/>
          <w:bCs/>
          <w:szCs w:val="21"/>
        </w:rPr>
        <w:t>或字迹模糊、辨认不清的投标文件；</w:t>
      </w:r>
    </w:p>
    <w:p>
      <w:pPr>
        <w:widowControl/>
        <w:numPr>
          <w:ilvl w:val="0"/>
          <w:numId w:val="8"/>
        </w:numPr>
        <w:tabs>
          <w:tab w:val="left" w:pos="206"/>
          <w:tab w:val="left" w:pos="515"/>
          <w:tab w:val="clear" w:pos="832"/>
        </w:tabs>
        <w:spacing w:line="380" w:lineRule="exact"/>
        <w:ind w:left="515" w:hanging="515"/>
        <w:jc w:val="left"/>
        <w:rPr>
          <w:rFonts w:ascii="宋体" w:hAnsi="宋体" w:cs="宋体"/>
          <w:bCs/>
          <w:szCs w:val="21"/>
        </w:rPr>
      </w:pPr>
      <w:r>
        <w:rPr>
          <w:rFonts w:hint="eastAsia" w:ascii="宋体" w:hAnsi="宋体" w:cs="宋体"/>
          <w:bCs/>
          <w:szCs w:val="21"/>
        </w:rPr>
        <w:t>投标报价不是固定价的；</w:t>
      </w:r>
    </w:p>
    <w:p>
      <w:pPr>
        <w:widowControl/>
        <w:numPr>
          <w:ilvl w:val="0"/>
          <w:numId w:val="8"/>
        </w:numPr>
        <w:tabs>
          <w:tab w:val="left" w:pos="206"/>
          <w:tab w:val="left" w:pos="515"/>
          <w:tab w:val="clear" w:pos="832"/>
        </w:tabs>
        <w:spacing w:line="380" w:lineRule="exact"/>
        <w:ind w:left="515" w:hanging="515"/>
        <w:jc w:val="left"/>
        <w:rPr>
          <w:rFonts w:ascii="宋体" w:hAnsi="宋体" w:cs="宋体"/>
          <w:szCs w:val="21"/>
        </w:rPr>
      </w:pPr>
      <w:r>
        <w:rPr>
          <w:rFonts w:hint="eastAsia" w:ascii="宋体" w:hAnsi="宋体" w:cs="宋体"/>
          <w:szCs w:val="21"/>
        </w:rPr>
        <w:t>供应商递交两份或两份以上内容不同的投标文件，未声明其中一份为有效的；或同一投标文件中出现有选择性的报价，未声明以其中一个报价为准的；</w:t>
      </w:r>
    </w:p>
    <w:p>
      <w:pPr>
        <w:widowControl/>
        <w:numPr>
          <w:ilvl w:val="0"/>
          <w:numId w:val="8"/>
        </w:numPr>
        <w:tabs>
          <w:tab w:val="left" w:pos="206"/>
          <w:tab w:val="left" w:pos="515"/>
          <w:tab w:val="clear" w:pos="832"/>
        </w:tabs>
        <w:spacing w:line="380" w:lineRule="exact"/>
        <w:ind w:left="515" w:hanging="515"/>
        <w:jc w:val="left"/>
        <w:rPr>
          <w:rFonts w:ascii="宋体" w:hAnsi="宋体" w:cs="宋体"/>
          <w:bCs/>
          <w:szCs w:val="21"/>
        </w:rPr>
      </w:pPr>
      <w:r>
        <w:rPr>
          <w:rFonts w:hint="eastAsia" w:ascii="宋体" w:hAnsi="宋体" w:cs="宋体"/>
          <w:bCs/>
          <w:szCs w:val="21"/>
        </w:rPr>
        <w:t>主要货物的技术规格和参数不满足招标内容及技术要求以及商务有重大偏离或保留的；</w:t>
      </w:r>
    </w:p>
    <w:p>
      <w:pPr>
        <w:widowControl/>
        <w:numPr>
          <w:ilvl w:val="0"/>
          <w:numId w:val="8"/>
        </w:numPr>
        <w:tabs>
          <w:tab w:val="left" w:pos="206"/>
          <w:tab w:val="left" w:pos="515"/>
          <w:tab w:val="clear" w:pos="832"/>
        </w:tabs>
        <w:spacing w:line="380" w:lineRule="exact"/>
        <w:ind w:left="515" w:hanging="515"/>
        <w:jc w:val="left"/>
        <w:rPr>
          <w:rFonts w:ascii="宋体" w:hAnsi="宋体" w:cs="宋体"/>
          <w:szCs w:val="21"/>
        </w:rPr>
      </w:pPr>
      <w:r>
        <w:rPr>
          <w:rFonts w:hint="eastAsia" w:ascii="宋体" w:hAnsi="宋体" w:cs="宋体"/>
          <w:szCs w:val="21"/>
        </w:rPr>
        <w:t>投标文件中投标函、法人授权委托书、开标一览表等未按要求签字或印章的；</w:t>
      </w:r>
    </w:p>
    <w:p>
      <w:pPr>
        <w:widowControl/>
        <w:numPr>
          <w:ilvl w:val="0"/>
          <w:numId w:val="8"/>
        </w:numPr>
        <w:tabs>
          <w:tab w:val="left" w:pos="206"/>
          <w:tab w:val="left" w:pos="515"/>
          <w:tab w:val="clear" w:pos="832"/>
        </w:tabs>
        <w:spacing w:line="380" w:lineRule="exact"/>
        <w:ind w:left="515" w:hanging="515"/>
        <w:jc w:val="left"/>
        <w:rPr>
          <w:rFonts w:ascii="宋体" w:hAnsi="宋体" w:cs="宋体"/>
          <w:szCs w:val="21"/>
        </w:rPr>
      </w:pPr>
      <w:r>
        <w:rPr>
          <w:rFonts w:hint="eastAsia" w:ascii="宋体" w:hAnsi="宋体" w:cs="宋体"/>
          <w:szCs w:val="21"/>
        </w:rPr>
        <w:t>授权代表而无法定代表人授权书的；</w:t>
      </w:r>
    </w:p>
    <w:p>
      <w:pPr>
        <w:widowControl/>
        <w:numPr>
          <w:ilvl w:val="0"/>
          <w:numId w:val="8"/>
        </w:numPr>
        <w:tabs>
          <w:tab w:val="left" w:pos="206"/>
          <w:tab w:val="left" w:pos="515"/>
          <w:tab w:val="clear" w:pos="832"/>
        </w:tabs>
        <w:spacing w:line="380" w:lineRule="exact"/>
        <w:ind w:left="515" w:hanging="515"/>
        <w:jc w:val="left"/>
        <w:rPr>
          <w:rFonts w:ascii="宋体" w:hAnsi="宋体" w:cs="宋体"/>
          <w:bCs/>
          <w:szCs w:val="21"/>
        </w:rPr>
      </w:pPr>
      <w:r>
        <w:rPr>
          <w:rFonts w:hint="eastAsia" w:ascii="宋体" w:hAnsi="宋体" w:cs="宋体"/>
          <w:bCs/>
          <w:szCs w:val="21"/>
        </w:rPr>
        <w:t>评标委员会认为投标文件未实质性响应招标文件的要求的；</w:t>
      </w:r>
    </w:p>
    <w:p>
      <w:pPr>
        <w:widowControl/>
        <w:numPr>
          <w:ilvl w:val="0"/>
          <w:numId w:val="8"/>
        </w:numPr>
        <w:tabs>
          <w:tab w:val="left" w:pos="206"/>
          <w:tab w:val="left" w:pos="515"/>
          <w:tab w:val="clear" w:pos="832"/>
        </w:tabs>
        <w:spacing w:line="380" w:lineRule="exact"/>
        <w:ind w:left="515" w:hanging="515"/>
        <w:jc w:val="left"/>
        <w:rPr>
          <w:rFonts w:ascii="宋体" w:hAnsi="宋体" w:cs="宋体"/>
          <w:b/>
          <w:bCs/>
          <w:szCs w:val="21"/>
        </w:rPr>
      </w:pPr>
      <w:r>
        <w:rPr>
          <w:rFonts w:hint="eastAsia" w:ascii="宋体" w:hAnsi="宋体" w:cs="宋体"/>
          <w:b/>
          <w:bCs/>
          <w:szCs w:val="21"/>
        </w:rPr>
        <w:t>未按政采云平台系统要求制作致使电子投标文件和电子备份投标文件均解密失败的 ；</w:t>
      </w:r>
    </w:p>
    <w:p>
      <w:pPr>
        <w:widowControl/>
        <w:numPr>
          <w:ilvl w:val="0"/>
          <w:numId w:val="8"/>
        </w:numPr>
        <w:tabs>
          <w:tab w:val="left" w:pos="206"/>
          <w:tab w:val="left" w:pos="515"/>
          <w:tab w:val="clear" w:pos="832"/>
        </w:tabs>
        <w:spacing w:line="380" w:lineRule="exact"/>
        <w:ind w:left="515" w:hanging="515"/>
        <w:jc w:val="left"/>
        <w:rPr>
          <w:rFonts w:ascii="宋体" w:hAnsi="宋体" w:cs="宋体"/>
          <w:b/>
          <w:bCs/>
          <w:szCs w:val="21"/>
        </w:rPr>
      </w:pPr>
      <w:r>
        <w:rPr>
          <w:rFonts w:hint="eastAsia" w:ascii="宋体" w:hAnsi="宋体" w:cs="宋体"/>
          <w:b/>
          <w:bCs/>
          <w:szCs w:val="21"/>
        </w:rPr>
        <w:t>电子投标文件未按规定要求提供公章（指表格中涉及加盖公章的地方）</w:t>
      </w:r>
      <w:r>
        <w:rPr>
          <w:rFonts w:hint="eastAsia" w:ascii="宋体" w:hAnsi="宋体" w:cs="宋体"/>
          <w:bCs/>
          <w:szCs w:val="21"/>
        </w:rPr>
        <w:t>；</w:t>
      </w:r>
    </w:p>
    <w:p>
      <w:pPr>
        <w:widowControl/>
        <w:numPr>
          <w:ilvl w:val="0"/>
          <w:numId w:val="8"/>
        </w:numPr>
        <w:tabs>
          <w:tab w:val="left" w:pos="206"/>
          <w:tab w:val="left" w:pos="515"/>
          <w:tab w:val="clear" w:pos="832"/>
        </w:tabs>
        <w:spacing w:line="380" w:lineRule="exact"/>
        <w:ind w:left="515" w:hanging="515"/>
        <w:jc w:val="left"/>
        <w:rPr>
          <w:rFonts w:ascii="宋体" w:hAnsi="宋体" w:cs="宋体"/>
          <w:szCs w:val="21"/>
        </w:rPr>
      </w:pPr>
      <w:r>
        <w:rPr>
          <w:rFonts w:hint="eastAsia" w:ascii="宋体" w:hAnsi="宋体" w:cs="宋体"/>
          <w:szCs w:val="21"/>
        </w:rPr>
        <w:t>不符合法律、法规和招标文件中规定的其他实质性要求的。</w:t>
      </w:r>
    </w:p>
    <w:p>
      <w:pPr>
        <w:widowControl/>
        <w:tabs>
          <w:tab w:val="left" w:pos="515"/>
        </w:tabs>
        <w:spacing w:line="380" w:lineRule="exact"/>
        <w:jc w:val="left"/>
        <w:rPr>
          <w:rFonts w:ascii="宋体" w:hAnsi="宋体" w:cs="宋体"/>
          <w:b/>
          <w:szCs w:val="21"/>
        </w:rPr>
      </w:pPr>
      <w:r>
        <w:rPr>
          <w:rFonts w:hint="eastAsia" w:ascii="宋体" w:hAnsi="宋体" w:cs="宋体"/>
          <w:b/>
          <w:szCs w:val="21"/>
        </w:rPr>
        <w:t>27.8、本项目采购活动的投标供应商之间存在以下利害关系的，不得参加同一标项的投标，否则其该标项相关投标做无效处理：</w:t>
      </w:r>
    </w:p>
    <w:p>
      <w:pPr>
        <w:widowControl/>
        <w:tabs>
          <w:tab w:val="left" w:pos="515"/>
        </w:tabs>
        <w:spacing w:line="380" w:lineRule="exact"/>
        <w:jc w:val="left"/>
        <w:rPr>
          <w:rFonts w:ascii="宋体" w:hAnsi="宋体" w:cs="宋体"/>
          <w:b/>
          <w:szCs w:val="21"/>
        </w:rPr>
      </w:pPr>
      <w:r>
        <w:rPr>
          <w:rFonts w:hint="eastAsia" w:ascii="宋体" w:hAnsi="宋体" w:cs="宋体"/>
          <w:b/>
          <w:szCs w:val="21"/>
        </w:rPr>
        <w:t>（1）法定代表人或负责人或实际控制人是同一人</w:t>
      </w:r>
    </w:p>
    <w:p>
      <w:pPr>
        <w:widowControl/>
        <w:tabs>
          <w:tab w:val="left" w:pos="515"/>
        </w:tabs>
        <w:spacing w:line="380" w:lineRule="exact"/>
        <w:jc w:val="left"/>
        <w:rPr>
          <w:rFonts w:ascii="宋体" w:hAnsi="宋体" w:cs="宋体"/>
          <w:b/>
          <w:szCs w:val="21"/>
        </w:rPr>
      </w:pPr>
      <w:r>
        <w:rPr>
          <w:rFonts w:hint="eastAsia" w:ascii="宋体" w:hAnsi="宋体" w:cs="宋体"/>
          <w:b/>
          <w:szCs w:val="21"/>
        </w:rPr>
        <w:t>（2）法定代表人或负责人或实际控制人是夫妻关系</w:t>
      </w:r>
    </w:p>
    <w:p>
      <w:pPr>
        <w:widowControl/>
        <w:tabs>
          <w:tab w:val="left" w:pos="515"/>
        </w:tabs>
        <w:spacing w:line="380" w:lineRule="exact"/>
        <w:jc w:val="left"/>
        <w:rPr>
          <w:rFonts w:ascii="宋体" w:hAnsi="宋体" w:cs="宋体"/>
          <w:b/>
          <w:szCs w:val="21"/>
        </w:rPr>
      </w:pPr>
      <w:r>
        <w:rPr>
          <w:rFonts w:hint="eastAsia" w:ascii="宋体" w:hAnsi="宋体" w:cs="宋体"/>
          <w:b/>
          <w:szCs w:val="21"/>
        </w:rPr>
        <w:t>（3）法定代表人或负责人或实际控制人是直系血亲关系</w:t>
      </w:r>
    </w:p>
    <w:p>
      <w:pPr>
        <w:widowControl/>
        <w:tabs>
          <w:tab w:val="left" w:pos="515"/>
        </w:tabs>
        <w:spacing w:line="380" w:lineRule="exact"/>
        <w:jc w:val="left"/>
        <w:rPr>
          <w:rFonts w:ascii="宋体" w:hAnsi="宋体" w:cs="宋体"/>
          <w:b/>
          <w:szCs w:val="21"/>
        </w:rPr>
      </w:pPr>
      <w:r>
        <w:rPr>
          <w:rFonts w:hint="eastAsia" w:ascii="宋体" w:hAnsi="宋体" w:cs="宋体"/>
          <w:b/>
          <w:szCs w:val="21"/>
        </w:rPr>
        <w:t>（4）法定代表人或负责人或实际控制人存在股份控制或实际控制关系</w:t>
      </w:r>
    </w:p>
    <w:p>
      <w:pPr>
        <w:widowControl/>
        <w:tabs>
          <w:tab w:val="left" w:pos="515"/>
        </w:tabs>
        <w:spacing w:line="380" w:lineRule="exact"/>
        <w:jc w:val="left"/>
        <w:rPr>
          <w:rFonts w:ascii="宋体" w:hAnsi="宋体" w:cs="宋体"/>
          <w:b/>
          <w:szCs w:val="21"/>
        </w:rPr>
      </w:pPr>
      <w:r>
        <w:rPr>
          <w:rFonts w:hint="eastAsia" w:ascii="宋体" w:hAnsi="宋体" w:cs="宋体"/>
          <w:b/>
          <w:szCs w:val="21"/>
        </w:rPr>
        <w:t>有上述以外其他利害关系且存在影响政府采购公平竞争行为的，其该标项相关投标做无效处理。</w:t>
      </w:r>
    </w:p>
    <w:p>
      <w:pPr>
        <w:widowControl/>
        <w:tabs>
          <w:tab w:val="left" w:pos="515"/>
        </w:tabs>
        <w:spacing w:line="380" w:lineRule="exact"/>
        <w:jc w:val="left"/>
        <w:rPr>
          <w:rFonts w:ascii="宋体" w:hAnsi="宋体" w:cs="宋体"/>
          <w:b/>
          <w:szCs w:val="21"/>
        </w:rPr>
      </w:pPr>
      <w:r>
        <w:rPr>
          <w:rFonts w:hint="eastAsia" w:ascii="宋体" w:hAnsi="宋体" w:cs="宋体"/>
          <w:b/>
          <w:szCs w:val="21"/>
        </w:rPr>
        <w:t>27.9、在评标过程中发现投标人有下述情形的，评标委员会应当认定视为投标人串通投标，其投标无效：</w:t>
      </w:r>
    </w:p>
    <w:p>
      <w:pPr>
        <w:widowControl/>
        <w:tabs>
          <w:tab w:val="left" w:pos="515"/>
        </w:tabs>
        <w:spacing w:line="380" w:lineRule="exact"/>
        <w:jc w:val="left"/>
        <w:rPr>
          <w:rFonts w:ascii="宋体" w:hAnsi="宋体" w:cs="宋体"/>
          <w:b/>
          <w:szCs w:val="21"/>
        </w:rPr>
      </w:pPr>
      <w:r>
        <w:rPr>
          <w:rFonts w:hint="eastAsia" w:ascii="宋体" w:hAnsi="宋体" w:cs="宋体"/>
          <w:b/>
          <w:szCs w:val="21"/>
        </w:rPr>
        <w:t>　　（1）不同投标人的投标文件由同一单位或者个人编制；</w:t>
      </w:r>
    </w:p>
    <w:p>
      <w:pPr>
        <w:widowControl/>
        <w:tabs>
          <w:tab w:val="left" w:pos="515"/>
        </w:tabs>
        <w:spacing w:line="380" w:lineRule="exact"/>
        <w:jc w:val="left"/>
        <w:rPr>
          <w:rFonts w:ascii="宋体" w:hAnsi="宋体" w:cs="宋体"/>
          <w:b/>
          <w:szCs w:val="21"/>
        </w:rPr>
      </w:pPr>
      <w:r>
        <w:rPr>
          <w:rFonts w:hint="eastAsia" w:ascii="宋体" w:hAnsi="宋体" w:cs="宋体"/>
          <w:b/>
          <w:szCs w:val="21"/>
        </w:rPr>
        <w:t>　　（2）不同投标人委托同一单位或者个人办理投标事宜；</w:t>
      </w:r>
    </w:p>
    <w:p>
      <w:pPr>
        <w:widowControl/>
        <w:tabs>
          <w:tab w:val="left" w:pos="515"/>
        </w:tabs>
        <w:spacing w:line="380" w:lineRule="exact"/>
        <w:jc w:val="left"/>
        <w:rPr>
          <w:rFonts w:ascii="宋体" w:hAnsi="宋体" w:cs="宋体"/>
          <w:b/>
          <w:szCs w:val="21"/>
        </w:rPr>
      </w:pPr>
      <w:r>
        <w:rPr>
          <w:rFonts w:hint="eastAsia" w:ascii="宋体" w:hAnsi="宋体" w:cs="宋体"/>
          <w:b/>
          <w:szCs w:val="21"/>
        </w:rPr>
        <w:t>　　（3）不同投标人的投标文件载明的项目管理成员或者联系人员为同一人；</w:t>
      </w:r>
    </w:p>
    <w:p>
      <w:pPr>
        <w:widowControl/>
        <w:tabs>
          <w:tab w:val="left" w:pos="515"/>
        </w:tabs>
        <w:spacing w:line="380" w:lineRule="exact"/>
        <w:jc w:val="left"/>
        <w:rPr>
          <w:rFonts w:ascii="宋体" w:hAnsi="宋体" w:cs="宋体"/>
          <w:b/>
          <w:szCs w:val="21"/>
        </w:rPr>
      </w:pPr>
      <w:r>
        <w:rPr>
          <w:rFonts w:hint="eastAsia" w:ascii="宋体" w:hAnsi="宋体" w:cs="宋体"/>
          <w:b/>
          <w:szCs w:val="21"/>
        </w:rPr>
        <w:t>　　（4）不同投标人的投标文件异常一致或者投标报价呈规律性差异；</w:t>
      </w:r>
    </w:p>
    <w:p>
      <w:pPr>
        <w:widowControl/>
        <w:tabs>
          <w:tab w:val="left" w:pos="515"/>
        </w:tabs>
        <w:spacing w:line="380" w:lineRule="exact"/>
        <w:jc w:val="left"/>
        <w:rPr>
          <w:rFonts w:ascii="宋体" w:hAnsi="宋体" w:cs="宋体"/>
          <w:b/>
          <w:szCs w:val="21"/>
        </w:rPr>
      </w:pPr>
      <w:r>
        <w:rPr>
          <w:rFonts w:hint="eastAsia" w:ascii="宋体" w:hAnsi="宋体" w:cs="宋体"/>
          <w:b/>
          <w:szCs w:val="21"/>
        </w:rPr>
        <w:t>　　（5）不同投标人的投标文件相互混装；</w:t>
      </w:r>
    </w:p>
    <w:p>
      <w:pPr>
        <w:spacing w:line="320" w:lineRule="exact"/>
        <w:rPr>
          <w:rFonts w:ascii="宋体" w:hAnsi="宋体" w:cs="宋体"/>
          <w:szCs w:val="21"/>
        </w:rPr>
      </w:pPr>
      <w:r>
        <w:rPr>
          <w:rFonts w:hint="eastAsia" w:ascii="宋体" w:hAnsi="宋体" w:cs="宋体"/>
          <w:b/>
          <w:bCs/>
          <w:szCs w:val="21"/>
        </w:rPr>
        <w:t>▲</w:t>
      </w:r>
      <w:r>
        <w:rPr>
          <w:rFonts w:hint="eastAsia" w:ascii="宋体" w:hAnsi="宋体" w:cs="宋体"/>
          <w:b/>
          <w:szCs w:val="21"/>
        </w:rPr>
        <w:t>27.10、至投标截止时间参加投标的供应商不足三家的；或评审期间，出现有效供应商不足三家的，本次采购任务（标段）做流标处理。</w:t>
      </w:r>
    </w:p>
    <w:p>
      <w:pPr>
        <w:spacing w:line="380" w:lineRule="exact"/>
        <w:rPr>
          <w:rFonts w:ascii="宋体" w:hAnsi="宋体" w:cs="宋体"/>
          <w:b/>
          <w:bCs/>
          <w:szCs w:val="21"/>
        </w:rPr>
      </w:pPr>
      <w:r>
        <w:rPr>
          <w:rFonts w:hint="eastAsia" w:ascii="宋体" w:hAnsi="宋体" w:cs="宋体"/>
          <w:b/>
          <w:bCs/>
          <w:szCs w:val="21"/>
        </w:rPr>
        <w:t>27.11、投标文件的澄清</w:t>
      </w:r>
    </w:p>
    <w:p>
      <w:pPr>
        <w:spacing w:line="380" w:lineRule="exact"/>
        <w:ind w:left="525" w:hanging="525" w:hangingChars="250"/>
        <w:rPr>
          <w:rFonts w:ascii="宋体" w:hAnsi="宋体" w:cs="宋体"/>
          <w:szCs w:val="21"/>
        </w:rPr>
      </w:pPr>
      <w:r>
        <w:rPr>
          <w:rFonts w:hint="eastAsia" w:ascii="宋体" w:hAnsi="宋体" w:cs="宋体"/>
          <w:szCs w:val="21"/>
        </w:rPr>
        <w:t>(1) 在评标期间，评标委员会可以</w:t>
      </w:r>
      <w:r>
        <w:rPr>
          <w:rFonts w:hint="eastAsia" w:ascii="宋体" w:hAnsi="宋体" w:cs="宋体"/>
          <w:bCs/>
          <w:szCs w:val="21"/>
        </w:rPr>
        <w:t>通过政采云平台系统在线询问</w:t>
      </w:r>
      <w:r>
        <w:rPr>
          <w:rFonts w:hint="eastAsia" w:ascii="宋体" w:hAnsi="宋体" w:cs="宋体"/>
          <w:szCs w:val="21"/>
        </w:rPr>
        <w:t>要求投标人对投标文件中含义不明确、对同类问题表述不一致或者有明显文字和计算错误的内容作必要的澄清、说明或补正。澄清、说</w:t>
      </w:r>
      <w:r>
        <w:rPr>
          <w:rFonts w:hint="eastAsia" w:ascii="宋体" w:hAnsi="宋体" w:cs="宋体"/>
          <w:spacing w:val="6"/>
          <w:szCs w:val="21"/>
        </w:rPr>
        <w:t>明或补正应以书面形式进行并不得超出投标文件的范围或者改变投标文件的实质性内</w:t>
      </w:r>
      <w:r>
        <w:rPr>
          <w:rFonts w:hint="eastAsia" w:ascii="宋体" w:hAnsi="宋体" w:cs="宋体"/>
          <w:szCs w:val="21"/>
        </w:rPr>
        <w:t>容。拒不按照要求对其投标文件进行澄清、说明或者补正的投标人，评标委员会可以否决其投标。</w:t>
      </w:r>
    </w:p>
    <w:p>
      <w:pPr>
        <w:spacing w:line="380" w:lineRule="exact"/>
        <w:ind w:left="525" w:hanging="525" w:hangingChars="250"/>
        <w:rPr>
          <w:rFonts w:ascii="宋体" w:hAnsi="宋体" w:cs="宋体"/>
          <w:szCs w:val="21"/>
        </w:rPr>
      </w:pPr>
      <w:r>
        <w:rPr>
          <w:rFonts w:hint="eastAsia" w:ascii="宋体" w:hAnsi="宋体" w:cs="宋体"/>
          <w:szCs w:val="21"/>
        </w:rPr>
        <w:t>（2）经澄清后，若重大（实质性）偏差仍存在，且不可接受，投标人则被认为是“不响应招标文件要求的投标人”，不再进入下一步评审。</w:t>
      </w:r>
    </w:p>
    <w:p>
      <w:pPr>
        <w:snapToGrid w:val="0"/>
        <w:spacing w:line="380" w:lineRule="exact"/>
        <w:rPr>
          <w:rFonts w:ascii="宋体" w:hAnsi="宋体" w:cs="宋体"/>
          <w:b/>
          <w:szCs w:val="21"/>
        </w:rPr>
      </w:pPr>
      <w:r>
        <w:rPr>
          <w:rFonts w:hint="eastAsia" w:ascii="宋体" w:hAnsi="宋体" w:cs="宋体"/>
          <w:b/>
          <w:szCs w:val="21"/>
        </w:rPr>
        <w:t>27.12、投标文件报价出现前后不一致的，按照下列规定修正：</w:t>
      </w:r>
    </w:p>
    <w:p>
      <w:pPr>
        <w:widowControl/>
        <w:numPr>
          <w:ilvl w:val="0"/>
          <w:numId w:val="9"/>
        </w:numPr>
        <w:snapToGrid w:val="0"/>
        <w:spacing w:line="380" w:lineRule="exact"/>
        <w:jc w:val="left"/>
        <w:rPr>
          <w:rFonts w:ascii="宋体" w:hAnsi="宋体" w:cs="宋体"/>
          <w:szCs w:val="21"/>
        </w:rPr>
      </w:pPr>
      <w:r>
        <w:rPr>
          <w:rFonts w:hint="eastAsia" w:ascii="宋体" w:hAnsi="宋体" w:cs="宋体"/>
          <w:szCs w:val="21"/>
        </w:rPr>
        <w:t xml:space="preserve">投标文件中开标一览表（报价表）内容与投标文件中相应内容不一致的，以开标一览表（报价表）为准； </w:t>
      </w:r>
    </w:p>
    <w:p>
      <w:pPr>
        <w:widowControl/>
        <w:numPr>
          <w:ilvl w:val="0"/>
          <w:numId w:val="9"/>
        </w:numPr>
        <w:snapToGrid w:val="0"/>
        <w:spacing w:line="380" w:lineRule="exact"/>
        <w:jc w:val="left"/>
        <w:rPr>
          <w:rFonts w:ascii="宋体" w:hAnsi="宋体" w:cs="宋体"/>
          <w:szCs w:val="21"/>
        </w:rPr>
      </w:pPr>
      <w:r>
        <w:rPr>
          <w:rFonts w:hint="eastAsia" w:ascii="宋体" w:hAnsi="宋体" w:cs="宋体"/>
          <w:szCs w:val="21"/>
        </w:rPr>
        <w:t xml:space="preserve">大写金额和小写金额不一致的，以大写金额为准； </w:t>
      </w:r>
    </w:p>
    <w:p>
      <w:pPr>
        <w:widowControl/>
        <w:numPr>
          <w:ilvl w:val="0"/>
          <w:numId w:val="9"/>
        </w:numPr>
        <w:snapToGrid w:val="0"/>
        <w:spacing w:line="380" w:lineRule="exact"/>
        <w:jc w:val="left"/>
        <w:rPr>
          <w:rFonts w:ascii="宋体" w:hAnsi="宋体" w:cs="宋体"/>
          <w:szCs w:val="21"/>
        </w:rPr>
      </w:pPr>
      <w:r>
        <w:rPr>
          <w:rFonts w:hint="eastAsia" w:ascii="宋体" w:hAnsi="宋体" w:cs="宋体"/>
        </w:rPr>
        <w:t>单价金额小数点或者百分比有明显错位的，以开标一览表的总价为准，并修改单价；</w:t>
      </w:r>
    </w:p>
    <w:p>
      <w:pPr>
        <w:widowControl/>
        <w:numPr>
          <w:ilvl w:val="0"/>
          <w:numId w:val="9"/>
        </w:numPr>
        <w:snapToGrid w:val="0"/>
        <w:spacing w:line="380" w:lineRule="exact"/>
        <w:jc w:val="left"/>
        <w:rPr>
          <w:rFonts w:ascii="宋体" w:hAnsi="宋体" w:cs="宋体"/>
          <w:szCs w:val="21"/>
        </w:rPr>
      </w:pPr>
      <w:r>
        <w:rPr>
          <w:rFonts w:hint="eastAsia" w:ascii="宋体" w:hAnsi="宋体" w:cs="宋体"/>
        </w:rPr>
        <w:t>总价金额与按单价汇总金额不一致的，以单价金额计算结果为准。</w:t>
      </w:r>
    </w:p>
    <w:p>
      <w:pPr>
        <w:widowControl/>
        <w:snapToGrid w:val="0"/>
        <w:spacing w:line="380" w:lineRule="exact"/>
        <w:ind w:left="420" w:leftChars="200" w:firstLine="420" w:firstLineChars="200"/>
        <w:jc w:val="left"/>
        <w:rPr>
          <w:rFonts w:ascii="宋体" w:hAnsi="宋体" w:cs="宋体"/>
          <w:szCs w:val="21"/>
        </w:rPr>
      </w:pPr>
      <w:r>
        <w:rPr>
          <w:rFonts w:hint="eastAsia" w:ascii="宋体" w:hAnsi="宋体" w:cs="宋体"/>
          <w:szCs w:val="21"/>
        </w:rPr>
        <w:t>同时出现两种以上不一致的，按照前款规定的顺序修正。修正后的报价按照</w:t>
      </w:r>
      <w:r>
        <w:rPr>
          <w:rFonts w:hint="eastAsia" w:ascii="宋体" w:hAnsi="宋体" w:cs="宋体"/>
        </w:rPr>
        <w:t>投标人的澄清、说明或者补正应当采用</w:t>
      </w:r>
      <w:r>
        <w:rPr>
          <w:rFonts w:hint="eastAsia" w:ascii="宋体" w:hAnsi="宋体" w:cs="宋体"/>
          <w:b/>
        </w:rPr>
        <w:t>通过政采云平台系统在线应答</w:t>
      </w:r>
      <w:r>
        <w:rPr>
          <w:rFonts w:hint="eastAsia" w:ascii="宋体" w:hAnsi="宋体" w:cs="宋体"/>
        </w:rPr>
        <w:t>。投标人的澄清、说明或者补正不得超出投标文件的范围或者改变投标文件的实质性内容。</w:t>
      </w:r>
      <w:r>
        <w:rPr>
          <w:rFonts w:hint="eastAsia" w:ascii="宋体" w:hAnsi="宋体" w:cs="宋体"/>
          <w:szCs w:val="21"/>
        </w:rPr>
        <w:t>经投标人确认后产生约束力，投标人不确认的，其投标无效。</w:t>
      </w:r>
    </w:p>
    <w:p>
      <w:pPr>
        <w:widowControl/>
        <w:numPr>
          <w:ilvl w:val="0"/>
          <w:numId w:val="3"/>
        </w:numPr>
        <w:tabs>
          <w:tab w:val="left" w:pos="721"/>
          <w:tab w:val="clear" w:pos="851"/>
        </w:tabs>
        <w:spacing w:line="380" w:lineRule="exact"/>
        <w:ind w:left="721" w:hanging="721"/>
        <w:rPr>
          <w:rFonts w:ascii="宋体" w:hAnsi="宋体" w:cs="宋体"/>
          <w:b/>
          <w:szCs w:val="21"/>
        </w:rPr>
      </w:pPr>
      <w:r>
        <w:rPr>
          <w:rFonts w:hint="eastAsia" w:ascii="宋体" w:hAnsi="宋体" w:cs="宋体"/>
          <w:b/>
          <w:szCs w:val="21"/>
        </w:rPr>
        <w:t>中标人的确定</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评标委员会依据法律及招标文件有关规定对投标书进行详细评审，按合格投标人的最终得分由高到低进行排序，将得分排名第一的投标人推荐为中标人候选人。</w:t>
      </w:r>
      <w:r>
        <w:rPr>
          <w:rFonts w:hint="eastAsia" w:ascii="宋体" w:hAnsi="宋体" w:cs="宋体"/>
        </w:rPr>
        <w:t>（得分相同投标报价低者排序第一）。</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 xml:space="preserve">采购人在评标委员会推荐的中标候选人中依法确定为中标人,并在 </w:t>
      </w:r>
      <w:r>
        <w:rPr>
          <w:rFonts w:hint="eastAsia" w:ascii="宋体" w:hAnsi="宋体" w:cs="宋体"/>
          <w:b/>
          <w:bCs/>
          <w:szCs w:val="21"/>
        </w:rPr>
        <w:t>“龙港市政务服务中心网”及“浙江政府采购网”</w:t>
      </w:r>
      <w:r>
        <w:rPr>
          <w:rFonts w:hint="eastAsia" w:ascii="宋体" w:hAnsi="宋体" w:cs="宋体"/>
          <w:szCs w:val="21"/>
        </w:rPr>
        <w:t>发布《中标公告》，</w:t>
      </w:r>
      <w:r>
        <w:rPr>
          <w:rFonts w:hint="eastAsia" w:ascii="宋体" w:hAnsi="宋体" w:cs="宋体"/>
        </w:rPr>
        <w:t>中标公告期限为1个工作日。</w:t>
      </w:r>
    </w:p>
    <w:p>
      <w:pPr>
        <w:widowControl/>
        <w:numPr>
          <w:ilvl w:val="0"/>
          <w:numId w:val="3"/>
        </w:numPr>
        <w:tabs>
          <w:tab w:val="left" w:pos="721"/>
          <w:tab w:val="clear" w:pos="851"/>
        </w:tabs>
        <w:spacing w:line="380" w:lineRule="exact"/>
        <w:ind w:left="721" w:hanging="721"/>
        <w:rPr>
          <w:rFonts w:ascii="宋体" w:hAnsi="宋体" w:cs="宋体"/>
          <w:b/>
          <w:szCs w:val="21"/>
        </w:rPr>
      </w:pPr>
      <w:r>
        <w:rPr>
          <w:rFonts w:hint="eastAsia" w:ascii="宋体" w:hAnsi="宋体" w:cs="宋体"/>
          <w:b/>
          <w:szCs w:val="21"/>
        </w:rPr>
        <w:t>拒绝任何或所有投标的权利</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评标委员会经评审，认为所有投标都不符合招标文件要求的，可以否决所有投标。</w:t>
      </w:r>
    </w:p>
    <w:p>
      <w:pPr>
        <w:widowControl/>
        <w:numPr>
          <w:ilvl w:val="1"/>
          <w:numId w:val="3"/>
        </w:numPr>
        <w:tabs>
          <w:tab w:val="left" w:pos="721"/>
        </w:tabs>
        <w:snapToGrid w:val="0"/>
        <w:spacing w:line="380" w:lineRule="exact"/>
        <w:ind w:left="721" w:hanging="721"/>
        <w:rPr>
          <w:rFonts w:ascii="宋体" w:hAnsi="宋体" w:cs="宋体"/>
          <w:b/>
          <w:szCs w:val="21"/>
        </w:rPr>
      </w:pPr>
      <w:r>
        <w:rPr>
          <w:rFonts w:hint="eastAsia" w:ascii="宋体" w:hAnsi="宋体" w:cs="宋体"/>
          <w:szCs w:val="21"/>
        </w:rPr>
        <w:t>如评标委员会一致认为某个投标人的报价明显不合理，有降低服务质量、不能诚信履行及不正当竞争的可能时，</w:t>
      </w:r>
      <w:r>
        <w:rPr>
          <w:rFonts w:hint="eastAsia" w:ascii="宋体" w:hAnsi="宋体" w:cs="宋体"/>
          <w:b/>
          <w:szCs w:val="21"/>
        </w:rPr>
        <w:t>有权通知投标人限期进行解释。若该投标人未在规定期限内做出解释，或做出的解释不合理，经评标委员会取得一致意见后，可拒绝该投标。</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rPr>
        <w:t>如果第一候选人不能按照招标文件要求及其投标文件的承诺签订合同或其投标文件与事实不符，影响采购的公平公开及合同的实施，或无法签订合同，采购人将依法接受或拒绝任何投标，并宣布采购无效，对受影响的投标人不承担任何责任，也无义务向受影响的投标人解释采取这一行动的理由。</w:t>
      </w:r>
    </w:p>
    <w:p>
      <w:pPr>
        <w:widowControl/>
        <w:numPr>
          <w:ilvl w:val="0"/>
          <w:numId w:val="3"/>
        </w:numPr>
        <w:tabs>
          <w:tab w:val="left" w:pos="721"/>
          <w:tab w:val="clear" w:pos="851"/>
        </w:tabs>
        <w:spacing w:line="380" w:lineRule="exact"/>
        <w:ind w:left="721" w:hanging="721"/>
        <w:rPr>
          <w:rFonts w:ascii="宋体" w:hAnsi="宋体" w:cs="宋体"/>
          <w:b/>
          <w:szCs w:val="21"/>
        </w:rPr>
      </w:pPr>
      <w:r>
        <w:rPr>
          <w:rFonts w:hint="eastAsia" w:ascii="宋体" w:hAnsi="宋体" w:cs="宋体"/>
          <w:b/>
          <w:szCs w:val="21"/>
        </w:rPr>
        <w:t>评审结果质疑</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如投标人对评审结果有异议，可向代理机构提出质疑，联系方式如下：</w:t>
      </w:r>
    </w:p>
    <w:p>
      <w:pPr>
        <w:widowControl/>
        <w:numPr>
          <w:ilvl w:val="1"/>
          <w:numId w:val="3"/>
        </w:numPr>
        <w:tabs>
          <w:tab w:val="left" w:pos="721"/>
        </w:tabs>
        <w:snapToGrid w:val="0"/>
        <w:spacing w:line="380" w:lineRule="exact"/>
        <w:ind w:left="721" w:hanging="721"/>
        <w:rPr>
          <w:rFonts w:ascii="宋体" w:hAnsi="宋体" w:cs="宋体"/>
          <w:szCs w:val="21"/>
        </w:rPr>
      </w:pPr>
      <w:r>
        <w:rPr>
          <w:rFonts w:hint="eastAsia" w:ascii="宋体" w:hAnsi="宋体" w:cs="宋体"/>
          <w:szCs w:val="21"/>
        </w:rPr>
        <w:t>受理机构：杭州华旗招标代理有限公司     质疑电话：13738772079</w:t>
      </w:r>
    </w:p>
    <w:p>
      <w:pPr>
        <w:tabs>
          <w:tab w:val="left" w:pos="721"/>
        </w:tabs>
        <w:snapToGrid w:val="0"/>
        <w:spacing w:line="380" w:lineRule="exact"/>
        <w:ind w:left="721" w:firstLine="840" w:firstLineChars="400"/>
        <w:rPr>
          <w:rFonts w:ascii="宋体" w:hAnsi="宋体" w:cs="宋体"/>
          <w:szCs w:val="21"/>
        </w:rPr>
      </w:pPr>
    </w:p>
    <w:p>
      <w:pPr>
        <w:keepNext/>
        <w:keepLines/>
        <w:tabs>
          <w:tab w:val="left" w:pos="721"/>
          <w:tab w:val="left" w:pos="900"/>
        </w:tabs>
        <w:spacing w:line="480" w:lineRule="exact"/>
        <w:ind w:firstLine="201" w:firstLineChars="50"/>
        <w:jc w:val="center"/>
        <w:rPr>
          <w:rFonts w:ascii="宋体" w:hAnsi="宋体" w:cs="宋体"/>
          <w:b/>
          <w:sz w:val="40"/>
          <w:szCs w:val="22"/>
        </w:rPr>
      </w:pPr>
      <w:bookmarkStart w:id="13" w:name="_Toc495977859"/>
      <w:r>
        <w:rPr>
          <w:rFonts w:hint="eastAsia" w:ascii="宋体" w:hAnsi="宋体" w:cs="宋体"/>
          <w:b/>
          <w:sz w:val="40"/>
          <w:szCs w:val="22"/>
        </w:rPr>
        <w:t>七．授予合同</w:t>
      </w:r>
    </w:p>
    <w:p>
      <w:pPr>
        <w:keepNext/>
        <w:keepLines/>
        <w:tabs>
          <w:tab w:val="left" w:pos="721"/>
          <w:tab w:val="left" w:pos="900"/>
        </w:tabs>
        <w:spacing w:line="480" w:lineRule="exact"/>
        <w:ind w:firstLine="201" w:firstLineChars="50"/>
        <w:jc w:val="center"/>
        <w:rPr>
          <w:rFonts w:ascii="宋体" w:hAnsi="宋体" w:cs="宋体"/>
          <w:b/>
          <w:sz w:val="40"/>
          <w:szCs w:val="22"/>
        </w:rPr>
      </w:pPr>
    </w:p>
    <w:p>
      <w:pPr>
        <w:widowControl/>
        <w:numPr>
          <w:ilvl w:val="0"/>
          <w:numId w:val="3"/>
        </w:numPr>
        <w:spacing w:line="380" w:lineRule="exact"/>
        <w:rPr>
          <w:rFonts w:ascii="宋体" w:hAnsi="宋体" w:cs="宋体"/>
          <w:b/>
          <w:szCs w:val="21"/>
        </w:rPr>
      </w:pPr>
      <w:r>
        <w:rPr>
          <w:rFonts w:hint="eastAsia" w:ascii="宋体" w:hAnsi="宋体" w:cs="宋体"/>
          <w:b/>
          <w:szCs w:val="21"/>
        </w:rPr>
        <w:t>合同授予标准</w:t>
      </w:r>
    </w:p>
    <w:p>
      <w:pPr>
        <w:widowControl/>
        <w:numPr>
          <w:ilvl w:val="1"/>
          <w:numId w:val="3"/>
        </w:numPr>
        <w:snapToGrid w:val="0"/>
        <w:spacing w:line="380" w:lineRule="exact"/>
        <w:rPr>
          <w:rFonts w:ascii="宋体" w:hAnsi="宋体" w:cs="宋体"/>
          <w:szCs w:val="21"/>
        </w:rPr>
      </w:pPr>
      <w:r>
        <w:rPr>
          <w:rFonts w:hint="eastAsia" w:ascii="宋体" w:hAnsi="宋体" w:cs="宋体"/>
          <w:szCs w:val="21"/>
        </w:rPr>
        <w:t>最终审查</w:t>
      </w:r>
    </w:p>
    <w:p>
      <w:pPr>
        <w:snapToGrid w:val="0"/>
        <w:spacing w:line="380" w:lineRule="exact"/>
        <w:ind w:left="840" w:leftChars="200" w:hanging="420" w:hangingChars="200"/>
        <w:rPr>
          <w:rFonts w:ascii="宋体" w:hAnsi="宋体" w:cs="宋体"/>
          <w:szCs w:val="21"/>
        </w:rPr>
      </w:pPr>
      <w:r>
        <w:rPr>
          <w:rFonts w:hint="eastAsia" w:ascii="宋体" w:hAnsi="宋体" w:cs="宋体"/>
          <w:szCs w:val="21"/>
        </w:rPr>
        <w:t xml:space="preserve">    评标结束后，采购人将对投标人进行最终审查。最终审查的主要内容是：投标人的资质、业务能力、信誉、以往政府采购活动中的业绩和表现及以往完成合同和服务的记录；最终审查工作如需投标人配合，投标人必须接受。</w:t>
      </w:r>
    </w:p>
    <w:p>
      <w:pPr>
        <w:widowControl/>
        <w:numPr>
          <w:ilvl w:val="1"/>
          <w:numId w:val="3"/>
        </w:numPr>
        <w:snapToGrid w:val="0"/>
        <w:spacing w:line="380" w:lineRule="exact"/>
        <w:rPr>
          <w:rFonts w:ascii="宋体" w:hAnsi="宋体" w:cs="宋体"/>
          <w:szCs w:val="21"/>
        </w:rPr>
      </w:pPr>
      <w:r>
        <w:rPr>
          <w:rFonts w:hint="eastAsia" w:ascii="宋体" w:hAnsi="宋体" w:cs="宋体"/>
          <w:szCs w:val="21"/>
        </w:rPr>
        <w:t>中标人如未能通过最终审查，采购人将视具体情况，提出具体限时整改要求，中标人如未能达到整改要求，其中标资格将被取消。</w:t>
      </w:r>
    </w:p>
    <w:p>
      <w:pPr>
        <w:widowControl/>
        <w:numPr>
          <w:ilvl w:val="1"/>
          <w:numId w:val="3"/>
        </w:numPr>
        <w:snapToGrid w:val="0"/>
        <w:spacing w:line="380" w:lineRule="exact"/>
        <w:rPr>
          <w:rFonts w:ascii="宋体" w:hAnsi="宋体" w:cs="宋体"/>
          <w:szCs w:val="21"/>
        </w:rPr>
      </w:pPr>
      <w:r>
        <w:rPr>
          <w:rFonts w:hint="eastAsia" w:ascii="宋体" w:hAnsi="宋体" w:cs="宋体"/>
          <w:szCs w:val="21"/>
        </w:rPr>
        <w:t>采购机构将中标通知书授予最佳投标人。</w:t>
      </w:r>
    </w:p>
    <w:p>
      <w:pPr>
        <w:widowControl/>
        <w:numPr>
          <w:ilvl w:val="0"/>
          <w:numId w:val="3"/>
        </w:numPr>
        <w:spacing w:line="380" w:lineRule="exact"/>
        <w:rPr>
          <w:rFonts w:ascii="宋体" w:hAnsi="宋体" w:cs="宋体"/>
          <w:szCs w:val="21"/>
        </w:rPr>
      </w:pPr>
      <w:r>
        <w:rPr>
          <w:rFonts w:hint="eastAsia" w:ascii="宋体" w:hAnsi="宋体" w:cs="宋体"/>
          <w:b/>
          <w:szCs w:val="21"/>
        </w:rPr>
        <w:t>中标通知和公示</w:t>
      </w:r>
    </w:p>
    <w:p>
      <w:pPr>
        <w:widowControl/>
        <w:numPr>
          <w:ilvl w:val="1"/>
          <w:numId w:val="3"/>
        </w:numPr>
        <w:snapToGrid w:val="0"/>
        <w:spacing w:line="380" w:lineRule="exact"/>
        <w:rPr>
          <w:rFonts w:ascii="宋体" w:hAnsi="宋体" w:cs="宋体"/>
          <w:szCs w:val="21"/>
        </w:rPr>
      </w:pPr>
      <w:r>
        <w:rPr>
          <w:rFonts w:hint="eastAsia" w:ascii="宋体" w:hAnsi="宋体" w:cs="宋体"/>
          <w:szCs w:val="21"/>
        </w:rPr>
        <w:t>中标人确定后，</w:t>
      </w:r>
      <w:r>
        <w:rPr>
          <w:rFonts w:hint="eastAsia" w:ascii="宋体" w:hAnsi="宋体" w:cs="宋体"/>
          <w:spacing w:val="2"/>
          <w:szCs w:val="21"/>
        </w:rPr>
        <w:t>招标机构在浙江政府采购网和龙港市政务服务中心网站上公告中标结果，并</w:t>
      </w:r>
      <w:r>
        <w:rPr>
          <w:rFonts w:hint="eastAsia" w:ascii="宋体" w:hAnsi="宋体" w:cs="宋体"/>
          <w:szCs w:val="21"/>
        </w:rPr>
        <w:t>向中标人发出中标通知书。中标通知书是合同的一个组成部分，对采购人和中标人均具有法律效力。</w:t>
      </w:r>
    </w:p>
    <w:p>
      <w:pPr>
        <w:widowControl/>
        <w:numPr>
          <w:ilvl w:val="1"/>
          <w:numId w:val="3"/>
        </w:numPr>
        <w:snapToGrid w:val="0"/>
        <w:spacing w:line="380" w:lineRule="exact"/>
        <w:rPr>
          <w:rFonts w:ascii="宋体" w:hAnsi="宋体" w:cs="宋体"/>
          <w:b/>
          <w:szCs w:val="21"/>
        </w:rPr>
      </w:pPr>
      <w:r>
        <w:rPr>
          <w:rFonts w:hint="eastAsia" w:ascii="宋体" w:hAnsi="宋体" w:cs="宋体"/>
          <w:b/>
          <w:szCs w:val="21"/>
        </w:rPr>
        <w:t>中标通知书通过扫描件发邮箱，如需原件可邮寄发放，中标通知书对采购人和中标供应商具有法律约束力。中标通知书发出后，采购人改变中标结果或者中标供应商放弃中标的，应当承担法律责任。</w:t>
      </w:r>
    </w:p>
    <w:p>
      <w:pPr>
        <w:widowControl/>
        <w:numPr>
          <w:ilvl w:val="0"/>
          <w:numId w:val="3"/>
        </w:numPr>
        <w:snapToGrid w:val="0"/>
        <w:spacing w:line="380" w:lineRule="exact"/>
        <w:rPr>
          <w:rFonts w:ascii="宋体" w:hAnsi="宋体" w:cs="宋体"/>
          <w:szCs w:val="21"/>
        </w:rPr>
      </w:pPr>
      <w:r>
        <w:rPr>
          <w:rFonts w:hint="eastAsia" w:ascii="宋体" w:hAnsi="宋体" w:cs="宋体"/>
          <w:b/>
          <w:szCs w:val="21"/>
        </w:rPr>
        <w:t>签订合同</w:t>
      </w:r>
      <w:r>
        <w:rPr>
          <w:rFonts w:hint="eastAsia" w:ascii="宋体" w:hAnsi="宋体" w:cs="宋体"/>
          <w:szCs w:val="21"/>
        </w:rPr>
        <w:t xml:space="preserve">    </w:t>
      </w:r>
    </w:p>
    <w:p>
      <w:pPr>
        <w:widowControl/>
        <w:numPr>
          <w:ilvl w:val="1"/>
          <w:numId w:val="3"/>
        </w:numPr>
        <w:snapToGrid w:val="0"/>
        <w:spacing w:line="380" w:lineRule="exact"/>
        <w:rPr>
          <w:rFonts w:ascii="宋体" w:hAnsi="宋体" w:cs="宋体"/>
          <w:b/>
          <w:szCs w:val="21"/>
        </w:rPr>
      </w:pPr>
      <w:r>
        <w:rPr>
          <w:rFonts w:hint="eastAsia" w:ascii="宋体" w:hAnsi="宋体" w:cs="宋体"/>
          <w:b/>
          <w:spacing w:val="2"/>
          <w:szCs w:val="21"/>
        </w:rPr>
        <w:t>中标供应商接到中标通知书后及时联系采购人签订合同（可通过邮寄方式）</w:t>
      </w:r>
      <w:r>
        <w:rPr>
          <w:rFonts w:hint="eastAsia" w:ascii="宋体" w:hAnsi="宋体" w:cs="宋体"/>
          <w:b/>
          <w:szCs w:val="21"/>
        </w:rPr>
        <w:t>。</w:t>
      </w:r>
    </w:p>
    <w:p>
      <w:pPr>
        <w:widowControl/>
        <w:numPr>
          <w:ilvl w:val="1"/>
          <w:numId w:val="3"/>
        </w:numPr>
        <w:snapToGrid w:val="0"/>
        <w:spacing w:line="380" w:lineRule="exact"/>
        <w:rPr>
          <w:rFonts w:ascii="宋体" w:hAnsi="宋体" w:cs="宋体"/>
          <w:szCs w:val="21"/>
        </w:rPr>
      </w:pPr>
      <w:r>
        <w:rPr>
          <w:rFonts w:hint="eastAsia" w:ascii="宋体" w:hAnsi="宋体" w:cs="宋体"/>
          <w:szCs w:val="21"/>
        </w:rPr>
        <w:t>招标文件、中标人的投标文件及其澄清文件等，均为签订经济合同的依据。</w:t>
      </w:r>
    </w:p>
    <w:p>
      <w:pPr>
        <w:widowControl/>
        <w:numPr>
          <w:ilvl w:val="1"/>
          <w:numId w:val="3"/>
        </w:numPr>
        <w:snapToGrid w:val="0"/>
        <w:spacing w:line="380" w:lineRule="exact"/>
        <w:rPr>
          <w:rFonts w:ascii="宋体" w:hAnsi="宋体" w:cs="宋体"/>
          <w:szCs w:val="21"/>
        </w:rPr>
      </w:pPr>
      <w:r>
        <w:rPr>
          <w:rFonts w:hint="eastAsia" w:ascii="宋体" w:hAnsi="宋体" w:cs="宋体"/>
          <w:spacing w:val="4"/>
          <w:szCs w:val="21"/>
        </w:rPr>
        <w:t>中标供应商接到中标通知书后，在规定时间内借故否认已经承诺的条件而拒签合同</w:t>
      </w:r>
      <w:r>
        <w:rPr>
          <w:rFonts w:hint="eastAsia" w:ascii="宋体" w:hAnsi="宋体" w:cs="宋体"/>
          <w:spacing w:val="2"/>
          <w:szCs w:val="21"/>
        </w:rPr>
        <w:t>，以投标违约处理，并赔偿采购人由此造成的直接经济损失；如采购人重新组织招标的，所需费用由原中标供应商承担。采购人无故不与供应商签订合同的应当承担相应的法律责任。</w:t>
      </w:r>
    </w:p>
    <w:p>
      <w:pPr>
        <w:adjustRightInd w:val="0"/>
        <w:snapToGrid w:val="0"/>
        <w:spacing w:line="440" w:lineRule="atLeast"/>
        <w:rPr>
          <w:rFonts w:ascii="宋体" w:hAnsi="宋体" w:cs="宋体"/>
          <w:szCs w:val="21"/>
        </w:rPr>
      </w:pPr>
      <w:r>
        <w:rPr>
          <w:rFonts w:hint="eastAsia" w:ascii="宋体" w:hAnsi="宋体" w:cs="宋体"/>
          <w:spacing w:val="2"/>
          <w:szCs w:val="21"/>
        </w:rPr>
        <w:t>34.</w:t>
      </w:r>
      <w:r>
        <w:rPr>
          <w:rFonts w:hint="eastAsia" w:ascii="宋体" w:hAnsi="宋体" w:cs="宋体"/>
          <w:szCs w:val="21"/>
        </w:rPr>
        <w:t>、招标代理服务费</w:t>
      </w:r>
    </w:p>
    <w:p>
      <w:pPr>
        <w:adjustRightInd w:val="0"/>
        <w:snapToGrid w:val="0"/>
        <w:spacing w:line="440" w:lineRule="atLeast"/>
        <w:rPr>
          <w:rFonts w:ascii="宋体" w:hAnsi="宋体" w:cs="宋体"/>
          <w:szCs w:val="21"/>
        </w:rPr>
      </w:pPr>
      <w:r>
        <w:rPr>
          <w:rFonts w:hint="eastAsia" w:ascii="宋体" w:hAnsi="宋体" w:cs="宋体"/>
          <w:szCs w:val="21"/>
        </w:rPr>
        <w:t>34.1、中标（成交）供应商在领取《中标（成交）通知书》前，向采购代理机构交纳采购代理服务费，收费</w:t>
      </w:r>
      <w:r>
        <w:rPr>
          <w:rFonts w:hint="eastAsia" w:ascii="宋体" w:hAnsi="宋体" w:cs="宋体"/>
          <w:szCs w:val="21"/>
          <w:lang w:val="en-US" w:eastAsia="zh-CN"/>
        </w:rPr>
        <w:t xml:space="preserve">    </w:t>
      </w:r>
      <w:r>
        <w:rPr>
          <w:rFonts w:hint="eastAsia" w:ascii="宋体" w:hAnsi="宋体" w:cs="宋体"/>
          <w:szCs w:val="21"/>
        </w:rPr>
        <w:t>元进行收费，采购代理服务费由中标人自行承担。</w:t>
      </w:r>
    </w:p>
    <w:p>
      <w:pPr>
        <w:adjustRightInd w:val="0"/>
        <w:snapToGrid w:val="0"/>
        <w:spacing w:line="440" w:lineRule="atLeast"/>
        <w:rPr>
          <w:rFonts w:ascii="宋体" w:hAnsi="宋体" w:cs="宋体"/>
          <w:szCs w:val="21"/>
        </w:rPr>
      </w:pPr>
      <w:r>
        <w:rPr>
          <w:rFonts w:hint="eastAsia" w:ascii="宋体" w:hAnsi="宋体" w:cs="宋体"/>
          <w:szCs w:val="21"/>
        </w:rPr>
        <w:t>开户名称：杭州华旗招标代理有限公司温州分公司</w:t>
      </w:r>
    </w:p>
    <w:p>
      <w:pPr>
        <w:adjustRightInd w:val="0"/>
        <w:snapToGrid w:val="0"/>
        <w:spacing w:line="440" w:lineRule="atLeast"/>
        <w:rPr>
          <w:rFonts w:ascii="宋体" w:hAnsi="宋体" w:cs="宋体"/>
          <w:szCs w:val="21"/>
        </w:rPr>
      </w:pPr>
      <w:r>
        <w:rPr>
          <w:rFonts w:hint="eastAsia" w:ascii="宋体" w:hAnsi="宋体" w:cs="宋体"/>
          <w:szCs w:val="21"/>
        </w:rPr>
        <w:t>开户账号：</w:t>
      </w:r>
      <w:r>
        <w:rPr>
          <w:rFonts w:ascii="宋体" w:hAnsi="宋体" w:cs="宋体"/>
          <w:szCs w:val="21"/>
        </w:rPr>
        <w:t>1203206009200167874</w:t>
      </w:r>
    </w:p>
    <w:p>
      <w:pPr>
        <w:adjustRightInd w:val="0"/>
        <w:snapToGrid w:val="0"/>
        <w:spacing w:line="440" w:lineRule="atLeast"/>
        <w:rPr>
          <w:rFonts w:ascii="宋体" w:hAnsi="宋体" w:cs="宋体"/>
          <w:szCs w:val="21"/>
        </w:rPr>
      </w:pPr>
      <w:r>
        <w:rPr>
          <w:rFonts w:hint="eastAsia" w:ascii="宋体" w:hAnsi="宋体" w:cs="宋体"/>
          <w:szCs w:val="21"/>
        </w:rPr>
        <w:t>开户银行：中国工商银行股份有限公司温州马鞍池支行</w:t>
      </w:r>
    </w:p>
    <w:bookmarkEnd w:id="13"/>
    <w:p>
      <w:pPr>
        <w:pStyle w:val="2"/>
        <w:keepNext w:val="0"/>
        <w:keepLines w:val="0"/>
        <w:pageBreakBefore/>
        <w:numPr>
          <w:ilvl w:val="0"/>
          <w:numId w:val="4"/>
        </w:numPr>
        <w:spacing w:line="240" w:lineRule="auto"/>
        <w:jc w:val="center"/>
        <w:rPr>
          <w:rFonts w:ascii="宋体" w:hAnsi="宋体" w:cs="宋体"/>
          <w:spacing w:val="-20"/>
          <w:sz w:val="32"/>
          <w:szCs w:val="32"/>
        </w:rPr>
      </w:pPr>
      <w:r>
        <w:rPr>
          <w:rFonts w:hint="eastAsia" w:ascii="宋体" w:hAnsi="宋体" w:cs="宋体"/>
          <w:spacing w:val="-20"/>
          <w:sz w:val="32"/>
          <w:szCs w:val="32"/>
        </w:rPr>
        <w:t>招标内容及要求</w:t>
      </w:r>
    </w:p>
    <w:p>
      <w:pPr>
        <w:spacing w:line="460" w:lineRule="exact"/>
        <w:jc w:val="center"/>
        <w:outlineLvl w:val="0"/>
        <w:rPr>
          <w:rFonts w:ascii="宋体" w:hAnsi="宋体" w:cs="宋体"/>
          <w:b/>
          <w:bCs/>
          <w:sz w:val="32"/>
          <w:szCs w:val="32"/>
        </w:rPr>
      </w:pPr>
      <w:r>
        <w:rPr>
          <w:rFonts w:hint="eastAsia" w:ascii="宋体" w:hAnsi="宋体" w:cs="宋体"/>
          <w:b/>
          <w:bCs/>
          <w:sz w:val="32"/>
          <w:szCs w:val="32"/>
        </w:rPr>
        <w:t>一、总 则</w:t>
      </w:r>
    </w:p>
    <w:p>
      <w:pPr>
        <w:spacing w:line="400" w:lineRule="exact"/>
        <w:ind w:left="440" w:hanging="440" w:hangingChars="200"/>
        <w:rPr>
          <w:rFonts w:ascii="宋体" w:hAnsi="宋体"/>
          <w:sz w:val="22"/>
          <w:szCs w:val="22"/>
        </w:rPr>
      </w:pPr>
      <w:r>
        <w:rPr>
          <w:rFonts w:ascii="宋体" w:hAnsi="宋体"/>
          <w:sz w:val="22"/>
          <w:szCs w:val="22"/>
        </w:rPr>
        <w:t>1</w:t>
      </w:r>
      <w:r>
        <w:rPr>
          <w:rFonts w:hint="eastAsia" w:ascii="宋体" w:hAnsi="宋体"/>
          <w:sz w:val="22"/>
          <w:szCs w:val="22"/>
        </w:rPr>
        <w:t>.  技术要求及标准的执行</w:t>
      </w:r>
    </w:p>
    <w:p>
      <w:pPr>
        <w:spacing w:line="400" w:lineRule="exact"/>
        <w:ind w:left="440" w:hanging="440" w:hangingChars="200"/>
        <w:rPr>
          <w:rFonts w:ascii="宋体" w:hAnsi="宋体"/>
          <w:sz w:val="22"/>
          <w:szCs w:val="22"/>
        </w:rPr>
      </w:pPr>
      <w:r>
        <w:rPr>
          <w:rFonts w:hint="eastAsia" w:ascii="宋体" w:hAnsi="宋体"/>
          <w:sz w:val="22"/>
          <w:szCs w:val="22"/>
        </w:rPr>
        <w:t xml:space="preserve">    投标人提供的产品应标明所执行的质量标准，若同一标准已颁发新标准，则按最新标准执行。若同一产品同时有几个标准（国际标准、国家标准、行业标准、企业标准等），则按最高层次的标准执行。下述标准及规范要求有出入则以较严格者为准。</w:t>
      </w:r>
    </w:p>
    <w:p>
      <w:pPr>
        <w:spacing w:line="400" w:lineRule="exact"/>
        <w:ind w:left="420" w:leftChars="200" w:firstLine="220" w:firstLineChars="100"/>
        <w:rPr>
          <w:rFonts w:ascii="宋体" w:hAnsi="宋体"/>
          <w:sz w:val="22"/>
          <w:szCs w:val="22"/>
        </w:rPr>
      </w:pPr>
      <w:r>
        <w:rPr>
          <w:rFonts w:hint="eastAsia" w:ascii="宋体" w:hAnsi="宋体"/>
          <w:sz w:val="22"/>
          <w:szCs w:val="22"/>
        </w:rPr>
        <w:t>（1）GB/T 3324</w:t>
      </w:r>
      <w:r>
        <w:rPr>
          <w:rFonts w:ascii="宋体" w:hAnsi="宋体"/>
          <w:sz w:val="22"/>
          <w:szCs w:val="22"/>
        </w:rPr>
        <w:t xml:space="preserve"> </w:t>
      </w:r>
      <w:r>
        <w:rPr>
          <w:rFonts w:hint="eastAsia" w:ascii="宋体" w:hAnsi="宋体"/>
          <w:sz w:val="22"/>
          <w:szCs w:val="22"/>
        </w:rPr>
        <w:t xml:space="preserve">   </w:t>
      </w:r>
      <w:r>
        <w:rPr>
          <w:rFonts w:hint="eastAsia" w:ascii="宋体" w:hAnsi="宋体"/>
          <w:sz w:val="22"/>
          <w:szCs w:val="22"/>
        </w:rPr>
        <w:tab/>
      </w:r>
      <w:r>
        <w:rPr>
          <w:rFonts w:hint="eastAsia" w:ascii="宋体" w:hAnsi="宋体"/>
          <w:sz w:val="22"/>
          <w:szCs w:val="22"/>
        </w:rPr>
        <w:t xml:space="preserve">   木家具通用技术条件</w:t>
      </w:r>
    </w:p>
    <w:p>
      <w:pPr>
        <w:spacing w:line="400" w:lineRule="exact"/>
        <w:ind w:left="420" w:leftChars="200" w:firstLine="220" w:firstLineChars="100"/>
        <w:rPr>
          <w:rFonts w:ascii="宋体" w:hAnsi="宋体"/>
          <w:sz w:val="22"/>
          <w:szCs w:val="22"/>
        </w:rPr>
      </w:pPr>
      <w:r>
        <w:rPr>
          <w:rFonts w:hint="eastAsia" w:ascii="宋体" w:hAnsi="宋体"/>
          <w:sz w:val="22"/>
          <w:szCs w:val="22"/>
        </w:rPr>
        <w:t>（2）GB/T 3325</w:t>
      </w:r>
      <w:r>
        <w:rPr>
          <w:rFonts w:ascii="宋体" w:hAnsi="宋体"/>
          <w:sz w:val="22"/>
          <w:szCs w:val="22"/>
        </w:rPr>
        <w:t xml:space="preserve"> </w:t>
      </w:r>
      <w:r>
        <w:rPr>
          <w:rFonts w:hint="eastAsia" w:ascii="宋体" w:hAnsi="宋体"/>
          <w:sz w:val="22"/>
          <w:szCs w:val="22"/>
        </w:rPr>
        <w:t xml:space="preserve">   </w:t>
      </w:r>
      <w:r>
        <w:rPr>
          <w:rFonts w:hint="eastAsia" w:ascii="宋体" w:hAnsi="宋体"/>
          <w:sz w:val="22"/>
          <w:szCs w:val="22"/>
        </w:rPr>
        <w:tab/>
      </w:r>
      <w:r>
        <w:rPr>
          <w:rFonts w:hint="eastAsia" w:ascii="宋体" w:hAnsi="宋体"/>
          <w:sz w:val="22"/>
          <w:szCs w:val="22"/>
        </w:rPr>
        <w:t xml:space="preserve">   金属家具通用技术条件</w:t>
      </w:r>
    </w:p>
    <w:p>
      <w:pPr>
        <w:spacing w:line="400" w:lineRule="exact"/>
        <w:ind w:left="420" w:leftChars="200" w:firstLine="220" w:firstLineChars="100"/>
        <w:rPr>
          <w:rFonts w:ascii="宋体" w:hAnsi="宋体"/>
          <w:sz w:val="22"/>
          <w:szCs w:val="22"/>
        </w:rPr>
      </w:pPr>
      <w:r>
        <w:rPr>
          <w:rFonts w:hint="eastAsia" w:ascii="宋体" w:hAnsi="宋体"/>
          <w:sz w:val="22"/>
          <w:szCs w:val="22"/>
        </w:rPr>
        <w:t>（3）GB/T 3326</w:t>
      </w:r>
      <w:r>
        <w:rPr>
          <w:rFonts w:ascii="宋体" w:hAnsi="宋体"/>
          <w:sz w:val="22"/>
          <w:szCs w:val="22"/>
        </w:rPr>
        <w:t xml:space="preserve"> </w:t>
      </w:r>
      <w:r>
        <w:rPr>
          <w:rFonts w:hint="eastAsia" w:ascii="宋体" w:hAnsi="宋体"/>
          <w:sz w:val="22"/>
          <w:szCs w:val="22"/>
        </w:rPr>
        <w:t xml:space="preserve">     </w:t>
      </w:r>
      <w:r>
        <w:rPr>
          <w:rFonts w:hint="eastAsia" w:ascii="宋体" w:hAnsi="宋体"/>
          <w:sz w:val="22"/>
          <w:szCs w:val="22"/>
        </w:rPr>
        <w:tab/>
      </w:r>
      <w:r>
        <w:rPr>
          <w:rFonts w:hint="eastAsia" w:ascii="宋体" w:hAnsi="宋体"/>
          <w:sz w:val="22"/>
          <w:szCs w:val="22"/>
        </w:rPr>
        <w:t xml:space="preserve">   家具  桌、椅、凳类主要尺寸   </w:t>
      </w:r>
    </w:p>
    <w:p>
      <w:pPr>
        <w:spacing w:line="400" w:lineRule="exact"/>
        <w:ind w:left="420" w:leftChars="200" w:firstLine="220" w:firstLineChars="100"/>
        <w:rPr>
          <w:rFonts w:ascii="宋体" w:hAnsi="宋体"/>
          <w:sz w:val="22"/>
          <w:szCs w:val="22"/>
        </w:rPr>
      </w:pPr>
      <w:r>
        <w:rPr>
          <w:rFonts w:hint="eastAsia" w:ascii="宋体" w:hAnsi="宋体"/>
          <w:sz w:val="22"/>
          <w:szCs w:val="22"/>
        </w:rPr>
        <w:t xml:space="preserve">（4）GB/T 3327     </w:t>
      </w:r>
      <w:r>
        <w:rPr>
          <w:rFonts w:hint="eastAsia" w:ascii="宋体" w:hAnsi="宋体"/>
          <w:sz w:val="22"/>
          <w:szCs w:val="22"/>
        </w:rPr>
        <w:tab/>
      </w:r>
      <w:r>
        <w:rPr>
          <w:rFonts w:hint="eastAsia" w:ascii="宋体" w:hAnsi="宋体"/>
          <w:sz w:val="22"/>
          <w:szCs w:val="22"/>
        </w:rPr>
        <w:t xml:space="preserve">   家具  柜类主要尺寸</w:t>
      </w:r>
    </w:p>
    <w:p>
      <w:pPr>
        <w:spacing w:line="400" w:lineRule="exact"/>
        <w:ind w:left="420" w:leftChars="200" w:firstLine="220" w:firstLineChars="100"/>
        <w:rPr>
          <w:rFonts w:ascii="宋体" w:hAnsi="宋体"/>
          <w:sz w:val="22"/>
          <w:szCs w:val="22"/>
        </w:rPr>
      </w:pPr>
      <w:r>
        <w:rPr>
          <w:rFonts w:hint="eastAsia" w:ascii="宋体" w:hAnsi="宋体"/>
          <w:sz w:val="22"/>
          <w:szCs w:val="22"/>
        </w:rPr>
        <w:t xml:space="preserve">（5）QB/T1951.1    </w:t>
      </w:r>
      <w:r>
        <w:rPr>
          <w:rFonts w:ascii="宋体" w:hAnsi="宋体"/>
          <w:sz w:val="22"/>
          <w:szCs w:val="22"/>
        </w:rPr>
        <w:t xml:space="preserve">     </w:t>
      </w:r>
      <w:r>
        <w:rPr>
          <w:rFonts w:hint="eastAsia" w:ascii="宋体" w:hAnsi="宋体"/>
          <w:sz w:val="22"/>
          <w:szCs w:val="22"/>
        </w:rPr>
        <w:t>木家具质量检验及质量评定</w:t>
      </w:r>
    </w:p>
    <w:p>
      <w:pPr>
        <w:spacing w:line="400" w:lineRule="exact"/>
        <w:ind w:left="420" w:leftChars="200" w:firstLine="220" w:firstLineChars="100"/>
        <w:rPr>
          <w:rFonts w:ascii="宋体" w:hAnsi="宋体"/>
          <w:sz w:val="22"/>
          <w:szCs w:val="22"/>
        </w:rPr>
      </w:pPr>
      <w:r>
        <w:rPr>
          <w:rFonts w:hint="eastAsia" w:ascii="宋体" w:hAnsi="宋体"/>
          <w:sz w:val="22"/>
          <w:szCs w:val="22"/>
        </w:rPr>
        <w:t>（6）QB/T1951.2</w:t>
      </w:r>
      <w:r>
        <w:rPr>
          <w:rFonts w:ascii="宋体" w:hAnsi="宋体"/>
          <w:sz w:val="22"/>
          <w:szCs w:val="22"/>
        </w:rPr>
        <w:t xml:space="preserve">         </w:t>
      </w:r>
      <w:r>
        <w:rPr>
          <w:rFonts w:hint="eastAsia" w:ascii="宋体" w:hAnsi="宋体"/>
          <w:sz w:val="22"/>
          <w:szCs w:val="22"/>
        </w:rPr>
        <w:t>金属家具质量检验及质量评定</w:t>
      </w:r>
    </w:p>
    <w:p>
      <w:pPr>
        <w:spacing w:line="400" w:lineRule="exact"/>
        <w:ind w:left="420" w:leftChars="200" w:firstLine="220" w:firstLineChars="100"/>
        <w:rPr>
          <w:rFonts w:ascii="宋体" w:hAnsi="宋体"/>
          <w:sz w:val="22"/>
          <w:szCs w:val="22"/>
        </w:rPr>
      </w:pPr>
      <w:r>
        <w:rPr>
          <w:rFonts w:hint="eastAsia" w:ascii="宋体" w:hAnsi="宋体"/>
          <w:sz w:val="22"/>
          <w:szCs w:val="22"/>
        </w:rPr>
        <w:t xml:space="preserve">（7）QB/T 1241 </w:t>
      </w:r>
      <w:r>
        <w:rPr>
          <w:rFonts w:hint="eastAsia" w:ascii="宋体" w:hAnsi="宋体"/>
          <w:sz w:val="22"/>
          <w:szCs w:val="22"/>
        </w:rPr>
        <w:tab/>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 xml:space="preserve"> 家具五金  家具拉手安装尺寸</w:t>
      </w:r>
    </w:p>
    <w:p>
      <w:pPr>
        <w:spacing w:line="400" w:lineRule="exact"/>
        <w:ind w:left="420" w:leftChars="200" w:firstLine="220" w:firstLineChars="100"/>
        <w:rPr>
          <w:rFonts w:ascii="宋体" w:hAnsi="宋体"/>
          <w:sz w:val="22"/>
          <w:szCs w:val="22"/>
        </w:rPr>
      </w:pPr>
      <w:r>
        <w:rPr>
          <w:rFonts w:hint="eastAsia" w:ascii="宋体" w:hAnsi="宋体"/>
          <w:sz w:val="22"/>
          <w:szCs w:val="22"/>
        </w:rPr>
        <w:t xml:space="preserve">（8）QB/T 2454     </w:t>
      </w:r>
      <w:r>
        <w:rPr>
          <w:rFonts w:hint="eastAsia" w:ascii="宋体" w:hAnsi="宋体"/>
          <w:sz w:val="22"/>
          <w:szCs w:val="22"/>
        </w:rPr>
        <w:tab/>
      </w:r>
      <w:r>
        <w:rPr>
          <w:rFonts w:hint="eastAsia" w:ascii="宋体" w:hAnsi="宋体"/>
          <w:sz w:val="22"/>
          <w:szCs w:val="22"/>
        </w:rPr>
        <w:t xml:space="preserve">   家具五金  抽屉导轨要求和检验</w:t>
      </w:r>
    </w:p>
    <w:p>
      <w:pPr>
        <w:spacing w:line="400" w:lineRule="exact"/>
        <w:ind w:left="420" w:leftChars="200" w:firstLine="220" w:firstLineChars="100"/>
        <w:rPr>
          <w:rFonts w:ascii="宋体" w:hAnsi="宋体"/>
          <w:sz w:val="22"/>
          <w:szCs w:val="22"/>
        </w:rPr>
      </w:pPr>
      <w:r>
        <w:rPr>
          <w:rFonts w:hint="eastAsia" w:ascii="宋体" w:hAnsi="宋体"/>
          <w:sz w:val="22"/>
          <w:szCs w:val="22"/>
        </w:rPr>
        <w:t>（</w:t>
      </w:r>
      <w:r>
        <w:rPr>
          <w:rFonts w:ascii="宋体" w:hAnsi="宋体"/>
          <w:sz w:val="22"/>
          <w:szCs w:val="22"/>
        </w:rPr>
        <w:t>9</w:t>
      </w:r>
      <w:r>
        <w:rPr>
          <w:rFonts w:hint="eastAsia" w:ascii="宋体" w:hAnsi="宋体"/>
          <w:sz w:val="22"/>
          <w:szCs w:val="22"/>
        </w:rPr>
        <w:t>）GB 18584《室内装饰装修材料 木家具中有害物质限量》</w:t>
      </w:r>
    </w:p>
    <w:p>
      <w:pPr>
        <w:spacing w:line="400" w:lineRule="exact"/>
        <w:ind w:left="420" w:leftChars="200" w:firstLine="220" w:firstLineChars="100"/>
        <w:rPr>
          <w:rFonts w:ascii="宋体" w:hAnsi="宋体"/>
          <w:sz w:val="22"/>
          <w:szCs w:val="22"/>
        </w:rPr>
      </w:pPr>
      <w:r>
        <w:rPr>
          <w:rFonts w:hint="eastAsia" w:ascii="宋体" w:hAnsi="宋体"/>
          <w:sz w:val="22"/>
          <w:szCs w:val="22"/>
        </w:rPr>
        <w:t>（1</w:t>
      </w:r>
      <w:r>
        <w:rPr>
          <w:rFonts w:ascii="宋体" w:hAnsi="宋体"/>
          <w:sz w:val="22"/>
          <w:szCs w:val="22"/>
        </w:rPr>
        <w:t>0</w:t>
      </w:r>
      <w:r>
        <w:rPr>
          <w:rFonts w:hint="eastAsia" w:ascii="宋体" w:hAnsi="宋体"/>
          <w:sz w:val="22"/>
          <w:szCs w:val="22"/>
        </w:rPr>
        <w:t>）GB 18583《室内装饰装修材料 胶粘剂中有害物质限量》</w:t>
      </w:r>
    </w:p>
    <w:p>
      <w:pPr>
        <w:spacing w:line="400" w:lineRule="exact"/>
        <w:ind w:left="420" w:leftChars="200" w:firstLine="220" w:firstLineChars="100"/>
        <w:rPr>
          <w:rFonts w:ascii="宋体" w:hAnsi="宋体"/>
          <w:sz w:val="22"/>
          <w:szCs w:val="22"/>
        </w:rPr>
      </w:pPr>
      <w:r>
        <w:rPr>
          <w:rFonts w:hint="eastAsia" w:ascii="宋体" w:hAnsi="宋体"/>
          <w:sz w:val="22"/>
          <w:szCs w:val="22"/>
        </w:rPr>
        <w:t>（1</w:t>
      </w:r>
      <w:r>
        <w:rPr>
          <w:rFonts w:ascii="宋体" w:hAnsi="宋体"/>
          <w:sz w:val="22"/>
          <w:szCs w:val="22"/>
        </w:rPr>
        <w:t>1</w:t>
      </w:r>
      <w:r>
        <w:rPr>
          <w:rFonts w:hint="eastAsia" w:ascii="宋体" w:hAnsi="宋体"/>
          <w:sz w:val="22"/>
          <w:szCs w:val="22"/>
        </w:rPr>
        <w:t>）GB 18581《室内装饰装修材料 溶剂型木器涂料中有害物质限量》</w:t>
      </w:r>
    </w:p>
    <w:p>
      <w:pPr>
        <w:spacing w:line="400" w:lineRule="exact"/>
        <w:ind w:left="420" w:leftChars="200" w:firstLine="220" w:firstLineChars="100"/>
        <w:rPr>
          <w:rFonts w:ascii="宋体" w:hAnsi="宋体"/>
          <w:sz w:val="22"/>
          <w:szCs w:val="22"/>
        </w:rPr>
      </w:pPr>
      <w:r>
        <w:rPr>
          <w:rFonts w:hint="eastAsia" w:ascii="宋体" w:hAnsi="宋体"/>
          <w:sz w:val="22"/>
          <w:szCs w:val="22"/>
        </w:rPr>
        <w:t>（1</w:t>
      </w:r>
      <w:r>
        <w:rPr>
          <w:rFonts w:ascii="宋体" w:hAnsi="宋体"/>
          <w:sz w:val="22"/>
          <w:szCs w:val="22"/>
        </w:rPr>
        <w:t>2</w:t>
      </w:r>
      <w:r>
        <w:rPr>
          <w:rFonts w:hint="eastAsia" w:ascii="宋体" w:hAnsi="宋体"/>
          <w:sz w:val="22"/>
          <w:szCs w:val="22"/>
        </w:rPr>
        <w:t>）GB 18580《室内装饰装修材料 人造板及其制品中甲醛释放量限量》</w:t>
      </w:r>
    </w:p>
    <w:p>
      <w:pPr>
        <w:spacing w:line="400" w:lineRule="exact"/>
        <w:ind w:left="420" w:leftChars="200" w:firstLine="220" w:firstLineChars="100"/>
        <w:rPr>
          <w:rFonts w:ascii="宋体" w:hAnsi="宋体"/>
          <w:sz w:val="22"/>
          <w:szCs w:val="22"/>
        </w:rPr>
      </w:pPr>
      <w:r>
        <w:rPr>
          <w:rFonts w:hint="eastAsia" w:ascii="宋体" w:hAnsi="宋体"/>
          <w:sz w:val="22"/>
          <w:szCs w:val="22"/>
        </w:rPr>
        <w:t>（1</w:t>
      </w:r>
      <w:r>
        <w:rPr>
          <w:rFonts w:ascii="宋体" w:hAnsi="宋体"/>
          <w:sz w:val="22"/>
          <w:szCs w:val="22"/>
        </w:rPr>
        <w:t>3</w:t>
      </w:r>
      <w:r>
        <w:rPr>
          <w:rFonts w:hint="eastAsia" w:ascii="宋体" w:hAnsi="宋体"/>
          <w:sz w:val="22"/>
          <w:szCs w:val="22"/>
        </w:rPr>
        <w:t>）中国国家标准及其它被普遍认可的标准</w:t>
      </w:r>
    </w:p>
    <w:p>
      <w:pPr>
        <w:spacing w:line="400" w:lineRule="exact"/>
        <w:ind w:left="420" w:leftChars="200" w:firstLine="220" w:firstLineChars="100"/>
        <w:rPr>
          <w:rFonts w:ascii="宋体" w:hAnsi="宋体"/>
          <w:sz w:val="22"/>
          <w:szCs w:val="22"/>
        </w:rPr>
      </w:pPr>
      <w:r>
        <w:rPr>
          <w:rFonts w:hint="eastAsia" w:ascii="宋体" w:hAnsi="宋体"/>
          <w:sz w:val="22"/>
          <w:szCs w:val="22"/>
        </w:rPr>
        <w:t>（1</w:t>
      </w:r>
      <w:r>
        <w:rPr>
          <w:rFonts w:ascii="宋体" w:hAnsi="宋体"/>
          <w:sz w:val="22"/>
          <w:szCs w:val="22"/>
        </w:rPr>
        <w:t>4</w:t>
      </w:r>
      <w:r>
        <w:rPr>
          <w:rFonts w:hint="eastAsia" w:ascii="宋体" w:hAnsi="宋体"/>
          <w:sz w:val="22"/>
          <w:szCs w:val="22"/>
        </w:rPr>
        <w:t>）由采购人认可的其他国家的其他权威标准</w:t>
      </w:r>
    </w:p>
    <w:p>
      <w:pPr>
        <w:spacing w:line="400" w:lineRule="exact"/>
        <w:ind w:left="420" w:leftChars="200"/>
        <w:rPr>
          <w:rFonts w:ascii="宋体" w:hAnsi="宋体"/>
          <w:sz w:val="22"/>
          <w:szCs w:val="22"/>
        </w:rPr>
      </w:pPr>
      <w:r>
        <w:rPr>
          <w:rFonts w:hint="eastAsia" w:ascii="宋体" w:hAnsi="宋体"/>
          <w:sz w:val="22"/>
          <w:szCs w:val="22"/>
        </w:rPr>
        <w:t>投标人应对所提供的货物材料性能、质量负责，并提供相应的指导安装、服务、质保。采购的货物所涉及的产品标准、规范，验收标准等，应符合国家有关条例及标准的规定。</w:t>
      </w:r>
    </w:p>
    <w:p>
      <w:pPr>
        <w:spacing w:line="400" w:lineRule="exact"/>
        <w:ind w:left="440" w:hanging="440" w:hangingChars="200"/>
        <w:rPr>
          <w:rFonts w:ascii="宋体" w:hAnsi="宋体"/>
          <w:sz w:val="22"/>
          <w:szCs w:val="22"/>
        </w:rPr>
      </w:pPr>
      <w:r>
        <w:rPr>
          <w:rFonts w:ascii="宋体" w:hAnsi="宋体"/>
          <w:sz w:val="22"/>
          <w:szCs w:val="22"/>
        </w:rPr>
        <w:t>2</w:t>
      </w:r>
      <w:r>
        <w:rPr>
          <w:rFonts w:hint="eastAsia" w:ascii="宋体" w:hAnsi="宋体"/>
          <w:sz w:val="22"/>
          <w:szCs w:val="22"/>
        </w:rPr>
        <w:t>． 本次采购的货物如涉及国家规定强制认证的，均视为投标人投标产品符合了工业品生产许可证，</w:t>
      </w:r>
      <w:r>
        <w:rPr>
          <w:rFonts w:ascii="宋体" w:hAnsi="宋体"/>
          <w:sz w:val="22"/>
          <w:szCs w:val="22"/>
        </w:rPr>
        <w:t>3C认证，环保产品认证等强制认证规定的，中标人须在</w:t>
      </w:r>
      <w:r>
        <w:rPr>
          <w:rFonts w:hint="eastAsia" w:ascii="宋体" w:hAnsi="宋体"/>
          <w:sz w:val="22"/>
          <w:szCs w:val="22"/>
        </w:rPr>
        <w:t>采购人</w:t>
      </w:r>
      <w:r>
        <w:rPr>
          <w:rFonts w:ascii="宋体" w:hAnsi="宋体"/>
          <w:sz w:val="22"/>
          <w:szCs w:val="22"/>
        </w:rPr>
        <w:t>对上述货物验收时提供相关证书证明资料（上述货物相关强制认证的证明文件投标时不需提供），否则</w:t>
      </w:r>
      <w:r>
        <w:rPr>
          <w:rFonts w:hint="eastAsia" w:ascii="宋体" w:hAnsi="宋体"/>
          <w:sz w:val="22"/>
          <w:szCs w:val="22"/>
        </w:rPr>
        <w:t>按</w:t>
      </w:r>
      <w:r>
        <w:rPr>
          <w:rFonts w:ascii="宋体" w:hAnsi="宋体"/>
          <w:sz w:val="22"/>
          <w:szCs w:val="22"/>
        </w:rPr>
        <w:t>验收不能通过处理，并对中标人处以合同总金额10%的违约金罚款。</w:t>
      </w:r>
    </w:p>
    <w:p>
      <w:pPr>
        <w:spacing w:line="400" w:lineRule="exact"/>
        <w:ind w:left="440" w:hanging="440" w:hangingChars="200"/>
        <w:rPr>
          <w:rFonts w:ascii="宋体" w:hAnsi="宋体"/>
          <w:sz w:val="22"/>
          <w:szCs w:val="22"/>
        </w:rPr>
      </w:pPr>
      <w:r>
        <w:rPr>
          <w:rFonts w:ascii="宋体" w:hAnsi="宋体"/>
          <w:sz w:val="22"/>
          <w:szCs w:val="22"/>
        </w:rPr>
        <w:t>3</w:t>
      </w:r>
      <w:r>
        <w:rPr>
          <w:rFonts w:hint="eastAsia" w:ascii="宋体" w:hAnsi="宋体"/>
          <w:sz w:val="22"/>
          <w:szCs w:val="22"/>
        </w:rPr>
        <w:t xml:space="preserve">.  </w:t>
      </w:r>
      <w:r>
        <w:rPr>
          <w:rFonts w:hint="eastAsia" w:ascii="宋体" w:hAnsi="宋体"/>
          <w:b/>
          <w:sz w:val="22"/>
          <w:szCs w:val="22"/>
        </w:rPr>
        <w:t>投标产品与本技术要求不一致时，投标人应在投标文件中予以说明，并由评标委员会鉴定投标人产品能否达到要求。如投标人没有在投标文件中提出异议，则视为投标人提供的产品完全按照本招标文件要求，并在合同验收时按招标文件要求验收。</w:t>
      </w:r>
    </w:p>
    <w:p>
      <w:pPr>
        <w:spacing w:line="400" w:lineRule="exact"/>
        <w:ind w:left="440" w:hanging="440" w:hangingChars="200"/>
        <w:rPr>
          <w:rFonts w:ascii="宋体" w:hAnsi="宋体"/>
          <w:sz w:val="22"/>
          <w:szCs w:val="22"/>
        </w:rPr>
      </w:pPr>
      <w:r>
        <w:rPr>
          <w:rFonts w:ascii="宋体" w:hAnsi="宋体"/>
          <w:sz w:val="22"/>
          <w:szCs w:val="22"/>
        </w:rPr>
        <w:t>4</w:t>
      </w:r>
      <w:r>
        <w:rPr>
          <w:rFonts w:hint="eastAsia" w:ascii="宋体" w:hAnsi="宋体"/>
          <w:sz w:val="22"/>
          <w:szCs w:val="22"/>
        </w:rPr>
        <w:t>.  采用知名品牌的优质五金配件：连接件应安装严密、平整、端正、牢固，无崩茬或松动，不得有漏钉、透钉。</w:t>
      </w:r>
    </w:p>
    <w:p>
      <w:pPr>
        <w:spacing w:line="400" w:lineRule="exact"/>
        <w:ind w:left="440" w:hanging="440" w:hangingChars="200"/>
        <w:rPr>
          <w:rFonts w:ascii="宋体" w:hAnsi="宋体"/>
          <w:sz w:val="22"/>
          <w:szCs w:val="22"/>
        </w:rPr>
      </w:pPr>
      <w:r>
        <w:rPr>
          <w:rFonts w:ascii="宋体" w:hAnsi="宋体"/>
          <w:sz w:val="22"/>
          <w:szCs w:val="22"/>
        </w:rPr>
        <w:t>5</w:t>
      </w:r>
      <w:r>
        <w:rPr>
          <w:rFonts w:hint="eastAsia" w:ascii="宋体" w:hAnsi="宋体"/>
          <w:sz w:val="22"/>
          <w:szCs w:val="22"/>
        </w:rPr>
        <w:t>.  外表的倒棱、圆角、圆线应均匀一致，无毛刺及扎手的现象，装板部件配合不得松动。</w:t>
      </w:r>
    </w:p>
    <w:p>
      <w:pPr>
        <w:spacing w:line="400" w:lineRule="exact"/>
        <w:ind w:left="440" w:hanging="440" w:hangingChars="200"/>
        <w:rPr>
          <w:rFonts w:ascii="宋体" w:hAnsi="宋体"/>
          <w:sz w:val="22"/>
          <w:szCs w:val="22"/>
        </w:rPr>
      </w:pPr>
      <w:r>
        <w:rPr>
          <w:rFonts w:ascii="宋体" w:hAnsi="宋体"/>
          <w:sz w:val="22"/>
          <w:szCs w:val="22"/>
        </w:rPr>
        <w:t>6</w:t>
      </w:r>
      <w:r>
        <w:rPr>
          <w:rFonts w:hint="eastAsia" w:ascii="宋体" w:hAnsi="宋体"/>
          <w:sz w:val="22"/>
          <w:szCs w:val="22"/>
        </w:rPr>
        <w:t xml:space="preserve">. </w:t>
      </w:r>
      <w:r>
        <w:rPr>
          <w:rFonts w:ascii="宋体" w:hAnsi="宋体"/>
          <w:sz w:val="22"/>
          <w:szCs w:val="22"/>
        </w:rPr>
        <w:t xml:space="preserve"> </w:t>
      </w:r>
      <w:r>
        <w:rPr>
          <w:rFonts w:hint="eastAsia" w:ascii="宋体" w:hAnsi="宋体"/>
          <w:b/>
          <w:sz w:val="22"/>
          <w:szCs w:val="22"/>
        </w:rPr>
        <w:t>中标人在供货前需与采购人确认样式、材质、规格、色彩、尺寸等，须满足采购人要求（包括采购人提出合理变更的），且按中标单价供货，请投标人在投标时必须考虑以上特点带来的风险。</w:t>
      </w:r>
    </w:p>
    <w:p>
      <w:pPr>
        <w:numPr>
          <w:ilvl w:val="0"/>
          <w:numId w:val="10"/>
        </w:numPr>
        <w:tabs>
          <w:tab w:val="left" w:pos="400"/>
        </w:tabs>
        <w:adjustRightInd w:val="0"/>
        <w:snapToGrid w:val="0"/>
        <w:spacing w:line="420" w:lineRule="exact"/>
        <w:rPr>
          <w:rFonts w:ascii="宋体" w:hAnsi="宋体" w:cs="宋体"/>
          <w:b/>
          <w:sz w:val="22"/>
          <w:szCs w:val="22"/>
        </w:rPr>
      </w:pPr>
      <w:r>
        <w:rPr>
          <w:rFonts w:hint="eastAsia" w:ascii="宋体" w:hAnsi="宋体" w:cs="宋体"/>
          <w:b/>
          <w:sz w:val="22"/>
          <w:szCs w:val="22"/>
        </w:rPr>
        <w:t>采购内容</w:t>
      </w:r>
    </w:p>
    <w:p>
      <w:pPr>
        <w:numPr>
          <w:ilvl w:val="0"/>
          <w:numId w:val="0"/>
        </w:numPr>
        <w:tabs>
          <w:tab w:val="left" w:pos="400"/>
        </w:tabs>
        <w:adjustRightInd w:val="0"/>
        <w:snapToGrid w:val="0"/>
        <w:spacing w:line="420" w:lineRule="exact"/>
        <w:rPr>
          <w:rFonts w:hint="default" w:ascii="宋体" w:hAnsi="宋体" w:eastAsia="宋体" w:cs="宋体"/>
          <w:b/>
          <w:sz w:val="22"/>
          <w:szCs w:val="22"/>
          <w:lang w:val="en-US" w:eastAsia="zh-CN"/>
        </w:rPr>
      </w:pPr>
      <w:r>
        <w:rPr>
          <w:rFonts w:hint="eastAsia" w:ascii="宋体" w:hAnsi="宋体" w:cs="宋体"/>
          <w:b/>
          <w:sz w:val="22"/>
          <w:szCs w:val="22"/>
          <w:lang w:val="en-US" w:eastAsia="zh-CN"/>
        </w:rPr>
        <w:t>1.清单内容</w:t>
      </w:r>
    </w:p>
    <w:tbl>
      <w:tblPr>
        <w:tblStyle w:val="47"/>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3553"/>
        <w:gridCol w:w="4384"/>
        <w:gridCol w:w="53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名称</w:t>
            </w:r>
          </w:p>
        </w:tc>
        <w:tc>
          <w:tcPr>
            <w:tcW w:w="3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参考图片</w:t>
            </w:r>
          </w:p>
        </w:tc>
        <w:tc>
          <w:tcPr>
            <w:tcW w:w="43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技术参数</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单位</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三</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多</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能</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敞</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式</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公</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寓</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p>
        </w:tc>
        <w:tc>
          <w:tcPr>
            <w:tcW w:w="3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rPr>
              <w:drawing>
                <wp:inline distT="0" distB="0" distL="114300" distR="114300">
                  <wp:extent cx="1767205" cy="1177925"/>
                  <wp:effectExtent l="0" t="0" r="4445" b="3175"/>
                  <wp:docPr id="3" name="图片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2"/>
                          <pic:cNvPicPr>
                            <a:picLocks noChangeAspect="1"/>
                          </pic:cNvPicPr>
                        </pic:nvPicPr>
                        <pic:blipFill>
                          <a:blip r:embed="rId11"/>
                          <a:stretch>
                            <a:fillRect/>
                          </a:stretch>
                        </pic:blipFill>
                        <pic:spPr>
                          <a:xfrm>
                            <a:off x="0" y="0"/>
                            <a:ext cx="1767205" cy="1177925"/>
                          </a:xfrm>
                          <a:prstGeom prst="rect">
                            <a:avLst/>
                          </a:prstGeom>
                        </pic:spPr>
                      </pic:pic>
                    </a:graphicData>
                  </a:graphic>
                </wp:inline>
              </w:drawing>
            </w:r>
          </w:p>
          <w:p>
            <w:pPr>
              <w:pStyle w:val="16"/>
              <w:rPr>
                <w:rFonts w:hint="eastAsia"/>
                <w:sz w:val="22"/>
                <w:szCs w:val="22"/>
                <w:lang w:val="en-US" w:eastAsia="zh-CN"/>
              </w:rPr>
            </w:pPr>
            <w:r>
              <w:rPr>
                <w:rFonts w:hint="eastAsia" w:ascii="宋体" w:hAnsi="宋体" w:eastAsia="宋体" w:cs="宋体"/>
                <w:sz w:val="22"/>
                <w:szCs w:val="22"/>
              </w:rPr>
              <w:drawing>
                <wp:inline distT="0" distB="0" distL="114300" distR="114300">
                  <wp:extent cx="1767205" cy="1177925"/>
                  <wp:effectExtent l="0" t="0" r="4445" b="3175"/>
                  <wp:docPr id="11" name="图片 11" descr="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2_2"/>
                          <pic:cNvPicPr>
                            <a:picLocks noChangeAspect="1"/>
                          </pic:cNvPicPr>
                        </pic:nvPicPr>
                        <pic:blipFill>
                          <a:blip r:embed="rId12"/>
                          <a:stretch>
                            <a:fillRect/>
                          </a:stretch>
                        </pic:blipFill>
                        <pic:spPr>
                          <a:xfrm>
                            <a:off x="0" y="0"/>
                            <a:ext cx="1767205" cy="1177925"/>
                          </a:xfrm>
                          <a:prstGeom prst="rect">
                            <a:avLst/>
                          </a:prstGeom>
                        </pic:spPr>
                      </pic:pic>
                    </a:graphicData>
                  </a:graphic>
                </wp:inline>
              </w:drawing>
            </w:r>
          </w:p>
        </w:tc>
        <w:tc>
          <w:tcPr>
            <w:tcW w:w="43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一、三人位多功能组合钢木床制作要：</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1、多功能钢木床规格：6000mm×900mm×2210mm</w:t>
            </w:r>
            <w:r>
              <w:rPr>
                <w:rFonts w:hint="eastAsia" w:ascii="宋体" w:hAnsi="宋体" w:eastAsia="宋体" w:cs="宋体"/>
                <w:i w:val="0"/>
                <w:iCs w:val="0"/>
                <w:color w:val="000000"/>
                <w:kern w:val="0"/>
                <w:sz w:val="22"/>
                <w:szCs w:val="22"/>
                <w:u w:val="none"/>
                <w:lang w:val="en-US" w:eastAsia="zh-CN" w:bidi="ar"/>
              </w:rPr>
              <w:t>±5mm</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vertAlign w:val="baseline"/>
                <w:lang w:val="en-US" w:eastAsia="zh-CN"/>
              </w:rPr>
              <w:t>2、</w:t>
            </w:r>
            <w:r>
              <w:rPr>
                <w:rFonts w:hint="eastAsia" w:ascii="宋体" w:hAnsi="宋体" w:eastAsia="宋体" w:cs="宋体"/>
                <w:i w:val="0"/>
                <w:iCs w:val="0"/>
                <w:color w:val="000000"/>
                <w:kern w:val="0"/>
                <w:sz w:val="22"/>
                <w:szCs w:val="22"/>
                <w:u w:val="none"/>
                <w:lang w:val="en-US" w:eastAsia="zh-CN" w:bidi="ar"/>
              </w:rPr>
              <w:t>床榀采用：采用钢木结构，主受力为钢架框体，主受力框架由金属立柱周长不少于200mm厚度≥1.3mm异型管带有加强筋、金属拉管周长不少于200mm厚度≥1.3mm的方管带有加强筋、板材、顶盖管周长不少于130mm厚度≥1.3mm带有加强筋及两端配有安全盖头制作而成。床体主受力立柱采用周长不少于200mm厚度≥1.3mm 封闭式异型钢管带有加强筋并接触面带安全圆角，异型钢管短边深度与实木多层环保板边齐平。床架金属框四周采用周长不少于200mm厚度≥1.2mm钢管+2条周长不少于150mm厚度≥1.2mm+4条周长不少于130mm厚度≥1.2mm钢管整体焊接成型，床板嵌入床架金属框内。床架金属框与立柱的连接方式为穿透床架金属管与立柱的预埋螺母连接，此连接结构更牢固、更安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w:t>
            </w:r>
            <w:r>
              <w:rPr>
                <w:rFonts w:hint="eastAsia" w:ascii="宋体" w:hAnsi="宋体" w:eastAsia="宋体" w:cs="宋体"/>
                <w:i w:val="0"/>
                <w:iCs w:val="0"/>
                <w:color w:val="000000"/>
                <w:kern w:val="0"/>
                <w:sz w:val="22"/>
                <w:szCs w:val="22"/>
                <w:u w:val="none"/>
                <w:lang w:val="en-US" w:eastAsia="zh-CN" w:bidi="ar"/>
              </w:rPr>
              <w:t>前护栏立管采用加强型安全铝合金钢管厚度≥1.2mm并盖管两端配有安全盖头件嵌入18mm的多层实木板</w:t>
            </w:r>
            <w:r>
              <w:rPr>
                <w:rFonts w:hint="eastAsia" w:ascii="宋体" w:hAnsi="宋体" w:eastAsia="宋体" w:cs="宋体"/>
                <w:sz w:val="22"/>
                <w:szCs w:val="22"/>
                <w:vertAlign w:val="baseline"/>
                <w:lang w:val="en-US" w:eastAsia="zh-CN"/>
              </w:rPr>
              <w:t>无须螺丝安装固定，防止螺丝头刮伤。</w:t>
            </w:r>
            <w:r>
              <w:rPr>
                <w:rFonts w:hint="eastAsia" w:ascii="宋体" w:hAnsi="宋体" w:eastAsia="宋体" w:cs="宋体"/>
                <w:i w:val="0"/>
                <w:iCs w:val="0"/>
                <w:color w:val="000000"/>
                <w:kern w:val="0"/>
                <w:sz w:val="22"/>
                <w:szCs w:val="22"/>
                <w:u w:val="none"/>
                <w:lang w:val="en-US" w:eastAsia="zh-CN" w:bidi="ar"/>
              </w:rPr>
              <w:t>高度≥300mm，</w:t>
            </w:r>
            <w:r>
              <w:rPr>
                <w:rFonts w:hint="eastAsia" w:ascii="宋体" w:hAnsi="宋体" w:eastAsia="宋体" w:cs="宋体"/>
                <w:sz w:val="22"/>
                <w:szCs w:val="22"/>
                <w:vertAlign w:val="baseline"/>
                <w:lang w:val="en-US" w:eastAsia="zh-CN"/>
              </w:rPr>
              <w:t>护栏与床挺的连接方式为穿透护栏铝合金管与床挺的立柱的预埋螺母连接，此连接结构更牢固、更安全。护拦配有3个透气孔，透气孔装饰盖采用PP材质，透气孔的装饰盖为子母扣结构，无须螺丝安装固定，防止螺丝头刮伤。</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4、安全挂梯尺寸为515mm*1890mm</w:t>
            </w:r>
            <w:r>
              <w:rPr>
                <w:rFonts w:hint="eastAsia" w:ascii="宋体" w:hAnsi="宋体" w:eastAsia="宋体" w:cs="宋体"/>
                <w:i w:val="0"/>
                <w:iCs w:val="0"/>
                <w:color w:val="000000"/>
                <w:kern w:val="0"/>
                <w:sz w:val="22"/>
                <w:szCs w:val="22"/>
                <w:u w:val="none"/>
                <w:lang w:val="en-US" w:eastAsia="zh-CN" w:bidi="ar"/>
              </w:rPr>
              <w:t>±3mm（包含圆弧处）</w:t>
            </w:r>
            <w:r>
              <w:rPr>
                <w:rFonts w:hint="eastAsia" w:ascii="宋体" w:hAnsi="宋体" w:eastAsia="宋体" w:cs="宋体"/>
                <w:sz w:val="22"/>
                <w:szCs w:val="22"/>
                <w:vertAlign w:val="baseline"/>
                <w:lang w:val="en-US" w:eastAsia="zh-CN"/>
              </w:rPr>
              <w:t>，分五个楼梯踏步由优质的25mm厚的优质实木多层环保板制作而成，踏步面四边采用抗老化PP塑料无缝注塑封边一次成型工艺并前端带有夜光点，达到最佳的防水及防摔效果。楼梯架体由30*60</w:t>
            </w:r>
            <w:r>
              <w:rPr>
                <w:rFonts w:hint="eastAsia" w:ascii="宋体" w:hAnsi="宋体" w:eastAsia="宋体" w:cs="宋体"/>
                <w:i w:val="0"/>
                <w:iCs w:val="0"/>
                <w:color w:val="000000"/>
                <w:kern w:val="0"/>
                <w:sz w:val="22"/>
                <w:szCs w:val="22"/>
                <w:u w:val="none"/>
                <w:lang w:val="en-US" w:eastAsia="zh-CN" w:bidi="ar"/>
              </w:rPr>
              <w:t>±3mm厚度≥</w:t>
            </w:r>
            <w:r>
              <w:rPr>
                <w:rFonts w:hint="eastAsia" w:ascii="宋体" w:hAnsi="宋体" w:eastAsia="宋体" w:cs="宋体"/>
                <w:sz w:val="22"/>
                <w:szCs w:val="22"/>
                <w:vertAlign w:val="baseline"/>
                <w:lang w:val="en-US" w:eastAsia="zh-CN"/>
              </w:rPr>
              <w:t>1.2mm的扁圆管及带有安全圆角的钢板、钢条制作而成。</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sz w:val="22"/>
                <w:szCs w:val="22"/>
                <w:lang w:eastAsia="zh-CN"/>
              </w:rPr>
            </w:pPr>
            <w:r>
              <w:rPr>
                <w:rFonts w:hint="eastAsia" w:ascii="宋体" w:hAnsi="宋体" w:eastAsia="宋体" w:cs="宋体"/>
                <w:sz w:val="22"/>
                <w:szCs w:val="22"/>
                <w:vertAlign w:val="baseline"/>
                <w:lang w:val="en-US" w:eastAsia="zh-CN"/>
              </w:rPr>
              <w:t>5、</w:t>
            </w:r>
            <w:r>
              <w:rPr>
                <w:rFonts w:hint="eastAsia" w:ascii="宋体" w:hAnsi="宋体" w:eastAsia="宋体" w:cs="宋体"/>
                <w:color w:val="auto"/>
                <w:sz w:val="22"/>
                <w:szCs w:val="22"/>
              </w:rPr>
              <w:t>书桌（含书架）</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书架深240mm</w:t>
            </w:r>
            <w:r>
              <w:rPr>
                <w:rFonts w:hint="eastAsia" w:ascii="宋体" w:hAnsi="宋体" w:eastAsia="宋体" w:cs="宋体"/>
                <w:i w:val="0"/>
                <w:iCs w:val="0"/>
                <w:color w:val="000000"/>
                <w:kern w:val="0"/>
                <w:sz w:val="22"/>
                <w:szCs w:val="22"/>
                <w:u w:val="none"/>
                <w:lang w:val="en-US" w:eastAsia="zh-CN" w:bidi="ar"/>
              </w:rPr>
              <w:t>±3mm</w:t>
            </w:r>
            <w:r>
              <w:rPr>
                <w:rFonts w:hint="eastAsia" w:ascii="宋体" w:hAnsi="宋体" w:eastAsia="宋体" w:cs="宋体"/>
                <w:color w:val="auto"/>
                <w:sz w:val="22"/>
                <w:szCs w:val="22"/>
              </w:rPr>
              <w:t>，桌面采用25mm厚</w:t>
            </w:r>
            <w:r>
              <w:rPr>
                <w:rFonts w:hint="eastAsia" w:ascii="宋体" w:hAnsi="宋体" w:eastAsia="宋体" w:cs="宋体"/>
                <w:b w:val="0"/>
                <w:bCs w:val="0"/>
                <w:color w:val="auto"/>
                <w:sz w:val="22"/>
                <w:szCs w:val="22"/>
                <w:highlight w:val="none"/>
                <w:lang w:val="en-US" w:eastAsia="zh-CN"/>
              </w:rPr>
              <w:t>优质</w:t>
            </w:r>
            <w:r>
              <w:rPr>
                <w:rFonts w:hint="eastAsia" w:ascii="宋体" w:hAnsi="宋体" w:eastAsia="宋体" w:cs="宋体"/>
                <w:sz w:val="22"/>
                <w:szCs w:val="22"/>
                <w:vertAlign w:val="baseline"/>
                <w:lang w:val="en-US" w:eastAsia="zh-CN"/>
              </w:rPr>
              <w:t>实木多层环保板</w:t>
            </w:r>
            <w:r>
              <w:rPr>
                <w:rFonts w:hint="eastAsia" w:ascii="宋体" w:hAnsi="宋体" w:eastAsia="宋体" w:cs="宋体"/>
                <w:color w:val="auto"/>
                <w:sz w:val="22"/>
                <w:szCs w:val="22"/>
              </w:rPr>
              <w:t>，其他采用1</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mm厚</w:t>
            </w:r>
            <w:r>
              <w:rPr>
                <w:rFonts w:hint="eastAsia" w:ascii="宋体" w:hAnsi="宋体" w:eastAsia="宋体" w:cs="宋体"/>
                <w:sz w:val="22"/>
                <w:szCs w:val="22"/>
                <w:vertAlign w:val="baseline"/>
                <w:lang w:val="en-US" w:eastAsia="zh-CN"/>
              </w:rPr>
              <w:t>实木多层环保板</w:t>
            </w:r>
            <w:r>
              <w:rPr>
                <w:rFonts w:hint="eastAsia" w:ascii="宋体" w:hAnsi="宋体" w:eastAsia="宋体" w:cs="宋体"/>
                <w:color w:val="auto"/>
                <w:sz w:val="22"/>
                <w:szCs w:val="22"/>
              </w:rPr>
              <w:t>，环保要求达到E1级；采用</w:t>
            </w:r>
            <w:r>
              <w:rPr>
                <w:rFonts w:hint="eastAsia" w:ascii="宋体" w:hAnsi="宋体" w:eastAsia="宋体" w:cs="宋体"/>
                <w:color w:val="auto"/>
                <w:sz w:val="22"/>
                <w:szCs w:val="22"/>
                <w:lang w:eastAsia="zh-CN"/>
              </w:rPr>
              <w:t>厚度为</w:t>
            </w:r>
            <w:r>
              <w:rPr>
                <w:rFonts w:hint="eastAsia" w:ascii="宋体" w:hAnsi="宋体" w:eastAsia="宋体" w:cs="宋体"/>
                <w:color w:val="auto"/>
                <w:sz w:val="22"/>
                <w:szCs w:val="22"/>
              </w:rPr>
              <w:t>1.5mm以上PVC封边条封边，颜色要求与板材一致</w:t>
            </w:r>
            <w:r>
              <w:rPr>
                <w:rFonts w:hint="eastAsia" w:ascii="宋体" w:hAnsi="宋体" w:eastAsia="宋体" w:cs="宋体"/>
                <w:color w:val="auto"/>
                <w:sz w:val="22"/>
                <w:szCs w:val="22"/>
                <w:lang w:eastAsia="zh-CN"/>
              </w:rPr>
              <w:t>。</w:t>
            </w:r>
          </w:p>
          <w:p>
            <w:pPr>
              <w:bidi w:val="0"/>
              <w:rPr>
                <w:rFonts w:hint="default"/>
                <w:sz w:val="22"/>
                <w:szCs w:val="22"/>
                <w:lang w:val="en-US" w:eastAsia="zh-CN"/>
              </w:rPr>
            </w:pPr>
            <w:r>
              <w:rPr>
                <w:rFonts w:hint="eastAsia"/>
                <w:sz w:val="22"/>
                <w:szCs w:val="22"/>
                <w:lang w:val="en-US" w:eastAsia="zh-CN"/>
              </w:rPr>
              <w:t>6、衣柜：</w:t>
            </w:r>
            <w:r>
              <w:rPr>
                <w:rFonts w:hint="eastAsia" w:ascii="宋体" w:hAnsi="宋体" w:eastAsia="宋体" w:cs="宋体"/>
                <w:sz w:val="22"/>
                <w:szCs w:val="22"/>
              </w:rPr>
              <w:t>内部功能分为叠放区，挂衣区。衣柜所有板材均采用16mm厚</w:t>
            </w:r>
            <w:r>
              <w:rPr>
                <w:rFonts w:hint="eastAsia" w:ascii="宋体" w:hAnsi="宋体" w:eastAsia="宋体" w:cs="宋体"/>
                <w:sz w:val="22"/>
                <w:szCs w:val="22"/>
                <w:vertAlign w:val="baseline"/>
                <w:lang w:val="en-US" w:eastAsia="zh-CN"/>
              </w:rPr>
              <w:t>实木多层环保板</w:t>
            </w:r>
            <w:r>
              <w:rPr>
                <w:rFonts w:hint="eastAsia" w:ascii="宋体" w:hAnsi="宋体" w:eastAsia="宋体" w:cs="宋体"/>
                <w:sz w:val="22"/>
                <w:szCs w:val="22"/>
              </w:rPr>
              <w:t>，由优质的1.5mmX19mmPVC</w:t>
            </w:r>
            <w:r>
              <w:rPr>
                <w:rFonts w:hint="eastAsia" w:ascii="宋体" w:hAnsi="宋体" w:eastAsia="宋体" w:cs="宋体"/>
                <w:sz w:val="22"/>
                <w:szCs w:val="22"/>
                <w:lang w:val="en-US" w:eastAsia="zh-CN"/>
              </w:rPr>
              <w:t>同色</w:t>
            </w:r>
            <w:r>
              <w:rPr>
                <w:rFonts w:hint="eastAsia" w:ascii="宋体" w:hAnsi="宋体" w:eastAsia="宋体" w:cs="宋体"/>
                <w:sz w:val="22"/>
                <w:szCs w:val="22"/>
              </w:rPr>
              <w:t>环保封边条加热熔胶进行封边，保证产品受热、受冷均不会脱落</w:t>
            </w:r>
            <w:r>
              <w:rPr>
                <w:rFonts w:hint="eastAsia" w:ascii="宋体" w:hAnsi="宋体" w:eastAsia="宋体" w:cs="宋体"/>
                <w:sz w:val="22"/>
                <w:szCs w:val="22"/>
                <w:lang w:val="en-US" w:eastAsia="zh-CN"/>
              </w:rPr>
              <w:t>，更衣柜的拉手及锁舌：更衣柜拉手采用铝合金拉手；拉手底座与锁舌孔一体化设计，并设有锁舌的保护盖，有效保护锁舌的突出部分，增加安全性，并自行配置锁具，不得采用金属焊接件，以防使用者存取衣物易刮伤。</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7、床脚底端均应安装高强度的优质ABS防潮垫；</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二、床板的制作要求：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采用12mm厚的优质杉木板或优质樟子松木板，杉木条或樟子松木条缝隙小于10mm，木板面平整，不变形，不允许钉子外露，双面抛光，板材应结巴少、无霉烂、含水量符合国家标准。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三、金工方面制作要求：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选用的钢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2.所用螺丝全部采用不锈钢螺丝。</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位</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35</w:t>
            </w:r>
            <w:r>
              <w:rPr>
                <w:rFonts w:hint="eastAsia" w:ascii="宋体" w:hAnsi="宋体" w:eastAsia="宋体" w:cs="宋体"/>
                <w:sz w:val="22"/>
                <w:szCs w:val="22"/>
                <w:vertAlign w:val="baseli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习</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p>
        </w:tc>
        <w:tc>
          <w:tcPr>
            <w:tcW w:w="3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lang w:eastAsia="zh-CN"/>
              </w:rPr>
            </w:pPr>
            <w:r>
              <w:rPr>
                <w:rFonts w:hint="eastAsia" w:ascii="宋体" w:hAnsi="宋体" w:eastAsia="宋体" w:cs="宋体"/>
                <w:color w:val="000000"/>
                <w:sz w:val="22"/>
                <w:szCs w:val="22"/>
                <w:lang w:val="en-US" w:eastAsia="zh-CN"/>
              </w:rPr>
              <w:t>常规标准</w:t>
            </w:r>
          </w:p>
        </w:tc>
        <w:tc>
          <w:tcPr>
            <w:tcW w:w="438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学习椅规格：485*550*785mm±5mm</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1.采用全新工程聚丙烯一体注塑成型、零甲醛释放使用更健康。</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2.可多张堆叠设计。</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3.椅子分两款配置低背加高背，呈现双色搭配和透明亚克力融合。</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4.座面：座高440mm±3mm，座宽420mm±3mm，座深460mm±3mm，座面根据人体曲线设计舒适配比，辨识度高，座感好等。</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5.椅背：可独立拆卸式靠背，具有使用者单手手提功能圆润椅角无毛边，不伤手，背高270mm±3mm，背宽395mm±3mm，背弧度R250mm</w:t>
            </w:r>
            <w:r>
              <w:rPr>
                <w:rFonts w:hint="eastAsia" w:ascii="宋体" w:hAnsi="宋体" w:eastAsia="宋体" w:cs="宋体"/>
                <w:i w:val="0"/>
                <w:iCs w:val="0"/>
                <w:color w:val="000000"/>
                <w:kern w:val="0"/>
                <w:sz w:val="22"/>
                <w:szCs w:val="22"/>
                <w:u w:val="none"/>
                <w:lang w:val="en-US" w:eastAsia="zh-CN" w:bidi="ar"/>
              </w:rPr>
              <w:t>±3mm</w:t>
            </w:r>
            <w:r>
              <w:rPr>
                <w:rFonts w:hint="eastAsia" w:ascii="宋体" w:hAnsi="宋体" w:eastAsia="宋体" w:cs="宋体"/>
                <w:sz w:val="22"/>
                <w:szCs w:val="22"/>
                <w:vertAlign w:val="baseline"/>
                <w:lang w:val="en-US" w:eastAsia="zh-CN"/>
              </w:rPr>
              <w:t>包覆性明显，提高整椅的舒适度。</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color w:val="000000" w:themeColor="text1"/>
                <w:sz w:val="22"/>
                <w:szCs w:val="22"/>
                <w:lang w:val="en-US" w:eastAsia="zh-CN"/>
                <w14:textFill>
                  <w14:solidFill>
                    <w14:schemeClr w14:val="tx1"/>
                  </w14:solidFill>
                </w14:textFill>
              </w:rPr>
            </w:pPr>
            <w:r>
              <w:rPr>
                <w:rFonts w:hint="eastAsia" w:ascii="宋体" w:hAnsi="宋体" w:eastAsia="宋体" w:cs="宋体"/>
                <w:sz w:val="22"/>
                <w:szCs w:val="22"/>
                <w:vertAlign w:val="baseline"/>
                <w:lang w:val="en-US" w:eastAsia="zh-CN"/>
              </w:rPr>
              <w:t>6.四脚40*35mm±3mm成菱形设计、结构稳定，PU耐磨脚垫保护地板随意推拉。</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张</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w:t>
            </w:r>
            <w:r>
              <w:rPr>
                <w:rFonts w:hint="eastAsia" w:ascii="宋体" w:hAnsi="宋体" w:cs="宋体"/>
                <w:sz w:val="22"/>
                <w:szCs w:val="22"/>
                <w:vertAlign w:val="baseline"/>
                <w:lang w:val="en-US" w:eastAsia="zh-CN"/>
              </w:rPr>
              <w:t>0</w:t>
            </w:r>
            <w:r>
              <w:rPr>
                <w:rFonts w:hint="eastAsia" w:ascii="宋体" w:hAnsi="宋体" w:eastAsia="宋体" w:cs="宋体"/>
                <w:sz w:val="22"/>
                <w:szCs w:val="22"/>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2"/>
                <w:szCs w:val="22"/>
                <w:vertAlign w:val="baseline"/>
                <w:lang w:val="en-US" w:eastAsia="zh-CN" w:bidi="ar-SA"/>
              </w:rPr>
            </w:pPr>
            <w:r>
              <w:rPr>
                <w:rFonts w:hint="eastAsia" w:ascii="宋体" w:hAnsi="宋体" w:eastAsia="宋体" w:cs="宋体"/>
                <w:color w:val="000000"/>
                <w:sz w:val="22"/>
                <w:szCs w:val="22"/>
                <w:vertAlign w:val="baseline"/>
                <w:lang w:val="en-US" w:eastAsia="zh-CN"/>
              </w:rPr>
              <w:t>帘</w:t>
            </w:r>
          </w:p>
        </w:tc>
        <w:tc>
          <w:tcPr>
            <w:tcW w:w="3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eastAsia="zh-CN"/>
              </w:rPr>
              <w:drawing>
                <wp:anchor distT="0" distB="0" distL="114300" distR="114300" simplePos="0" relativeHeight="251659264" behindDoc="0" locked="0" layoutInCell="1" allowOverlap="1">
                  <wp:simplePos x="0" y="0"/>
                  <wp:positionH relativeFrom="column">
                    <wp:posOffset>182245</wp:posOffset>
                  </wp:positionH>
                  <wp:positionV relativeFrom="paragraph">
                    <wp:posOffset>97790</wp:posOffset>
                  </wp:positionV>
                  <wp:extent cx="1428750" cy="642620"/>
                  <wp:effectExtent l="0" t="0" r="0" b="5080"/>
                  <wp:wrapSquare wrapText="bothSides"/>
                  <wp:docPr id="1" name="图片 1" descr="da9890be6ba3d80ba25672b227d38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9890be6ba3d80ba25672b227d38e2"/>
                          <pic:cNvPicPr>
                            <a:picLocks noChangeAspect="1"/>
                          </pic:cNvPicPr>
                        </pic:nvPicPr>
                        <pic:blipFill>
                          <a:blip r:embed="rId13"/>
                          <a:stretch>
                            <a:fillRect/>
                          </a:stretch>
                        </pic:blipFill>
                        <pic:spPr>
                          <a:xfrm>
                            <a:off x="0" y="0"/>
                            <a:ext cx="1428750" cy="642620"/>
                          </a:xfrm>
                          <a:prstGeom prst="rect">
                            <a:avLst/>
                          </a:prstGeom>
                        </pic:spPr>
                      </pic:pic>
                    </a:graphicData>
                  </a:graphic>
                </wp:anchor>
              </w:drawing>
            </w:r>
          </w:p>
        </w:tc>
        <w:tc>
          <w:tcPr>
            <w:tcW w:w="43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1、棉麻遮光面料</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2、无纺布带调节钩</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3、高强度铝合金轨道</w:t>
            </w:r>
          </w:p>
          <w:p>
            <w:pPr>
              <w:pStyle w:val="16"/>
              <w:rPr>
                <w:rFonts w:hint="default"/>
                <w:sz w:val="22"/>
                <w:szCs w:val="22"/>
                <w:lang w:val="en-US" w:eastAsia="zh-CN"/>
              </w:rPr>
            </w:pPr>
            <w:r>
              <w:rPr>
                <w:rFonts w:hint="eastAsia" w:ascii="宋体" w:hAnsi="宋体" w:eastAsia="宋体" w:cs="宋体"/>
                <w:color w:val="000000"/>
                <w:sz w:val="22"/>
                <w:szCs w:val="22"/>
                <w:vertAlign w:val="baseline"/>
                <w:lang w:val="en-US" w:eastAsia="zh-CN"/>
              </w:rPr>
              <w:t>4、规格3.3*3.5</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2"/>
                <w:sz w:val="22"/>
                <w:szCs w:val="22"/>
                <w:vertAlign w:val="baseline"/>
                <w:lang w:val="en-US" w:eastAsia="zh-CN" w:bidi="ar-SA"/>
              </w:rPr>
            </w:pPr>
            <w:r>
              <w:rPr>
                <w:rFonts w:hint="eastAsia" w:ascii="宋体" w:hAnsi="宋体" w:eastAsia="宋体" w:cs="宋体"/>
                <w:color w:val="000000"/>
                <w:sz w:val="22"/>
                <w:szCs w:val="22"/>
                <w:vertAlign w:val="baseline"/>
                <w:lang w:val="en-US" w:eastAsia="zh-CN"/>
              </w:rPr>
              <w:t>套</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kern w:val="2"/>
                <w:sz w:val="22"/>
                <w:szCs w:val="22"/>
                <w:vertAlign w:val="baseline"/>
                <w:lang w:val="en-US" w:eastAsia="zh-CN" w:bidi="ar-SA"/>
              </w:rPr>
            </w:pPr>
            <w:r>
              <w:rPr>
                <w:rFonts w:hint="eastAsia" w:ascii="宋体" w:hAnsi="宋体" w:cs="宋体"/>
                <w:color w:val="000000"/>
                <w:sz w:val="22"/>
                <w:szCs w:val="22"/>
                <w:vertAlign w:val="baseline"/>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无</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i w:val="0"/>
                <w:iCs w:val="0"/>
                <w:snapToGrid w:val="0"/>
                <w:color w:val="000000"/>
                <w:kern w:val="0"/>
                <w:sz w:val="22"/>
                <w:szCs w:val="22"/>
                <w:u w:val="none"/>
                <w:lang w:val="en-US" w:eastAsia="zh-CN" w:bidi="ar"/>
              </w:rPr>
              <w:t>柜</w:t>
            </w:r>
          </w:p>
        </w:tc>
        <w:tc>
          <w:tcPr>
            <w:tcW w:w="3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drawing>
                <wp:inline distT="0" distB="0" distL="114300" distR="114300">
                  <wp:extent cx="1767205" cy="1177925"/>
                  <wp:effectExtent l="0" t="0" r="4445" b="3175"/>
                  <wp:docPr id="9" name="图片 9"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3"/>
                          <pic:cNvPicPr>
                            <a:picLocks noChangeAspect="1"/>
                          </pic:cNvPicPr>
                        </pic:nvPicPr>
                        <pic:blipFill>
                          <a:blip r:embed="rId14"/>
                          <a:stretch>
                            <a:fillRect/>
                          </a:stretch>
                        </pic:blipFill>
                        <pic:spPr>
                          <a:xfrm>
                            <a:off x="0" y="0"/>
                            <a:ext cx="1767205" cy="1177925"/>
                          </a:xfrm>
                          <a:prstGeom prst="rect">
                            <a:avLst/>
                          </a:prstGeom>
                        </pic:spPr>
                      </pic:pic>
                    </a:graphicData>
                  </a:graphic>
                </wp:inline>
              </w:drawing>
            </w:r>
          </w:p>
        </w:tc>
        <w:tc>
          <w:tcPr>
            <w:tcW w:w="438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一、</w:t>
            </w:r>
            <w:r>
              <w:rPr>
                <w:rFonts w:hint="eastAsia" w:ascii="宋体" w:hAnsi="宋体" w:eastAsia="宋体" w:cs="宋体"/>
                <w:i w:val="0"/>
                <w:iCs w:val="0"/>
                <w:snapToGrid w:val="0"/>
                <w:color w:val="000000"/>
                <w:kern w:val="0"/>
                <w:sz w:val="22"/>
                <w:szCs w:val="22"/>
                <w:u w:val="none"/>
                <w:lang w:val="en-US" w:eastAsia="zh-CN" w:bidi="ar"/>
              </w:rPr>
              <w:t>学生无障碍床</w:t>
            </w:r>
            <w:r>
              <w:rPr>
                <w:rFonts w:hint="eastAsia" w:ascii="宋体" w:hAnsi="宋体" w:eastAsia="宋体" w:cs="宋体"/>
                <w:color w:val="000000"/>
                <w:sz w:val="22"/>
                <w:szCs w:val="22"/>
                <w:vertAlign w:val="baseline"/>
                <w:lang w:val="en-US" w:eastAsia="zh-CN"/>
              </w:rPr>
              <w:t>制作要求：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w:t>
            </w:r>
            <w:r>
              <w:rPr>
                <w:rFonts w:hint="eastAsia" w:ascii="宋体" w:hAnsi="宋体" w:eastAsia="宋体" w:cs="宋体"/>
                <w:i w:val="0"/>
                <w:iCs w:val="0"/>
                <w:snapToGrid w:val="0"/>
                <w:color w:val="000000"/>
                <w:kern w:val="0"/>
                <w:sz w:val="22"/>
                <w:szCs w:val="22"/>
                <w:u w:val="none"/>
                <w:lang w:val="en-US" w:eastAsia="zh-CN" w:bidi="ar"/>
              </w:rPr>
              <w:t>学生无障碍床</w:t>
            </w:r>
            <w:r>
              <w:rPr>
                <w:rFonts w:hint="eastAsia" w:ascii="宋体" w:hAnsi="宋体" w:eastAsia="宋体" w:cs="宋体"/>
                <w:color w:val="000000"/>
                <w:sz w:val="22"/>
                <w:szCs w:val="22"/>
                <w:vertAlign w:val="baseline"/>
                <w:lang w:val="en-US" w:eastAsia="zh-CN"/>
              </w:rPr>
              <w:t>规格：2000*1200*1000</w:t>
            </w:r>
            <w:r>
              <w:rPr>
                <w:rFonts w:hint="eastAsia" w:ascii="宋体" w:hAnsi="宋体" w:eastAsia="宋体" w:cs="宋体"/>
                <w:i w:val="0"/>
                <w:iCs w:val="0"/>
                <w:color w:val="000000"/>
                <w:kern w:val="0"/>
                <w:sz w:val="22"/>
                <w:szCs w:val="22"/>
                <w:u w:val="none"/>
                <w:lang w:val="en-US" w:eastAsia="zh-CN" w:bidi="ar"/>
              </w:rPr>
              <w:t>±5mm</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vertAlign w:val="baseline"/>
                <w:lang w:val="en-US" w:eastAsia="zh-CN"/>
              </w:rPr>
              <w:t>2、</w:t>
            </w:r>
            <w:r>
              <w:rPr>
                <w:rFonts w:hint="eastAsia" w:ascii="宋体" w:hAnsi="宋体" w:eastAsia="宋体" w:cs="宋体"/>
                <w:i w:val="0"/>
                <w:iCs w:val="0"/>
                <w:color w:val="000000"/>
                <w:kern w:val="0"/>
                <w:sz w:val="22"/>
                <w:szCs w:val="22"/>
                <w:u w:val="none"/>
                <w:lang w:val="en-US" w:eastAsia="zh-CN" w:bidi="ar"/>
              </w:rPr>
              <w:t>床架：采用钢木结构，主受力为钢架框体，主受力框架由金属立柱周长不少于220mm ，厚度≥1.3mm异型钢管制作，立柱盖头周长不少于130mm。</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二、床板的制作要求：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vertAlign w:val="baseline"/>
                <w:lang w:val="en-US" w:eastAsia="zh-CN"/>
              </w:rPr>
              <w:t>采用≥95×12mm厚的优质樟子松木板，樟子松木条缝隙小于10mm，木板面平整，不变形，不允许钉子外露，双面抛光，板材应结巴少、无霉烂、含水量符合国家标准。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三、衣柜</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1、衣柜规格：1200*550*2000</w:t>
            </w:r>
            <w:r>
              <w:rPr>
                <w:rFonts w:hint="eastAsia" w:ascii="宋体" w:hAnsi="宋体" w:eastAsia="宋体" w:cs="宋体"/>
                <w:i w:val="0"/>
                <w:iCs w:val="0"/>
                <w:color w:val="000000"/>
                <w:kern w:val="0"/>
                <w:sz w:val="22"/>
                <w:szCs w:val="22"/>
                <w:u w:val="none"/>
                <w:lang w:val="en-US" w:eastAsia="zh-CN" w:bidi="ar"/>
              </w:rPr>
              <w:t>±5mm</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2、基材：均选用优质</w:t>
            </w:r>
            <w:r>
              <w:rPr>
                <w:rFonts w:hint="eastAsia" w:ascii="宋体" w:hAnsi="宋体" w:eastAsia="宋体" w:cs="宋体"/>
                <w:color w:val="000000"/>
                <w:sz w:val="22"/>
                <w:szCs w:val="22"/>
                <w:vertAlign w:val="baseline"/>
                <w:lang w:val="en-US" w:eastAsia="zh-CN"/>
              </w:rPr>
              <w:t>实木多层环保板</w:t>
            </w:r>
            <w:r>
              <w:rPr>
                <w:rFonts w:hint="eastAsia" w:ascii="宋体" w:hAnsi="宋体" w:eastAsia="宋体" w:cs="宋体"/>
                <w:color w:val="000000"/>
                <w:sz w:val="22"/>
                <w:szCs w:val="22"/>
                <w:lang w:val="en-US" w:eastAsia="zh-CN"/>
              </w:rPr>
              <w:t>材，柜体板材厚度为16mm</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3、贴面：MFC贴面，防火，并具阻燃、耐磨性强、清洁方便等特点。</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4、封边：采用优质PVC同色封边条，厚度≥1.5mm，优质无色无味封边胶</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5、衣柜拉手采用一体化铝合金拉手。</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6、柜体底部安装ABS塑料防潮垫</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四、床头柜</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1、床头柜规格：500*500*450</w:t>
            </w:r>
            <w:r>
              <w:rPr>
                <w:rFonts w:hint="eastAsia" w:ascii="宋体" w:hAnsi="宋体" w:eastAsia="宋体" w:cs="宋体"/>
                <w:i w:val="0"/>
                <w:iCs w:val="0"/>
                <w:color w:val="000000"/>
                <w:kern w:val="0"/>
                <w:sz w:val="22"/>
                <w:szCs w:val="22"/>
                <w:u w:val="none"/>
                <w:lang w:val="en-US" w:eastAsia="zh-CN" w:bidi="ar"/>
              </w:rPr>
              <w:t>±3mm</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2、基材：均选用优质环保E0级</w:t>
            </w:r>
            <w:r>
              <w:rPr>
                <w:rFonts w:hint="eastAsia" w:ascii="宋体" w:hAnsi="宋体" w:eastAsia="宋体" w:cs="宋体"/>
                <w:color w:val="000000"/>
                <w:sz w:val="22"/>
                <w:szCs w:val="22"/>
                <w:vertAlign w:val="baseline"/>
                <w:lang w:val="en-US" w:eastAsia="zh-CN"/>
              </w:rPr>
              <w:t>实木多层环保板</w:t>
            </w:r>
            <w:r>
              <w:rPr>
                <w:rFonts w:hint="eastAsia" w:ascii="宋体" w:hAnsi="宋体" w:eastAsia="宋体" w:cs="宋体"/>
                <w:color w:val="000000"/>
                <w:sz w:val="22"/>
                <w:szCs w:val="22"/>
                <w:lang w:val="en-US" w:eastAsia="zh-CN"/>
              </w:rPr>
              <w:t>材，柜体板材厚度为16mm</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3、贴面：MFC贴面，防火，并具阻燃、耐磨性强、清洁方便等特点。 </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4、封边：采用优质PVC同色封边条，厚度≥1.5mm，优质无色无味封边胶</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5、柜体底部安装ABS塑料防潮垫</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五、书桌</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1、书桌规格为：1200*600*750</w:t>
            </w:r>
            <w:r>
              <w:rPr>
                <w:rFonts w:hint="eastAsia" w:ascii="宋体" w:hAnsi="宋体" w:eastAsia="宋体" w:cs="宋体"/>
                <w:i w:val="0"/>
                <w:iCs w:val="0"/>
                <w:color w:val="000000"/>
                <w:kern w:val="0"/>
                <w:sz w:val="22"/>
                <w:szCs w:val="22"/>
                <w:u w:val="none"/>
                <w:lang w:val="en-US" w:eastAsia="zh-CN" w:bidi="ar"/>
              </w:rPr>
              <w:t>±3mm</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2、基材：均选用</w:t>
            </w:r>
            <w:r>
              <w:rPr>
                <w:rFonts w:hint="eastAsia" w:ascii="宋体" w:hAnsi="宋体" w:eastAsia="宋体" w:cs="宋体"/>
                <w:color w:val="000000"/>
                <w:sz w:val="22"/>
                <w:szCs w:val="22"/>
                <w:vertAlign w:val="baseline"/>
                <w:lang w:val="en-US" w:eastAsia="zh-CN"/>
              </w:rPr>
              <w:t>实木多层环保</w:t>
            </w:r>
            <w:r>
              <w:rPr>
                <w:rFonts w:hint="eastAsia" w:ascii="宋体" w:hAnsi="宋体" w:eastAsia="宋体" w:cs="宋体"/>
                <w:i w:val="0"/>
                <w:iCs w:val="0"/>
                <w:color w:val="000000"/>
                <w:kern w:val="0"/>
                <w:sz w:val="22"/>
                <w:szCs w:val="22"/>
                <w:highlight w:val="none"/>
                <w:u w:val="none"/>
                <w:lang w:val="en-US" w:eastAsia="zh-CN" w:bidi="ar"/>
              </w:rPr>
              <w:t>板，桌面板材厚度为25mm，桌体板材厚度为16mm</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3、五金配件：五金配件表面无锈蚀痕迹、鼓泡、开裂、毛刺、露底。</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4、封边：采用优质PVC同色封边条，厚度≥1.5mm，优质无色无味封边胶</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color w:val="000000"/>
                <w:sz w:val="22"/>
                <w:szCs w:val="22"/>
                <w:lang w:val="en-US" w:eastAsia="zh-CN"/>
              </w:rPr>
              <w:t>5、</w:t>
            </w:r>
            <w:r>
              <w:rPr>
                <w:rFonts w:hint="eastAsia" w:ascii="宋体" w:hAnsi="宋体" w:eastAsia="宋体" w:cs="宋体"/>
                <w:i w:val="0"/>
                <w:iCs w:val="0"/>
                <w:color w:val="000000"/>
                <w:kern w:val="0"/>
                <w:sz w:val="22"/>
                <w:szCs w:val="22"/>
                <w:highlight w:val="none"/>
                <w:u w:val="none"/>
                <w:lang w:val="en-US" w:eastAsia="zh-CN" w:bidi="ar"/>
              </w:rPr>
              <w:t>桌体底部安装ABS塑料防潮垫</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六、床垫</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1、床垫规格1900*1100*60</w:t>
            </w:r>
            <w:r>
              <w:rPr>
                <w:rFonts w:hint="eastAsia" w:ascii="宋体" w:hAnsi="宋体" w:eastAsia="宋体" w:cs="宋体"/>
                <w:i w:val="0"/>
                <w:iCs w:val="0"/>
                <w:color w:val="000000"/>
                <w:kern w:val="0"/>
                <w:sz w:val="22"/>
                <w:szCs w:val="22"/>
                <w:u w:val="none"/>
                <w:lang w:val="en-US" w:eastAsia="zh-CN" w:bidi="ar"/>
              </w:rPr>
              <w:t>±3mm</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2、采用优质品牌。</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3、5层设计：1层阻燃针织面料，2层抗菌株防螨纤维19mm,200g/㎡，3层无纺布35g/㎡，4层有氧纤维棉300g/㎡，5层透气网眼300g/㎡</w:t>
            </w:r>
            <w:r>
              <w:rPr>
                <w:rFonts w:hint="eastAsia" w:ascii="宋体" w:hAnsi="宋体" w:cs="宋体"/>
                <w:color w:val="000000"/>
                <w:sz w:val="22"/>
                <w:szCs w:val="22"/>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七、金工方面制作要求：</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1.选用的钢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bCs/>
                <w:sz w:val="22"/>
                <w:szCs w:val="22"/>
                <w:lang w:val="en-US" w:eastAsia="zh-CN"/>
              </w:rPr>
            </w:pPr>
            <w:r>
              <w:rPr>
                <w:rFonts w:hint="eastAsia" w:ascii="宋体" w:hAnsi="宋体" w:eastAsia="宋体" w:cs="宋体"/>
                <w:color w:val="000000"/>
                <w:sz w:val="22"/>
                <w:szCs w:val="22"/>
                <w:vertAlign w:val="baseline"/>
                <w:lang w:val="en-US" w:eastAsia="zh-CN"/>
              </w:rPr>
              <w:t>2.所用螺丝全部采用不锈钢螺丝。</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位</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单</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床</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柜</w:t>
            </w:r>
          </w:p>
        </w:tc>
        <w:tc>
          <w:tcPr>
            <w:tcW w:w="355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drawing>
                <wp:inline distT="0" distB="0" distL="114300" distR="114300">
                  <wp:extent cx="1767205" cy="1177925"/>
                  <wp:effectExtent l="0" t="0" r="4445" b="3175"/>
                  <wp:docPr id="8" name="图片 8" descr="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2_2"/>
                          <pic:cNvPicPr>
                            <a:picLocks noChangeAspect="1"/>
                          </pic:cNvPicPr>
                        </pic:nvPicPr>
                        <pic:blipFill>
                          <a:blip r:embed="rId15"/>
                          <a:stretch>
                            <a:fillRect/>
                          </a:stretch>
                        </pic:blipFill>
                        <pic:spPr>
                          <a:xfrm>
                            <a:off x="0" y="0"/>
                            <a:ext cx="1767205" cy="1177925"/>
                          </a:xfrm>
                          <a:prstGeom prst="rect">
                            <a:avLst/>
                          </a:prstGeom>
                        </pic:spPr>
                      </pic:pic>
                    </a:graphicData>
                  </a:graphic>
                </wp:inline>
              </w:drawing>
            </w:r>
          </w:p>
        </w:tc>
        <w:tc>
          <w:tcPr>
            <w:tcW w:w="4384" w:type="dxa"/>
            <w:vAlign w:val="center"/>
          </w:tcPr>
          <w:p>
            <w:pPr>
              <w:keepNext w:val="0"/>
              <w:keepLines w:val="0"/>
              <w:pageBreakBefore w:val="0"/>
              <w:widowControl w:val="0"/>
              <w:numPr>
                <w:ilvl w:val="0"/>
                <w:numId w:val="11"/>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单人床</w:t>
            </w:r>
          </w:p>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单人床规格：2000*1300*1000</w:t>
            </w:r>
            <w:r>
              <w:rPr>
                <w:rFonts w:hint="eastAsia" w:ascii="宋体" w:hAnsi="宋体" w:eastAsia="宋体" w:cs="宋体"/>
                <w:i w:val="0"/>
                <w:iCs w:val="0"/>
                <w:color w:val="000000"/>
                <w:kern w:val="0"/>
                <w:sz w:val="22"/>
                <w:szCs w:val="22"/>
                <w:u w:val="none"/>
                <w:lang w:val="en-US" w:eastAsia="zh-CN" w:bidi="ar"/>
              </w:rPr>
              <w:t>±5mm</w:t>
            </w:r>
            <w:r>
              <w:rPr>
                <w:rFonts w:hint="eastAsia" w:ascii="宋体" w:hAnsi="宋体" w:cs="宋体"/>
                <w:color w:val="000000"/>
                <w:sz w:val="22"/>
                <w:szCs w:val="22"/>
                <w:lang w:val="en-US" w:eastAsia="zh-CN"/>
              </w:rPr>
              <w:t>。</w:t>
            </w:r>
          </w:p>
          <w:p>
            <w:pPr>
              <w:keepNext w:val="0"/>
              <w:keepLines w:val="0"/>
              <w:pageBreakBefore w:val="0"/>
              <w:widowControl w:val="0"/>
              <w:numPr>
                <w:ilvl w:val="0"/>
                <w:numId w:val="12"/>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木材：采用优质橡胶木，材质无节，无开裂变形等现象。</w:t>
            </w:r>
            <w:r>
              <w:rPr>
                <w:rFonts w:hint="eastAsia" w:ascii="宋体" w:hAnsi="宋体" w:eastAsia="宋体" w:cs="宋体"/>
                <w:color w:val="000000"/>
                <w:sz w:val="22"/>
                <w:szCs w:val="22"/>
                <w:lang w:val="en-US" w:eastAsia="zh-CN"/>
              </w:rPr>
              <w:br w:type="textWrapping"/>
            </w:r>
            <w:r>
              <w:rPr>
                <w:rFonts w:hint="eastAsia" w:ascii="宋体" w:hAnsi="宋体" w:eastAsia="宋体" w:cs="宋体"/>
                <w:color w:val="000000"/>
                <w:sz w:val="22"/>
                <w:szCs w:val="22"/>
                <w:lang w:val="en-US" w:eastAsia="zh-CN"/>
              </w:rPr>
              <w:t>3、工艺：制作上以传统榫卯工艺做法为主，尽量减少各种胶类材料与五金配件的使用，环保安全可靠，坚固耐用。所有触手可及类锐处均做安全处理，组合床制作工艺与结构应具有整体组装功能设计，增加产品使用的稳固安全性。</w:t>
            </w:r>
            <w:r>
              <w:rPr>
                <w:rFonts w:hint="eastAsia" w:ascii="宋体" w:hAnsi="宋体" w:eastAsia="宋体" w:cs="宋体"/>
                <w:color w:val="000000"/>
                <w:sz w:val="22"/>
                <w:szCs w:val="22"/>
                <w:lang w:val="en-US" w:eastAsia="zh-CN"/>
              </w:rPr>
              <w:br w:type="textWrapping"/>
            </w:r>
            <w:r>
              <w:rPr>
                <w:rFonts w:hint="eastAsia" w:ascii="宋体" w:hAnsi="宋体" w:eastAsia="宋体" w:cs="宋体"/>
                <w:color w:val="000000"/>
                <w:sz w:val="22"/>
                <w:szCs w:val="22"/>
                <w:lang w:val="en-US" w:eastAsia="zh-CN"/>
              </w:rPr>
              <w:t>4、涂装：油漆采用净味漆，甲醛含量≤100mg/kg，挥发性有机化合物含量≤300g/L（</w:t>
            </w:r>
            <w:r>
              <w:rPr>
                <w:rFonts w:hint="eastAsia" w:ascii="宋体" w:hAnsi="宋体" w:eastAsia="宋体" w:cs="宋体"/>
                <w:color w:val="000000"/>
                <w:kern w:val="0"/>
                <w:sz w:val="22"/>
                <w:szCs w:val="22"/>
                <w:lang w:val="en-US" w:eastAsia="zh-CN" w:bidi="ar"/>
              </w:rPr>
              <w:t>符合</w:t>
            </w:r>
            <w:r>
              <w:rPr>
                <w:rFonts w:hint="eastAsia" w:ascii="宋体" w:hAnsi="宋体" w:eastAsia="宋体" w:cs="宋体"/>
                <w:color w:val="000000"/>
                <w:sz w:val="22"/>
                <w:szCs w:val="22"/>
                <w:lang w:val="en-US" w:eastAsia="zh-CN"/>
              </w:rPr>
              <w:t>GB 18581-2020）。五底三面工艺，顺杆光滑，不流挂，无颗粒现象。</w:t>
            </w:r>
          </w:p>
          <w:p>
            <w:pPr>
              <w:keepNext w:val="0"/>
              <w:keepLines w:val="0"/>
              <w:pageBreakBefore w:val="0"/>
              <w:numPr>
                <w:ilvl w:val="0"/>
                <w:numId w:val="11"/>
              </w:numPr>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衣柜</w:t>
            </w:r>
          </w:p>
          <w:p>
            <w:pPr>
              <w:keepNext w:val="0"/>
              <w:keepLines w:val="0"/>
              <w:pageBreakBefore w:val="0"/>
              <w:numPr>
                <w:ilvl w:val="0"/>
                <w:numId w:val="0"/>
              </w:numPr>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1、衣柜规格：800*550*2000</w:t>
            </w:r>
            <w:r>
              <w:rPr>
                <w:rFonts w:hint="eastAsia" w:ascii="宋体" w:hAnsi="宋体" w:eastAsia="宋体" w:cs="宋体"/>
                <w:i w:val="0"/>
                <w:iCs w:val="0"/>
                <w:color w:val="000000"/>
                <w:kern w:val="0"/>
                <w:sz w:val="22"/>
                <w:szCs w:val="22"/>
                <w:u w:val="none"/>
                <w:lang w:val="en-US" w:eastAsia="zh-CN" w:bidi="ar"/>
              </w:rPr>
              <w:t>±5mm</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2、基材：均选用优质</w:t>
            </w:r>
            <w:r>
              <w:rPr>
                <w:rFonts w:hint="eastAsia" w:ascii="宋体" w:hAnsi="宋体" w:eastAsia="宋体" w:cs="宋体"/>
                <w:color w:val="000000"/>
                <w:sz w:val="22"/>
                <w:szCs w:val="22"/>
                <w:vertAlign w:val="baseline"/>
                <w:lang w:val="en-US" w:eastAsia="zh-CN"/>
              </w:rPr>
              <w:t>实木多层环保板</w:t>
            </w:r>
            <w:r>
              <w:rPr>
                <w:rFonts w:hint="eastAsia" w:ascii="宋体" w:hAnsi="宋体" w:eastAsia="宋体" w:cs="宋体"/>
                <w:color w:val="000000"/>
                <w:sz w:val="22"/>
                <w:szCs w:val="22"/>
                <w:lang w:val="en-US" w:eastAsia="zh-CN"/>
              </w:rPr>
              <w:t>材，柜体板材厚度为16mm</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3、贴面：MFC贴面，防火，并具阻燃、耐磨性强、清洁方便等特点。</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4、封边：采用优质PVC同色封边条，厚度≥1.5mm，优质无色无味封边胶</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5、更衣柜拉手采用一体化铝合金拉手。</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6、柜体底部安装ABS塑料防潮垫。</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三、床头柜</w:t>
            </w:r>
          </w:p>
          <w:p>
            <w:pPr>
              <w:pStyle w:val="16"/>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1、床头柜规格：400*400*450</w:t>
            </w:r>
            <w:r>
              <w:rPr>
                <w:rFonts w:hint="eastAsia" w:ascii="宋体" w:hAnsi="宋体" w:eastAsia="宋体" w:cs="宋体"/>
                <w:i w:val="0"/>
                <w:iCs w:val="0"/>
                <w:color w:val="000000"/>
                <w:kern w:val="0"/>
                <w:sz w:val="22"/>
                <w:szCs w:val="22"/>
                <w:u w:val="none"/>
                <w:lang w:val="en-US" w:eastAsia="zh-CN" w:bidi="ar"/>
              </w:rPr>
              <w:t>±5mm</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2、木材：采用优质橡胶木，材质无节，无开裂变形等现象。</w:t>
            </w:r>
            <w:r>
              <w:rPr>
                <w:rFonts w:hint="eastAsia" w:ascii="宋体" w:hAnsi="宋体" w:eastAsia="宋体" w:cs="宋体"/>
                <w:color w:val="000000"/>
                <w:sz w:val="22"/>
                <w:szCs w:val="22"/>
                <w:lang w:val="en-US" w:eastAsia="zh-CN"/>
              </w:rPr>
              <w:br w:type="textWrapping"/>
            </w:r>
            <w:r>
              <w:rPr>
                <w:rFonts w:hint="eastAsia" w:ascii="宋体" w:hAnsi="宋体" w:eastAsia="宋体" w:cs="宋体"/>
                <w:color w:val="000000"/>
                <w:sz w:val="22"/>
                <w:szCs w:val="22"/>
                <w:lang w:val="en-US" w:eastAsia="zh-CN"/>
              </w:rPr>
              <w:t>3、工艺：制作上以传统榫卯工艺做法为主，尽量减少各种胶类材料与五金配件的使用，环保安全可靠，坚固耐用。所有触手可及类锐处均做安全处理，组合床制作工艺与结构应具有整体组装功能设计，增加产品使用的稳固安全性。</w:t>
            </w:r>
            <w:r>
              <w:rPr>
                <w:rFonts w:hint="eastAsia" w:ascii="宋体" w:hAnsi="宋体" w:eastAsia="宋体" w:cs="宋体"/>
                <w:color w:val="000000"/>
                <w:sz w:val="22"/>
                <w:szCs w:val="22"/>
                <w:lang w:val="en-US" w:eastAsia="zh-CN"/>
              </w:rPr>
              <w:br w:type="textWrapping"/>
            </w:r>
            <w:r>
              <w:rPr>
                <w:rFonts w:hint="eastAsia" w:ascii="宋体" w:hAnsi="宋体" w:eastAsia="宋体" w:cs="宋体"/>
                <w:color w:val="000000"/>
                <w:sz w:val="22"/>
                <w:szCs w:val="22"/>
                <w:lang w:val="en-US" w:eastAsia="zh-CN"/>
              </w:rPr>
              <w:t>4、涂装：油漆采用净味漆，甲醛含量≤100mg/kg，挥发性有机化合物含量≤300g/L（</w:t>
            </w:r>
            <w:r>
              <w:rPr>
                <w:rFonts w:hint="eastAsia" w:ascii="宋体" w:hAnsi="宋体" w:eastAsia="宋体" w:cs="宋体"/>
                <w:color w:val="000000"/>
                <w:kern w:val="0"/>
                <w:sz w:val="22"/>
                <w:szCs w:val="22"/>
                <w:lang w:val="en-US" w:eastAsia="zh-CN" w:bidi="ar"/>
              </w:rPr>
              <w:t>符合</w:t>
            </w:r>
            <w:r>
              <w:rPr>
                <w:rFonts w:hint="eastAsia" w:ascii="宋体" w:hAnsi="宋体" w:eastAsia="宋体" w:cs="宋体"/>
                <w:color w:val="000000"/>
                <w:sz w:val="22"/>
                <w:szCs w:val="22"/>
                <w:lang w:val="en-US" w:eastAsia="zh-CN"/>
              </w:rPr>
              <w:t>GB 18581-2020）。五底三面工艺，顺杆光滑，不流挂，无颗粒现象。</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四、书桌</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sz w:val="22"/>
                <w:szCs w:val="22"/>
                <w:lang w:val="en-US" w:eastAsia="zh-CN"/>
              </w:rPr>
              <w:t>1、书桌规格：1200*600*750</w:t>
            </w:r>
            <w:r>
              <w:rPr>
                <w:rFonts w:hint="eastAsia" w:ascii="宋体" w:hAnsi="宋体" w:eastAsia="宋体" w:cs="宋体"/>
                <w:i w:val="0"/>
                <w:iCs w:val="0"/>
                <w:color w:val="000000"/>
                <w:kern w:val="0"/>
                <w:sz w:val="22"/>
                <w:szCs w:val="22"/>
                <w:u w:val="none"/>
                <w:lang w:val="en-US" w:eastAsia="zh-CN" w:bidi="ar"/>
              </w:rPr>
              <w:t>±5mm</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2、木材：采用优质橡胶木，材质无节，无开裂变形等现象。</w:t>
            </w:r>
            <w:r>
              <w:rPr>
                <w:rFonts w:hint="eastAsia" w:ascii="宋体" w:hAnsi="宋体" w:eastAsia="宋体" w:cs="宋体"/>
                <w:color w:val="000000"/>
                <w:sz w:val="22"/>
                <w:szCs w:val="22"/>
                <w:lang w:val="en-US" w:eastAsia="zh-CN"/>
              </w:rPr>
              <w:br w:type="textWrapping"/>
            </w:r>
            <w:r>
              <w:rPr>
                <w:rFonts w:hint="eastAsia" w:ascii="宋体" w:hAnsi="宋体" w:eastAsia="宋体" w:cs="宋体"/>
                <w:color w:val="000000"/>
                <w:sz w:val="22"/>
                <w:szCs w:val="22"/>
                <w:lang w:val="en-US" w:eastAsia="zh-CN"/>
              </w:rPr>
              <w:t>3、工艺：制作上以传统榫卯工艺做法为主，尽量减少各种胶类材料与五金配件的使用，环保安全可靠，坚固耐用。所有触手可及类锐处均做安全处理，组合床制作工艺与结构应具有整体组装功能设计，增加产品使用的稳固安全性。</w:t>
            </w:r>
            <w:r>
              <w:rPr>
                <w:rFonts w:hint="eastAsia" w:ascii="宋体" w:hAnsi="宋体" w:eastAsia="宋体" w:cs="宋体"/>
                <w:color w:val="000000"/>
                <w:sz w:val="22"/>
                <w:szCs w:val="22"/>
                <w:lang w:val="en-US" w:eastAsia="zh-CN"/>
              </w:rPr>
              <w:br w:type="textWrapping"/>
            </w:r>
            <w:r>
              <w:rPr>
                <w:rFonts w:hint="eastAsia" w:ascii="宋体" w:hAnsi="宋体" w:eastAsia="宋体" w:cs="宋体"/>
                <w:color w:val="000000"/>
                <w:sz w:val="22"/>
                <w:szCs w:val="22"/>
                <w:lang w:val="en-US" w:eastAsia="zh-CN"/>
              </w:rPr>
              <w:t>4、涂装：油漆采用净味漆，甲醛含量≤100mg/kg，挥发性有机化合物含量≤300g/L（</w:t>
            </w:r>
            <w:r>
              <w:rPr>
                <w:rFonts w:hint="eastAsia" w:ascii="宋体" w:hAnsi="宋体" w:eastAsia="宋体" w:cs="宋体"/>
                <w:color w:val="000000"/>
                <w:kern w:val="0"/>
                <w:sz w:val="22"/>
                <w:szCs w:val="22"/>
                <w:lang w:val="en-US" w:eastAsia="zh-CN" w:bidi="ar"/>
              </w:rPr>
              <w:t>符合</w:t>
            </w:r>
            <w:r>
              <w:rPr>
                <w:rFonts w:hint="eastAsia" w:ascii="宋体" w:hAnsi="宋体" w:eastAsia="宋体" w:cs="宋体"/>
                <w:color w:val="000000"/>
                <w:sz w:val="22"/>
                <w:szCs w:val="22"/>
                <w:lang w:val="en-US" w:eastAsia="zh-CN"/>
              </w:rPr>
              <w:t>GB 18581-2020）。五底三面工艺，顺杆光滑，不流挂，无颗粒现象。</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五、床垫</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1、床垫规格2000*1300*220</w:t>
            </w:r>
            <w:r>
              <w:rPr>
                <w:rFonts w:hint="eastAsia" w:ascii="宋体" w:hAnsi="宋体" w:eastAsia="宋体" w:cs="宋体"/>
                <w:i w:val="0"/>
                <w:iCs w:val="0"/>
                <w:color w:val="000000"/>
                <w:kern w:val="0"/>
                <w:sz w:val="22"/>
                <w:szCs w:val="22"/>
                <w:u w:val="none"/>
                <w:lang w:val="en-US" w:eastAsia="zh-CN" w:bidi="ar"/>
              </w:rPr>
              <w:t>±5mm</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2、采用优质品牌。</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3、正面7层面料：1层阻燃针织面料，2层三维无胶棉19mm,200g/㎡，3层圆泡海绵15mm,20kg/m³，4层无纺布35g/㎡，5层耐磨纤维棉300g/㎡，6层耐磨纤维棉300g/㎡，7层无纺布35g/㎡。</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4、反面3层面料：1层圆泡海绵15mm,20kg/m³，2层三维无胶棉19mm,200g/㎡，3层阻燃针织面料。</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5、围边3层面料：1层阻燃针织面料，2层圆泡海绵7mm,20kg/m³，3层无纺布35g/㎡。</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000000"/>
                <w:sz w:val="22"/>
                <w:szCs w:val="22"/>
                <w:vertAlign w:val="baseline"/>
                <w:lang w:val="en-US" w:eastAsia="zh-CN"/>
              </w:rPr>
            </w:pPr>
            <w:r>
              <w:rPr>
                <w:rFonts w:hint="eastAsia" w:ascii="宋体" w:hAnsi="宋体" w:eastAsia="宋体" w:cs="宋体"/>
                <w:color w:val="000000"/>
                <w:sz w:val="22"/>
                <w:szCs w:val="22"/>
                <w:vertAlign w:val="baseline"/>
                <w:lang w:val="en-US" w:eastAsia="zh-CN"/>
              </w:rPr>
              <w:t>6、弹簧床芯：独立袋装弹簧，材质70#碳钢 ，线径2.0mm，160mm弹簧高度，材质70#碳钢线径5.0mm围边钢丝，M型支力簧护边，长边5个，宽边３个（按比例）护边数量。</w:t>
            </w:r>
          </w:p>
          <w:p>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sz w:val="22"/>
                <w:szCs w:val="22"/>
                <w:lang w:val="en-US" w:eastAsia="zh-CN"/>
              </w:rPr>
            </w:pPr>
            <w:r>
              <w:rPr>
                <w:rFonts w:hint="eastAsia" w:ascii="宋体" w:hAnsi="宋体" w:eastAsia="宋体" w:cs="宋体"/>
                <w:color w:val="000000"/>
                <w:sz w:val="22"/>
                <w:szCs w:val="22"/>
                <w:vertAlign w:val="baseline"/>
                <w:lang w:val="en-US" w:eastAsia="zh-CN"/>
              </w:rPr>
              <w:t>7、床簧耐久测试达10万次/无损，床垫面料经防螨抗菌处理，弹簧内胆经整体热处理， 全部材料为全新原料</w:t>
            </w:r>
            <w:r>
              <w:rPr>
                <w:rFonts w:hint="eastAsia" w:ascii="宋体" w:hAnsi="宋体" w:cs="宋体"/>
                <w:color w:val="000000"/>
                <w:sz w:val="22"/>
                <w:szCs w:val="22"/>
                <w:vertAlign w:val="baseline"/>
                <w:lang w:val="en-US" w:eastAsia="zh-CN"/>
              </w:rPr>
              <w:t>。</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套</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18" w:type="dxa"/>
            <w:vMerge w:val="restart"/>
            <w:vAlign w:val="center"/>
          </w:tcPr>
          <w:p>
            <w:pPr>
              <w:jc w:val="center"/>
              <w:rPr>
                <w:rFonts w:hint="eastAsia" w:ascii="宋体" w:hAnsi="宋体" w:eastAsia="仿宋"/>
                <w:sz w:val="22"/>
                <w:szCs w:val="22"/>
                <w:lang w:val="en-US" w:eastAsia="zh-CN"/>
              </w:rPr>
            </w:pPr>
            <w:r>
              <w:rPr>
                <w:rFonts w:hint="eastAsia" w:ascii="宋体" w:hAnsi="宋体" w:eastAsia="仿宋"/>
                <w:sz w:val="22"/>
                <w:szCs w:val="22"/>
                <w:lang w:val="en-US" w:eastAsia="zh-CN"/>
              </w:rPr>
              <w:t>宿</w:t>
            </w:r>
          </w:p>
          <w:p>
            <w:pPr>
              <w:jc w:val="center"/>
              <w:rPr>
                <w:rFonts w:hint="eastAsia" w:ascii="宋体" w:hAnsi="宋体" w:eastAsia="仿宋"/>
                <w:sz w:val="22"/>
                <w:szCs w:val="22"/>
                <w:lang w:val="en-US" w:eastAsia="zh-CN"/>
              </w:rPr>
            </w:pPr>
            <w:r>
              <w:rPr>
                <w:rFonts w:hint="eastAsia" w:ascii="宋体" w:hAnsi="宋体" w:eastAsia="仿宋"/>
                <w:sz w:val="22"/>
                <w:szCs w:val="22"/>
                <w:lang w:val="en-US" w:eastAsia="zh-CN"/>
              </w:rPr>
              <w:t>舍</w:t>
            </w:r>
          </w:p>
          <w:p>
            <w:pPr>
              <w:jc w:val="center"/>
              <w:rPr>
                <w:rFonts w:hint="eastAsia" w:ascii="宋体" w:hAnsi="宋体" w:eastAsia="仿宋"/>
                <w:sz w:val="22"/>
                <w:szCs w:val="22"/>
                <w:lang w:val="en-US" w:eastAsia="zh-CN"/>
              </w:rPr>
            </w:pPr>
            <w:r>
              <w:rPr>
                <w:rFonts w:hint="eastAsia" w:ascii="宋体" w:hAnsi="宋体" w:eastAsia="仿宋"/>
                <w:sz w:val="22"/>
                <w:szCs w:val="22"/>
                <w:lang w:val="en-US" w:eastAsia="zh-CN"/>
              </w:rPr>
              <w:t>其</w:t>
            </w:r>
          </w:p>
          <w:p>
            <w:pPr>
              <w:jc w:val="center"/>
              <w:rPr>
                <w:rFonts w:hint="eastAsia" w:ascii="宋体" w:hAnsi="宋体" w:eastAsia="仿宋"/>
                <w:sz w:val="22"/>
                <w:szCs w:val="22"/>
                <w:lang w:val="en-US" w:eastAsia="zh-CN"/>
              </w:rPr>
            </w:pPr>
            <w:r>
              <w:rPr>
                <w:rFonts w:hint="eastAsia" w:ascii="宋体" w:hAnsi="宋体" w:eastAsia="仿宋"/>
                <w:sz w:val="22"/>
                <w:szCs w:val="22"/>
                <w:lang w:val="en-US" w:eastAsia="zh-CN"/>
              </w:rPr>
              <w:t>他</w:t>
            </w:r>
          </w:p>
          <w:p>
            <w:pPr>
              <w:jc w:val="center"/>
              <w:rPr>
                <w:rFonts w:hint="eastAsia" w:ascii="宋体" w:hAnsi="宋体" w:eastAsia="仿宋"/>
                <w:sz w:val="22"/>
                <w:szCs w:val="22"/>
                <w:lang w:val="en-US" w:eastAsia="zh-CN"/>
              </w:rPr>
            </w:pPr>
            <w:r>
              <w:rPr>
                <w:rFonts w:hint="eastAsia" w:ascii="宋体" w:hAnsi="宋体" w:eastAsia="仿宋"/>
                <w:sz w:val="22"/>
                <w:szCs w:val="22"/>
                <w:lang w:val="en-US" w:eastAsia="zh-CN"/>
              </w:rPr>
              <w:t>设</w:t>
            </w:r>
          </w:p>
          <w:p>
            <w:pPr>
              <w:jc w:val="center"/>
              <w:rPr>
                <w:rFonts w:hint="eastAsia" w:ascii="宋体" w:hAnsi="宋体" w:eastAsia="仿宋"/>
                <w:sz w:val="22"/>
                <w:szCs w:val="22"/>
                <w:lang w:val="en-US" w:eastAsia="zh-CN"/>
              </w:rPr>
            </w:pPr>
            <w:r>
              <w:rPr>
                <w:rFonts w:hint="eastAsia" w:ascii="宋体" w:hAnsi="宋体" w:eastAsia="仿宋"/>
                <w:sz w:val="22"/>
                <w:szCs w:val="22"/>
                <w:lang w:val="en-US" w:eastAsia="zh-CN"/>
              </w:rPr>
              <w:t>备</w:t>
            </w:r>
          </w:p>
        </w:tc>
        <w:tc>
          <w:tcPr>
            <w:tcW w:w="3553" w:type="dxa"/>
            <w:vAlign w:val="center"/>
          </w:tcPr>
          <w:p>
            <w:pPr>
              <w:jc w:val="center"/>
              <w:rPr>
                <w:rFonts w:ascii="宋体" w:hAnsi="宋体"/>
                <w:sz w:val="22"/>
                <w:szCs w:val="22"/>
              </w:rPr>
            </w:pPr>
            <w:r>
              <w:rPr>
                <w:rFonts w:ascii="宋体" w:hAnsi="宋体"/>
                <w:sz w:val="22"/>
                <w:szCs w:val="22"/>
              </w:rPr>
              <w:drawing>
                <wp:inline distT="0" distB="0" distL="0" distR="0">
                  <wp:extent cx="651510" cy="487045"/>
                  <wp:effectExtent l="0" t="0" r="15240" b="8255"/>
                  <wp:docPr id="13" name="图片 13" descr="C:\Users\zyh\AppData\Local\Microsoft\Windows\INetCache\Content.Word\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zyh\AppData\Local\Microsoft\Windows\INetCache\Content.Word\图片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51510" cy="487045"/>
                          </a:xfrm>
                          <a:prstGeom prst="rect">
                            <a:avLst/>
                          </a:prstGeom>
                          <a:noFill/>
                          <a:ln>
                            <a:noFill/>
                          </a:ln>
                        </pic:spPr>
                      </pic:pic>
                    </a:graphicData>
                  </a:graphic>
                </wp:inline>
              </w:drawing>
            </w:r>
          </w:p>
        </w:tc>
        <w:tc>
          <w:tcPr>
            <w:tcW w:w="4384" w:type="dxa"/>
            <w:vAlign w:val="center"/>
          </w:tcPr>
          <w:p>
            <w:pPr>
              <w:rPr>
                <w:rFonts w:hint="eastAsia" w:ascii="宋体" w:hAnsi="宋体" w:eastAsia="宋体" w:cs="宋体"/>
                <w:sz w:val="22"/>
                <w:szCs w:val="22"/>
                <w:vertAlign w:val="baseline"/>
                <w:lang w:val="en-US" w:eastAsia="zh-CN"/>
              </w:rPr>
            </w:pPr>
            <w:r>
              <w:rPr>
                <w:rFonts w:hint="eastAsia" w:ascii="宋体" w:hAnsi="宋体"/>
                <w:sz w:val="22"/>
                <w:szCs w:val="22"/>
              </w:rPr>
              <w:t>毛巾架：600mm×180mm，材料选用304型圆型不锈钢，壁厚0.6mm，360mm×250mm×360mm选用优质加厚304防腐防锈不锈钢材质，经久耐用，承重力强，物品不易掉落。弯管，底板带双底钩并设置自由移动挂钩，节省空间，便捷、加强收纳。设置前后间距合理的毛巾杆，便于通风透气，错位放置毛巾，容易风干，防止细菌滋生，清洁卫生。毛巾架由不锈钢膨胀螺丝钉固定墙面，牢固耐用。</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套</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r>
              <w:rPr>
                <w:rFonts w:hint="eastAsia" w:ascii="宋体" w:hAnsi="宋体" w:cs="宋体"/>
                <w:sz w:val="22"/>
                <w:szCs w:val="22"/>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18" w:type="dxa"/>
            <w:vMerge w:val="continue"/>
            <w:vAlign w:val="center"/>
          </w:tcPr>
          <w:p>
            <w:pPr>
              <w:jc w:val="center"/>
              <w:rPr>
                <w:rFonts w:hint="eastAsia" w:ascii="宋体" w:hAnsi="宋体" w:eastAsia="仿宋"/>
                <w:sz w:val="22"/>
                <w:szCs w:val="22"/>
                <w:lang w:val="en-US" w:eastAsia="zh-CN"/>
              </w:rPr>
            </w:pPr>
          </w:p>
        </w:tc>
        <w:tc>
          <w:tcPr>
            <w:tcW w:w="3553" w:type="dxa"/>
            <w:vAlign w:val="center"/>
          </w:tcPr>
          <w:p>
            <w:pPr>
              <w:jc w:val="center"/>
              <w:rPr>
                <w:rFonts w:ascii="宋体" w:hAnsi="宋体"/>
                <w:sz w:val="22"/>
                <w:szCs w:val="22"/>
              </w:rPr>
            </w:pPr>
            <w:r>
              <w:rPr>
                <w:rFonts w:ascii="宋体" w:hAnsi="宋体"/>
                <w:sz w:val="22"/>
                <w:szCs w:val="22"/>
              </w:rPr>
              <w:drawing>
                <wp:inline distT="0" distB="0" distL="114300" distR="114300">
                  <wp:extent cx="1125220" cy="552450"/>
                  <wp:effectExtent l="0" t="0" r="1778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1125220" cy="552450"/>
                          </a:xfrm>
                          <a:prstGeom prst="rect">
                            <a:avLst/>
                          </a:prstGeom>
                          <a:noFill/>
                          <a:ln>
                            <a:noFill/>
                          </a:ln>
                        </pic:spPr>
                      </pic:pic>
                    </a:graphicData>
                  </a:graphic>
                </wp:inline>
              </w:drawing>
            </w:r>
          </w:p>
        </w:tc>
        <w:tc>
          <w:tcPr>
            <w:tcW w:w="4384" w:type="dxa"/>
            <w:vAlign w:val="center"/>
          </w:tcPr>
          <w:p>
            <w:pPr>
              <w:numPr>
                <w:ilvl w:val="0"/>
                <w:numId w:val="0"/>
              </w:numPr>
              <w:rPr>
                <w:rFonts w:hint="eastAsia" w:ascii="宋体" w:hAnsi="宋体"/>
                <w:sz w:val="22"/>
                <w:szCs w:val="22"/>
              </w:rPr>
            </w:pPr>
            <w:r>
              <w:rPr>
                <w:rFonts w:hint="eastAsia" w:ascii="宋体" w:hAnsi="宋体"/>
                <w:sz w:val="22"/>
                <w:szCs w:val="22"/>
                <w:lang w:val="en-US" w:eastAsia="zh-CN"/>
              </w:rPr>
              <w:t>1、</w:t>
            </w:r>
            <w:r>
              <w:rPr>
                <w:rFonts w:hint="eastAsia" w:ascii="宋体" w:hAnsi="宋体"/>
                <w:sz w:val="22"/>
                <w:szCs w:val="22"/>
              </w:rPr>
              <w:t>七字型不锈钢卫生间墙壁架。</w:t>
            </w:r>
          </w:p>
          <w:p>
            <w:pPr>
              <w:numPr>
                <w:ilvl w:val="0"/>
                <w:numId w:val="0"/>
              </w:numPr>
              <w:rPr>
                <w:rFonts w:hint="eastAsia" w:ascii="宋体" w:hAnsi="宋体" w:eastAsia="宋体" w:cs="宋体"/>
                <w:sz w:val="22"/>
                <w:szCs w:val="22"/>
                <w:vertAlign w:val="baseline"/>
                <w:lang w:val="en-US" w:eastAsia="zh-CN"/>
              </w:rPr>
            </w:pPr>
            <w:r>
              <w:rPr>
                <w:rFonts w:hint="eastAsia" w:ascii="宋体" w:hAnsi="宋体"/>
                <w:sz w:val="22"/>
                <w:szCs w:val="22"/>
              </w:rPr>
              <w:t>2、尺寸：500mm×280mm×500mm。</w:t>
            </w:r>
          </w:p>
          <w:p>
            <w:pPr>
              <w:numPr>
                <w:ilvl w:val="0"/>
                <w:numId w:val="0"/>
              </w:numPr>
              <w:rPr>
                <w:rFonts w:hint="eastAsia" w:ascii="宋体" w:hAnsi="宋体" w:eastAsia="宋体" w:cs="宋体"/>
                <w:sz w:val="22"/>
                <w:szCs w:val="22"/>
                <w:vertAlign w:val="baseline"/>
                <w:lang w:val="en-US" w:eastAsia="zh-CN"/>
              </w:rPr>
            </w:pPr>
            <w:r>
              <w:rPr>
                <w:rFonts w:hint="eastAsia" w:ascii="宋体" w:hAnsi="宋体"/>
                <w:sz w:val="22"/>
                <w:szCs w:val="22"/>
              </w:rPr>
              <w:t>3、材料选用304型不锈钢，壁厚</w:t>
            </w:r>
            <w:r>
              <w:rPr>
                <w:rFonts w:hint="eastAsia" w:ascii="宋体" w:hAnsi="宋体"/>
                <w:sz w:val="22"/>
                <w:szCs w:val="22"/>
                <w:lang w:val="en-US" w:eastAsia="zh-CN"/>
              </w:rPr>
              <w:t>≥</w:t>
            </w:r>
            <w:r>
              <w:rPr>
                <w:rFonts w:hint="eastAsia" w:ascii="宋体" w:hAnsi="宋体"/>
                <w:sz w:val="22"/>
                <w:szCs w:val="22"/>
              </w:rPr>
              <w:t>0.6mm。</w:t>
            </w:r>
          </w:p>
          <w:p>
            <w:pPr>
              <w:numPr>
                <w:ilvl w:val="0"/>
                <w:numId w:val="0"/>
              </w:numPr>
              <w:rPr>
                <w:rFonts w:hint="eastAsia" w:ascii="宋体" w:hAnsi="宋体" w:eastAsia="宋体" w:cs="宋体"/>
                <w:sz w:val="22"/>
                <w:szCs w:val="22"/>
                <w:vertAlign w:val="baseline"/>
                <w:lang w:val="en-US" w:eastAsia="zh-CN"/>
              </w:rPr>
            </w:pPr>
            <w:r>
              <w:rPr>
                <w:rFonts w:hint="eastAsia" w:ascii="宋体" w:hAnsi="宋体"/>
                <w:sz w:val="22"/>
                <w:szCs w:val="22"/>
              </w:rPr>
              <w:t>4、使用免钉胶固定，稳固耐用，不必损坏墙面，美观大方。</w:t>
            </w:r>
          </w:p>
          <w:p>
            <w:pPr>
              <w:rPr>
                <w:rFonts w:hint="eastAsia" w:ascii="宋体" w:hAnsi="宋体" w:eastAsia="宋体" w:cs="宋体"/>
                <w:sz w:val="22"/>
                <w:szCs w:val="22"/>
                <w:vertAlign w:val="baseline"/>
                <w:lang w:val="en-US" w:eastAsia="zh-CN"/>
              </w:rPr>
            </w:pPr>
            <w:r>
              <w:rPr>
                <w:rFonts w:hint="eastAsia" w:ascii="宋体" w:hAnsi="宋体"/>
                <w:sz w:val="22"/>
                <w:szCs w:val="22"/>
              </w:rPr>
              <w:t>5、设置一体实心双挂钩，满足各类物品悬挂。</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套</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6</w:t>
            </w:r>
            <w:r>
              <w:rPr>
                <w:rFonts w:hint="eastAsia" w:ascii="宋体" w:hAnsi="宋体" w:cs="宋体"/>
                <w:sz w:val="22"/>
                <w:szCs w:val="22"/>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18" w:type="dxa"/>
            <w:vMerge w:val="continue"/>
            <w:vAlign w:val="center"/>
          </w:tcPr>
          <w:p>
            <w:pPr>
              <w:jc w:val="center"/>
              <w:rPr>
                <w:rFonts w:hint="eastAsia" w:ascii="宋体" w:hAnsi="宋体" w:eastAsia="仿宋"/>
                <w:sz w:val="22"/>
                <w:szCs w:val="22"/>
                <w:lang w:val="en-US" w:eastAsia="zh-CN"/>
              </w:rPr>
            </w:pPr>
          </w:p>
        </w:tc>
        <w:tc>
          <w:tcPr>
            <w:tcW w:w="3553" w:type="dxa"/>
            <w:vAlign w:val="center"/>
          </w:tcPr>
          <w:p>
            <w:pPr>
              <w:numPr>
                <w:ilvl w:val="0"/>
                <w:numId w:val="0"/>
              </w:numPr>
              <w:rPr>
                <w:rFonts w:hint="eastAsia" w:ascii="宋体" w:hAnsi="宋体" w:cs="Times New Roman"/>
                <w:sz w:val="22"/>
                <w:szCs w:val="22"/>
              </w:rPr>
            </w:pPr>
            <w:r>
              <w:rPr>
                <w:rFonts w:hint="eastAsia" w:ascii="宋体" w:hAnsi="宋体" w:cs="Times New Roman"/>
                <w:sz w:val="22"/>
                <w:szCs w:val="22"/>
                <w:lang w:eastAsia="zh-CN"/>
              </w:rPr>
              <w:drawing>
                <wp:inline distT="0" distB="0" distL="114300" distR="114300">
                  <wp:extent cx="1326515" cy="884555"/>
                  <wp:effectExtent l="0" t="0" r="0" b="0"/>
                  <wp:docPr id="10" name="图片 10" descr="132dc796677f04bc411ccb50d28d3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32dc796677f04bc411ccb50d28d35b"/>
                          <pic:cNvPicPr>
                            <a:picLocks noChangeAspect="1"/>
                          </pic:cNvPicPr>
                        </pic:nvPicPr>
                        <pic:blipFill>
                          <a:blip r:embed="rId18"/>
                          <a:stretch>
                            <a:fillRect/>
                          </a:stretch>
                        </pic:blipFill>
                        <pic:spPr>
                          <a:xfrm>
                            <a:off x="0" y="0"/>
                            <a:ext cx="1326515" cy="884555"/>
                          </a:xfrm>
                          <a:prstGeom prst="rect">
                            <a:avLst/>
                          </a:prstGeom>
                        </pic:spPr>
                      </pic:pic>
                    </a:graphicData>
                  </a:graphic>
                </wp:inline>
              </w:drawing>
            </w:r>
          </w:p>
        </w:tc>
        <w:tc>
          <w:tcPr>
            <w:tcW w:w="4384" w:type="dxa"/>
            <w:vAlign w:val="center"/>
          </w:tcPr>
          <w:p>
            <w:pPr>
              <w:numPr>
                <w:ilvl w:val="0"/>
                <w:numId w:val="0"/>
              </w:numPr>
              <w:rPr>
                <w:rFonts w:hint="eastAsia" w:ascii="宋体" w:hAnsi="宋体" w:cs="Times New Roman"/>
                <w:sz w:val="22"/>
                <w:szCs w:val="22"/>
                <w:lang w:val="en-US" w:eastAsia="zh-CN"/>
              </w:rPr>
            </w:pPr>
            <w:r>
              <w:rPr>
                <w:rFonts w:hint="eastAsia" w:ascii="宋体" w:hAnsi="宋体" w:cs="Times New Roman"/>
                <w:sz w:val="22"/>
                <w:szCs w:val="22"/>
                <w:lang w:val="en-US" w:eastAsia="zh-CN"/>
              </w:rPr>
              <w:t>1、</w:t>
            </w:r>
            <w:r>
              <w:rPr>
                <w:rFonts w:hint="eastAsia" w:ascii="宋体" w:hAnsi="宋体" w:cs="Times New Roman"/>
                <w:sz w:val="22"/>
                <w:szCs w:val="22"/>
              </w:rPr>
              <w:t>蚊帐架（可拆装）由</w:t>
            </w:r>
            <w:r>
              <w:rPr>
                <w:rFonts w:hint="eastAsia" w:ascii="宋体" w:hAnsi="宋体" w:cs="Times New Roman"/>
                <w:sz w:val="22"/>
                <w:szCs w:val="22"/>
                <w:lang w:val="en-US" w:eastAsia="zh-CN"/>
              </w:rPr>
              <w:t>20*40的方管制作而成，蚊帐架与床架金属框的连接方式为穿透床架金属管与立柱的预埋螺母连接，此连接结构更牢固、更安全。</w:t>
            </w:r>
          </w:p>
          <w:p>
            <w:pPr>
              <w:numPr>
                <w:ilvl w:val="0"/>
                <w:numId w:val="0"/>
              </w:numPr>
              <w:rPr>
                <w:rFonts w:hint="eastAsia" w:ascii="宋体" w:hAnsi="宋体" w:cs="Times New Roman"/>
                <w:sz w:val="22"/>
                <w:szCs w:val="22"/>
                <w:lang w:val="en-US" w:eastAsia="zh-CN"/>
              </w:rPr>
            </w:pPr>
            <w:r>
              <w:rPr>
                <w:rFonts w:hint="eastAsia" w:ascii="宋体" w:hAnsi="宋体" w:cs="Times New Roman"/>
                <w:sz w:val="22"/>
                <w:szCs w:val="22"/>
                <w:lang w:val="en-US" w:eastAsia="zh-CN"/>
              </w:rPr>
              <w:t>2、选用的钢管需符合国家标准，钢管的焊接采用二氧化碳保护焊新工艺，焊接表面波纹均匀，焊处无夹渣、气孔、焊瘤、焊丝头咬边和飞溅，并保证无脱焊、虚焊、焊穿等现象，以确保产品强度好，造型美观。各钢件表面利用抛丸打砂工艺处理后，通过全自动喷涂流水线进行静电喷塑，防止钢件的生锈腐蚀及钢管内壁进行防锈防腐蚀处理。漆膜的附着力、硬度、耐冲击力等均符合国家标准。焊缝厚度≥3mm，所有焊缝全部是满焊；表面采用环氧聚酯粉末静电喷塑；</w:t>
            </w:r>
          </w:p>
        </w:tc>
        <w:tc>
          <w:tcPr>
            <w:tcW w:w="53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2"/>
                <w:szCs w:val="22"/>
                <w:vertAlign w:val="baseline"/>
                <w:lang w:val="en-US" w:eastAsia="zh-CN"/>
              </w:rPr>
            </w:pPr>
            <w:r>
              <w:rPr>
                <w:rFonts w:hint="eastAsia" w:ascii="宋体" w:hAnsi="宋体" w:eastAsia="宋体" w:cs="宋体"/>
                <w:sz w:val="22"/>
                <w:szCs w:val="22"/>
                <w:vertAlign w:val="baseline"/>
                <w:lang w:val="en-US" w:eastAsia="zh-CN"/>
              </w:rPr>
              <w:t>套</w:t>
            </w:r>
          </w:p>
        </w:tc>
        <w:tc>
          <w:tcPr>
            <w:tcW w:w="7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sz w:val="22"/>
                <w:szCs w:val="22"/>
                <w:vertAlign w:val="baseline"/>
                <w:lang w:val="en-US" w:eastAsia="zh-CN"/>
              </w:rPr>
            </w:pPr>
            <w:r>
              <w:rPr>
                <w:rFonts w:hint="eastAsia" w:ascii="宋体" w:hAnsi="宋体" w:cs="宋体"/>
                <w:sz w:val="22"/>
                <w:szCs w:val="22"/>
                <w:vertAlign w:val="baseline"/>
                <w:lang w:val="en-US" w:eastAsia="zh-CN"/>
              </w:rPr>
              <w:t>3636</w:t>
            </w:r>
          </w:p>
        </w:tc>
      </w:tr>
    </w:tbl>
    <w:p>
      <w:pPr>
        <w:pStyle w:val="93"/>
        <w:numPr>
          <w:ilvl w:val="0"/>
          <w:numId w:val="0"/>
        </w:numPr>
        <w:spacing w:line="440" w:lineRule="exact"/>
        <w:ind w:leftChars="0" w:right="-45" w:rightChars="0"/>
        <w:rPr>
          <w:rFonts w:ascii="宋体" w:hAnsi="宋体" w:cs="宋体"/>
          <w:sz w:val="22"/>
          <w:szCs w:val="22"/>
        </w:rPr>
      </w:pPr>
      <w:r>
        <w:rPr>
          <w:rFonts w:hint="eastAsia" w:ascii="宋体" w:hAnsi="宋体" w:cs="宋体"/>
          <w:sz w:val="22"/>
          <w:szCs w:val="22"/>
          <w:lang w:val="en-US" w:eastAsia="zh-CN"/>
        </w:rPr>
        <w:t>2、</w:t>
      </w:r>
      <w:r>
        <w:rPr>
          <w:rFonts w:hint="eastAsia" w:ascii="宋体" w:hAnsi="宋体" w:cs="宋体"/>
          <w:sz w:val="22"/>
          <w:szCs w:val="22"/>
        </w:rPr>
        <w:t>交样品要求及方式</w:t>
      </w:r>
    </w:p>
    <w:p>
      <w:pPr>
        <w:spacing w:line="440" w:lineRule="exact"/>
        <w:ind w:right="-45"/>
        <w:rPr>
          <w:rFonts w:hint="eastAsia" w:ascii="宋体" w:hAnsi="宋体" w:eastAsia="宋体" w:cs="宋体"/>
          <w:sz w:val="22"/>
          <w:szCs w:val="22"/>
          <w:lang w:val="en-US" w:eastAsia="zh-CN"/>
        </w:rPr>
      </w:pPr>
      <w:r>
        <w:rPr>
          <w:rFonts w:hint="eastAsia" w:ascii="宋体" w:hAnsi="宋体" w:cs="宋体"/>
          <w:sz w:val="22"/>
          <w:szCs w:val="22"/>
          <w:lang w:val="en-US" w:eastAsia="zh-CN"/>
        </w:rPr>
        <w:t>2</w:t>
      </w:r>
      <w:r>
        <w:rPr>
          <w:rFonts w:ascii="宋体" w:hAnsi="宋体" w:cs="宋体"/>
          <w:sz w:val="22"/>
          <w:szCs w:val="22"/>
        </w:rPr>
        <w:t>.1</w:t>
      </w:r>
      <w:r>
        <w:rPr>
          <w:rFonts w:hint="eastAsia" w:ascii="宋体" w:hAnsi="宋体" w:cs="宋体"/>
          <w:sz w:val="22"/>
          <w:szCs w:val="22"/>
        </w:rPr>
        <w:t>样品要求：</w:t>
      </w:r>
      <w:r>
        <w:rPr>
          <w:rFonts w:hint="eastAsia" w:ascii="宋体" w:hAnsi="宋体" w:cs="宋体"/>
          <w:sz w:val="22"/>
          <w:szCs w:val="22"/>
          <w:lang w:val="en-US" w:eastAsia="zh-CN"/>
        </w:rPr>
        <w:t>详见以下</w:t>
      </w:r>
      <w:r>
        <w:rPr>
          <w:rFonts w:hint="eastAsia" w:ascii="宋体" w:hAnsi="宋体" w:eastAsia="宋体" w:cs="宋体"/>
          <w:sz w:val="22"/>
          <w:szCs w:val="22"/>
          <w:lang w:val="en-US" w:eastAsia="zh-CN"/>
        </w:rPr>
        <w:t>样品清单及要求，投标现场</w:t>
      </w:r>
      <w:r>
        <w:rPr>
          <w:rFonts w:hint="eastAsia" w:ascii="宋体" w:hAnsi="宋体" w:cs="宋体"/>
          <w:sz w:val="22"/>
          <w:szCs w:val="22"/>
          <w:lang w:val="en-US" w:eastAsia="zh-CN"/>
        </w:rPr>
        <w:t>无需提供检测报告原件。</w:t>
      </w:r>
    </w:p>
    <w:tbl>
      <w:tblPr>
        <w:tblStyle w:val="46"/>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3"/>
        <w:gridCol w:w="2203"/>
        <w:gridCol w:w="1131"/>
        <w:gridCol w:w="1117"/>
        <w:gridCol w:w="2498"/>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产品名称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单位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数量</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sz w:val="24"/>
                <w:szCs w:val="24"/>
                <w:highlight w:val="none"/>
                <w:u w:val="none"/>
                <w14:textFill>
                  <w14:solidFill>
                    <w14:schemeClr w14:val="tx1"/>
                  </w14:solidFill>
                </w14:textFill>
              </w:rPr>
              <w:t>样品制作标准和要求</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公寓椅</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张</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具体要求详见技术参数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成品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前护栏</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要求长度</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1900</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mm±</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mm</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；具体要求详见技术参数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3</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铝合金拉手</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具体要求详见技术参数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8"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z w:val="21"/>
                <w:szCs w:val="21"/>
                <w:vertAlign w:val="baseline"/>
                <w:lang w:val="en-US" w:eastAsia="zh-CN"/>
              </w:rPr>
              <w:t>安全挂梯</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具体要求详见技术参数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jc w:val="center"/>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床榀</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具体要求详见技术参数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材料小样</w:t>
            </w:r>
          </w:p>
        </w:tc>
      </w:tr>
    </w:tbl>
    <w:p>
      <w:pPr>
        <w:spacing w:line="440" w:lineRule="exact"/>
        <w:ind w:right="-45"/>
        <w:rPr>
          <w:rFonts w:ascii="宋体" w:hAnsi="宋体" w:cs="宋体"/>
          <w:sz w:val="22"/>
          <w:szCs w:val="22"/>
        </w:rPr>
      </w:pPr>
      <w:r>
        <w:rPr>
          <w:rFonts w:hint="eastAsia" w:ascii="宋体" w:hAnsi="宋体" w:cs="宋体"/>
          <w:sz w:val="22"/>
          <w:szCs w:val="22"/>
          <w:lang w:val="en-US" w:eastAsia="zh-CN"/>
        </w:rPr>
        <w:t>2</w:t>
      </w:r>
      <w:r>
        <w:rPr>
          <w:rFonts w:ascii="宋体" w:hAnsi="宋体" w:cs="宋体"/>
          <w:sz w:val="22"/>
          <w:szCs w:val="22"/>
        </w:rPr>
        <w:t>.2</w:t>
      </w:r>
      <w:r>
        <w:rPr>
          <w:rFonts w:hint="eastAsia" w:ascii="宋体" w:hAnsi="宋体" w:cs="宋体"/>
          <w:sz w:val="22"/>
          <w:szCs w:val="22"/>
        </w:rPr>
        <w:t>递交方式1   邮寄方式：密封包装后在投标截止时间前送达（收件地址：龙港市政务服务中心4楼采购科）（陈先生收 联系电话：13738772079）。</w:t>
      </w:r>
    </w:p>
    <w:p>
      <w:pPr>
        <w:spacing w:line="440" w:lineRule="exact"/>
        <w:ind w:right="-45"/>
        <w:rPr>
          <w:rFonts w:ascii="宋体" w:hAnsi="宋体" w:cs="宋体"/>
          <w:sz w:val="22"/>
          <w:szCs w:val="22"/>
        </w:rPr>
      </w:pPr>
      <w:r>
        <w:rPr>
          <w:rFonts w:hint="eastAsia" w:ascii="宋体" w:hAnsi="宋体" w:cs="宋体"/>
          <w:sz w:val="22"/>
          <w:szCs w:val="22"/>
        </w:rPr>
        <w:t>注：投标供应商需自行考虑/承担邮寄运输过程中运输耗费时间及其他不可预测风险，在投标截止时前送达至龙港公共资源交易中心,否则将拒收邮寄样品，必须和采购代理机构确认样品。</w:t>
      </w:r>
    </w:p>
    <w:p>
      <w:pPr>
        <w:spacing w:line="440" w:lineRule="exact"/>
        <w:ind w:right="-45"/>
        <w:rPr>
          <w:rFonts w:ascii="宋体" w:hAnsi="宋体" w:cs="宋体"/>
          <w:sz w:val="22"/>
          <w:szCs w:val="22"/>
        </w:rPr>
      </w:pPr>
      <w:r>
        <w:rPr>
          <w:rFonts w:hint="eastAsia" w:ascii="宋体" w:hAnsi="宋体" w:cs="宋体"/>
          <w:sz w:val="22"/>
          <w:szCs w:val="22"/>
          <w:lang w:val="en-US" w:eastAsia="zh-CN"/>
        </w:rPr>
        <w:t>2</w:t>
      </w:r>
      <w:r>
        <w:rPr>
          <w:rFonts w:ascii="宋体" w:hAnsi="宋体" w:cs="宋体"/>
          <w:sz w:val="22"/>
          <w:szCs w:val="22"/>
        </w:rPr>
        <w:t>.3</w:t>
      </w:r>
      <w:r>
        <w:rPr>
          <w:rFonts w:hint="eastAsia" w:ascii="宋体" w:hAnsi="宋体" w:cs="宋体"/>
          <w:sz w:val="22"/>
          <w:szCs w:val="22"/>
        </w:rPr>
        <w:t>递交方式2   现场递交：样品包装后，在投标截止时间前，递交投标人送达开标现场（即送即走）形式。</w:t>
      </w:r>
    </w:p>
    <w:p>
      <w:pPr>
        <w:spacing w:line="440" w:lineRule="exact"/>
        <w:ind w:right="-45"/>
        <w:rPr>
          <w:rFonts w:hint="eastAsia" w:ascii="宋体" w:hAnsi="宋体" w:cs="宋体"/>
          <w:sz w:val="22"/>
          <w:szCs w:val="22"/>
        </w:rPr>
      </w:pPr>
      <w:r>
        <w:rPr>
          <w:rFonts w:hint="eastAsia" w:ascii="宋体" w:hAnsi="宋体" w:cs="宋体"/>
          <w:sz w:val="22"/>
          <w:szCs w:val="22"/>
          <w:lang w:val="en-US" w:eastAsia="zh-CN"/>
        </w:rPr>
        <w:t>2</w:t>
      </w:r>
      <w:r>
        <w:rPr>
          <w:rFonts w:ascii="宋体" w:hAnsi="宋体" w:cs="宋体"/>
          <w:sz w:val="22"/>
          <w:szCs w:val="22"/>
        </w:rPr>
        <w:t>.4</w:t>
      </w:r>
      <w:r>
        <w:rPr>
          <w:rFonts w:hint="eastAsia" w:cs="宋体"/>
          <w:sz w:val="22"/>
          <w:szCs w:val="22"/>
        </w:rPr>
        <w:t>未中标的样品自</w:t>
      </w:r>
      <w:r>
        <w:rPr>
          <w:rFonts w:hint="eastAsia" w:ascii="宋体" w:hAnsi="宋体" w:cs="宋体"/>
          <w:sz w:val="22"/>
          <w:szCs w:val="22"/>
        </w:rPr>
        <w:t>采购结果公告发布后七个工作日后由采购人退回，邮寄等相关费用由供应商自理</w:t>
      </w:r>
      <w:r>
        <w:rPr>
          <w:rFonts w:hint="eastAsia" w:cs="宋体"/>
          <w:sz w:val="22"/>
          <w:szCs w:val="22"/>
        </w:rPr>
        <w:t>。</w:t>
      </w:r>
      <w:r>
        <w:rPr>
          <w:rFonts w:hint="eastAsia" w:ascii="宋体" w:hAnsi="宋体" w:cs="宋体"/>
          <w:sz w:val="22"/>
          <w:szCs w:val="22"/>
        </w:rPr>
        <w:t>中标人的</w:t>
      </w:r>
      <w:r>
        <w:rPr>
          <w:rFonts w:hint="eastAsia" w:cs="宋体"/>
          <w:sz w:val="22"/>
          <w:szCs w:val="22"/>
        </w:rPr>
        <w:t>样品</w:t>
      </w:r>
      <w:r>
        <w:rPr>
          <w:rFonts w:hint="eastAsia" w:ascii="宋体" w:hAnsi="宋体" w:cs="宋体"/>
          <w:sz w:val="22"/>
          <w:szCs w:val="22"/>
        </w:rPr>
        <w:t>由采购人保管、封存，并作为履约验收的依据，最终货物的材质与工艺质量低于投标时提供样品质量的，采购人有权按不合格产品退货，中标人的样品待交验收合格后退还。</w:t>
      </w:r>
    </w:p>
    <w:p>
      <w:pPr>
        <w:spacing w:line="440" w:lineRule="exact"/>
        <w:ind w:right="-45"/>
        <w:rPr>
          <w:rFonts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、本次采购项目的相关说明</w:t>
      </w:r>
    </w:p>
    <w:p>
      <w:pPr>
        <w:spacing w:line="440" w:lineRule="exact"/>
        <w:ind w:right="-45"/>
        <w:rPr>
          <w:rFonts w:ascii="宋体" w:hAnsi="宋体" w:cs="宋体"/>
          <w:sz w:val="22"/>
          <w:szCs w:val="22"/>
        </w:rPr>
      </w:pPr>
      <w:r>
        <w:rPr>
          <w:rFonts w:hint="eastAsia" w:ascii="宋体" w:hAnsi="宋体" w:cs="宋体"/>
          <w:sz w:val="22"/>
          <w:szCs w:val="22"/>
        </w:rPr>
        <w:t>1）制造商、质保期等应在投标文件的相应部分明确，对招标文件的技术条款及其它要求应予以实质性响应，如有偏离须在偏离表中注明，否则可能造成对投标供应商的不利评定。</w:t>
      </w:r>
    </w:p>
    <w:p>
      <w:pPr>
        <w:spacing w:line="440" w:lineRule="exact"/>
        <w:ind w:right="-45"/>
        <w:rPr>
          <w:rFonts w:ascii="宋体" w:hAnsi="宋体" w:cs="宋体"/>
          <w:sz w:val="22"/>
          <w:szCs w:val="22"/>
        </w:rPr>
      </w:pPr>
      <w:r>
        <w:rPr>
          <w:rFonts w:hint="eastAsia" w:ascii="宋体" w:hAnsi="宋体" w:cs="宋体"/>
          <w:sz w:val="22"/>
          <w:szCs w:val="22"/>
        </w:rPr>
        <w:t>2）★投标供应商须提供《招标内容及要求》中未提及，但设备正常运行所必须的配件，并在投标文件中注明。</w:t>
      </w:r>
    </w:p>
    <w:p>
      <w:pPr>
        <w:spacing w:line="440" w:lineRule="exact"/>
        <w:ind w:right="-45"/>
        <w:rPr>
          <w:rFonts w:ascii="宋体" w:hAnsi="宋体" w:cs="宋体"/>
          <w:sz w:val="22"/>
          <w:szCs w:val="22"/>
        </w:rPr>
      </w:pPr>
      <w:r>
        <w:rPr>
          <w:rFonts w:hint="eastAsia" w:ascii="宋体" w:hAnsi="宋体" w:cs="宋体"/>
          <w:sz w:val="22"/>
          <w:szCs w:val="22"/>
        </w:rPr>
        <w:t>3）本标书中的技术要求不得被认为是详尽无遗的，无论规定与否，投标供应商应提供所有招标文件没有规定但投标供应商认为完成本项目必要或必须的设备和材料、辅件，并应在投标分项报价表中一一列明。凡为设备配置的软件服务需要按年或其他任何方式额外收取服务费用的，投标商必须在投标文件中列出相应价格费用，否则视为免费提供。</w:t>
      </w:r>
    </w:p>
    <w:p>
      <w:pPr>
        <w:spacing w:line="440" w:lineRule="exact"/>
        <w:ind w:right="-45"/>
        <w:rPr>
          <w:rFonts w:ascii="宋体" w:hAnsi="宋体" w:cs="宋体"/>
          <w:sz w:val="22"/>
          <w:szCs w:val="22"/>
        </w:rPr>
      </w:pPr>
      <w:r>
        <w:rPr>
          <w:rFonts w:hint="eastAsia" w:ascii="宋体" w:hAnsi="宋体" w:cs="宋体"/>
          <w:sz w:val="22"/>
          <w:szCs w:val="22"/>
        </w:rPr>
        <w:t>4）本标书中所列设备的技术性能及配置均为最低要求，投标供应商选用的设备配置、技术性能应相当于或高于招标文件要求，并完全满足采购需要，否则将可能作出对投标供应商不利的评定。本招标文件中给出的设备如出现具体品牌型号，仅作为参考，欢迎选用更优的品牌产品参与投标；除招标文件明确的推荐品牌外，欢迎其他符合或优于招标文件要求的品牌参与投标。</w:t>
      </w:r>
    </w:p>
    <w:p>
      <w:pPr>
        <w:spacing w:line="440" w:lineRule="exact"/>
        <w:ind w:right="-45"/>
        <w:rPr>
          <w:rFonts w:ascii="宋体" w:hAnsi="宋体" w:cs="宋体"/>
          <w:sz w:val="22"/>
          <w:szCs w:val="22"/>
        </w:rPr>
      </w:pPr>
      <w:r>
        <w:rPr>
          <w:rFonts w:hint="eastAsia" w:ascii="宋体" w:hAnsi="宋体" w:cs="宋体"/>
          <w:sz w:val="22"/>
          <w:szCs w:val="22"/>
        </w:rPr>
        <w:t>5）★投标商提供的所有货物必须为原包装、未拆封的正规行货（包括在标配基础上增加的配置也必须为原厂原配），必须具备原制造厂商的铭牌、标志，符合制造商公布的质量标准，所有的货物必须通过合法渠道，不得串货。本项目中出现的任何涉及非法货物的纠纷，均由乙方承担全部法律责任，同时如发现为串货设备，投标商除无偿更换设备外还须按照违约条例进行处罚。</w:t>
      </w:r>
    </w:p>
    <w:p>
      <w:pPr>
        <w:autoSpaceDE w:val="0"/>
        <w:autoSpaceDN w:val="0"/>
        <w:adjustRightInd w:val="0"/>
        <w:spacing w:line="460" w:lineRule="atLeast"/>
        <w:textAlignment w:val="bottom"/>
        <w:rPr>
          <w:rFonts w:hint="eastAsia" w:ascii="宋体" w:hAnsi="宋体" w:cs="宋体"/>
          <w:sz w:val="22"/>
          <w:szCs w:val="22"/>
        </w:rPr>
      </w:pPr>
      <w:r>
        <w:rPr>
          <w:rFonts w:hint="eastAsia" w:ascii="宋体" w:hAnsi="宋体" w:cs="宋体"/>
          <w:sz w:val="22"/>
          <w:szCs w:val="22"/>
        </w:rPr>
        <w:t>6）投标商应保证招标人在中华人民共和国合法使用投标商提供的设备或软件的任何一部分时，免受第三方提出的侵犯其专利权、商标权、工业设计权或其他知识产权的起诉。如发生此类纠纷，由投标商承担一切责任。</w:t>
      </w:r>
    </w:p>
    <w:p>
      <w:pPr>
        <w:pStyle w:val="45"/>
        <w:tabs>
          <w:tab w:val="left" w:pos="0"/>
          <w:tab w:val="left" w:pos="1260"/>
          <w:tab w:val="left" w:pos="1365"/>
        </w:tabs>
        <w:ind w:left="0" w:firstLine="0"/>
        <w:rPr>
          <w:rFonts w:hint="eastAsia"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4</w:t>
      </w:r>
      <w:r>
        <w:rPr>
          <w:rFonts w:hint="eastAsia" w:ascii="宋体" w:hAnsi="宋体" w:eastAsia="宋体" w:cs="宋体"/>
          <w:kern w:val="2"/>
          <w:sz w:val="22"/>
          <w:szCs w:val="22"/>
          <w:lang w:val="en-US" w:eastAsia="zh-CN" w:bidi="ar-SA"/>
        </w:rPr>
        <w:t>、验收要求：</w:t>
      </w:r>
      <w:r>
        <w:rPr>
          <w:rFonts w:hint="eastAsia" w:ascii="宋体" w:hAnsi="宋体" w:eastAsia="宋体" w:cs="宋体"/>
          <w:kern w:val="2"/>
          <w:sz w:val="22"/>
          <w:szCs w:val="22"/>
          <w:lang w:val="en-US" w:eastAsia="zh-CN" w:bidi="ar-SA"/>
        </w:rPr>
        <w:br w:type="textWrapping"/>
      </w:r>
      <w:r>
        <w:rPr>
          <w:rFonts w:hint="eastAsia" w:ascii="宋体" w:hAnsi="宋体" w:cs="宋体"/>
          <w:kern w:val="2"/>
          <w:sz w:val="22"/>
          <w:szCs w:val="22"/>
          <w:lang w:val="en-US" w:eastAsia="zh-CN" w:bidi="ar-SA"/>
        </w:rPr>
        <w:t>4</w:t>
      </w:r>
      <w:r>
        <w:rPr>
          <w:rFonts w:hint="eastAsia" w:ascii="宋体" w:hAnsi="宋体" w:eastAsia="宋体" w:cs="宋体"/>
          <w:kern w:val="2"/>
          <w:sz w:val="22"/>
          <w:szCs w:val="22"/>
          <w:lang w:val="en-US" w:eastAsia="zh-CN" w:bidi="ar-SA"/>
        </w:rPr>
        <w:t>.1、产品验收。到货后采购人查验相关技术文件是否满足文件要求。</w:t>
      </w:r>
    </w:p>
    <w:p>
      <w:pPr>
        <w:pStyle w:val="45"/>
        <w:tabs>
          <w:tab w:val="left" w:pos="0"/>
          <w:tab w:val="left" w:pos="1260"/>
          <w:tab w:val="left" w:pos="1365"/>
        </w:tabs>
        <w:ind w:left="0" w:firstLine="0"/>
        <w:rPr>
          <w:rFonts w:ascii="宋体" w:hAnsi="宋体"/>
          <w:b/>
          <w:sz w:val="22"/>
          <w:lang w:bidi="ar"/>
        </w:rPr>
      </w:pPr>
      <w:r>
        <w:rPr>
          <w:rFonts w:hint="eastAsia" w:ascii="宋体" w:hAnsi="宋体"/>
          <w:b/>
          <w:sz w:val="22"/>
          <w:lang w:bidi="ar"/>
        </w:rPr>
        <w:t>三、商务条款</w:t>
      </w:r>
    </w:p>
    <w:p>
      <w:pPr>
        <w:widowControl/>
        <w:tabs>
          <w:tab w:val="left" w:pos="540"/>
        </w:tabs>
        <w:autoSpaceDE w:val="0"/>
        <w:autoSpaceDN w:val="0"/>
        <w:adjustRightInd w:val="0"/>
        <w:snapToGrid w:val="0"/>
        <w:spacing w:line="500" w:lineRule="exact"/>
        <w:textAlignment w:val="bottom"/>
        <w:rPr>
          <w:rFonts w:ascii="宋体" w:hAnsi="宋体" w:cs="宋体"/>
          <w:b w:val="0"/>
          <w:bCs w:val="0"/>
          <w:sz w:val="22"/>
          <w:szCs w:val="22"/>
        </w:rPr>
      </w:pPr>
      <w:r>
        <w:rPr>
          <w:rFonts w:hint="eastAsia" w:ascii="宋体" w:hAnsi="宋体" w:cs="宋体"/>
          <w:b w:val="0"/>
          <w:bCs w:val="0"/>
          <w:sz w:val="22"/>
          <w:szCs w:val="22"/>
        </w:rPr>
        <w:t>1、质保期</w:t>
      </w:r>
    </w:p>
    <w:p>
      <w:pPr>
        <w:widowControl/>
        <w:autoSpaceDE w:val="0"/>
        <w:autoSpaceDN w:val="0"/>
        <w:adjustRightInd w:val="0"/>
        <w:snapToGrid w:val="0"/>
        <w:spacing w:line="500" w:lineRule="exact"/>
        <w:textAlignment w:val="bottom"/>
        <w:rPr>
          <w:rFonts w:ascii="宋体" w:hAnsi="宋体" w:cs="宋体"/>
          <w:b w:val="0"/>
          <w:bCs w:val="0"/>
          <w:sz w:val="22"/>
          <w:szCs w:val="22"/>
        </w:rPr>
      </w:pPr>
      <w:r>
        <w:rPr>
          <w:rFonts w:hint="eastAsia" w:ascii="宋体" w:hAnsi="宋体" w:cs="宋体"/>
          <w:b w:val="0"/>
          <w:bCs w:val="0"/>
          <w:sz w:val="22"/>
          <w:szCs w:val="22"/>
        </w:rPr>
        <w:t>1.1、▲所有产品应提供自验收合格并交付使用后至少3年（36个月）的现场免费质保期，如厂商本身承诺的产品质保期高于此要求的则按照厂商承诺执行。</w:t>
      </w:r>
    </w:p>
    <w:p>
      <w:pPr>
        <w:widowControl/>
        <w:autoSpaceDE w:val="0"/>
        <w:autoSpaceDN w:val="0"/>
        <w:adjustRightInd w:val="0"/>
        <w:snapToGrid w:val="0"/>
        <w:spacing w:line="500" w:lineRule="exact"/>
        <w:textAlignment w:val="bottom"/>
        <w:rPr>
          <w:rFonts w:ascii="宋体" w:hAnsi="宋体" w:cs="宋体"/>
          <w:b w:val="0"/>
          <w:bCs w:val="0"/>
          <w:sz w:val="22"/>
          <w:szCs w:val="22"/>
        </w:rPr>
      </w:pPr>
      <w:r>
        <w:rPr>
          <w:rFonts w:hint="eastAsia" w:ascii="宋体" w:hAnsi="宋体" w:cs="宋体"/>
          <w:b w:val="0"/>
          <w:bCs w:val="0"/>
          <w:sz w:val="22"/>
          <w:szCs w:val="22"/>
        </w:rPr>
        <w:t>1.2、质保期内因设备本身缺陷造成各种故障应由中标供应商免费技术服务和维修，质量保修期内，要求供应商提供7×24小时热线电话服务。</w:t>
      </w:r>
    </w:p>
    <w:p>
      <w:pPr>
        <w:widowControl/>
        <w:autoSpaceDE w:val="0"/>
        <w:autoSpaceDN w:val="0"/>
        <w:adjustRightInd w:val="0"/>
        <w:snapToGrid w:val="0"/>
        <w:spacing w:line="500" w:lineRule="exact"/>
        <w:textAlignment w:val="bottom"/>
        <w:rPr>
          <w:rFonts w:ascii="宋体" w:hAnsi="宋体" w:cs="宋体"/>
          <w:b w:val="0"/>
          <w:bCs w:val="0"/>
          <w:sz w:val="22"/>
          <w:szCs w:val="22"/>
        </w:rPr>
      </w:pPr>
      <w:r>
        <w:rPr>
          <w:rFonts w:hint="eastAsia" w:ascii="宋体" w:hAnsi="宋体" w:cs="宋体"/>
          <w:b w:val="0"/>
          <w:bCs w:val="0"/>
          <w:sz w:val="22"/>
          <w:szCs w:val="22"/>
        </w:rPr>
        <w:t>1.3、投标供应商在投标文件中说明质保期内提供的服务计划。</w:t>
      </w:r>
    </w:p>
    <w:p>
      <w:pPr>
        <w:widowControl/>
        <w:autoSpaceDE w:val="0"/>
        <w:autoSpaceDN w:val="0"/>
        <w:adjustRightInd w:val="0"/>
        <w:snapToGrid w:val="0"/>
        <w:spacing w:line="500" w:lineRule="exact"/>
        <w:textAlignment w:val="bottom"/>
        <w:rPr>
          <w:rFonts w:ascii="宋体" w:hAnsi="宋体" w:cs="宋体"/>
          <w:b w:val="0"/>
          <w:bCs w:val="0"/>
          <w:sz w:val="22"/>
          <w:szCs w:val="22"/>
        </w:rPr>
      </w:pPr>
      <w:r>
        <w:rPr>
          <w:rFonts w:hint="eastAsia" w:ascii="宋体" w:hAnsi="宋体" w:cs="宋体"/>
          <w:b w:val="0"/>
          <w:bCs w:val="0"/>
          <w:sz w:val="22"/>
          <w:szCs w:val="22"/>
        </w:rPr>
        <w:t>2</w:t>
      </w:r>
      <w:r>
        <w:rPr>
          <w:rFonts w:ascii="宋体" w:hAnsi="宋体" w:cs="宋体"/>
          <w:b w:val="0"/>
          <w:bCs w:val="0"/>
          <w:sz w:val="22"/>
          <w:szCs w:val="22"/>
        </w:rPr>
        <w:t>.</w:t>
      </w:r>
      <w:r>
        <w:rPr>
          <w:rFonts w:hint="eastAsia" w:ascii="宋体" w:hAnsi="宋体" w:cs="宋体"/>
          <w:b w:val="0"/>
          <w:bCs w:val="0"/>
          <w:sz w:val="22"/>
          <w:szCs w:val="22"/>
        </w:rPr>
        <w:t>售后服务</w:t>
      </w:r>
    </w:p>
    <w:p>
      <w:pPr>
        <w:widowControl/>
        <w:autoSpaceDE w:val="0"/>
        <w:autoSpaceDN w:val="0"/>
        <w:adjustRightInd w:val="0"/>
        <w:snapToGrid w:val="0"/>
        <w:spacing w:line="500" w:lineRule="exact"/>
        <w:textAlignment w:val="bottom"/>
        <w:rPr>
          <w:rFonts w:hint="eastAsia" w:ascii="宋体" w:hAnsi="宋体" w:cs="宋体"/>
          <w:b w:val="0"/>
          <w:bCs w:val="0"/>
          <w:sz w:val="22"/>
          <w:szCs w:val="22"/>
        </w:rPr>
      </w:pPr>
      <w:r>
        <w:rPr>
          <w:rFonts w:hint="eastAsia" w:ascii="宋体" w:hAnsi="宋体" w:cs="宋体"/>
          <w:b w:val="0"/>
          <w:bCs w:val="0"/>
          <w:sz w:val="22"/>
          <w:szCs w:val="22"/>
        </w:rPr>
        <w:t>中标人需提供专门的售后服务电话，中标人在接到采购人通知后，2 小时内做出响应，4 小时内派人赴现场处理问题。 24 小时内无法修复的，中标人需提供无偿提供备机或备用零件供采购人使用，如维修人员未按规定时间到达现场，采购人有权处以</w:t>
      </w:r>
      <w:r>
        <w:rPr>
          <w:rFonts w:ascii="宋体" w:hAnsi="宋体" w:cs="宋体"/>
          <w:b w:val="0"/>
          <w:bCs w:val="0"/>
          <w:sz w:val="22"/>
          <w:szCs w:val="22"/>
        </w:rPr>
        <w:t>10</w:t>
      </w:r>
      <w:r>
        <w:rPr>
          <w:rFonts w:hint="eastAsia" w:ascii="宋体" w:hAnsi="宋体" w:cs="宋体"/>
          <w:b w:val="0"/>
          <w:bCs w:val="0"/>
          <w:sz w:val="22"/>
          <w:szCs w:val="22"/>
        </w:rPr>
        <w:t>00元的罚款。</w:t>
      </w:r>
    </w:p>
    <w:p>
      <w:pPr>
        <w:widowControl/>
        <w:snapToGrid w:val="0"/>
        <w:spacing w:line="360" w:lineRule="auto"/>
        <w:rPr>
          <w:rFonts w:ascii="宋体" w:hAnsi="宋体"/>
          <w:b w:val="0"/>
          <w:bCs w:val="0"/>
          <w:sz w:val="22"/>
          <w:szCs w:val="22"/>
        </w:rPr>
      </w:pPr>
      <w:r>
        <w:rPr>
          <w:rFonts w:hint="eastAsia" w:ascii="宋体" w:hAnsi="宋体"/>
          <w:b w:val="0"/>
          <w:bCs w:val="0"/>
          <w:color w:val="000000"/>
          <w:sz w:val="22"/>
          <w:szCs w:val="22"/>
        </w:rPr>
        <w:t>3</w:t>
      </w:r>
      <w:r>
        <w:rPr>
          <w:rFonts w:ascii="宋体" w:hAnsi="宋体"/>
          <w:b w:val="0"/>
          <w:bCs w:val="0"/>
          <w:color w:val="000000"/>
          <w:sz w:val="22"/>
          <w:szCs w:val="22"/>
        </w:rPr>
        <w:t>.</w:t>
      </w:r>
      <w:r>
        <w:rPr>
          <w:rFonts w:hint="eastAsia" w:ascii="宋体" w:hAnsi="宋体"/>
          <w:b w:val="0"/>
          <w:bCs w:val="0"/>
          <w:sz w:val="22"/>
          <w:szCs w:val="22"/>
        </w:rPr>
        <w:t>技术培训</w:t>
      </w:r>
    </w:p>
    <w:p>
      <w:pPr>
        <w:widowControl/>
        <w:spacing w:line="360" w:lineRule="auto"/>
        <w:rPr>
          <w:rFonts w:hint="eastAsia" w:ascii="宋体" w:hAnsi="宋体"/>
          <w:b w:val="0"/>
          <w:bCs w:val="0"/>
          <w:sz w:val="22"/>
          <w:szCs w:val="22"/>
        </w:rPr>
      </w:pPr>
      <w:r>
        <w:rPr>
          <w:rFonts w:ascii="宋体" w:hAnsi="宋体"/>
          <w:b w:val="0"/>
          <w:bCs w:val="0"/>
          <w:kern w:val="0"/>
          <w:sz w:val="22"/>
          <w:szCs w:val="22"/>
        </w:rPr>
        <w:t>3</w:t>
      </w:r>
      <w:r>
        <w:rPr>
          <w:rFonts w:hint="eastAsia" w:ascii="宋体" w:hAnsi="宋体"/>
          <w:b w:val="0"/>
          <w:bCs w:val="0"/>
          <w:kern w:val="0"/>
          <w:sz w:val="22"/>
          <w:szCs w:val="22"/>
        </w:rPr>
        <w:t>.1</w:t>
      </w:r>
      <w:r>
        <w:rPr>
          <w:rFonts w:hint="eastAsia" w:ascii="宋体" w:hAnsi="宋体"/>
          <w:b w:val="0"/>
          <w:bCs w:val="0"/>
          <w:sz w:val="22"/>
          <w:szCs w:val="22"/>
        </w:rPr>
        <w:t>在项目组织验收之前，应完成对采购人不少于2名操作人员的培训（提供完整的操作培训，使采购人今后能自行操作、维护）。</w:t>
      </w:r>
    </w:p>
    <w:p>
      <w:pPr>
        <w:widowControl/>
        <w:spacing w:line="360" w:lineRule="auto"/>
        <w:rPr>
          <w:rFonts w:ascii="宋体" w:hAnsi="宋体"/>
          <w:b w:val="0"/>
          <w:bCs w:val="0"/>
          <w:sz w:val="22"/>
          <w:szCs w:val="22"/>
        </w:rPr>
      </w:pPr>
      <w:r>
        <w:rPr>
          <w:rFonts w:ascii="宋体" w:hAnsi="宋体"/>
          <w:b w:val="0"/>
          <w:bCs w:val="0"/>
          <w:kern w:val="0"/>
          <w:sz w:val="22"/>
          <w:szCs w:val="22"/>
        </w:rPr>
        <w:t>3</w:t>
      </w:r>
      <w:r>
        <w:rPr>
          <w:rFonts w:hint="eastAsia" w:ascii="宋体" w:hAnsi="宋体"/>
          <w:b w:val="0"/>
          <w:bCs w:val="0"/>
          <w:sz w:val="22"/>
          <w:szCs w:val="22"/>
        </w:rPr>
        <w:t>.2中标方提供现场培训，对如何进行设备拆装及故障排除等进行指导。</w:t>
      </w:r>
    </w:p>
    <w:p>
      <w:pPr>
        <w:widowControl/>
        <w:snapToGrid w:val="0"/>
        <w:spacing w:line="360" w:lineRule="auto"/>
        <w:rPr>
          <w:rFonts w:ascii="宋体" w:hAnsi="宋体"/>
          <w:b w:val="0"/>
          <w:bCs w:val="0"/>
          <w:color w:val="000000"/>
          <w:kern w:val="0"/>
          <w:sz w:val="22"/>
          <w:szCs w:val="22"/>
        </w:rPr>
      </w:pPr>
      <w:r>
        <w:rPr>
          <w:rFonts w:hint="eastAsia" w:ascii="宋体" w:hAnsi="宋体"/>
          <w:b w:val="0"/>
          <w:bCs w:val="0"/>
          <w:color w:val="000000"/>
          <w:sz w:val="22"/>
          <w:szCs w:val="22"/>
        </w:rPr>
        <w:t>4、</w:t>
      </w:r>
      <w:r>
        <w:rPr>
          <w:rFonts w:hint="eastAsia" w:ascii="宋体" w:hAnsi="宋体"/>
          <w:b w:val="0"/>
          <w:bCs w:val="0"/>
          <w:color w:val="000000"/>
          <w:kern w:val="0"/>
          <w:sz w:val="22"/>
          <w:szCs w:val="22"/>
        </w:rPr>
        <w:t>验收要求、标准</w:t>
      </w:r>
    </w:p>
    <w:p>
      <w:pPr>
        <w:widowControl/>
        <w:snapToGrid w:val="0"/>
        <w:spacing w:line="360" w:lineRule="auto"/>
        <w:rPr>
          <w:rFonts w:hint="eastAsia" w:ascii="宋体" w:hAnsi="宋体"/>
          <w:b w:val="0"/>
          <w:bCs w:val="0"/>
          <w:color w:val="000000"/>
          <w:kern w:val="0"/>
          <w:sz w:val="22"/>
          <w:szCs w:val="22"/>
        </w:rPr>
      </w:pPr>
      <w:r>
        <w:rPr>
          <w:rFonts w:ascii="宋体" w:hAnsi="宋体"/>
          <w:b w:val="0"/>
          <w:bCs w:val="0"/>
          <w:color w:val="000000"/>
          <w:kern w:val="0"/>
          <w:sz w:val="22"/>
          <w:szCs w:val="22"/>
        </w:rPr>
        <w:t>4</w:t>
      </w:r>
      <w:r>
        <w:rPr>
          <w:rFonts w:hint="eastAsia" w:ascii="宋体" w:hAnsi="宋体"/>
          <w:b w:val="0"/>
          <w:bCs w:val="0"/>
          <w:kern w:val="0"/>
          <w:sz w:val="22"/>
          <w:szCs w:val="22"/>
        </w:rPr>
        <w:t>.1 验收以招标文件和技术文件、投标文件、合同及安装技术要求为依据。</w:t>
      </w:r>
    </w:p>
    <w:p>
      <w:pPr>
        <w:pStyle w:val="358"/>
        <w:spacing w:after="0" w:line="360" w:lineRule="auto"/>
        <w:ind w:left="0" w:leftChars="0" w:firstLine="0"/>
        <w:rPr>
          <w:rFonts w:hint="eastAsia" w:ascii="宋体" w:hAnsi="宋体" w:cs="Times New Roman"/>
          <w:b w:val="0"/>
          <w:bCs w:val="0"/>
          <w:color w:val="auto"/>
          <w:kern w:val="0"/>
          <w:sz w:val="22"/>
          <w:szCs w:val="22"/>
        </w:rPr>
      </w:pPr>
      <w:r>
        <w:rPr>
          <w:rFonts w:ascii="宋体" w:hAnsi="宋体" w:cs="Times New Roman"/>
          <w:b w:val="0"/>
          <w:bCs w:val="0"/>
          <w:color w:val="auto"/>
          <w:kern w:val="0"/>
          <w:sz w:val="22"/>
          <w:szCs w:val="22"/>
        </w:rPr>
        <w:t>4</w:t>
      </w:r>
      <w:r>
        <w:rPr>
          <w:rFonts w:hint="eastAsia" w:ascii="宋体" w:hAnsi="宋体" w:cs="Times New Roman"/>
          <w:b w:val="0"/>
          <w:bCs w:val="0"/>
          <w:color w:val="auto"/>
          <w:kern w:val="0"/>
          <w:sz w:val="22"/>
          <w:szCs w:val="22"/>
        </w:rPr>
        <w:t>.2 供货安装完成后，中标供应商应该向采购人提交申请验收报告，并且提供主要货物的出厂合格证书（或报告）、检测报告等完整的技术档案资料，若中标供应商未能按照上述要求履行的，导致无法及时验收的，则须由中标供应商承担一切责任。</w:t>
      </w:r>
    </w:p>
    <w:p>
      <w:pPr>
        <w:pStyle w:val="358"/>
        <w:spacing w:after="0" w:line="360" w:lineRule="auto"/>
        <w:ind w:left="0" w:leftChars="0" w:firstLine="0"/>
        <w:rPr>
          <w:rFonts w:hint="eastAsia" w:ascii="宋体" w:hAnsi="宋体" w:cs="Times New Roman"/>
          <w:b w:val="0"/>
          <w:bCs w:val="0"/>
          <w:color w:val="auto"/>
          <w:kern w:val="0"/>
          <w:sz w:val="22"/>
          <w:szCs w:val="22"/>
        </w:rPr>
      </w:pPr>
      <w:r>
        <w:rPr>
          <w:rFonts w:ascii="宋体" w:hAnsi="宋体" w:cs="Times New Roman"/>
          <w:b w:val="0"/>
          <w:bCs w:val="0"/>
          <w:color w:val="auto"/>
          <w:kern w:val="0"/>
          <w:sz w:val="22"/>
          <w:szCs w:val="22"/>
        </w:rPr>
        <w:t>4</w:t>
      </w:r>
      <w:r>
        <w:rPr>
          <w:rFonts w:hint="eastAsia" w:ascii="宋体" w:hAnsi="宋体" w:cs="Times New Roman"/>
          <w:b w:val="0"/>
          <w:bCs w:val="0"/>
          <w:color w:val="auto"/>
          <w:kern w:val="0"/>
          <w:sz w:val="22"/>
          <w:szCs w:val="22"/>
        </w:rPr>
        <w:t>.3 验收必须符合国家、地方有关规范、标准及设计要求。</w:t>
      </w:r>
    </w:p>
    <w:p>
      <w:pPr>
        <w:pStyle w:val="358"/>
        <w:spacing w:after="0" w:line="360" w:lineRule="auto"/>
        <w:ind w:left="0" w:leftChars="0" w:firstLine="0"/>
        <w:rPr>
          <w:rFonts w:hint="eastAsia" w:ascii="宋体" w:hAnsi="宋体" w:cs="Times New Roman"/>
          <w:b w:val="0"/>
          <w:bCs w:val="0"/>
          <w:color w:val="auto"/>
          <w:kern w:val="0"/>
          <w:sz w:val="22"/>
          <w:szCs w:val="22"/>
        </w:rPr>
      </w:pPr>
      <w:r>
        <w:rPr>
          <w:rFonts w:ascii="宋体" w:hAnsi="宋体" w:cs="Times New Roman"/>
          <w:b w:val="0"/>
          <w:bCs w:val="0"/>
          <w:color w:val="auto"/>
          <w:kern w:val="0"/>
          <w:sz w:val="22"/>
          <w:szCs w:val="22"/>
        </w:rPr>
        <w:t>4</w:t>
      </w:r>
      <w:r>
        <w:rPr>
          <w:rFonts w:hint="eastAsia" w:ascii="宋体" w:hAnsi="宋体" w:cs="Times New Roman"/>
          <w:b w:val="0"/>
          <w:bCs w:val="0"/>
          <w:color w:val="auto"/>
          <w:kern w:val="0"/>
          <w:sz w:val="22"/>
          <w:szCs w:val="22"/>
        </w:rPr>
        <w:t>.4 符合验收条件的，由采购人组织有关部门按照国家、地方有关规范、标准及设计要求进行验收。验收后中标供应商应按照验收中提出的意见整改。</w:t>
      </w:r>
    </w:p>
    <w:p>
      <w:pPr>
        <w:pStyle w:val="358"/>
        <w:spacing w:after="0" w:line="360" w:lineRule="auto"/>
        <w:ind w:left="0" w:leftChars="0" w:firstLine="0"/>
        <w:rPr>
          <w:rFonts w:hint="eastAsia" w:ascii="宋体" w:hAnsi="宋体" w:cs="Times New Roman"/>
          <w:b w:val="0"/>
          <w:bCs w:val="0"/>
          <w:color w:val="auto"/>
          <w:kern w:val="0"/>
          <w:sz w:val="22"/>
          <w:szCs w:val="22"/>
        </w:rPr>
      </w:pPr>
      <w:r>
        <w:rPr>
          <w:rFonts w:ascii="宋体" w:hAnsi="宋体" w:cs="Times New Roman"/>
          <w:b w:val="0"/>
          <w:bCs w:val="0"/>
          <w:color w:val="auto"/>
          <w:kern w:val="0"/>
          <w:sz w:val="22"/>
          <w:szCs w:val="22"/>
        </w:rPr>
        <w:t>4</w:t>
      </w:r>
      <w:r>
        <w:rPr>
          <w:rFonts w:hint="eastAsia" w:ascii="宋体" w:hAnsi="宋体" w:cs="Times New Roman"/>
          <w:b w:val="0"/>
          <w:bCs w:val="0"/>
          <w:color w:val="auto"/>
          <w:kern w:val="0"/>
          <w:sz w:val="22"/>
          <w:szCs w:val="22"/>
        </w:rPr>
        <w:t>.5 整改完毕且复验合格后将本项目货物交给采购人使用，完成日期以通过复验日期为准。</w:t>
      </w:r>
    </w:p>
    <w:p>
      <w:pPr>
        <w:pStyle w:val="358"/>
        <w:spacing w:after="0" w:line="360" w:lineRule="auto"/>
        <w:ind w:left="0" w:leftChars="0" w:firstLine="0"/>
        <w:rPr>
          <w:rFonts w:hint="eastAsia" w:ascii="宋体" w:hAnsi="宋体" w:cs="Times New Roman"/>
          <w:b w:val="0"/>
          <w:bCs w:val="0"/>
          <w:color w:val="auto"/>
          <w:kern w:val="0"/>
          <w:sz w:val="22"/>
          <w:szCs w:val="22"/>
        </w:rPr>
      </w:pPr>
      <w:r>
        <w:rPr>
          <w:rFonts w:ascii="宋体" w:hAnsi="宋体" w:cs="Times New Roman"/>
          <w:b w:val="0"/>
          <w:bCs w:val="0"/>
          <w:color w:val="auto"/>
          <w:kern w:val="0"/>
          <w:sz w:val="22"/>
          <w:szCs w:val="22"/>
        </w:rPr>
        <w:t>4</w:t>
      </w:r>
      <w:r>
        <w:rPr>
          <w:rFonts w:hint="eastAsia" w:ascii="宋体" w:hAnsi="宋体" w:cs="Times New Roman"/>
          <w:b w:val="0"/>
          <w:bCs w:val="0"/>
          <w:color w:val="auto"/>
          <w:kern w:val="0"/>
          <w:sz w:val="22"/>
          <w:szCs w:val="22"/>
        </w:rPr>
        <w:t>.6采购人在中标供应商送货、安装、调试后对货物服务进行检查验收，如果发现数量不足或有质量、技术等问题，中标供应商应负责根据合同及采购人的要求采取补足或更换等处理措施，并承担由此发生的一切损失和费用。验收合格后，采购人在验收单上签字并加盖单位公章。</w:t>
      </w:r>
    </w:p>
    <w:p>
      <w:pPr>
        <w:pStyle w:val="358"/>
        <w:spacing w:after="0" w:line="360" w:lineRule="auto"/>
        <w:ind w:left="0" w:leftChars="0" w:firstLine="0"/>
        <w:rPr>
          <w:rFonts w:hint="eastAsia" w:ascii="宋体" w:hAnsi="宋体" w:cs="Times New Roman"/>
          <w:b w:val="0"/>
          <w:bCs w:val="0"/>
          <w:color w:val="auto"/>
          <w:kern w:val="0"/>
          <w:sz w:val="22"/>
          <w:szCs w:val="22"/>
          <w:lang w:val="en-US" w:eastAsia="zh-CN"/>
        </w:rPr>
      </w:pPr>
      <w:r>
        <w:rPr>
          <w:rFonts w:hint="eastAsia" w:ascii="宋体" w:hAnsi="宋体" w:cs="Times New Roman"/>
          <w:b w:val="0"/>
          <w:bCs w:val="0"/>
          <w:color w:val="auto"/>
          <w:kern w:val="0"/>
          <w:sz w:val="22"/>
          <w:szCs w:val="22"/>
          <w:lang w:val="en-US" w:eastAsia="zh-CN"/>
        </w:rPr>
        <w:t>5、</w:t>
      </w:r>
      <w:r>
        <w:rPr>
          <w:rFonts w:hint="eastAsia" w:ascii="宋体" w:hAnsi="宋体" w:cs="Times New Roman"/>
          <w:b w:val="0"/>
          <w:bCs w:val="0"/>
          <w:color w:val="auto"/>
          <w:kern w:val="0"/>
          <w:sz w:val="22"/>
          <w:szCs w:val="22"/>
        </w:rPr>
        <w:t>空气质量检测</w:t>
      </w:r>
    </w:p>
    <w:p>
      <w:pPr>
        <w:pStyle w:val="358"/>
        <w:spacing w:after="0" w:line="360" w:lineRule="auto"/>
        <w:ind w:left="0" w:leftChars="0" w:firstLine="0"/>
        <w:rPr>
          <w:rFonts w:hint="eastAsia" w:ascii="宋体" w:hAnsi="宋体" w:cs="Times New Roman"/>
          <w:b w:val="0"/>
          <w:bCs w:val="0"/>
          <w:color w:val="auto"/>
          <w:kern w:val="0"/>
          <w:sz w:val="22"/>
          <w:szCs w:val="22"/>
        </w:rPr>
      </w:pPr>
      <w:r>
        <w:rPr>
          <w:rFonts w:hint="eastAsia" w:ascii="宋体" w:hAnsi="宋体" w:cs="Times New Roman"/>
          <w:b w:val="0"/>
          <w:bCs w:val="0"/>
          <w:color w:val="auto"/>
          <w:kern w:val="0"/>
          <w:sz w:val="22"/>
          <w:szCs w:val="22"/>
          <w:lang w:val="en-US" w:eastAsia="zh-CN"/>
        </w:rPr>
        <w:t>5.</w:t>
      </w:r>
      <w:r>
        <w:rPr>
          <w:rFonts w:hint="eastAsia" w:ascii="宋体" w:hAnsi="宋体" w:cs="Times New Roman"/>
          <w:b w:val="0"/>
          <w:bCs w:val="0"/>
          <w:color w:val="auto"/>
          <w:kern w:val="0"/>
          <w:sz w:val="22"/>
          <w:szCs w:val="22"/>
        </w:rPr>
        <w:t>1、安装完成且验收后，中标人负责进行除甲醛等空气处理。费用包含在投标报价内。</w:t>
      </w:r>
    </w:p>
    <w:p>
      <w:pPr>
        <w:pStyle w:val="358"/>
        <w:spacing w:after="0" w:line="360" w:lineRule="auto"/>
        <w:ind w:left="0" w:leftChars="0" w:firstLine="0"/>
        <w:rPr>
          <w:rFonts w:hint="eastAsia" w:ascii="宋体" w:hAnsi="宋体" w:cs="Times New Roman"/>
          <w:b w:val="0"/>
          <w:bCs w:val="0"/>
          <w:color w:val="auto"/>
          <w:kern w:val="0"/>
          <w:sz w:val="22"/>
          <w:szCs w:val="22"/>
        </w:rPr>
      </w:pPr>
      <w:r>
        <w:rPr>
          <w:rFonts w:hint="eastAsia" w:ascii="宋体" w:hAnsi="宋体" w:cs="Times New Roman"/>
          <w:b w:val="0"/>
          <w:bCs w:val="0"/>
          <w:color w:val="auto"/>
          <w:kern w:val="0"/>
          <w:sz w:val="22"/>
          <w:szCs w:val="22"/>
          <w:lang w:val="en-US" w:eastAsia="zh-CN"/>
        </w:rPr>
        <w:t>5.2</w:t>
      </w:r>
      <w:r>
        <w:rPr>
          <w:rFonts w:hint="eastAsia" w:ascii="宋体" w:hAnsi="宋体" w:cs="Times New Roman"/>
          <w:b w:val="0"/>
          <w:bCs w:val="0"/>
          <w:color w:val="auto"/>
          <w:kern w:val="0"/>
          <w:sz w:val="22"/>
          <w:szCs w:val="22"/>
        </w:rPr>
        <w:t>、中标人本项目全部安装完成后，在除甲醛后10天内进行空气质量检测，且需向采购单位提供室内具有CMA资质的空气质量检测实验室报告，检测结果保证将污染物浓度控制在国标范围以内，检测依据为国家强制规定《民用建筑工程室内环境污染控制标准》GB 50325-2020，检验项目为室内空气中的：甲醛、苯、甲苯、TVOC。</w:t>
      </w:r>
    </w:p>
    <w:p>
      <w:pPr>
        <w:pStyle w:val="358"/>
        <w:spacing w:after="0" w:line="360" w:lineRule="auto"/>
        <w:ind w:left="0" w:leftChars="0" w:firstLine="0"/>
        <w:rPr>
          <w:rFonts w:hint="eastAsia" w:ascii="宋体" w:hAnsi="宋体" w:cs="Times New Roman"/>
          <w:b w:val="0"/>
          <w:bCs w:val="0"/>
          <w:color w:val="auto"/>
          <w:kern w:val="0"/>
          <w:sz w:val="22"/>
          <w:szCs w:val="22"/>
          <w:lang w:val="zh-CN"/>
        </w:rPr>
      </w:pPr>
      <w:r>
        <w:rPr>
          <w:rFonts w:hint="eastAsia" w:ascii="宋体" w:hAnsi="宋体" w:cs="Times New Roman"/>
          <w:b w:val="0"/>
          <w:bCs w:val="0"/>
          <w:color w:val="auto"/>
          <w:kern w:val="0"/>
          <w:sz w:val="22"/>
          <w:szCs w:val="22"/>
          <w:lang w:val="en-US" w:eastAsia="zh-CN"/>
        </w:rPr>
        <w:t>5.3</w:t>
      </w:r>
      <w:r>
        <w:rPr>
          <w:rFonts w:hint="eastAsia" w:ascii="宋体" w:hAnsi="宋体" w:cs="Times New Roman"/>
          <w:b w:val="0"/>
          <w:bCs w:val="0"/>
          <w:color w:val="auto"/>
          <w:kern w:val="0"/>
          <w:sz w:val="22"/>
          <w:szCs w:val="22"/>
        </w:rPr>
        <w:t>、以上要求增加的成本，需由投标人在投标报价时自行考虑。</w:t>
      </w:r>
      <w:r>
        <w:rPr>
          <w:rFonts w:hint="eastAsia" w:ascii="宋体" w:hAnsi="宋体" w:cs="Times New Roman"/>
          <w:b w:val="0"/>
          <w:bCs w:val="0"/>
          <w:color w:val="auto"/>
          <w:kern w:val="0"/>
          <w:sz w:val="22"/>
          <w:szCs w:val="22"/>
          <w:lang w:val="zh-CN"/>
        </w:rPr>
        <w:t xml:space="preserve"> </w:t>
      </w:r>
    </w:p>
    <w:p>
      <w:pPr>
        <w:widowControl/>
        <w:autoSpaceDE w:val="0"/>
        <w:autoSpaceDN w:val="0"/>
        <w:adjustRightInd w:val="0"/>
        <w:snapToGrid w:val="0"/>
        <w:spacing w:line="500" w:lineRule="exact"/>
        <w:textAlignment w:val="bottom"/>
        <w:rPr>
          <w:rFonts w:ascii="宋体" w:hAnsi="宋体" w:cs="宋体"/>
          <w:b w:val="0"/>
          <w:bCs w:val="0"/>
          <w:sz w:val="22"/>
          <w:szCs w:val="22"/>
        </w:rPr>
      </w:pPr>
      <w:r>
        <w:rPr>
          <w:rFonts w:hint="eastAsia" w:ascii="宋体" w:hAnsi="宋体" w:cs="宋体"/>
          <w:b w:val="0"/>
          <w:bCs w:val="0"/>
          <w:sz w:val="22"/>
          <w:szCs w:val="22"/>
          <w:lang w:val="en-US" w:eastAsia="zh-CN"/>
        </w:rPr>
        <w:t>6</w:t>
      </w:r>
      <w:r>
        <w:rPr>
          <w:rFonts w:hint="eastAsia" w:ascii="宋体" w:hAnsi="宋体" w:cs="宋体"/>
          <w:b w:val="0"/>
          <w:bCs w:val="0"/>
          <w:sz w:val="22"/>
          <w:szCs w:val="22"/>
        </w:rPr>
        <w:t>、付款方式： 合同签订后7个工作日采购人向供应商支付合同总价</w:t>
      </w:r>
      <w:r>
        <w:rPr>
          <w:rFonts w:ascii="宋体" w:hAnsi="宋体" w:cs="宋体"/>
          <w:b w:val="0"/>
          <w:bCs w:val="0"/>
          <w:sz w:val="22"/>
          <w:szCs w:val="22"/>
        </w:rPr>
        <w:t>45</w:t>
      </w:r>
      <w:r>
        <w:rPr>
          <w:rFonts w:hint="eastAsia" w:ascii="宋体" w:hAnsi="宋体" w:cs="宋体"/>
          <w:b w:val="0"/>
          <w:bCs w:val="0"/>
          <w:sz w:val="22"/>
          <w:szCs w:val="22"/>
        </w:rPr>
        <w:t>%预付款，供应商将所有工作内容完成，由采购人验收合格后7个工作日内，采购人向供应商支付剩余</w:t>
      </w:r>
      <w:r>
        <w:rPr>
          <w:rFonts w:ascii="宋体" w:hAnsi="宋体" w:cs="宋体"/>
          <w:b w:val="0"/>
          <w:bCs w:val="0"/>
          <w:sz w:val="22"/>
          <w:szCs w:val="22"/>
        </w:rPr>
        <w:t>55</w:t>
      </w:r>
      <w:r>
        <w:rPr>
          <w:rFonts w:hint="eastAsia" w:ascii="宋体" w:hAnsi="宋体" w:cs="宋体"/>
          <w:b w:val="0"/>
          <w:bCs w:val="0"/>
          <w:sz w:val="22"/>
          <w:szCs w:val="22"/>
        </w:rPr>
        <w:t>%合同款。</w:t>
      </w:r>
    </w:p>
    <w:p>
      <w:pPr>
        <w:spacing w:line="500" w:lineRule="exact"/>
        <w:rPr>
          <w:rFonts w:ascii="宋体" w:hAnsi="宋体" w:cs="宋体"/>
          <w:b w:val="0"/>
          <w:bCs w:val="0"/>
          <w:sz w:val="22"/>
          <w:szCs w:val="22"/>
        </w:rPr>
      </w:pPr>
      <w:r>
        <w:rPr>
          <w:rFonts w:hint="eastAsia" w:ascii="宋体" w:hAnsi="宋体" w:cs="宋体"/>
          <w:b w:val="0"/>
          <w:bCs w:val="0"/>
          <w:sz w:val="22"/>
          <w:szCs w:val="22"/>
          <w:lang w:val="en-US" w:eastAsia="zh-CN"/>
        </w:rPr>
        <w:t>7</w:t>
      </w:r>
      <w:r>
        <w:rPr>
          <w:rFonts w:hint="eastAsia" w:ascii="宋体" w:hAnsi="宋体" w:cs="宋体"/>
          <w:b w:val="0"/>
          <w:bCs w:val="0"/>
          <w:sz w:val="22"/>
          <w:szCs w:val="22"/>
        </w:rPr>
        <w:t>、完工期：</w:t>
      </w:r>
      <w:r>
        <w:rPr>
          <w:rFonts w:hint="eastAsia" w:ascii="宋体" w:hAnsi="宋体" w:cs="宋体"/>
          <w:b w:val="0"/>
          <w:bCs w:val="0"/>
          <w:sz w:val="22"/>
          <w:szCs w:val="22"/>
          <w:u w:val="single"/>
        </w:rPr>
        <w:t xml:space="preserve"> 签订合同后</w:t>
      </w:r>
      <w:r>
        <w:rPr>
          <w:rFonts w:hint="eastAsia" w:ascii="宋体" w:hAnsi="宋体" w:cs="宋体"/>
          <w:b w:val="0"/>
          <w:bCs w:val="0"/>
          <w:sz w:val="22"/>
          <w:szCs w:val="22"/>
          <w:u w:val="single"/>
          <w:lang w:val="en-US" w:eastAsia="zh-CN"/>
        </w:rPr>
        <w:t>60</w:t>
      </w:r>
      <w:r>
        <w:rPr>
          <w:rFonts w:hint="eastAsia" w:ascii="宋体" w:hAnsi="宋体" w:cs="宋体"/>
          <w:b w:val="0"/>
          <w:bCs w:val="0"/>
          <w:sz w:val="22"/>
          <w:szCs w:val="22"/>
          <w:u w:val="single"/>
        </w:rPr>
        <w:t>天内完成。所有设备的安装、调试、验收需服从采购人的安排。</w:t>
      </w:r>
    </w:p>
    <w:p>
      <w:pPr>
        <w:widowControl/>
        <w:autoSpaceDE w:val="0"/>
        <w:autoSpaceDN w:val="0"/>
        <w:adjustRightInd w:val="0"/>
        <w:snapToGrid w:val="0"/>
        <w:spacing w:line="500" w:lineRule="exact"/>
        <w:textAlignment w:val="bottom"/>
        <w:rPr>
          <w:rFonts w:ascii="宋体" w:hAnsi="宋体" w:cs="宋体"/>
          <w:b w:val="0"/>
          <w:bCs w:val="0"/>
          <w:sz w:val="22"/>
          <w:szCs w:val="22"/>
        </w:rPr>
      </w:pPr>
      <w:r>
        <w:rPr>
          <w:rFonts w:hint="eastAsia" w:ascii="宋体" w:hAnsi="宋体" w:cs="宋体"/>
          <w:b w:val="0"/>
          <w:bCs w:val="0"/>
          <w:sz w:val="22"/>
          <w:szCs w:val="22"/>
          <w:lang w:val="en-US" w:eastAsia="zh-CN"/>
        </w:rPr>
        <w:t>8</w:t>
      </w:r>
      <w:r>
        <w:rPr>
          <w:rFonts w:hint="eastAsia" w:ascii="宋体" w:hAnsi="宋体" w:cs="宋体"/>
          <w:b w:val="0"/>
          <w:bCs w:val="0"/>
          <w:sz w:val="22"/>
          <w:szCs w:val="22"/>
        </w:rPr>
        <w:t>、 安装调试</w:t>
      </w:r>
    </w:p>
    <w:p>
      <w:pPr>
        <w:widowControl/>
        <w:autoSpaceDE w:val="0"/>
        <w:autoSpaceDN w:val="0"/>
        <w:adjustRightInd w:val="0"/>
        <w:snapToGrid w:val="0"/>
        <w:spacing w:line="500" w:lineRule="exact"/>
        <w:ind w:left="420"/>
        <w:textAlignment w:val="bottom"/>
        <w:rPr>
          <w:rFonts w:ascii="宋体" w:hAnsi="宋体" w:cs="宋体"/>
          <w:b w:val="0"/>
          <w:bCs w:val="0"/>
          <w:sz w:val="22"/>
          <w:szCs w:val="22"/>
        </w:rPr>
      </w:pPr>
      <w:r>
        <w:rPr>
          <w:rFonts w:hint="eastAsia" w:ascii="宋体" w:hAnsi="宋体" w:cs="宋体"/>
          <w:b w:val="0"/>
          <w:bCs w:val="0"/>
          <w:sz w:val="22"/>
          <w:szCs w:val="22"/>
        </w:rPr>
        <w:t>1)安装地点：按采购单位要求。</w:t>
      </w:r>
    </w:p>
    <w:p>
      <w:pPr>
        <w:widowControl/>
        <w:autoSpaceDE w:val="0"/>
        <w:autoSpaceDN w:val="0"/>
        <w:adjustRightInd w:val="0"/>
        <w:snapToGrid w:val="0"/>
        <w:spacing w:line="500" w:lineRule="exact"/>
        <w:ind w:left="420"/>
        <w:textAlignment w:val="bottom"/>
        <w:rPr>
          <w:rFonts w:ascii="宋体" w:hAnsi="宋体" w:cs="宋体"/>
          <w:b w:val="0"/>
          <w:bCs w:val="0"/>
          <w:sz w:val="22"/>
          <w:szCs w:val="22"/>
        </w:rPr>
      </w:pPr>
      <w:r>
        <w:rPr>
          <w:rFonts w:hint="eastAsia" w:ascii="宋体" w:hAnsi="宋体" w:cs="宋体"/>
          <w:b w:val="0"/>
          <w:bCs w:val="0"/>
          <w:sz w:val="22"/>
          <w:szCs w:val="22"/>
        </w:rPr>
        <w:t>2)安装标准：符合我国国家有关技术规范要求和技术标准。</w:t>
      </w:r>
    </w:p>
    <w:p>
      <w:pPr>
        <w:widowControl/>
        <w:autoSpaceDE w:val="0"/>
        <w:autoSpaceDN w:val="0"/>
        <w:adjustRightInd w:val="0"/>
        <w:snapToGrid w:val="0"/>
        <w:spacing w:line="500" w:lineRule="exact"/>
        <w:ind w:left="420"/>
        <w:textAlignment w:val="bottom"/>
        <w:rPr>
          <w:rFonts w:ascii="宋体" w:hAnsi="宋体" w:cs="宋体"/>
          <w:b w:val="0"/>
          <w:bCs w:val="0"/>
          <w:sz w:val="22"/>
          <w:szCs w:val="22"/>
        </w:rPr>
      </w:pPr>
      <w:r>
        <w:rPr>
          <w:rFonts w:hint="eastAsia" w:ascii="宋体" w:hAnsi="宋体" w:cs="宋体"/>
          <w:b w:val="0"/>
          <w:bCs w:val="0"/>
          <w:sz w:val="22"/>
          <w:szCs w:val="22"/>
        </w:rPr>
        <w:t>3)安装过程中发生的费用由卖方负责。</w:t>
      </w:r>
    </w:p>
    <w:p>
      <w:pPr>
        <w:adjustRightInd w:val="0"/>
        <w:snapToGrid w:val="0"/>
        <w:spacing w:line="500" w:lineRule="exact"/>
        <w:ind w:firstLine="435" w:firstLineChars="198"/>
        <w:rPr>
          <w:rFonts w:ascii="宋体" w:hAnsi="宋体" w:cs="宋体"/>
          <w:b w:val="0"/>
          <w:bCs w:val="0"/>
          <w:sz w:val="22"/>
          <w:szCs w:val="22"/>
        </w:rPr>
      </w:pPr>
      <w:r>
        <w:rPr>
          <w:rFonts w:hint="eastAsia" w:ascii="宋体" w:hAnsi="宋体" w:cs="宋体"/>
          <w:b w:val="0"/>
          <w:bCs w:val="0"/>
          <w:sz w:val="22"/>
          <w:szCs w:val="22"/>
        </w:rPr>
        <w:t>供应商应在投标文件中提供其安装调试过程中使用单位需配合的内容。</w:t>
      </w:r>
    </w:p>
    <w:p>
      <w:pPr>
        <w:adjustRightInd w:val="0"/>
        <w:snapToGrid w:val="0"/>
        <w:spacing w:line="500" w:lineRule="exact"/>
        <w:outlineLvl w:val="0"/>
        <w:rPr>
          <w:rFonts w:ascii="宋体" w:hAnsi="宋体" w:cs="宋体"/>
          <w:b w:val="0"/>
          <w:bCs w:val="0"/>
          <w:sz w:val="22"/>
          <w:szCs w:val="22"/>
        </w:rPr>
      </w:pPr>
      <w:r>
        <w:rPr>
          <w:rFonts w:hint="eastAsia" w:ascii="宋体" w:hAnsi="宋体" w:cs="宋体"/>
          <w:b w:val="0"/>
          <w:bCs w:val="0"/>
          <w:sz w:val="22"/>
          <w:szCs w:val="22"/>
          <w:lang w:val="en-US" w:eastAsia="zh-CN"/>
        </w:rPr>
        <w:t>四</w:t>
      </w:r>
      <w:r>
        <w:rPr>
          <w:rFonts w:hint="eastAsia" w:ascii="宋体" w:hAnsi="宋体" w:cs="宋体"/>
          <w:b w:val="0"/>
          <w:bCs w:val="0"/>
          <w:sz w:val="22"/>
          <w:szCs w:val="22"/>
        </w:rPr>
        <w:t>、工作范围：</w:t>
      </w:r>
    </w:p>
    <w:p>
      <w:pPr>
        <w:adjustRightInd w:val="0"/>
        <w:snapToGrid w:val="0"/>
        <w:spacing w:line="500" w:lineRule="exact"/>
        <w:ind w:firstLine="440" w:firstLineChars="200"/>
        <w:rPr>
          <w:rFonts w:ascii="宋体" w:hAnsi="宋体" w:cs="宋体"/>
          <w:b w:val="0"/>
          <w:bCs w:val="0"/>
          <w:sz w:val="22"/>
          <w:szCs w:val="22"/>
        </w:rPr>
      </w:pPr>
      <w:r>
        <w:rPr>
          <w:rFonts w:hint="eastAsia" w:ascii="宋体" w:hAnsi="宋体" w:cs="宋体"/>
          <w:b w:val="0"/>
          <w:bCs w:val="0"/>
          <w:sz w:val="22"/>
          <w:szCs w:val="22"/>
        </w:rPr>
        <w:t>根据招标文件，各供应商须按国家有关标准及规范完成下列工作：</w:t>
      </w:r>
    </w:p>
    <w:p>
      <w:pPr>
        <w:tabs>
          <w:tab w:val="left" w:pos="1740"/>
        </w:tabs>
        <w:adjustRightInd w:val="0"/>
        <w:snapToGrid w:val="0"/>
        <w:spacing w:line="500" w:lineRule="exact"/>
        <w:ind w:firstLine="431" w:firstLineChars="196"/>
        <w:rPr>
          <w:rFonts w:ascii="宋体" w:hAnsi="宋体" w:cs="宋体"/>
          <w:b w:val="0"/>
          <w:bCs w:val="0"/>
          <w:sz w:val="22"/>
          <w:szCs w:val="22"/>
        </w:rPr>
      </w:pPr>
      <w:r>
        <w:rPr>
          <w:rFonts w:hint="eastAsia" w:ascii="宋体" w:hAnsi="宋体" w:cs="宋体"/>
          <w:b w:val="0"/>
          <w:bCs w:val="0"/>
          <w:sz w:val="22"/>
          <w:szCs w:val="22"/>
        </w:rPr>
        <w:t>1.提供完整成套的货物；</w:t>
      </w:r>
    </w:p>
    <w:p>
      <w:pPr>
        <w:adjustRightInd w:val="0"/>
        <w:snapToGrid w:val="0"/>
        <w:spacing w:line="500" w:lineRule="exact"/>
        <w:ind w:firstLine="431" w:firstLineChars="196"/>
        <w:rPr>
          <w:rFonts w:ascii="宋体" w:hAnsi="宋体" w:cs="宋体"/>
          <w:b w:val="0"/>
          <w:bCs w:val="0"/>
          <w:sz w:val="22"/>
          <w:szCs w:val="22"/>
        </w:rPr>
      </w:pPr>
      <w:r>
        <w:rPr>
          <w:rFonts w:hint="eastAsia" w:ascii="宋体" w:hAnsi="宋体" w:cs="宋体"/>
          <w:b w:val="0"/>
          <w:bCs w:val="0"/>
          <w:sz w:val="22"/>
          <w:szCs w:val="22"/>
        </w:rPr>
        <w:t>2.产品及相关附件的提供、运输、装卸、就位、安装、调试、检验、通过验收；</w:t>
      </w:r>
    </w:p>
    <w:p>
      <w:pPr>
        <w:tabs>
          <w:tab w:val="left" w:pos="1740"/>
        </w:tabs>
        <w:adjustRightInd w:val="0"/>
        <w:snapToGrid w:val="0"/>
        <w:spacing w:line="500" w:lineRule="exact"/>
        <w:ind w:firstLine="431" w:firstLineChars="196"/>
        <w:rPr>
          <w:rFonts w:ascii="宋体" w:hAnsi="宋体" w:cs="宋体"/>
          <w:b w:val="0"/>
          <w:bCs w:val="0"/>
          <w:sz w:val="22"/>
          <w:szCs w:val="22"/>
        </w:rPr>
      </w:pPr>
      <w:r>
        <w:rPr>
          <w:rFonts w:hint="eastAsia" w:ascii="宋体" w:hAnsi="宋体" w:cs="宋体"/>
          <w:b w:val="0"/>
          <w:bCs w:val="0"/>
          <w:sz w:val="22"/>
          <w:szCs w:val="22"/>
        </w:rPr>
        <w:t>3.完成各项安装、调试、检验、测试、培训等工作，并在买方的配合下通过的验收；提供各种数据资料；直至通过验收；</w:t>
      </w:r>
    </w:p>
    <w:p>
      <w:pPr>
        <w:adjustRightInd w:val="0"/>
        <w:snapToGrid w:val="0"/>
        <w:spacing w:line="500" w:lineRule="exact"/>
        <w:ind w:firstLine="431" w:firstLineChars="196"/>
        <w:rPr>
          <w:rFonts w:ascii="宋体" w:hAnsi="宋体" w:cs="宋体"/>
          <w:b w:val="0"/>
          <w:bCs w:val="0"/>
          <w:sz w:val="22"/>
          <w:szCs w:val="22"/>
        </w:rPr>
      </w:pPr>
      <w:r>
        <w:rPr>
          <w:rFonts w:hint="eastAsia" w:ascii="宋体" w:hAnsi="宋体" w:cs="宋体"/>
          <w:b w:val="0"/>
          <w:bCs w:val="0"/>
          <w:sz w:val="22"/>
          <w:szCs w:val="22"/>
        </w:rPr>
        <w:t>4.质保期内维保及维修及质保期后终身维修；</w:t>
      </w:r>
    </w:p>
    <w:p>
      <w:pPr>
        <w:adjustRightInd w:val="0"/>
        <w:snapToGrid w:val="0"/>
        <w:spacing w:line="500" w:lineRule="exact"/>
        <w:ind w:firstLine="431" w:firstLineChars="196"/>
        <w:rPr>
          <w:rFonts w:ascii="宋体" w:hAnsi="宋体" w:cs="宋体"/>
          <w:b w:val="0"/>
          <w:bCs w:val="0"/>
          <w:sz w:val="22"/>
          <w:szCs w:val="22"/>
        </w:rPr>
      </w:pPr>
      <w:r>
        <w:rPr>
          <w:rFonts w:hint="eastAsia" w:ascii="宋体" w:hAnsi="宋体" w:cs="宋体"/>
          <w:b w:val="0"/>
          <w:bCs w:val="0"/>
          <w:sz w:val="22"/>
          <w:szCs w:val="22"/>
        </w:rPr>
        <w:t>5.售后服务的措施及承诺。</w:t>
      </w:r>
    </w:p>
    <w:p>
      <w:pPr>
        <w:autoSpaceDE w:val="0"/>
        <w:autoSpaceDN w:val="0"/>
        <w:adjustRightInd w:val="0"/>
        <w:snapToGrid w:val="0"/>
        <w:spacing w:line="500" w:lineRule="exact"/>
        <w:ind w:firstLine="431" w:firstLineChars="196"/>
        <w:rPr>
          <w:rFonts w:ascii="宋体" w:hAnsi="宋体" w:cs="宋体"/>
          <w:b w:val="0"/>
          <w:bCs w:val="0"/>
          <w:sz w:val="22"/>
          <w:szCs w:val="22"/>
          <w:u w:val="single"/>
          <w:lang w:val="zh-CN"/>
        </w:rPr>
      </w:pPr>
      <w:r>
        <w:rPr>
          <w:rFonts w:hint="eastAsia" w:ascii="宋体" w:hAnsi="宋体" w:cs="宋体"/>
          <w:b w:val="0"/>
          <w:bCs w:val="0"/>
          <w:sz w:val="22"/>
          <w:szCs w:val="22"/>
          <w:u w:val="single"/>
          <w:lang w:val="zh-CN"/>
        </w:rPr>
        <w:t>注意：除质保期后终身维修外以上其他工作内容的费用均包含在投标总价中。</w:t>
      </w:r>
    </w:p>
    <w:p>
      <w:pPr>
        <w:adjustRightInd w:val="0"/>
        <w:snapToGrid w:val="0"/>
        <w:spacing w:line="500" w:lineRule="exact"/>
        <w:ind w:firstLine="440" w:firstLineChars="200"/>
        <w:rPr>
          <w:rFonts w:ascii="宋体" w:hAnsi="宋体" w:cs="宋体"/>
          <w:b w:val="0"/>
          <w:bCs w:val="0"/>
          <w:sz w:val="22"/>
          <w:szCs w:val="22"/>
        </w:rPr>
      </w:pPr>
      <w:r>
        <w:rPr>
          <w:rFonts w:hint="eastAsia" w:ascii="宋体" w:hAnsi="宋体" w:cs="宋体"/>
          <w:b w:val="0"/>
          <w:bCs w:val="0"/>
          <w:sz w:val="22"/>
          <w:szCs w:val="22"/>
        </w:rPr>
        <w:t>以上工作内容的费用均包含在投标总价中。</w:t>
      </w:r>
    </w:p>
    <w:p>
      <w:pPr>
        <w:pStyle w:val="2"/>
        <w:keepNext w:val="0"/>
        <w:keepLines w:val="0"/>
        <w:pageBreakBefore/>
        <w:jc w:val="center"/>
        <w:rPr>
          <w:rFonts w:ascii="宋体" w:hAnsi="宋体" w:cs="宋体"/>
          <w:sz w:val="32"/>
          <w:szCs w:val="32"/>
        </w:rPr>
      </w:pPr>
      <w:r>
        <w:rPr>
          <w:rFonts w:hint="eastAsia" w:ascii="宋体" w:hAnsi="宋体" w:cs="宋体"/>
          <w:sz w:val="32"/>
          <w:szCs w:val="32"/>
        </w:rPr>
        <w:t>第四章  合同主要条款</w:t>
      </w:r>
    </w:p>
    <w:p>
      <w:pPr>
        <w:spacing w:line="380" w:lineRule="exact"/>
        <w:rPr>
          <w:rFonts w:ascii="宋体" w:hAnsi="宋体" w:cs="宋体"/>
          <w:szCs w:val="21"/>
        </w:rPr>
      </w:pPr>
      <w:r>
        <w:rPr>
          <w:rFonts w:hint="eastAsia" w:ascii="宋体" w:hAnsi="宋体" w:cs="宋体"/>
          <w:szCs w:val="21"/>
        </w:rPr>
        <w:t>本条款为买卖双方必须遵守的基本条款，买卖双方也可根据实际情况另行约定，正式合同以双方签字盖章的文本为准。</w:t>
      </w:r>
    </w:p>
    <w:p>
      <w:pPr>
        <w:spacing w:line="380" w:lineRule="exact"/>
        <w:rPr>
          <w:rFonts w:ascii="宋体" w:hAnsi="宋体" w:cs="宋体"/>
          <w:szCs w:val="21"/>
          <w:u w:val="single"/>
        </w:rPr>
      </w:pPr>
      <w:r>
        <w:rPr>
          <w:rFonts w:hint="eastAsia" w:ascii="宋体" w:hAnsi="宋体" w:cs="宋体"/>
          <w:szCs w:val="21"/>
        </w:rPr>
        <w:t xml:space="preserve">    买方：</w:t>
      </w:r>
      <w:r>
        <w:rPr>
          <w:rFonts w:hint="eastAsia" w:ascii="宋体" w:hAnsi="宋体" w:cs="宋体"/>
          <w:szCs w:val="21"/>
          <w:u w:val="single"/>
        </w:rPr>
        <w:t xml:space="preserve">                              </w:t>
      </w:r>
    </w:p>
    <w:p>
      <w:pPr>
        <w:spacing w:line="380" w:lineRule="exact"/>
        <w:rPr>
          <w:rFonts w:ascii="宋体" w:hAnsi="宋体" w:cs="宋体"/>
          <w:szCs w:val="21"/>
          <w:u w:val="single"/>
        </w:rPr>
      </w:pPr>
      <w:r>
        <w:rPr>
          <w:rFonts w:hint="eastAsia" w:ascii="宋体" w:hAnsi="宋体" w:cs="宋体"/>
          <w:szCs w:val="21"/>
        </w:rPr>
        <w:t xml:space="preserve">    卖方：</w:t>
      </w:r>
      <w:r>
        <w:rPr>
          <w:rFonts w:hint="eastAsia" w:ascii="宋体" w:hAnsi="宋体" w:cs="宋体"/>
          <w:szCs w:val="21"/>
          <w:u w:val="single"/>
        </w:rPr>
        <w:t xml:space="preserve">                               </w:t>
      </w:r>
    </w:p>
    <w:p>
      <w:pPr>
        <w:spacing w:line="380" w:lineRule="exact"/>
        <w:rPr>
          <w:rFonts w:ascii="宋体" w:hAnsi="宋体" w:cs="宋体"/>
          <w:szCs w:val="21"/>
        </w:rPr>
      </w:pPr>
      <w:r>
        <w:rPr>
          <w:rFonts w:hint="eastAsia" w:ascii="宋体" w:hAnsi="宋体" w:cs="宋体"/>
          <w:szCs w:val="21"/>
        </w:rPr>
        <w:t xml:space="preserve">    鉴于买方于    年   月   日接受卖方对</w:t>
      </w:r>
      <w:r>
        <w:rPr>
          <w:rFonts w:hint="eastAsia" w:ascii="宋体" w:hAnsi="宋体" w:cs="宋体"/>
          <w:szCs w:val="21"/>
          <w:u w:val="single"/>
        </w:rPr>
        <w:t xml:space="preserve">                      </w:t>
      </w:r>
      <w:r>
        <w:rPr>
          <w:rFonts w:hint="eastAsia" w:ascii="宋体" w:hAnsi="宋体" w:cs="宋体"/>
          <w:szCs w:val="21"/>
        </w:rPr>
        <w:t>的投标，双方根据《中华人民共和国合同法》和本项目的招标文件、投标文件及其投标中的承诺，经双方协商，同意签订本合同，共同遵守：</w:t>
      </w:r>
    </w:p>
    <w:p>
      <w:pPr>
        <w:spacing w:line="380" w:lineRule="exact"/>
        <w:rPr>
          <w:rFonts w:ascii="宋体" w:hAnsi="宋体" w:cs="宋体"/>
          <w:sz w:val="22"/>
          <w:szCs w:val="22"/>
        </w:rPr>
      </w:pPr>
      <w:r>
        <w:rPr>
          <w:rFonts w:hint="eastAsia" w:ascii="宋体" w:hAnsi="宋体" w:cs="宋体"/>
          <w:b/>
          <w:bCs/>
          <w:szCs w:val="21"/>
        </w:rPr>
        <w:t>1．  合同内容</w:t>
      </w:r>
      <w:r>
        <w:rPr>
          <w:rFonts w:hint="eastAsia" w:ascii="宋体" w:hAnsi="宋体" w:cs="宋体"/>
          <w:szCs w:val="21"/>
        </w:rPr>
        <w:t>：依据招标文件内容</w:t>
      </w:r>
      <w:r>
        <w:rPr>
          <w:rFonts w:hint="eastAsia" w:ascii="宋体" w:hAnsi="宋体" w:cs="宋体"/>
          <w:sz w:val="22"/>
          <w:szCs w:val="22"/>
        </w:rPr>
        <w:t>。</w:t>
      </w:r>
    </w:p>
    <w:p>
      <w:pPr>
        <w:spacing w:line="380" w:lineRule="exact"/>
        <w:rPr>
          <w:rFonts w:ascii="宋体" w:hAnsi="宋体" w:cs="宋体"/>
          <w:b/>
          <w:bCs/>
          <w:szCs w:val="21"/>
        </w:rPr>
      </w:pPr>
      <w:r>
        <w:rPr>
          <w:rFonts w:hint="eastAsia" w:ascii="宋体" w:hAnsi="宋体" w:cs="宋体"/>
          <w:b/>
          <w:bCs/>
          <w:szCs w:val="21"/>
        </w:rPr>
        <w:t>2．  合同价格：</w:t>
      </w:r>
    </w:p>
    <w:p>
      <w:pPr>
        <w:spacing w:line="380" w:lineRule="exact"/>
        <w:ind w:firstLine="525" w:firstLineChars="250"/>
        <w:rPr>
          <w:rFonts w:ascii="宋体" w:hAnsi="宋体" w:cs="宋体"/>
          <w:b/>
          <w:bCs/>
          <w:szCs w:val="21"/>
        </w:rPr>
      </w:pPr>
      <w:r>
        <w:rPr>
          <w:rFonts w:hint="eastAsia" w:ascii="宋体" w:hAnsi="宋体" w:cs="宋体"/>
          <w:szCs w:val="21"/>
        </w:rPr>
        <w:t>本合同总价为人民币</w:t>
      </w:r>
      <w:r>
        <w:rPr>
          <w:rFonts w:hint="eastAsia" w:ascii="宋体" w:hAnsi="宋体" w:cs="宋体"/>
          <w:szCs w:val="21"/>
          <w:u w:val="single"/>
        </w:rPr>
        <w:t xml:space="preserve">           </w:t>
      </w:r>
      <w:r>
        <w:rPr>
          <w:rFonts w:hint="eastAsia" w:ascii="宋体" w:hAnsi="宋体" w:cs="宋体"/>
          <w:szCs w:val="21"/>
        </w:rPr>
        <w:t>元。</w:t>
      </w:r>
    </w:p>
    <w:p>
      <w:pPr>
        <w:pStyle w:val="18"/>
        <w:spacing w:line="380" w:lineRule="exact"/>
        <w:ind w:left="567" w:leftChars="270"/>
        <w:rPr>
          <w:rFonts w:ascii="宋体" w:hAnsi="宋体" w:cs="宋体"/>
          <w:szCs w:val="21"/>
        </w:rPr>
      </w:pPr>
      <w:r>
        <w:rPr>
          <w:rFonts w:hint="eastAsia" w:ascii="宋体" w:hAnsi="宋体" w:cs="宋体"/>
          <w:szCs w:val="21"/>
        </w:rPr>
        <w:t>本合同总价为设备供货、运输、保险、装卸、检验、安装、试运行、验收、售后服务等内容的全部费用，实行固定费用总价包干。除发生下列原因可调整合同价外，不得以任何其他理由调整费用。</w:t>
      </w:r>
    </w:p>
    <w:p>
      <w:pPr>
        <w:spacing w:line="380" w:lineRule="exact"/>
        <w:ind w:left="525" w:hanging="525" w:hangingChars="250"/>
        <w:rPr>
          <w:rFonts w:ascii="宋体" w:hAnsi="宋体" w:cs="宋体"/>
          <w:szCs w:val="21"/>
        </w:rPr>
      </w:pPr>
      <w:r>
        <w:rPr>
          <w:rFonts w:hint="eastAsia" w:ascii="宋体" w:hAnsi="宋体" w:cs="宋体"/>
          <w:szCs w:val="21"/>
        </w:rPr>
        <w:t>2.1  买方提出的货物变更或由卖方提出的合理化建议，经买方同意采纳的货物型号、规格等方面的变更，可根据原中标单价计算变更费用。但属卖方投标漏项少算的货物及服务费用不得追补。</w:t>
      </w:r>
    </w:p>
    <w:p>
      <w:pPr>
        <w:spacing w:line="380" w:lineRule="exact"/>
        <w:rPr>
          <w:rFonts w:ascii="宋体" w:hAnsi="宋体" w:cs="宋体"/>
          <w:b/>
          <w:bCs/>
          <w:szCs w:val="21"/>
        </w:rPr>
      </w:pPr>
      <w:r>
        <w:rPr>
          <w:rFonts w:hint="eastAsia" w:ascii="宋体" w:hAnsi="宋体" w:cs="宋体"/>
          <w:b/>
          <w:bCs/>
          <w:szCs w:val="21"/>
        </w:rPr>
        <w:t>3．  货物、材料供应</w:t>
      </w:r>
    </w:p>
    <w:p>
      <w:pPr>
        <w:spacing w:line="380" w:lineRule="exact"/>
        <w:ind w:left="550" w:leftChars="262"/>
        <w:rPr>
          <w:rFonts w:ascii="宋体" w:hAnsi="宋体" w:cs="宋体"/>
          <w:b/>
          <w:bCs/>
          <w:szCs w:val="21"/>
        </w:rPr>
      </w:pPr>
      <w:r>
        <w:rPr>
          <w:rFonts w:hint="eastAsia" w:ascii="宋体" w:hAnsi="宋体" w:cs="宋体"/>
          <w:szCs w:val="21"/>
        </w:rPr>
        <w:t>本合同范围内所需的货物、材料全部由卖方提供，但必须附有清单及合格证等相关技术资料，如发现不合格的货物、材料由卖方承担由此而引发的全部责任。</w:t>
      </w:r>
    </w:p>
    <w:p>
      <w:pPr>
        <w:spacing w:line="380" w:lineRule="exact"/>
        <w:rPr>
          <w:rFonts w:ascii="宋体" w:hAnsi="宋体" w:cs="宋体"/>
          <w:b/>
          <w:bCs/>
          <w:szCs w:val="21"/>
        </w:rPr>
      </w:pPr>
      <w:r>
        <w:rPr>
          <w:rFonts w:hint="eastAsia" w:ascii="宋体" w:hAnsi="宋体" w:cs="宋体"/>
          <w:b/>
          <w:bCs/>
          <w:szCs w:val="21"/>
        </w:rPr>
        <w:t>4．  质量保证</w:t>
      </w:r>
    </w:p>
    <w:p>
      <w:pPr>
        <w:spacing w:line="380" w:lineRule="exact"/>
        <w:ind w:left="525" w:hanging="525" w:hangingChars="250"/>
        <w:rPr>
          <w:rFonts w:ascii="宋体" w:hAnsi="宋体" w:cs="宋体"/>
          <w:szCs w:val="21"/>
        </w:rPr>
      </w:pPr>
      <w:r>
        <w:rPr>
          <w:rFonts w:hint="eastAsia" w:ascii="宋体" w:hAnsi="宋体" w:cs="宋体"/>
          <w:szCs w:val="21"/>
        </w:rPr>
        <w:t>4.1  卖方所提供的货物应保证是全新的、未使用过的且原包装未拆封的，并完全符合合同规定的质量、规格和性能要求，买方将在现场拆封验收。卖方应保证所提供的货物经正确安装、正常运行和保养，在其使用寿命期内应具有使买方满意的性能，并且确保一次性通过各项检验和测试。在货物质量保证期内卖方应对由于设计、工艺、材料和配套件的缺陷所产生的任何不足或故障负责。</w:t>
      </w:r>
    </w:p>
    <w:p>
      <w:pPr>
        <w:spacing w:line="380" w:lineRule="exact"/>
        <w:ind w:left="525" w:hanging="525" w:hangingChars="250"/>
        <w:rPr>
          <w:rFonts w:ascii="宋体" w:hAnsi="宋体" w:cs="宋体"/>
          <w:szCs w:val="21"/>
        </w:rPr>
      </w:pPr>
      <w:r>
        <w:rPr>
          <w:rFonts w:hint="eastAsia" w:ascii="宋体" w:hAnsi="宋体" w:cs="宋体"/>
          <w:szCs w:val="21"/>
        </w:rPr>
        <w:t>4.2  根据买方按国家检验标准检验的结果或当地质检部门检验的结果，或者在质量保证期内，发现货物的数量、质量或规格与合同不符，或证实货物是有缺陷的，包括潜在的缺陷或使用不符合要求的材料等，买方尽快以书面形式通知卖方，提出索赔。</w:t>
      </w:r>
    </w:p>
    <w:p>
      <w:pPr>
        <w:spacing w:line="380" w:lineRule="exact"/>
        <w:ind w:left="525" w:hanging="525" w:hangingChars="250"/>
        <w:rPr>
          <w:rFonts w:ascii="宋体" w:hAnsi="宋体" w:cs="宋体"/>
          <w:szCs w:val="21"/>
        </w:rPr>
      </w:pPr>
      <w:r>
        <w:rPr>
          <w:rFonts w:hint="eastAsia" w:ascii="宋体" w:hAnsi="宋体" w:cs="宋体"/>
          <w:szCs w:val="21"/>
        </w:rPr>
        <w:t>4.3  卖方在收到通知后，应在规定期限内免费维修或更换有缺陷的货物或部件。</w:t>
      </w:r>
    </w:p>
    <w:p>
      <w:pPr>
        <w:spacing w:line="380" w:lineRule="exact"/>
        <w:ind w:left="514" w:hanging="514" w:hangingChars="244"/>
        <w:rPr>
          <w:rFonts w:ascii="宋体" w:hAnsi="宋体" w:cs="宋体"/>
          <w:b/>
          <w:bCs/>
          <w:szCs w:val="21"/>
        </w:rPr>
      </w:pPr>
      <w:r>
        <w:rPr>
          <w:rFonts w:hint="eastAsia" w:ascii="宋体" w:hAnsi="宋体" w:cs="宋体"/>
          <w:b/>
          <w:bCs/>
          <w:szCs w:val="21"/>
        </w:rPr>
        <w:t>5．  专利权</w:t>
      </w:r>
    </w:p>
    <w:p>
      <w:pPr>
        <w:spacing w:line="380" w:lineRule="exact"/>
        <w:ind w:left="525" w:hanging="525" w:hangingChars="250"/>
        <w:rPr>
          <w:rFonts w:ascii="宋体" w:hAnsi="宋体" w:cs="宋体"/>
          <w:szCs w:val="21"/>
        </w:rPr>
      </w:pPr>
      <w:r>
        <w:rPr>
          <w:rFonts w:hint="eastAsia" w:ascii="宋体" w:hAnsi="宋体" w:cs="宋体"/>
          <w:szCs w:val="21"/>
        </w:rPr>
        <w:t>5.1  卖方应保证买方在使用该产品或产品的任何一部分免受第三方提出的侵犯其专利权、商标权、著作权或其他知识产权的纠纷。</w:t>
      </w:r>
    </w:p>
    <w:p>
      <w:pPr>
        <w:spacing w:line="380" w:lineRule="exact"/>
        <w:ind w:left="525" w:hanging="525" w:hangingChars="250"/>
        <w:rPr>
          <w:rFonts w:ascii="宋体" w:hAnsi="宋体" w:cs="宋体"/>
          <w:szCs w:val="21"/>
        </w:rPr>
      </w:pPr>
      <w:r>
        <w:rPr>
          <w:rFonts w:hint="eastAsia" w:ascii="宋体" w:hAnsi="宋体" w:cs="宋体"/>
          <w:szCs w:val="21"/>
        </w:rPr>
        <w:t>5.2  卖方应承担侵犯专利权、商标权、著作权或其他知识产权的相关责任和费用。</w:t>
      </w:r>
    </w:p>
    <w:p>
      <w:pPr>
        <w:spacing w:line="380" w:lineRule="exact"/>
        <w:ind w:left="442" w:hanging="442" w:hangingChars="200"/>
        <w:rPr>
          <w:rFonts w:ascii="宋体" w:hAnsi="宋体" w:cs="宋体"/>
          <w:b/>
          <w:szCs w:val="21"/>
        </w:rPr>
      </w:pPr>
      <w:r>
        <w:rPr>
          <w:rFonts w:hint="eastAsia" w:ascii="宋体" w:hAnsi="宋体" w:cs="宋体"/>
          <w:b/>
          <w:sz w:val="22"/>
          <w:szCs w:val="22"/>
        </w:rPr>
        <w:t>6、</w:t>
      </w:r>
      <w:r>
        <w:rPr>
          <w:rFonts w:hint="eastAsia" w:ascii="宋体" w:hAnsi="宋体" w:cs="宋体"/>
          <w:b/>
          <w:szCs w:val="21"/>
        </w:rPr>
        <w:t xml:space="preserve">  检验和测试</w:t>
      </w:r>
    </w:p>
    <w:p>
      <w:pPr>
        <w:spacing w:line="380" w:lineRule="exact"/>
        <w:ind w:left="525" w:hanging="525" w:hangingChars="250"/>
        <w:rPr>
          <w:rFonts w:ascii="宋体" w:hAnsi="宋体" w:cs="宋体"/>
          <w:szCs w:val="21"/>
        </w:rPr>
      </w:pPr>
      <w:r>
        <w:rPr>
          <w:rFonts w:hint="eastAsia" w:ascii="宋体" w:hAnsi="宋体" w:cs="宋体"/>
          <w:szCs w:val="21"/>
        </w:rPr>
        <w:t>6.1  买方或其代表有权检验和测试货物,以确认货物是否符合合同规定的要求,并且不承担额外的费用。</w:t>
      </w:r>
    </w:p>
    <w:p>
      <w:pPr>
        <w:spacing w:line="380" w:lineRule="exact"/>
        <w:ind w:left="525" w:hanging="525" w:hangingChars="250"/>
        <w:rPr>
          <w:rFonts w:ascii="宋体" w:hAnsi="宋体" w:cs="宋体"/>
          <w:szCs w:val="21"/>
        </w:rPr>
      </w:pPr>
      <w:r>
        <w:rPr>
          <w:rFonts w:hint="eastAsia" w:ascii="宋体" w:hAnsi="宋体" w:cs="宋体"/>
          <w:szCs w:val="21"/>
        </w:rPr>
        <w:t>6.2  检验和测试可以在卖方交货地点或货物的最终目的地进行。如果在卖方现场进行，检测人员应得到卖方提供的全部合理的设施和协助，买方不应承担费用。</w:t>
      </w:r>
    </w:p>
    <w:p>
      <w:pPr>
        <w:spacing w:line="380" w:lineRule="exact"/>
        <w:ind w:left="525" w:hanging="525" w:hangingChars="250"/>
        <w:rPr>
          <w:rFonts w:ascii="宋体" w:hAnsi="宋体" w:cs="宋体"/>
          <w:szCs w:val="21"/>
        </w:rPr>
      </w:pPr>
      <w:r>
        <w:rPr>
          <w:rFonts w:hint="eastAsia" w:ascii="宋体" w:hAnsi="宋体" w:cs="宋体"/>
          <w:szCs w:val="21"/>
        </w:rPr>
        <w:t>6.3  如果任何被检验或测试的货物不能满足技术规格的要求,买方可以拒绝接受该货物,卖方应更换被拒绝的货物或者免费进行必要的修改以满足技术规格的要求。</w:t>
      </w:r>
    </w:p>
    <w:p>
      <w:pPr>
        <w:spacing w:line="380" w:lineRule="exact"/>
        <w:ind w:left="525" w:hanging="525" w:hangingChars="250"/>
        <w:rPr>
          <w:rFonts w:ascii="宋体" w:hAnsi="宋体" w:cs="宋体"/>
          <w:szCs w:val="21"/>
        </w:rPr>
      </w:pPr>
      <w:r>
        <w:rPr>
          <w:rFonts w:hint="eastAsia" w:ascii="宋体" w:hAnsi="宋体" w:cs="宋体"/>
          <w:szCs w:val="21"/>
        </w:rPr>
        <w:t>6.4  在交货前，卖方应让制造商对货物的质量、规格、数量、性能和重量等进行详细而全面的检验，并且出具一份证明货物符合合同规定的检验证书，附在交付的货物内。检验证书是付款时的依据和组成部分，但不能作为有关质量、规格、性能、数量或重量的最终检验。</w:t>
      </w:r>
    </w:p>
    <w:p>
      <w:pPr>
        <w:spacing w:line="380" w:lineRule="exact"/>
        <w:ind w:left="525" w:hanging="525" w:hangingChars="250"/>
        <w:rPr>
          <w:rFonts w:ascii="宋体" w:hAnsi="宋体" w:cs="宋体"/>
          <w:szCs w:val="21"/>
        </w:rPr>
      </w:pPr>
      <w:r>
        <w:rPr>
          <w:rFonts w:hint="eastAsia" w:ascii="宋体" w:hAnsi="宋体" w:cs="宋体"/>
          <w:szCs w:val="21"/>
        </w:rPr>
        <w:t>7、  标准</w:t>
      </w:r>
    </w:p>
    <w:p>
      <w:pPr>
        <w:spacing w:line="380" w:lineRule="exact"/>
        <w:ind w:left="525" w:hanging="525" w:hangingChars="250"/>
        <w:rPr>
          <w:rFonts w:ascii="宋体" w:hAnsi="宋体" w:cs="宋体"/>
          <w:b/>
          <w:bCs/>
          <w:szCs w:val="21"/>
        </w:rPr>
      </w:pPr>
      <w:r>
        <w:rPr>
          <w:rFonts w:hint="eastAsia" w:ascii="宋体" w:hAnsi="宋体" w:cs="宋体"/>
          <w:szCs w:val="21"/>
        </w:rPr>
        <w:t>7.1  合同货物的质量、技术标准如在招标文件中无相应说明，则按中华人民共和国颁布的最新国家标准或行业（部）标准或相应的国际标准执行。没有国家或行业（部）标准的则按企业标准执行。</w:t>
      </w:r>
    </w:p>
    <w:p>
      <w:pPr>
        <w:tabs>
          <w:tab w:val="left" w:pos="540"/>
        </w:tabs>
        <w:spacing w:line="380" w:lineRule="exact"/>
        <w:rPr>
          <w:rFonts w:ascii="宋体" w:hAnsi="宋体" w:cs="宋体"/>
          <w:b/>
          <w:bCs/>
          <w:szCs w:val="21"/>
        </w:rPr>
      </w:pPr>
      <w:r>
        <w:rPr>
          <w:rFonts w:hint="eastAsia" w:ascii="宋体" w:hAnsi="宋体" w:cs="宋体"/>
          <w:b/>
          <w:bCs/>
          <w:szCs w:val="21"/>
        </w:rPr>
        <w:t>8．  包装要求</w:t>
      </w:r>
    </w:p>
    <w:p>
      <w:pPr>
        <w:spacing w:line="380" w:lineRule="exact"/>
        <w:ind w:left="525" w:hanging="525" w:hangingChars="250"/>
        <w:rPr>
          <w:rFonts w:ascii="宋体" w:hAnsi="宋体" w:cs="宋体"/>
          <w:szCs w:val="21"/>
        </w:rPr>
      </w:pPr>
      <w:r>
        <w:rPr>
          <w:rFonts w:hint="eastAsia" w:ascii="宋体" w:hAnsi="宋体" w:cs="宋体"/>
          <w:szCs w:val="21"/>
        </w:rPr>
        <w:t>8.1  除合同另有规定外，卖方提供的货物，均采用国家或专业标准保护措施进行包装，使包装适用于海运、空运或陆上的长途运输，并有良好的防潮、防震、防锈和防粗暴装卸等保护措施，确保货物安全无损运抵现场并落地。对由于包装不善而引起的货物锈蚀、损坏或损失卖方应承担相应责任。</w:t>
      </w:r>
    </w:p>
    <w:p>
      <w:pPr>
        <w:spacing w:line="380" w:lineRule="exact"/>
        <w:ind w:left="525" w:hanging="525" w:hangingChars="250"/>
        <w:rPr>
          <w:rFonts w:ascii="宋体" w:hAnsi="宋体" w:cs="宋体"/>
          <w:szCs w:val="21"/>
        </w:rPr>
      </w:pPr>
      <w:r>
        <w:rPr>
          <w:rFonts w:hint="eastAsia" w:ascii="宋体" w:hAnsi="宋体" w:cs="宋体"/>
          <w:szCs w:val="21"/>
        </w:rPr>
        <w:t>8.2  每一包装箱内必须附有装箱清单、合格证、质量保证书和保修保养卡。</w:t>
      </w:r>
    </w:p>
    <w:p>
      <w:pPr>
        <w:spacing w:line="380" w:lineRule="exact"/>
        <w:ind w:left="527" w:hanging="527" w:hangingChars="250"/>
        <w:rPr>
          <w:rFonts w:ascii="宋体" w:hAnsi="宋体" w:cs="宋体"/>
          <w:b/>
          <w:bCs/>
          <w:szCs w:val="21"/>
        </w:rPr>
      </w:pPr>
      <w:r>
        <w:rPr>
          <w:rFonts w:hint="eastAsia" w:ascii="宋体" w:hAnsi="宋体" w:cs="宋体"/>
          <w:b/>
          <w:bCs/>
          <w:szCs w:val="21"/>
        </w:rPr>
        <w:t>9．  装运标志</w:t>
      </w:r>
    </w:p>
    <w:p>
      <w:pPr>
        <w:spacing w:line="380" w:lineRule="exact"/>
        <w:ind w:left="525" w:hanging="525" w:hangingChars="250"/>
        <w:rPr>
          <w:rFonts w:ascii="宋体" w:hAnsi="宋体" w:cs="宋体"/>
          <w:szCs w:val="21"/>
        </w:rPr>
      </w:pPr>
      <w:r>
        <w:rPr>
          <w:rFonts w:hint="eastAsia" w:ascii="宋体" w:hAnsi="宋体" w:cs="宋体"/>
          <w:szCs w:val="21"/>
        </w:rPr>
        <w:t>9.1  卖方应在每一包装箱的四侧用不褪色的油漆以醒目的中文字样标注下列标记：收货人、货物名称、“小心轻放”、“防潮”、“此端朝上，请勿倒置”等字样和其他适当的标志。</w:t>
      </w:r>
    </w:p>
    <w:p>
      <w:pPr>
        <w:widowControl/>
        <w:autoSpaceDE w:val="0"/>
        <w:autoSpaceDN w:val="0"/>
        <w:adjustRightInd w:val="0"/>
        <w:snapToGrid w:val="0"/>
        <w:spacing w:line="460" w:lineRule="exact"/>
        <w:textAlignment w:val="bottom"/>
        <w:rPr>
          <w:rFonts w:ascii="宋体" w:hAnsi="宋体" w:cs="宋体"/>
          <w:sz w:val="22"/>
          <w:szCs w:val="22"/>
        </w:rPr>
      </w:pPr>
      <w:r>
        <w:rPr>
          <w:rFonts w:hint="eastAsia" w:ascii="宋体" w:hAnsi="宋体" w:cs="宋体"/>
          <w:b/>
          <w:bCs/>
          <w:szCs w:val="21"/>
        </w:rPr>
        <w:t>10．</w:t>
      </w:r>
      <w:r>
        <w:rPr>
          <w:rFonts w:hint="eastAsia" w:ascii="宋体" w:hAnsi="宋体" w:cs="宋体"/>
          <w:b/>
          <w:sz w:val="22"/>
          <w:szCs w:val="22"/>
        </w:rPr>
        <w:t>本项目质量保证期</w:t>
      </w:r>
      <w:r>
        <w:rPr>
          <w:rFonts w:ascii="宋体" w:hAnsi="宋体" w:cs="宋体"/>
          <w:b/>
          <w:sz w:val="22"/>
          <w:szCs w:val="22"/>
        </w:rPr>
        <w:t>3</w:t>
      </w:r>
      <w:r>
        <w:rPr>
          <w:rFonts w:hint="eastAsia" w:ascii="宋体" w:hAnsi="宋体" w:cs="宋体"/>
          <w:b/>
          <w:sz w:val="22"/>
          <w:szCs w:val="22"/>
        </w:rPr>
        <w:t>年</w:t>
      </w:r>
      <w:r>
        <w:rPr>
          <w:rFonts w:hint="eastAsia" w:ascii="宋体" w:hAnsi="宋体" w:cs="宋体"/>
          <w:sz w:val="22"/>
          <w:szCs w:val="22"/>
        </w:rPr>
        <w:t>。</w:t>
      </w:r>
      <w:r>
        <w:rPr>
          <w:rFonts w:hint="eastAsia" w:ascii="宋体" w:hAnsi="宋体" w:cs="宋体"/>
          <w:b/>
          <w:sz w:val="22"/>
          <w:szCs w:val="22"/>
        </w:rPr>
        <w:t>（设备技术参数中另有明确的除外）。</w:t>
      </w:r>
    </w:p>
    <w:p>
      <w:pPr>
        <w:spacing w:line="380" w:lineRule="exact"/>
        <w:ind w:left="527" w:hanging="527" w:hangingChars="250"/>
        <w:rPr>
          <w:rFonts w:ascii="宋体" w:hAnsi="宋体" w:cs="宋体"/>
          <w:b/>
          <w:szCs w:val="21"/>
        </w:rPr>
      </w:pPr>
      <w:r>
        <w:rPr>
          <w:rFonts w:hint="eastAsia" w:ascii="宋体" w:hAnsi="宋体" w:cs="宋体"/>
          <w:b/>
          <w:bCs/>
          <w:szCs w:val="21"/>
        </w:rPr>
        <w:t xml:space="preserve">11． </w:t>
      </w:r>
      <w:r>
        <w:rPr>
          <w:rFonts w:hint="eastAsia" w:ascii="宋体" w:hAnsi="宋体" w:cs="宋体"/>
          <w:b/>
          <w:szCs w:val="21"/>
        </w:rPr>
        <w:t>交货方式</w:t>
      </w:r>
    </w:p>
    <w:p>
      <w:pPr>
        <w:spacing w:line="380" w:lineRule="exact"/>
        <w:ind w:left="525" w:hanging="525" w:hangingChars="250"/>
        <w:rPr>
          <w:rFonts w:ascii="宋体" w:hAnsi="宋体" w:cs="宋体"/>
          <w:szCs w:val="21"/>
        </w:rPr>
      </w:pPr>
      <w:r>
        <w:rPr>
          <w:rFonts w:hint="eastAsia" w:ascii="宋体" w:hAnsi="宋体" w:cs="宋体"/>
          <w:szCs w:val="21"/>
        </w:rPr>
        <w:t>11.1 现场交货，卖方负责办理运输和保险，将货物运抵现场并落地。有关运输和保险的一切费用由卖方承担，所有货物运抵现场日期为交货日期。</w:t>
      </w:r>
    </w:p>
    <w:p>
      <w:pPr>
        <w:spacing w:line="380" w:lineRule="exact"/>
        <w:ind w:left="525" w:hanging="525" w:hangingChars="250"/>
        <w:rPr>
          <w:rFonts w:ascii="宋体" w:hAnsi="宋体" w:cs="宋体"/>
          <w:b/>
          <w:bCs/>
          <w:szCs w:val="21"/>
        </w:rPr>
      </w:pPr>
      <w:r>
        <w:rPr>
          <w:rFonts w:hint="eastAsia" w:ascii="宋体" w:hAnsi="宋体" w:cs="宋体"/>
          <w:szCs w:val="21"/>
        </w:rPr>
        <w:t>11.2 卖方应在合同规定的交货期前3天，以书面形式将合同号、货物名称、数量、包装箱件数、总毛重、总体积及交货日期通知买方，以便买方做好接货准备。</w:t>
      </w:r>
    </w:p>
    <w:p>
      <w:pPr>
        <w:spacing w:line="380" w:lineRule="exact"/>
        <w:rPr>
          <w:rFonts w:ascii="宋体" w:hAnsi="宋体" w:cs="宋体"/>
          <w:szCs w:val="21"/>
        </w:rPr>
      </w:pPr>
      <w:r>
        <w:rPr>
          <w:rFonts w:hint="eastAsia" w:ascii="宋体" w:hAnsi="宋体" w:cs="宋体"/>
          <w:b/>
          <w:bCs/>
          <w:szCs w:val="21"/>
        </w:rPr>
        <w:t>12． 档案资料</w:t>
      </w:r>
    </w:p>
    <w:p>
      <w:pPr>
        <w:spacing w:line="380" w:lineRule="exact"/>
        <w:ind w:left="588" w:leftChars="280"/>
        <w:rPr>
          <w:rFonts w:ascii="宋体" w:hAnsi="宋体" w:cs="宋体"/>
          <w:szCs w:val="21"/>
        </w:rPr>
      </w:pPr>
      <w:r>
        <w:rPr>
          <w:rFonts w:hint="eastAsia" w:ascii="宋体" w:hAnsi="宋体" w:cs="宋体"/>
          <w:szCs w:val="21"/>
        </w:rPr>
        <w:t>货物的档案资料，包括：货物的数量、型号、规格、生产厂家的产品检测证书、出厂检验报告、合格证书、产品说明书等有关资料。（进口货物交货时，卖方必须提交原产地证明、海关商检证明、完税证明等相应的证明文件）。货物开箱后的全部随机资料所有权归买方。</w:t>
      </w:r>
    </w:p>
    <w:p>
      <w:pPr>
        <w:spacing w:line="380" w:lineRule="exact"/>
        <w:rPr>
          <w:rFonts w:ascii="宋体" w:hAnsi="宋体" w:cs="宋体"/>
          <w:b/>
          <w:bCs/>
          <w:szCs w:val="21"/>
        </w:rPr>
      </w:pPr>
      <w:r>
        <w:rPr>
          <w:rFonts w:hint="eastAsia" w:ascii="宋体" w:hAnsi="宋体" w:cs="宋体"/>
          <w:b/>
          <w:bCs/>
          <w:szCs w:val="21"/>
        </w:rPr>
        <w:t>13.  技术资料</w:t>
      </w:r>
    </w:p>
    <w:p>
      <w:pPr>
        <w:spacing w:line="380" w:lineRule="exact"/>
        <w:ind w:left="567" w:leftChars="270"/>
        <w:rPr>
          <w:rFonts w:ascii="宋体" w:hAnsi="宋体" w:cs="宋体"/>
          <w:b/>
          <w:bCs/>
          <w:szCs w:val="21"/>
        </w:rPr>
      </w:pPr>
      <w:r>
        <w:rPr>
          <w:rFonts w:hint="eastAsia" w:ascii="宋体" w:hAnsi="宋体" w:cs="宋体"/>
          <w:szCs w:val="21"/>
        </w:rPr>
        <w:t>技术资料包括：设备及系统的技术说明书和原理图、设备及系统安装线路图、安装手册、操作和维修手册及其他必须提供的技术资料。</w:t>
      </w:r>
    </w:p>
    <w:p>
      <w:pPr>
        <w:spacing w:line="380" w:lineRule="exact"/>
        <w:rPr>
          <w:rFonts w:ascii="宋体" w:hAnsi="宋体" w:cs="宋体"/>
          <w:b/>
          <w:bCs/>
          <w:szCs w:val="21"/>
        </w:rPr>
      </w:pPr>
      <w:r>
        <w:rPr>
          <w:rFonts w:hint="eastAsia" w:ascii="宋体" w:hAnsi="宋体" w:cs="宋体"/>
          <w:b/>
          <w:bCs/>
          <w:sz w:val="22"/>
          <w:szCs w:val="22"/>
        </w:rPr>
        <w:t xml:space="preserve">14． </w:t>
      </w:r>
      <w:r>
        <w:rPr>
          <w:rFonts w:hint="eastAsia" w:ascii="宋体" w:hAnsi="宋体" w:cs="宋体"/>
          <w:b/>
          <w:bCs/>
          <w:szCs w:val="21"/>
        </w:rPr>
        <w:t>完工时间：</w:t>
      </w:r>
      <w:r>
        <w:rPr>
          <w:rFonts w:hint="eastAsia" w:ascii="宋体" w:hAnsi="宋体" w:cs="宋体"/>
          <w:b/>
          <w:bCs/>
          <w:szCs w:val="21"/>
          <w:u w:val="single"/>
        </w:rPr>
        <w:t xml:space="preserve">       </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rPr>
        <w:t>日</w:t>
      </w:r>
    </w:p>
    <w:p>
      <w:pPr>
        <w:spacing w:line="380" w:lineRule="exact"/>
        <w:rPr>
          <w:rFonts w:ascii="宋体" w:hAnsi="宋体" w:cs="宋体"/>
          <w:b/>
          <w:bCs/>
          <w:szCs w:val="21"/>
        </w:rPr>
      </w:pPr>
      <w:r>
        <w:rPr>
          <w:rFonts w:hint="eastAsia" w:ascii="宋体" w:hAnsi="宋体" w:cs="宋体"/>
          <w:b/>
          <w:bCs/>
          <w:szCs w:val="21"/>
        </w:rPr>
        <w:t>15． 双方责任</w:t>
      </w:r>
    </w:p>
    <w:p>
      <w:pPr>
        <w:spacing w:line="380" w:lineRule="exact"/>
        <w:rPr>
          <w:rFonts w:ascii="宋体" w:hAnsi="宋体" w:cs="宋体"/>
          <w:szCs w:val="21"/>
        </w:rPr>
      </w:pPr>
      <w:r>
        <w:rPr>
          <w:rFonts w:hint="eastAsia" w:ascii="宋体" w:hAnsi="宋体" w:cs="宋体"/>
          <w:szCs w:val="21"/>
        </w:rPr>
        <w:t>15.1 买方</w:t>
      </w:r>
    </w:p>
    <w:p>
      <w:pPr>
        <w:spacing w:line="380" w:lineRule="exact"/>
        <w:rPr>
          <w:rFonts w:ascii="宋体" w:hAnsi="宋体" w:cs="宋体"/>
          <w:szCs w:val="21"/>
        </w:rPr>
      </w:pPr>
      <w:r>
        <w:rPr>
          <w:rFonts w:hint="eastAsia" w:ascii="宋体" w:hAnsi="宋体" w:cs="宋体"/>
          <w:szCs w:val="21"/>
        </w:rPr>
        <w:t>（1）按合同规定向卖方支付货款。</w:t>
      </w:r>
    </w:p>
    <w:p>
      <w:pPr>
        <w:spacing w:line="380" w:lineRule="exact"/>
        <w:rPr>
          <w:rFonts w:ascii="宋体" w:hAnsi="宋体" w:cs="宋体"/>
          <w:szCs w:val="21"/>
        </w:rPr>
      </w:pPr>
      <w:r>
        <w:rPr>
          <w:rFonts w:hint="eastAsia" w:ascii="宋体" w:hAnsi="宋体" w:cs="宋体"/>
          <w:szCs w:val="21"/>
        </w:rPr>
        <w:t>（2）组织对货物的验收。</w:t>
      </w:r>
    </w:p>
    <w:p>
      <w:pPr>
        <w:spacing w:line="380" w:lineRule="exact"/>
        <w:rPr>
          <w:rFonts w:ascii="宋体" w:hAnsi="宋体" w:cs="宋体"/>
          <w:szCs w:val="21"/>
        </w:rPr>
      </w:pPr>
      <w:r>
        <w:rPr>
          <w:rFonts w:hint="eastAsia" w:ascii="宋体" w:hAnsi="宋体" w:cs="宋体"/>
          <w:szCs w:val="21"/>
        </w:rPr>
        <w:t>15.2 卖方</w:t>
      </w:r>
    </w:p>
    <w:p>
      <w:pPr>
        <w:spacing w:line="380" w:lineRule="exact"/>
        <w:ind w:left="525" w:hanging="525" w:hangingChars="250"/>
        <w:rPr>
          <w:rFonts w:ascii="宋体" w:hAnsi="宋体" w:cs="宋体"/>
          <w:szCs w:val="21"/>
        </w:rPr>
      </w:pPr>
      <w:r>
        <w:rPr>
          <w:rFonts w:hint="eastAsia" w:ascii="宋体" w:hAnsi="宋体" w:cs="宋体"/>
          <w:szCs w:val="21"/>
        </w:rPr>
        <w:t>（1）按合同要求提供货物、安装、调试验收（包括申请第三方验收）、技术服务和售后服务。</w:t>
      </w:r>
    </w:p>
    <w:p>
      <w:pPr>
        <w:spacing w:line="380" w:lineRule="exact"/>
        <w:rPr>
          <w:rFonts w:ascii="宋体" w:hAnsi="宋体" w:cs="宋体"/>
          <w:szCs w:val="21"/>
        </w:rPr>
      </w:pPr>
      <w:r>
        <w:rPr>
          <w:rFonts w:hint="eastAsia" w:ascii="宋体" w:hAnsi="宋体" w:cs="宋体"/>
          <w:szCs w:val="21"/>
        </w:rPr>
        <w:t>（2）对所提供货物的质量问题无条件负责处理。</w:t>
      </w:r>
    </w:p>
    <w:p>
      <w:pPr>
        <w:spacing w:line="380" w:lineRule="exact"/>
        <w:rPr>
          <w:rFonts w:ascii="宋体" w:hAnsi="宋体" w:cs="宋体"/>
          <w:szCs w:val="21"/>
        </w:rPr>
      </w:pPr>
      <w:r>
        <w:rPr>
          <w:rFonts w:hint="eastAsia" w:ascii="宋体" w:hAnsi="宋体" w:cs="宋体"/>
          <w:szCs w:val="21"/>
        </w:rPr>
        <w:t>（3）为买方提供人员培训服务：</w:t>
      </w:r>
    </w:p>
    <w:p>
      <w:pPr>
        <w:spacing w:line="380" w:lineRule="exact"/>
        <w:ind w:left="525" w:hanging="525" w:hangingChars="250"/>
        <w:rPr>
          <w:rFonts w:ascii="宋体" w:hAnsi="宋体" w:cs="宋体"/>
          <w:szCs w:val="21"/>
        </w:rPr>
      </w:pPr>
      <w:r>
        <w:rPr>
          <w:rFonts w:hint="eastAsia" w:ascii="宋体" w:hAnsi="宋体" w:cs="宋体"/>
          <w:szCs w:val="21"/>
        </w:rPr>
        <w:t xml:space="preserve">  1）卖方应对买方指派的操作维修人员进行培训，培训内容包括理论培训和实际操作培训、安全知识培训。（卖方应在投标文件中提出具体的人员培训计划，包括时间、地点、培训费用）。全部费用应单列并纳入投标总报价中。</w:t>
      </w:r>
    </w:p>
    <w:p>
      <w:pPr>
        <w:spacing w:line="380" w:lineRule="exact"/>
        <w:ind w:firstLine="231" w:firstLineChars="110"/>
        <w:rPr>
          <w:rFonts w:ascii="宋体" w:hAnsi="宋体" w:cs="宋体"/>
          <w:szCs w:val="21"/>
        </w:rPr>
      </w:pPr>
      <w:r>
        <w:rPr>
          <w:rFonts w:hint="eastAsia" w:ascii="宋体" w:hAnsi="宋体" w:cs="宋体"/>
          <w:szCs w:val="21"/>
        </w:rPr>
        <w:t>2）卖方负责使参与培训的人员达到能正确操作和维护的上岗资格。</w:t>
      </w:r>
    </w:p>
    <w:p>
      <w:pPr>
        <w:spacing w:line="380" w:lineRule="exact"/>
        <w:ind w:left="554" w:leftChars="114" w:hanging="315" w:hangingChars="150"/>
        <w:rPr>
          <w:rFonts w:ascii="宋体" w:hAnsi="宋体" w:cs="宋体"/>
          <w:szCs w:val="21"/>
        </w:rPr>
      </w:pPr>
      <w:r>
        <w:rPr>
          <w:rFonts w:hint="eastAsia" w:ascii="宋体" w:hAnsi="宋体" w:cs="宋体"/>
          <w:szCs w:val="21"/>
        </w:rPr>
        <w:t>3）货物验收后，卖方应协助买方建立和健全维修保养制度，制订安全防范措施。</w:t>
      </w:r>
    </w:p>
    <w:p>
      <w:pPr>
        <w:tabs>
          <w:tab w:val="left" w:pos="540"/>
        </w:tabs>
        <w:spacing w:line="400" w:lineRule="exact"/>
        <w:rPr>
          <w:rFonts w:ascii="宋体" w:hAnsi="宋体" w:cs="宋体"/>
          <w:b/>
          <w:bCs/>
          <w:szCs w:val="21"/>
        </w:rPr>
      </w:pPr>
      <w:r>
        <w:rPr>
          <w:rFonts w:hint="eastAsia" w:ascii="宋体" w:hAnsi="宋体" w:cs="宋体"/>
          <w:b/>
          <w:bCs/>
          <w:szCs w:val="21"/>
        </w:rPr>
        <w:t>16． 付款方式与结算：按招标文件要求</w:t>
      </w:r>
    </w:p>
    <w:p>
      <w:pPr>
        <w:spacing w:line="380" w:lineRule="exact"/>
        <w:rPr>
          <w:rFonts w:ascii="宋体" w:hAnsi="宋体" w:cs="宋体"/>
          <w:szCs w:val="21"/>
        </w:rPr>
      </w:pPr>
      <w:r>
        <w:rPr>
          <w:rFonts w:hint="eastAsia" w:ascii="宋体" w:hAnsi="宋体" w:cs="宋体"/>
          <w:b/>
          <w:bCs/>
          <w:szCs w:val="21"/>
        </w:rPr>
        <w:t>17． 违约责任</w:t>
      </w:r>
    </w:p>
    <w:p>
      <w:pPr>
        <w:spacing w:line="380" w:lineRule="exact"/>
        <w:rPr>
          <w:rFonts w:ascii="宋体" w:hAnsi="宋体" w:cs="宋体"/>
          <w:szCs w:val="21"/>
        </w:rPr>
      </w:pPr>
      <w:r>
        <w:rPr>
          <w:rFonts w:hint="eastAsia" w:ascii="宋体" w:hAnsi="宋体" w:cs="宋体"/>
          <w:szCs w:val="21"/>
        </w:rPr>
        <w:t>17.1 货物的质量责任</w:t>
      </w:r>
    </w:p>
    <w:p>
      <w:pPr>
        <w:spacing w:line="380" w:lineRule="exact"/>
        <w:ind w:left="525" w:hanging="525" w:hangingChars="250"/>
        <w:rPr>
          <w:rFonts w:ascii="宋体" w:hAnsi="宋体" w:cs="宋体"/>
          <w:szCs w:val="21"/>
        </w:rPr>
      </w:pPr>
      <w:r>
        <w:rPr>
          <w:rFonts w:hint="eastAsia" w:ascii="宋体" w:hAnsi="宋体" w:cs="宋体"/>
          <w:szCs w:val="21"/>
        </w:rPr>
        <w:t>（1）在质量保证期内，凡货物在开箱检验、安装调试、试运转过程中出现的质量问题，由卖方负责处理，实行包修、包换、包退，直至产品符合质量要求。卖方承担因修理、调换、退货发生的一切费用和因此而造成的一切直接经济损失。</w:t>
      </w:r>
    </w:p>
    <w:p>
      <w:pPr>
        <w:spacing w:line="380" w:lineRule="exact"/>
        <w:ind w:left="546" w:leftChars="10" w:hanging="525" w:hangingChars="250"/>
        <w:rPr>
          <w:rFonts w:ascii="宋体" w:hAnsi="宋体" w:cs="宋体"/>
          <w:szCs w:val="21"/>
        </w:rPr>
      </w:pPr>
      <w:r>
        <w:rPr>
          <w:rFonts w:hint="eastAsia" w:ascii="宋体" w:hAnsi="宋体" w:cs="宋体"/>
          <w:szCs w:val="21"/>
        </w:rPr>
        <w:t>（2）卖方在接到买方通知后，应迅速作出反应，龙港市及附近地区4小时内、其它地区8小时内派人到达现场处理问题，免费维修或更换有缺陷的货物或部件，直至用户满意为止。</w:t>
      </w:r>
    </w:p>
    <w:p>
      <w:pPr>
        <w:spacing w:line="380" w:lineRule="exact"/>
        <w:ind w:left="546" w:leftChars="10" w:hanging="525" w:hangingChars="250"/>
        <w:rPr>
          <w:rFonts w:ascii="宋体" w:hAnsi="宋体" w:cs="宋体"/>
          <w:szCs w:val="21"/>
        </w:rPr>
      </w:pPr>
      <w:r>
        <w:rPr>
          <w:rFonts w:hint="eastAsia" w:ascii="宋体" w:hAnsi="宋体" w:cs="宋体"/>
          <w:szCs w:val="21"/>
        </w:rPr>
        <w:t>（3）由于买方保管不善或使用不当造成货物短缺、故障或损坏，由买方负责。但卖方保证及时给予补齐或修复。</w:t>
      </w:r>
    </w:p>
    <w:p>
      <w:pPr>
        <w:spacing w:line="380" w:lineRule="exact"/>
        <w:rPr>
          <w:rFonts w:ascii="宋体" w:hAnsi="宋体" w:cs="宋体"/>
          <w:szCs w:val="21"/>
        </w:rPr>
      </w:pPr>
      <w:r>
        <w:rPr>
          <w:rFonts w:hint="eastAsia" w:ascii="宋体" w:hAnsi="宋体" w:cs="宋体"/>
          <w:szCs w:val="21"/>
        </w:rPr>
        <w:t>17.2  违约赔偿</w:t>
      </w:r>
    </w:p>
    <w:p>
      <w:pPr>
        <w:spacing w:line="360" w:lineRule="exact"/>
        <w:ind w:left="640" w:leftChars="305"/>
        <w:rPr>
          <w:rFonts w:ascii="宋体" w:hAnsi="宋体" w:cs="宋体"/>
          <w:szCs w:val="21"/>
        </w:rPr>
      </w:pPr>
      <w:r>
        <w:rPr>
          <w:rFonts w:hint="eastAsia" w:ascii="宋体" w:hAnsi="宋体" w:cs="宋体"/>
          <w:szCs w:val="21"/>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pPr>
        <w:spacing w:line="360" w:lineRule="exact"/>
        <w:rPr>
          <w:rFonts w:ascii="宋体" w:hAnsi="宋体" w:cs="宋体"/>
          <w:szCs w:val="21"/>
        </w:rPr>
      </w:pPr>
      <w:r>
        <w:rPr>
          <w:rFonts w:hint="eastAsia" w:ascii="宋体" w:hAnsi="宋体" w:cs="宋体"/>
          <w:szCs w:val="21"/>
        </w:rPr>
        <w:t>（1） 逾期交货</w:t>
      </w:r>
    </w:p>
    <w:p>
      <w:pPr>
        <w:spacing w:line="360" w:lineRule="exact"/>
        <w:ind w:left="683" w:leftChars="325"/>
        <w:rPr>
          <w:rFonts w:ascii="宋体" w:hAnsi="宋体" w:cs="宋体"/>
          <w:szCs w:val="21"/>
        </w:rPr>
      </w:pPr>
      <w:r>
        <w:rPr>
          <w:rFonts w:hint="eastAsia" w:ascii="宋体" w:hAnsi="宋体" w:cs="宋体"/>
          <w:szCs w:val="21"/>
        </w:rPr>
        <w:t xml:space="preserve">卖方逾期交货，应向买方偿付违约金，每逾一周违约罚款按迟交货物交货价的0.5%计收，直至交货为止。（一周按7天计算，不足一周按一周计算） </w:t>
      </w:r>
    </w:p>
    <w:p>
      <w:pPr>
        <w:spacing w:line="360" w:lineRule="exact"/>
        <w:ind w:firstLine="42" w:firstLineChars="20"/>
        <w:rPr>
          <w:rFonts w:ascii="宋体" w:hAnsi="宋体" w:cs="宋体"/>
          <w:szCs w:val="21"/>
        </w:rPr>
      </w:pPr>
      <w:r>
        <w:rPr>
          <w:rFonts w:hint="eastAsia" w:ascii="宋体" w:hAnsi="宋体" w:cs="宋体"/>
          <w:szCs w:val="21"/>
        </w:rPr>
        <w:t>（2） 卖方不能交货，或买方中途退货</w:t>
      </w:r>
    </w:p>
    <w:p>
      <w:pPr>
        <w:spacing w:line="360" w:lineRule="exact"/>
        <w:ind w:left="622" w:leftChars="296" w:firstLine="63" w:firstLineChars="30"/>
        <w:rPr>
          <w:rFonts w:ascii="宋体" w:hAnsi="宋体" w:cs="宋体"/>
          <w:szCs w:val="21"/>
        </w:rPr>
      </w:pPr>
      <w:r>
        <w:rPr>
          <w:rFonts w:hint="eastAsia" w:ascii="宋体" w:hAnsi="宋体" w:cs="宋体"/>
          <w:szCs w:val="21"/>
        </w:rPr>
        <w:t>卖方不能交货，应向买方偿付违约金。违约金按合同总价的</w:t>
      </w:r>
      <w:r>
        <w:rPr>
          <w:rFonts w:ascii="宋体" w:hAnsi="宋体" w:cs="宋体"/>
          <w:b/>
          <w:bCs/>
          <w:szCs w:val="21"/>
        </w:rPr>
        <w:t>1</w:t>
      </w:r>
      <w:r>
        <w:rPr>
          <w:rFonts w:hint="eastAsia" w:ascii="宋体" w:hAnsi="宋体" w:cs="宋体"/>
          <w:b/>
          <w:bCs/>
          <w:szCs w:val="21"/>
        </w:rPr>
        <w:t>0%</w:t>
      </w:r>
      <w:r>
        <w:rPr>
          <w:rFonts w:hint="eastAsia" w:ascii="宋体" w:hAnsi="宋体" w:cs="宋体"/>
          <w:szCs w:val="21"/>
        </w:rPr>
        <w:t>计算。</w:t>
      </w:r>
    </w:p>
    <w:p>
      <w:pPr>
        <w:spacing w:line="360" w:lineRule="exact"/>
        <w:ind w:left="622" w:leftChars="296" w:firstLine="63" w:firstLineChars="30"/>
        <w:rPr>
          <w:rFonts w:ascii="宋体" w:hAnsi="宋体" w:cs="宋体"/>
          <w:szCs w:val="21"/>
        </w:rPr>
      </w:pPr>
      <w:r>
        <w:rPr>
          <w:rFonts w:hint="eastAsia" w:ascii="宋体" w:hAnsi="宋体" w:cs="宋体"/>
          <w:szCs w:val="21"/>
        </w:rPr>
        <w:t xml:space="preserve">买方中途退货，应向卖方支付与上述相同的违约金。 </w:t>
      </w:r>
    </w:p>
    <w:p>
      <w:pPr>
        <w:spacing w:line="360" w:lineRule="exact"/>
        <w:ind w:left="630" w:leftChars="-100" w:hanging="840" w:hangingChars="400"/>
        <w:rPr>
          <w:rFonts w:ascii="宋体" w:hAnsi="宋体" w:cs="宋体"/>
          <w:szCs w:val="21"/>
        </w:rPr>
      </w:pPr>
      <w:r>
        <w:rPr>
          <w:rFonts w:hint="eastAsia" w:ascii="宋体" w:hAnsi="宋体" w:cs="宋体"/>
          <w:szCs w:val="21"/>
        </w:rPr>
        <w:t xml:space="preserve">  （3） 逾期交货的违约赔偿最高限额为货物合同总价的</w:t>
      </w:r>
      <w:r>
        <w:rPr>
          <w:rFonts w:hint="eastAsia" w:ascii="宋体" w:hAnsi="宋体" w:cs="宋体"/>
          <w:b/>
          <w:bCs/>
          <w:szCs w:val="21"/>
        </w:rPr>
        <w:t>5%</w:t>
      </w:r>
      <w:r>
        <w:rPr>
          <w:rFonts w:hint="eastAsia" w:ascii="宋体" w:hAnsi="宋体" w:cs="宋体"/>
          <w:szCs w:val="21"/>
        </w:rPr>
        <w:t>，如违约金达到最高限额时卖方仍不能交货，买方可考虑终止合同。</w:t>
      </w:r>
    </w:p>
    <w:p>
      <w:pPr>
        <w:spacing w:line="360" w:lineRule="exact"/>
        <w:ind w:left="525" w:leftChars="25" w:hanging="472" w:hangingChars="225"/>
        <w:rPr>
          <w:rFonts w:ascii="宋体" w:hAnsi="宋体" w:cs="宋体"/>
          <w:szCs w:val="21"/>
        </w:rPr>
      </w:pPr>
      <w:r>
        <w:rPr>
          <w:rFonts w:hint="eastAsia" w:ascii="宋体" w:hAnsi="宋体" w:cs="宋体"/>
          <w:szCs w:val="21"/>
        </w:rPr>
        <w:t>（4） 经双方友好协商同意延期交货或经双方友好协商同意退货无须罚款者不在此例。</w:t>
      </w:r>
    </w:p>
    <w:p>
      <w:pPr>
        <w:spacing w:line="360" w:lineRule="exact"/>
        <w:rPr>
          <w:rFonts w:ascii="宋体" w:hAnsi="宋体" w:cs="宋体"/>
          <w:b/>
          <w:szCs w:val="21"/>
        </w:rPr>
      </w:pPr>
      <w:r>
        <w:rPr>
          <w:rFonts w:hint="eastAsia" w:ascii="宋体" w:hAnsi="宋体" w:cs="宋体"/>
          <w:b/>
          <w:szCs w:val="21"/>
        </w:rPr>
        <w:t>18．  税费</w:t>
      </w:r>
    </w:p>
    <w:p>
      <w:pPr>
        <w:spacing w:line="360" w:lineRule="exact"/>
        <w:ind w:left="491" w:leftChars="9" w:hanging="472" w:hangingChars="225"/>
        <w:rPr>
          <w:rFonts w:ascii="宋体" w:hAnsi="宋体" w:cs="宋体"/>
          <w:szCs w:val="21"/>
        </w:rPr>
      </w:pPr>
      <w:r>
        <w:rPr>
          <w:rFonts w:hint="eastAsia" w:ascii="宋体" w:hAnsi="宋体" w:cs="宋体"/>
          <w:szCs w:val="21"/>
        </w:rPr>
        <w:t>18.1  根据国家现行税法对卖方征收的与本合同有关的一切税费均由卖方负担。</w:t>
      </w:r>
    </w:p>
    <w:p>
      <w:pPr>
        <w:spacing w:line="360" w:lineRule="exact"/>
        <w:ind w:left="491" w:leftChars="9" w:hanging="472" w:hangingChars="225"/>
        <w:rPr>
          <w:rFonts w:ascii="宋体" w:hAnsi="宋体" w:cs="宋体"/>
          <w:szCs w:val="21"/>
        </w:rPr>
      </w:pPr>
      <w:r>
        <w:rPr>
          <w:rFonts w:hint="eastAsia" w:ascii="宋体" w:hAnsi="宋体" w:cs="宋体"/>
          <w:szCs w:val="21"/>
        </w:rPr>
        <w:t>18.2  根据国家现行税法对买方征收的与本合同有关的一切税费均由买方负担。</w:t>
      </w:r>
    </w:p>
    <w:p>
      <w:pPr>
        <w:spacing w:line="360" w:lineRule="exact"/>
        <w:rPr>
          <w:rFonts w:ascii="宋体" w:hAnsi="宋体" w:cs="宋体"/>
          <w:szCs w:val="21"/>
        </w:rPr>
      </w:pPr>
      <w:r>
        <w:rPr>
          <w:rFonts w:hint="eastAsia" w:ascii="宋体" w:hAnsi="宋体" w:cs="宋体"/>
          <w:szCs w:val="21"/>
        </w:rPr>
        <w:t>18.3  在中国境外发生的与本合同执行有关的一切税费均由卖方负担。</w:t>
      </w:r>
    </w:p>
    <w:p>
      <w:pPr>
        <w:spacing w:line="360" w:lineRule="exact"/>
        <w:ind w:left="632" w:hanging="632" w:hangingChars="300"/>
        <w:rPr>
          <w:rFonts w:ascii="宋体" w:hAnsi="宋体" w:cs="宋体"/>
          <w:szCs w:val="21"/>
        </w:rPr>
      </w:pPr>
      <w:r>
        <w:rPr>
          <w:rFonts w:hint="eastAsia" w:ascii="宋体" w:hAnsi="宋体" w:cs="宋体"/>
          <w:b/>
          <w:bCs/>
          <w:szCs w:val="21"/>
        </w:rPr>
        <w:t>20</w:t>
      </w:r>
      <w:r>
        <w:rPr>
          <w:rFonts w:hint="eastAsia" w:ascii="宋体" w:hAnsi="宋体" w:cs="宋体"/>
          <w:szCs w:val="21"/>
        </w:rPr>
        <w:t xml:space="preserve">、  </w:t>
      </w:r>
      <w:r>
        <w:rPr>
          <w:rFonts w:hint="eastAsia" w:ascii="宋体" w:hAnsi="宋体" w:cs="宋体"/>
          <w:b/>
          <w:szCs w:val="21"/>
        </w:rPr>
        <w:t>转让和分包</w:t>
      </w:r>
    </w:p>
    <w:p>
      <w:pPr>
        <w:spacing w:line="360" w:lineRule="exact"/>
        <w:ind w:left="630" w:hanging="630" w:hangingChars="300"/>
        <w:rPr>
          <w:rFonts w:ascii="宋体" w:hAnsi="宋体" w:cs="宋体"/>
          <w:szCs w:val="21"/>
        </w:rPr>
      </w:pPr>
      <w:r>
        <w:rPr>
          <w:rFonts w:hint="eastAsia" w:ascii="宋体" w:hAnsi="宋体" w:cs="宋体"/>
          <w:bCs/>
          <w:szCs w:val="21"/>
        </w:rPr>
        <w:t>20</w:t>
      </w:r>
      <w:r>
        <w:rPr>
          <w:rFonts w:hint="eastAsia" w:ascii="宋体" w:hAnsi="宋体" w:cs="宋体"/>
          <w:szCs w:val="21"/>
        </w:rPr>
        <w:t>.1  未经买方事先书面同意，卖方不得部分转让或分包或全部转让其应履行的合同义务。</w:t>
      </w:r>
    </w:p>
    <w:p>
      <w:pPr>
        <w:spacing w:line="360" w:lineRule="exact"/>
        <w:ind w:left="474" w:hanging="474" w:hangingChars="225"/>
        <w:rPr>
          <w:rFonts w:ascii="宋体" w:hAnsi="宋体" w:cs="宋体"/>
          <w:b/>
          <w:bCs/>
          <w:szCs w:val="21"/>
        </w:rPr>
      </w:pPr>
      <w:r>
        <w:rPr>
          <w:rFonts w:hint="eastAsia" w:ascii="宋体" w:hAnsi="宋体" w:cs="宋体"/>
          <w:b/>
          <w:bCs/>
          <w:szCs w:val="21"/>
        </w:rPr>
        <w:t>21.   争端的解决</w:t>
      </w:r>
    </w:p>
    <w:p>
      <w:pPr>
        <w:spacing w:line="360" w:lineRule="exact"/>
        <w:ind w:left="630" w:hanging="630" w:hangingChars="300"/>
        <w:rPr>
          <w:rFonts w:ascii="宋体" w:hAnsi="宋体" w:cs="宋体"/>
          <w:szCs w:val="21"/>
        </w:rPr>
      </w:pPr>
      <w:r>
        <w:rPr>
          <w:rFonts w:hint="eastAsia" w:ascii="宋体" w:hAnsi="宋体" w:cs="宋体"/>
          <w:szCs w:val="21"/>
        </w:rPr>
        <w:t>21.1  合同实施或与合同有关的一切争端，买卖双方首先应通过友好协商解决，如果协商仍得不到解决，任何一方可向履行合同所在地或合同签约地申请仲裁（应先有约定）或诉讼。</w:t>
      </w:r>
    </w:p>
    <w:p>
      <w:pPr>
        <w:spacing w:line="360" w:lineRule="exact"/>
        <w:rPr>
          <w:rFonts w:ascii="宋体" w:hAnsi="宋体" w:cs="宋体"/>
          <w:szCs w:val="21"/>
        </w:rPr>
      </w:pPr>
      <w:r>
        <w:rPr>
          <w:rFonts w:hint="eastAsia" w:ascii="宋体" w:hAnsi="宋体" w:cs="宋体"/>
          <w:szCs w:val="21"/>
        </w:rPr>
        <w:t>21.2  仲裁裁决应为最终裁决，对双方均有约束力。</w:t>
      </w:r>
    </w:p>
    <w:p>
      <w:pPr>
        <w:spacing w:line="360" w:lineRule="exact"/>
        <w:rPr>
          <w:rFonts w:ascii="宋体" w:hAnsi="宋体" w:cs="宋体"/>
          <w:szCs w:val="21"/>
        </w:rPr>
      </w:pPr>
      <w:r>
        <w:rPr>
          <w:rFonts w:hint="eastAsia" w:ascii="宋体" w:hAnsi="宋体" w:cs="宋体"/>
          <w:szCs w:val="21"/>
        </w:rPr>
        <w:t>21.3  仲裁费用除仲裁机构另有裁决外应由败诉方承担。</w:t>
      </w:r>
    </w:p>
    <w:p>
      <w:pPr>
        <w:spacing w:line="360" w:lineRule="exact"/>
        <w:rPr>
          <w:rFonts w:ascii="宋体" w:hAnsi="宋体" w:cs="宋体"/>
          <w:szCs w:val="21"/>
        </w:rPr>
      </w:pPr>
      <w:r>
        <w:rPr>
          <w:rFonts w:hint="eastAsia" w:ascii="宋体" w:hAnsi="宋体" w:cs="宋体"/>
          <w:szCs w:val="21"/>
        </w:rPr>
        <w:t>21.4  在仲裁期间，除正在执行仲裁部分外，本合同的其他部分应继续执行。</w:t>
      </w:r>
    </w:p>
    <w:p>
      <w:pPr>
        <w:spacing w:line="360" w:lineRule="exact"/>
        <w:rPr>
          <w:rFonts w:ascii="宋体" w:hAnsi="宋体" w:cs="宋体"/>
          <w:b/>
          <w:bCs/>
          <w:szCs w:val="21"/>
        </w:rPr>
      </w:pPr>
      <w:r>
        <w:rPr>
          <w:rFonts w:hint="eastAsia" w:ascii="宋体" w:hAnsi="宋体" w:cs="宋体"/>
          <w:b/>
          <w:bCs/>
          <w:szCs w:val="21"/>
        </w:rPr>
        <w:t>22．  适用法律</w:t>
      </w:r>
    </w:p>
    <w:p>
      <w:pPr>
        <w:spacing w:line="360" w:lineRule="exact"/>
        <w:ind w:firstLine="621" w:firstLineChars="296"/>
        <w:rPr>
          <w:rFonts w:ascii="宋体" w:hAnsi="宋体" w:cs="宋体"/>
          <w:szCs w:val="21"/>
        </w:rPr>
      </w:pPr>
      <w:r>
        <w:rPr>
          <w:rFonts w:hint="eastAsia" w:ascii="宋体" w:hAnsi="宋体" w:cs="宋体"/>
          <w:szCs w:val="21"/>
        </w:rPr>
        <w:t>本合同按照中华人民共和国的法律进行解释。</w:t>
      </w:r>
    </w:p>
    <w:p>
      <w:pPr>
        <w:spacing w:line="360" w:lineRule="exact"/>
        <w:rPr>
          <w:rFonts w:ascii="宋体" w:hAnsi="宋体" w:cs="宋体"/>
          <w:b/>
          <w:bCs/>
          <w:szCs w:val="21"/>
        </w:rPr>
      </w:pPr>
      <w:r>
        <w:rPr>
          <w:rFonts w:hint="eastAsia" w:ascii="宋体" w:hAnsi="宋体" w:cs="宋体"/>
          <w:b/>
          <w:bCs/>
          <w:szCs w:val="21"/>
        </w:rPr>
        <w:t>23．  合同生效及其他</w:t>
      </w:r>
    </w:p>
    <w:p>
      <w:pPr>
        <w:spacing w:line="360" w:lineRule="exact"/>
        <w:rPr>
          <w:rFonts w:ascii="宋体" w:hAnsi="宋体" w:cs="宋体"/>
          <w:szCs w:val="21"/>
        </w:rPr>
      </w:pPr>
      <w:r>
        <w:rPr>
          <w:rFonts w:hint="eastAsia" w:ascii="宋体" w:hAnsi="宋体" w:cs="宋体"/>
          <w:szCs w:val="21"/>
        </w:rPr>
        <w:t>23.1  合同应在双方签字盖章后开始生效。</w:t>
      </w:r>
    </w:p>
    <w:p>
      <w:pPr>
        <w:spacing w:line="360" w:lineRule="exact"/>
        <w:rPr>
          <w:rFonts w:ascii="宋体" w:hAnsi="宋体" w:cs="宋体"/>
          <w:szCs w:val="21"/>
        </w:rPr>
      </w:pPr>
      <w:r>
        <w:rPr>
          <w:rFonts w:hint="eastAsia" w:ascii="宋体" w:hAnsi="宋体" w:cs="宋体"/>
          <w:szCs w:val="21"/>
        </w:rPr>
        <w:t>23.2  本合同一式三份，双方各执一份，具有同等效力，另一份送公共资源交易中心备案。</w:t>
      </w:r>
    </w:p>
    <w:p>
      <w:pPr>
        <w:spacing w:line="360" w:lineRule="exact"/>
        <w:rPr>
          <w:rFonts w:ascii="宋体" w:hAnsi="宋体" w:cs="宋体"/>
          <w:szCs w:val="21"/>
        </w:rPr>
      </w:pPr>
      <w:r>
        <w:rPr>
          <w:rFonts w:hint="eastAsia" w:ascii="宋体" w:hAnsi="宋体" w:cs="宋体"/>
          <w:szCs w:val="21"/>
        </w:rPr>
        <w:t>23.3  如需修改或补充合同内容，经协商，双方应签署书面修改或补充协议，该协议将作为本合同</w:t>
      </w:r>
    </w:p>
    <w:p>
      <w:pPr>
        <w:spacing w:line="360" w:lineRule="exact"/>
        <w:rPr>
          <w:rFonts w:ascii="宋体" w:hAnsi="宋体" w:cs="宋体"/>
          <w:szCs w:val="21"/>
        </w:rPr>
      </w:pPr>
      <w:r>
        <w:rPr>
          <w:rFonts w:hint="eastAsia" w:ascii="宋体" w:hAnsi="宋体" w:cs="宋体"/>
          <w:szCs w:val="21"/>
        </w:rPr>
        <w:t>的一个组成部分。</w:t>
      </w:r>
    </w:p>
    <w:p>
      <w:pPr>
        <w:spacing w:line="360" w:lineRule="exact"/>
        <w:rPr>
          <w:rFonts w:ascii="宋体" w:hAnsi="宋体" w:cs="宋体"/>
          <w:szCs w:val="21"/>
        </w:rPr>
      </w:pPr>
      <w:r>
        <w:rPr>
          <w:rFonts w:hint="eastAsia" w:ascii="宋体" w:hAnsi="宋体" w:cs="宋体"/>
          <w:szCs w:val="21"/>
        </w:rPr>
        <w:t>23.4  本合同未尽事宜或约定不明，按照招标文件执行，如乙方投标承诺高于招标文件要求的按乙方投标承诺执行。</w:t>
      </w:r>
    </w:p>
    <w:p>
      <w:pPr>
        <w:spacing w:line="360" w:lineRule="exact"/>
        <w:rPr>
          <w:rFonts w:ascii="宋体" w:hAnsi="宋体" w:cs="宋体"/>
          <w:szCs w:val="21"/>
        </w:rPr>
      </w:pPr>
      <w:r>
        <w:rPr>
          <w:rFonts w:hint="eastAsia" w:ascii="宋体" w:hAnsi="宋体" w:cs="宋体"/>
          <w:szCs w:val="21"/>
        </w:rPr>
        <w:t>采购人（盖章）：                         中标供应商（盖章）</w:t>
      </w:r>
    </w:p>
    <w:p>
      <w:pPr>
        <w:spacing w:line="360" w:lineRule="exact"/>
        <w:rPr>
          <w:rFonts w:ascii="宋体" w:hAnsi="宋体" w:cs="宋体"/>
          <w:szCs w:val="21"/>
        </w:rPr>
      </w:pPr>
      <w:r>
        <w:rPr>
          <w:rFonts w:hint="eastAsia" w:ascii="宋体" w:hAnsi="宋体" w:cs="宋体"/>
          <w:szCs w:val="21"/>
        </w:rPr>
        <w:t>法定代表人：                            法定代表人：</w:t>
      </w:r>
    </w:p>
    <w:p>
      <w:pPr>
        <w:spacing w:line="360" w:lineRule="exact"/>
        <w:rPr>
          <w:rFonts w:ascii="宋体" w:hAnsi="宋体" w:cs="宋体"/>
          <w:szCs w:val="21"/>
        </w:rPr>
      </w:pPr>
      <w:r>
        <w:rPr>
          <w:rFonts w:hint="eastAsia" w:ascii="宋体" w:hAnsi="宋体" w:cs="宋体"/>
          <w:szCs w:val="21"/>
        </w:rPr>
        <w:t>开户银行：                              开户银行：</w:t>
      </w:r>
    </w:p>
    <w:p>
      <w:pPr>
        <w:spacing w:line="360" w:lineRule="exact"/>
        <w:rPr>
          <w:rFonts w:ascii="宋体" w:hAnsi="宋体" w:cs="宋体"/>
          <w:szCs w:val="21"/>
        </w:rPr>
      </w:pPr>
      <w:r>
        <w:rPr>
          <w:rFonts w:hint="eastAsia" w:ascii="宋体" w:hAnsi="宋体" w:cs="宋体"/>
          <w:szCs w:val="21"/>
        </w:rPr>
        <w:t>开户名称：                              开户名称：</w:t>
      </w:r>
    </w:p>
    <w:p>
      <w:pPr>
        <w:spacing w:line="360" w:lineRule="exact"/>
        <w:rPr>
          <w:rFonts w:ascii="宋体" w:hAnsi="宋体" w:cs="宋体"/>
          <w:szCs w:val="21"/>
        </w:rPr>
      </w:pPr>
      <w:r>
        <w:rPr>
          <w:rFonts w:hint="eastAsia" w:ascii="宋体" w:hAnsi="宋体" w:cs="宋体"/>
          <w:szCs w:val="21"/>
        </w:rPr>
        <w:t>账号：                                  账号：</w:t>
      </w:r>
    </w:p>
    <w:p>
      <w:pPr>
        <w:spacing w:line="360" w:lineRule="exact"/>
        <w:rPr>
          <w:rFonts w:ascii="宋体" w:hAnsi="宋体" w:cs="宋体"/>
          <w:szCs w:val="21"/>
        </w:rPr>
      </w:pPr>
      <w:r>
        <w:rPr>
          <w:rFonts w:hint="eastAsia" w:ascii="宋体" w:hAnsi="宋体" w:cs="宋体"/>
          <w:szCs w:val="21"/>
        </w:rPr>
        <w:t>签约日期：                              签约地点：</w:t>
      </w:r>
    </w:p>
    <w:p>
      <w:pPr>
        <w:pStyle w:val="2"/>
        <w:keepNext w:val="0"/>
        <w:keepLines w:val="0"/>
        <w:pageBreakBefore/>
        <w:ind w:firstLine="2570" w:firstLineChars="800"/>
        <w:rPr>
          <w:rFonts w:ascii="宋体" w:hAnsi="宋体" w:cs="宋体"/>
          <w:sz w:val="32"/>
        </w:rPr>
      </w:pPr>
      <w:bookmarkStart w:id="14" w:name="_Toc3666758"/>
      <w:bookmarkStart w:id="15" w:name="_Toc503675623"/>
      <w:bookmarkStart w:id="16" w:name="_Toc90176543"/>
      <w:r>
        <w:rPr>
          <w:rFonts w:hint="eastAsia" w:ascii="宋体" w:hAnsi="宋体" w:cs="宋体"/>
          <w:sz w:val="32"/>
        </w:rPr>
        <w:t>第五</w:t>
      </w:r>
      <w:bookmarkStart w:id="17" w:name="_Toc3664628"/>
      <w:bookmarkStart w:id="18" w:name="_Toc3666757"/>
      <w:r>
        <w:rPr>
          <w:rFonts w:hint="eastAsia" w:ascii="宋体" w:hAnsi="宋体" w:cs="宋体"/>
          <w:sz w:val="32"/>
        </w:rPr>
        <w:t>章  投标文件格式</w:t>
      </w:r>
      <w:bookmarkEnd w:id="17"/>
      <w:bookmarkEnd w:id="18"/>
    </w:p>
    <w:p>
      <w:pPr>
        <w:spacing w:line="360" w:lineRule="auto"/>
        <w:jc w:val="center"/>
        <w:rPr>
          <w:rFonts w:ascii="宋体" w:hAnsi="宋体" w:cs="宋体"/>
          <w:b/>
          <w:sz w:val="30"/>
        </w:rPr>
      </w:pPr>
    </w:p>
    <w:p>
      <w:pPr>
        <w:snapToGrid w:val="0"/>
        <w:jc w:val="center"/>
        <w:rPr>
          <w:rFonts w:ascii="宋体" w:hAnsi="宋体" w:cs="宋体"/>
          <w:b/>
          <w:bCs/>
          <w:sz w:val="28"/>
        </w:rPr>
      </w:pPr>
      <w:r>
        <w:rPr>
          <w:rFonts w:hint="eastAsia" w:ascii="宋体" w:hAnsi="宋体" w:cs="宋体"/>
          <w:b/>
          <w:bCs/>
          <w:sz w:val="28"/>
        </w:rPr>
        <w:t>投标人提交投标文件须知</w:t>
      </w:r>
    </w:p>
    <w:p>
      <w:pPr>
        <w:snapToGrid w:val="0"/>
        <w:jc w:val="center"/>
        <w:rPr>
          <w:rFonts w:ascii="宋体" w:hAnsi="宋体" w:cs="宋体"/>
          <w:b/>
          <w:bCs/>
          <w:sz w:val="28"/>
        </w:rPr>
      </w:pPr>
    </w:p>
    <w:p>
      <w:pPr>
        <w:snapToGrid w:val="0"/>
        <w:jc w:val="center"/>
        <w:rPr>
          <w:rFonts w:ascii="宋体" w:hAnsi="宋体" w:cs="宋体"/>
          <w:sz w:val="28"/>
          <w:szCs w:val="21"/>
        </w:rPr>
      </w:pPr>
    </w:p>
    <w:p>
      <w:pPr>
        <w:snapToGrid w:val="0"/>
        <w:rPr>
          <w:rFonts w:ascii="宋体" w:hAnsi="宋体" w:cs="宋体"/>
          <w:szCs w:val="21"/>
        </w:rPr>
      </w:pPr>
      <w:r>
        <w:rPr>
          <w:rFonts w:hint="eastAsia" w:ascii="宋体" w:hAnsi="宋体" w:cs="宋体"/>
        </w:rPr>
        <w:t> </w:t>
      </w:r>
    </w:p>
    <w:p>
      <w:pPr>
        <w:snapToGrid w:val="0"/>
        <w:spacing w:line="480" w:lineRule="auto"/>
        <w:ind w:left="431" w:leftChars="48" w:hanging="330" w:hangingChars="150"/>
        <w:rPr>
          <w:rFonts w:ascii="宋体" w:hAnsi="宋体" w:cs="宋体"/>
          <w:szCs w:val="21"/>
        </w:rPr>
      </w:pPr>
      <w:r>
        <w:rPr>
          <w:rFonts w:hint="eastAsia" w:ascii="宋体" w:hAnsi="宋体" w:cs="宋体"/>
          <w:sz w:val="22"/>
          <w:szCs w:val="22"/>
        </w:rPr>
        <w:t>1、</w:t>
      </w:r>
      <w:r>
        <w:rPr>
          <w:rFonts w:hint="eastAsia" w:ascii="宋体" w:hAnsi="宋体" w:cs="宋体"/>
          <w:szCs w:val="21"/>
        </w:rPr>
        <w:t>投标人应严格按照投标文件的组成提交下述规定的全部格式文件以及其他有关资料，混乱的编排导致投标文件被误读或采购人查找不到有效文件是投标人的风险。</w:t>
      </w:r>
    </w:p>
    <w:p>
      <w:pPr>
        <w:snapToGrid w:val="0"/>
        <w:spacing w:line="480" w:lineRule="auto"/>
        <w:ind w:firstLine="96" w:firstLineChars="46"/>
        <w:rPr>
          <w:rFonts w:ascii="宋体" w:hAnsi="宋体" w:cs="宋体"/>
          <w:szCs w:val="21"/>
        </w:rPr>
      </w:pPr>
      <w:r>
        <w:rPr>
          <w:rFonts w:hint="eastAsia" w:ascii="宋体" w:hAnsi="宋体" w:cs="宋体"/>
          <w:szCs w:val="21"/>
        </w:rPr>
        <w:t>2、所附表格中要求回答的全部问题和/或信息都必须正面回答。</w:t>
      </w:r>
    </w:p>
    <w:p>
      <w:pPr>
        <w:snapToGrid w:val="0"/>
        <w:spacing w:line="480" w:lineRule="auto"/>
        <w:ind w:firstLine="96" w:firstLineChars="46"/>
        <w:rPr>
          <w:rFonts w:ascii="宋体" w:hAnsi="宋体" w:cs="宋体"/>
          <w:szCs w:val="21"/>
        </w:rPr>
      </w:pPr>
      <w:r>
        <w:rPr>
          <w:rFonts w:hint="eastAsia" w:ascii="宋体" w:hAnsi="宋体" w:cs="宋体"/>
          <w:szCs w:val="21"/>
        </w:rPr>
        <w:t>3、本资格声明的签字人应保证全部声明和问题的回答是真实的和准确的。</w:t>
      </w:r>
    </w:p>
    <w:p>
      <w:pPr>
        <w:snapToGrid w:val="0"/>
        <w:spacing w:line="480" w:lineRule="auto"/>
        <w:ind w:left="416" w:leftChars="48" w:hanging="315" w:hangingChars="150"/>
        <w:rPr>
          <w:rFonts w:ascii="宋体" w:hAnsi="宋体" w:cs="宋体"/>
          <w:szCs w:val="21"/>
        </w:rPr>
      </w:pPr>
      <w:r>
        <w:rPr>
          <w:rFonts w:hint="eastAsia" w:ascii="宋体" w:hAnsi="宋体" w:cs="宋体"/>
          <w:szCs w:val="21"/>
        </w:rPr>
        <w:t>4、采购人将应用投标人提交的资料根据自己的判断和考虑决定投标人履行合同的合格性及能力。</w:t>
      </w:r>
    </w:p>
    <w:p>
      <w:pPr>
        <w:snapToGrid w:val="0"/>
        <w:spacing w:line="480" w:lineRule="auto"/>
        <w:ind w:firstLine="96" w:firstLineChars="46"/>
        <w:rPr>
          <w:rFonts w:ascii="宋体" w:hAnsi="宋体" w:cs="宋体"/>
          <w:szCs w:val="21"/>
        </w:rPr>
      </w:pPr>
      <w:r>
        <w:rPr>
          <w:rFonts w:hint="eastAsia" w:ascii="宋体" w:hAnsi="宋体" w:cs="宋体"/>
          <w:szCs w:val="21"/>
        </w:rPr>
        <w:t>5、投标人提交的材料将被保密保存，但不退还。</w:t>
      </w:r>
    </w:p>
    <w:p>
      <w:pPr>
        <w:snapToGrid w:val="0"/>
        <w:spacing w:line="480" w:lineRule="auto"/>
        <w:ind w:firstLine="96" w:firstLineChars="46"/>
        <w:rPr>
          <w:rFonts w:ascii="宋体" w:hAnsi="宋体" w:cs="宋体"/>
          <w:szCs w:val="21"/>
        </w:rPr>
      </w:pPr>
      <w:r>
        <w:rPr>
          <w:rFonts w:hint="eastAsia" w:ascii="宋体" w:hAnsi="宋体" w:cs="宋体"/>
          <w:szCs w:val="21"/>
        </w:rPr>
        <w:t>6、全部文件应按投标人须知中规定的语言和份数提交。</w:t>
      </w:r>
    </w:p>
    <w:p>
      <w:pPr>
        <w:pStyle w:val="4"/>
        <w:pageBreakBefore/>
        <w:ind w:firstLine="217" w:firstLineChars="68"/>
        <w:jc w:val="center"/>
        <w:rPr>
          <w:rFonts w:ascii="宋体" w:hAnsi="宋体" w:cs="宋体"/>
        </w:rPr>
      </w:pPr>
      <w:bookmarkStart w:id="19" w:name="_Toc503675634"/>
      <w:bookmarkStart w:id="20" w:name="_Toc3666766"/>
      <w:r>
        <w:rPr>
          <w:rFonts w:hint="eastAsia" w:ascii="宋体" w:hAnsi="宋体" w:cs="宋体"/>
          <w:b w:val="0"/>
          <w:bCs w:val="0"/>
        </w:rPr>
        <w:t>附件一  投标函</w:t>
      </w:r>
    </w:p>
    <w:p>
      <w:pPr>
        <w:pStyle w:val="24"/>
        <w:spacing w:line="400" w:lineRule="exact"/>
        <w:jc w:val="center"/>
        <w:rPr>
          <w:rFonts w:hAnsi="宋体" w:cs="宋体"/>
          <w:b/>
          <w:bCs/>
          <w:sz w:val="32"/>
          <w:szCs w:val="32"/>
        </w:rPr>
      </w:pPr>
    </w:p>
    <w:p>
      <w:pPr>
        <w:pStyle w:val="225"/>
        <w:keepNext w:val="0"/>
        <w:widowControl/>
        <w:spacing w:after="0" w:line="360" w:lineRule="exact"/>
        <w:rPr>
          <w:rFonts w:ascii="宋体" w:hAnsi="宋体" w:cs="宋体"/>
          <w:szCs w:val="21"/>
          <w:u w:val="single"/>
        </w:rPr>
      </w:pPr>
      <w:r>
        <w:rPr>
          <w:rFonts w:hint="eastAsia" w:ascii="宋体" w:hAnsi="宋体" w:cs="宋体"/>
          <w:szCs w:val="21"/>
        </w:rPr>
        <w:t>致：</w:t>
      </w:r>
      <w:r>
        <w:rPr>
          <w:rFonts w:hint="eastAsia" w:ascii="宋体" w:hAnsi="宋体" w:cs="宋体"/>
          <w:szCs w:val="21"/>
          <w:u w:val="single"/>
        </w:rPr>
        <w:t>杭州华旗招标代理有限公司</w:t>
      </w:r>
    </w:p>
    <w:p>
      <w:pPr>
        <w:pStyle w:val="225"/>
        <w:keepNext w:val="0"/>
        <w:widowControl/>
        <w:spacing w:after="0" w:line="360" w:lineRule="exact"/>
        <w:rPr>
          <w:rFonts w:ascii="宋体" w:hAnsi="宋体" w:cs="宋体"/>
          <w:szCs w:val="21"/>
        </w:rPr>
      </w:pPr>
    </w:p>
    <w:p>
      <w:pPr>
        <w:spacing w:line="360" w:lineRule="exact"/>
        <w:ind w:firstLine="420" w:firstLineChars="200"/>
        <w:rPr>
          <w:rFonts w:ascii="宋体" w:hAnsi="宋体" w:cs="宋体"/>
          <w:szCs w:val="21"/>
        </w:rPr>
      </w:pPr>
      <w:r>
        <w:rPr>
          <w:rFonts w:hint="eastAsia" w:ascii="宋体" w:hAnsi="宋体" w:cs="宋体"/>
          <w:szCs w:val="21"/>
        </w:rPr>
        <w:t>根据贵方为</w:t>
      </w:r>
      <w:r>
        <w:rPr>
          <w:rFonts w:hint="eastAsia" w:ascii="宋体" w:hAnsi="宋体" w:cs="宋体"/>
          <w:szCs w:val="21"/>
          <w:lang w:eastAsia="zh-CN"/>
        </w:rPr>
        <w:t>龙港市职业中等专业学校学生宿舍床设备</w:t>
      </w:r>
      <w:r>
        <w:rPr>
          <w:rFonts w:hint="eastAsia" w:ascii="宋体" w:hAnsi="宋体" w:cs="宋体"/>
          <w:szCs w:val="21"/>
        </w:rPr>
        <w:t>项目（项目编号：XXX）的投标邀请，我方</w:t>
      </w:r>
      <w:r>
        <w:rPr>
          <w:rFonts w:hint="eastAsia" w:ascii="宋体" w:hAnsi="宋体" w:cs="宋体"/>
          <w:szCs w:val="21"/>
          <w:u w:val="single"/>
        </w:rPr>
        <w:t xml:space="preserve">               　　       </w:t>
      </w:r>
      <w:r>
        <w:rPr>
          <w:rFonts w:hint="eastAsia" w:ascii="宋体" w:hAnsi="宋体" w:cs="宋体"/>
          <w:szCs w:val="21"/>
        </w:rPr>
        <w:t>（投标人名称）作为投标人正式授权</w:t>
      </w:r>
      <w:r>
        <w:rPr>
          <w:rFonts w:hint="eastAsia" w:ascii="宋体" w:hAnsi="宋体" w:cs="宋体"/>
          <w:szCs w:val="21"/>
          <w:u w:val="single"/>
        </w:rPr>
        <w:t xml:space="preserve">                       （授权代表全名，职务）</w:t>
      </w:r>
      <w:r>
        <w:rPr>
          <w:rFonts w:hint="eastAsia" w:ascii="宋体" w:hAnsi="宋体" w:cs="宋体"/>
          <w:szCs w:val="21"/>
        </w:rPr>
        <w:t>代表我方进行有关本投标的一切事宜。</w:t>
      </w:r>
    </w:p>
    <w:p>
      <w:pPr>
        <w:pStyle w:val="7"/>
        <w:spacing w:line="360" w:lineRule="exact"/>
        <w:ind w:firstLine="418" w:firstLineChars="176"/>
        <w:rPr>
          <w:rFonts w:ascii="宋体" w:hAnsi="宋体" w:cs="宋体"/>
          <w:kern w:val="2"/>
          <w:sz w:val="21"/>
          <w:szCs w:val="21"/>
        </w:rPr>
      </w:pPr>
      <w:r>
        <w:rPr>
          <w:rFonts w:hint="eastAsia" w:ascii="宋体" w:hAnsi="宋体" w:cs="宋体"/>
          <w:kern w:val="2"/>
          <w:sz w:val="21"/>
          <w:szCs w:val="21"/>
        </w:rPr>
        <w:t>在此提交按招标文件规定要求编制的投标文件包括：资格文件、技术资信文件和报价文件；</w:t>
      </w:r>
    </w:p>
    <w:p>
      <w:pPr>
        <w:spacing w:line="360" w:lineRule="exact"/>
        <w:ind w:firstLine="420" w:firstLineChars="200"/>
        <w:rPr>
          <w:rFonts w:ascii="宋体" w:hAnsi="宋体" w:cs="宋体"/>
          <w:szCs w:val="21"/>
        </w:rPr>
      </w:pPr>
      <w:r>
        <w:rPr>
          <w:rFonts w:hint="eastAsia" w:ascii="宋体" w:hAnsi="宋体" w:cs="宋体"/>
          <w:szCs w:val="21"/>
        </w:rPr>
        <w:t>我方已完全明白招标文件的所有条款要求，并重申以下几点：</w:t>
      </w:r>
    </w:p>
    <w:p>
      <w:pPr>
        <w:spacing w:line="360" w:lineRule="exact"/>
        <w:ind w:left="359" w:leftChars="171"/>
        <w:rPr>
          <w:rFonts w:ascii="宋体" w:hAnsi="宋体" w:cs="宋体"/>
          <w:szCs w:val="21"/>
        </w:rPr>
      </w:pPr>
      <w:r>
        <w:rPr>
          <w:rFonts w:hint="eastAsia" w:ascii="宋体" w:hAnsi="宋体" w:cs="宋体"/>
          <w:szCs w:val="21"/>
        </w:rPr>
        <w:t>（—）我方决定参加编号为XXX项目的投标；</w:t>
      </w:r>
    </w:p>
    <w:p>
      <w:pPr>
        <w:spacing w:line="360" w:lineRule="exact"/>
        <w:ind w:left="359" w:leftChars="171"/>
        <w:rPr>
          <w:rFonts w:ascii="宋体" w:hAnsi="宋体" w:cs="宋体"/>
          <w:szCs w:val="21"/>
        </w:rPr>
      </w:pPr>
      <w:r>
        <w:rPr>
          <w:rFonts w:hint="eastAsia" w:ascii="宋体" w:hAnsi="宋体" w:cs="宋体"/>
          <w:szCs w:val="21"/>
        </w:rPr>
        <w:t>（二）全部货物之供应和有关服务的投标报价（详见投标一览表）；</w:t>
      </w:r>
    </w:p>
    <w:p>
      <w:pPr>
        <w:spacing w:line="360" w:lineRule="exact"/>
        <w:ind w:left="989" w:leftChars="171" w:hanging="630" w:hangingChars="300"/>
        <w:rPr>
          <w:rFonts w:ascii="宋体" w:hAnsi="宋体" w:cs="宋体"/>
          <w:szCs w:val="21"/>
        </w:rPr>
      </w:pPr>
      <w:r>
        <w:rPr>
          <w:rFonts w:hint="eastAsia" w:ascii="宋体" w:hAnsi="宋体" w:cs="宋体"/>
          <w:szCs w:val="21"/>
        </w:rPr>
        <w:t>（三）本投标文件的有效期自投标截止日后60天有效，如中标，有效期将延至合同终止日为止；</w:t>
      </w:r>
    </w:p>
    <w:p>
      <w:pPr>
        <w:spacing w:line="360" w:lineRule="exact"/>
        <w:ind w:left="989" w:leftChars="171" w:hanging="630" w:hangingChars="300"/>
        <w:rPr>
          <w:rFonts w:ascii="宋体" w:hAnsi="宋体" w:cs="宋体"/>
          <w:szCs w:val="21"/>
        </w:rPr>
      </w:pPr>
      <w:r>
        <w:rPr>
          <w:rFonts w:hint="eastAsia" w:ascii="宋体" w:hAnsi="宋体" w:cs="宋体"/>
          <w:szCs w:val="21"/>
        </w:rPr>
        <w:t>（四）我方已详细研究了招标文件的所有内容包括修正文（如有）和所有已提供的参考资料以及有关附件并完全明白，我方放弃在此方面提出含糊意见或误解的一切权力；</w:t>
      </w:r>
    </w:p>
    <w:p>
      <w:pPr>
        <w:spacing w:line="360" w:lineRule="exact"/>
        <w:ind w:left="989" w:leftChars="171" w:hanging="630" w:hangingChars="300"/>
        <w:rPr>
          <w:rFonts w:ascii="宋体" w:hAnsi="宋体" w:cs="宋体"/>
          <w:szCs w:val="21"/>
        </w:rPr>
      </w:pPr>
      <w:r>
        <w:rPr>
          <w:rFonts w:hint="eastAsia" w:ascii="宋体" w:hAnsi="宋体" w:cs="宋体"/>
          <w:szCs w:val="21"/>
        </w:rPr>
        <w:t>（五）我方明白并愿意在规定的开标时间和日期之后，投标有效期之内不得撤回投标；</w:t>
      </w:r>
    </w:p>
    <w:p>
      <w:pPr>
        <w:spacing w:line="360" w:lineRule="exact"/>
        <w:ind w:left="359" w:leftChars="171"/>
        <w:rPr>
          <w:rFonts w:ascii="宋体" w:hAnsi="宋体" w:cs="宋体"/>
          <w:szCs w:val="21"/>
        </w:rPr>
      </w:pPr>
      <w:r>
        <w:rPr>
          <w:rFonts w:hint="eastAsia" w:ascii="宋体" w:hAnsi="宋体" w:cs="宋体"/>
          <w:szCs w:val="21"/>
        </w:rPr>
        <w:t>（六）我方同意按照贵方可能提出的要求而提供与投标有关的任何其它数据或信息；</w:t>
      </w:r>
    </w:p>
    <w:p>
      <w:pPr>
        <w:spacing w:line="360" w:lineRule="exact"/>
        <w:ind w:left="359" w:leftChars="171"/>
        <w:rPr>
          <w:rFonts w:ascii="宋体" w:hAnsi="宋体" w:cs="宋体"/>
          <w:szCs w:val="21"/>
        </w:rPr>
      </w:pPr>
      <w:r>
        <w:rPr>
          <w:rFonts w:hint="eastAsia" w:ascii="宋体" w:hAnsi="宋体" w:cs="宋体"/>
          <w:szCs w:val="21"/>
        </w:rPr>
        <w:t>（七）我方理解贵方不一定接受最低标价或任何贵方可能收到的投标；</w:t>
      </w:r>
    </w:p>
    <w:p>
      <w:pPr>
        <w:spacing w:line="360" w:lineRule="exact"/>
        <w:ind w:left="989" w:leftChars="171" w:hanging="630" w:hangingChars="300"/>
        <w:rPr>
          <w:rFonts w:ascii="宋体" w:hAnsi="宋体" w:cs="宋体"/>
          <w:szCs w:val="21"/>
        </w:rPr>
      </w:pPr>
      <w:r>
        <w:rPr>
          <w:rFonts w:hint="eastAsia" w:ascii="宋体" w:hAnsi="宋体" w:cs="宋体"/>
          <w:szCs w:val="21"/>
        </w:rPr>
        <w:t>（八）我方如果中标，将保证履行招标文件以及招标文件修改书（如有）中的全部责任和义务，按质、按量、按期完成《合同书》中的全部任务。</w:t>
      </w:r>
    </w:p>
    <w:p>
      <w:pPr>
        <w:spacing w:line="360" w:lineRule="exact"/>
        <w:ind w:left="359" w:leftChars="171"/>
        <w:rPr>
          <w:rFonts w:ascii="宋体" w:hAnsi="宋体" w:cs="宋体"/>
          <w:szCs w:val="21"/>
        </w:rPr>
      </w:pPr>
      <w:r>
        <w:rPr>
          <w:rFonts w:hint="eastAsia" w:ascii="宋体" w:hAnsi="宋体" w:cs="宋体"/>
          <w:szCs w:val="21"/>
        </w:rPr>
        <w:t>（九）所有与本投标有关的函件请发往下列地址：</w:t>
      </w:r>
    </w:p>
    <w:p>
      <w:pPr>
        <w:spacing w:line="360" w:lineRule="exact"/>
        <w:ind w:left="359" w:leftChars="171"/>
        <w:rPr>
          <w:rFonts w:ascii="宋体" w:hAnsi="宋体" w:cs="宋体"/>
          <w:szCs w:val="21"/>
        </w:rPr>
      </w:pPr>
    </w:p>
    <w:p>
      <w:pPr>
        <w:spacing w:line="360" w:lineRule="exact"/>
        <w:ind w:firstLine="514" w:firstLineChars="245"/>
        <w:rPr>
          <w:rFonts w:ascii="宋体" w:hAnsi="宋体" w:cs="宋体"/>
          <w:szCs w:val="21"/>
        </w:rPr>
      </w:pPr>
      <w:r>
        <w:rPr>
          <w:rFonts w:hint="eastAsia" w:ascii="宋体" w:hAnsi="宋体" w:cs="宋体"/>
          <w:szCs w:val="21"/>
        </w:rPr>
        <w:t>地  　 址：</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邮政编码：</w:t>
      </w:r>
      <w:r>
        <w:rPr>
          <w:rFonts w:hint="eastAsia" w:ascii="宋体" w:hAnsi="宋体" w:cs="宋体"/>
          <w:szCs w:val="21"/>
          <w:u w:val="single"/>
        </w:rPr>
        <w:t xml:space="preserve">                        </w:t>
      </w:r>
    </w:p>
    <w:p>
      <w:pPr>
        <w:spacing w:line="360" w:lineRule="exact"/>
        <w:ind w:left="538" w:leftChars="256"/>
        <w:rPr>
          <w:rFonts w:ascii="宋体" w:hAnsi="宋体" w:cs="宋体"/>
          <w:szCs w:val="21"/>
        </w:rPr>
      </w:pPr>
      <w:r>
        <w:rPr>
          <w:rFonts w:hint="eastAsia" w:ascii="宋体" w:hAnsi="宋体" w:cs="宋体"/>
          <w:szCs w:val="21"/>
        </w:rPr>
        <w:t>电话/传真：</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电子邮箱：</w:t>
      </w:r>
      <w:r>
        <w:rPr>
          <w:rFonts w:hint="eastAsia" w:ascii="宋体" w:hAnsi="宋体" w:cs="宋体"/>
          <w:szCs w:val="21"/>
          <w:u w:val="single"/>
        </w:rPr>
        <w:t xml:space="preserve">                        </w:t>
      </w:r>
      <w:r>
        <w:rPr>
          <w:rFonts w:hint="eastAsia" w:ascii="宋体" w:hAnsi="宋体" w:cs="宋体"/>
          <w:szCs w:val="21"/>
        </w:rPr>
        <w:tab/>
      </w:r>
      <w:r>
        <w:rPr>
          <w:rFonts w:hint="eastAsia" w:ascii="宋体" w:hAnsi="宋体" w:cs="宋体"/>
          <w:szCs w:val="21"/>
        </w:rPr>
        <w:t xml:space="preserve">  </w:t>
      </w:r>
    </w:p>
    <w:p>
      <w:pPr>
        <w:spacing w:line="360" w:lineRule="exact"/>
        <w:ind w:firstLine="500" w:firstLineChars="200"/>
        <w:rPr>
          <w:rFonts w:ascii="宋体" w:hAnsi="宋体" w:cs="宋体"/>
          <w:szCs w:val="21"/>
          <w:u w:val="single"/>
        </w:rPr>
      </w:pPr>
      <w:r>
        <w:rPr>
          <w:rFonts w:hint="eastAsia" w:ascii="宋体" w:hAnsi="宋体" w:cs="宋体"/>
          <w:spacing w:val="20"/>
          <w:szCs w:val="21"/>
        </w:rPr>
        <w:t>代表姓名</w:t>
      </w:r>
      <w:r>
        <w:rPr>
          <w:rFonts w:hint="eastAsia" w:ascii="宋体" w:hAnsi="宋体" w:cs="宋体"/>
          <w:szCs w:val="21"/>
        </w:rPr>
        <w:t>：</w:t>
      </w:r>
      <w:r>
        <w:rPr>
          <w:rFonts w:hint="eastAsia" w:ascii="宋体" w:hAnsi="宋体" w:cs="宋体"/>
          <w:szCs w:val="21"/>
          <w:u w:val="single"/>
        </w:rPr>
        <w:t>　　　　　　　　　　　</w:t>
      </w:r>
      <w:r>
        <w:rPr>
          <w:rFonts w:hint="eastAsia" w:ascii="宋体" w:hAnsi="宋体" w:cs="宋体"/>
          <w:szCs w:val="21"/>
        </w:rPr>
        <w:tab/>
      </w:r>
      <w:r>
        <w:rPr>
          <w:rFonts w:hint="eastAsia" w:ascii="宋体" w:hAnsi="宋体" w:cs="宋体"/>
          <w:szCs w:val="21"/>
        </w:rPr>
        <w:t xml:space="preserve">       职    务：</w:t>
      </w:r>
      <w:r>
        <w:rPr>
          <w:rFonts w:hint="eastAsia" w:ascii="宋体" w:hAnsi="宋体" w:cs="宋体"/>
          <w:szCs w:val="21"/>
          <w:u w:val="single"/>
        </w:rPr>
        <w:t xml:space="preserve">                         </w:t>
      </w:r>
      <w:r>
        <w:rPr>
          <w:rFonts w:hint="eastAsia" w:ascii="宋体" w:hAnsi="宋体" w:cs="宋体"/>
          <w:szCs w:val="21"/>
        </w:rPr>
        <w:tab/>
      </w:r>
    </w:p>
    <w:p>
      <w:pPr>
        <w:spacing w:line="360" w:lineRule="exact"/>
        <w:ind w:left="3780" w:leftChars="1800"/>
        <w:rPr>
          <w:rFonts w:ascii="宋体" w:hAnsi="宋体" w:cs="宋体"/>
          <w:szCs w:val="21"/>
        </w:rPr>
      </w:pPr>
    </w:p>
    <w:p>
      <w:pPr>
        <w:spacing w:line="360" w:lineRule="exact"/>
        <w:ind w:left="3780" w:leftChars="1800"/>
        <w:rPr>
          <w:rFonts w:ascii="宋体" w:hAnsi="宋体" w:cs="宋体"/>
          <w:szCs w:val="21"/>
        </w:rPr>
      </w:pPr>
    </w:p>
    <w:p>
      <w:pPr>
        <w:spacing w:line="400" w:lineRule="exact"/>
        <w:ind w:left="500" w:leftChars="238"/>
        <w:rPr>
          <w:rFonts w:ascii="宋体" w:hAnsi="宋体" w:cs="宋体"/>
          <w:szCs w:val="21"/>
        </w:rPr>
      </w:pPr>
      <w:r>
        <w:rPr>
          <w:rFonts w:hint="eastAsia" w:ascii="宋体" w:hAnsi="宋体" w:cs="宋体"/>
          <w:szCs w:val="21"/>
        </w:rPr>
        <w:t>投标人全称（盖章）：</w:t>
      </w:r>
    </w:p>
    <w:p>
      <w:pPr>
        <w:spacing w:line="400" w:lineRule="exact"/>
        <w:ind w:left="500" w:leftChars="238"/>
        <w:rPr>
          <w:rFonts w:ascii="宋体" w:hAnsi="宋体" w:cs="宋体"/>
          <w:szCs w:val="21"/>
        </w:rPr>
      </w:pPr>
      <w:r>
        <w:rPr>
          <w:rFonts w:hint="eastAsia" w:ascii="宋体" w:hAnsi="宋体" w:cs="宋体"/>
          <w:szCs w:val="21"/>
        </w:rPr>
        <w:t>日    期：</w:t>
      </w:r>
    </w:p>
    <w:p>
      <w:pPr>
        <w:pStyle w:val="4"/>
        <w:pageBreakBefore/>
        <w:ind w:firstLine="218" w:firstLineChars="68"/>
        <w:jc w:val="center"/>
        <w:rPr>
          <w:rFonts w:ascii="宋体" w:hAnsi="宋体" w:cs="宋体"/>
        </w:rPr>
      </w:pPr>
      <w:r>
        <w:rPr>
          <w:rFonts w:hint="eastAsia" w:ascii="宋体" w:hAnsi="宋体" w:cs="宋体"/>
        </w:rPr>
        <w:t>附件二 投标一览表</w:t>
      </w:r>
    </w:p>
    <w:p>
      <w:pPr>
        <w:spacing w:line="460" w:lineRule="exact"/>
        <w:ind w:left="239" w:leftChars="114"/>
        <w:jc w:val="left"/>
        <w:rPr>
          <w:rFonts w:ascii="宋体" w:hAnsi="宋体" w:cs="宋体"/>
          <w:b/>
          <w:sz w:val="24"/>
        </w:rPr>
      </w:pPr>
      <w:r>
        <w:rPr>
          <w:rFonts w:hint="eastAsia" w:ascii="宋体" w:hAnsi="宋体" w:cs="宋体"/>
          <w:b/>
          <w:sz w:val="24"/>
        </w:rPr>
        <w:t>采购单位：</w:t>
      </w:r>
      <w:r>
        <w:rPr>
          <w:rFonts w:hint="eastAsia" w:ascii="宋体" w:hAnsi="宋体" w:cs="宋体"/>
          <w:b/>
          <w:sz w:val="24"/>
          <w:lang w:eastAsia="zh-CN"/>
        </w:rPr>
        <w:t>龙港市职业中等专业学校</w:t>
      </w:r>
      <w:r>
        <w:rPr>
          <w:rFonts w:hint="eastAsia" w:ascii="宋体" w:hAnsi="宋体" w:cs="宋体"/>
          <w:b/>
          <w:sz w:val="24"/>
        </w:rPr>
        <w:t xml:space="preserve">          项目编号：XXX</w:t>
      </w:r>
    </w:p>
    <w:tbl>
      <w:tblPr>
        <w:tblStyle w:val="46"/>
        <w:tblW w:w="942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2003"/>
        <w:gridCol w:w="4155"/>
        <w:gridCol w:w="1633"/>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exact"/>
        </w:trPr>
        <w:tc>
          <w:tcPr>
            <w:tcW w:w="776"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2003"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项目名称</w:t>
            </w:r>
          </w:p>
        </w:tc>
        <w:tc>
          <w:tcPr>
            <w:tcW w:w="4155"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投标总价（人民币：元）</w:t>
            </w:r>
          </w:p>
        </w:tc>
        <w:tc>
          <w:tcPr>
            <w:tcW w:w="1633"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完工时间</w:t>
            </w:r>
          </w:p>
        </w:tc>
        <w:tc>
          <w:tcPr>
            <w:tcW w:w="854"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776" w:type="dxa"/>
            <w:vAlign w:val="center"/>
          </w:tcPr>
          <w:p>
            <w:pPr>
              <w:jc w:val="center"/>
              <w:rPr>
                <w:rFonts w:ascii="宋体" w:hAnsi="宋体" w:cs="宋体"/>
                <w:szCs w:val="21"/>
              </w:rPr>
            </w:pPr>
            <w:r>
              <w:rPr>
                <w:rFonts w:hint="eastAsia" w:ascii="宋体" w:hAnsi="宋体" w:cs="宋体"/>
                <w:szCs w:val="21"/>
              </w:rPr>
              <w:t>1</w:t>
            </w:r>
          </w:p>
        </w:tc>
        <w:tc>
          <w:tcPr>
            <w:tcW w:w="2003" w:type="dxa"/>
            <w:vAlign w:val="center"/>
          </w:tcPr>
          <w:p>
            <w:pPr>
              <w:jc w:val="center"/>
              <w:rPr>
                <w:rFonts w:hint="eastAsia" w:ascii="宋体" w:hAnsi="宋体" w:eastAsia="宋体" w:cs="宋体"/>
                <w:b/>
                <w:szCs w:val="21"/>
                <w:lang w:eastAsia="zh-CN"/>
              </w:rPr>
            </w:pPr>
            <w:r>
              <w:rPr>
                <w:rFonts w:hint="eastAsia" w:ascii="宋体" w:hAnsi="宋体" w:cs="宋体"/>
                <w:b/>
                <w:szCs w:val="21"/>
                <w:lang w:eastAsia="zh-CN"/>
              </w:rPr>
              <w:t>龙港市职业中等专业学校学生宿舍床设备</w:t>
            </w:r>
          </w:p>
        </w:tc>
        <w:tc>
          <w:tcPr>
            <w:tcW w:w="4155" w:type="dxa"/>
            <w:vAlign w:val="center"/>
          </w:tcPr>
          <w:p>
            <w:pPr>
              <w:rPr>
                <w:rFonts w:ascii="宋体" w:hAnsi="宋体" w:cs="宋体"/>
                <w:b/>
                <w:szCs w:val="21"/>
              </w:rPr>
            </w:pPr>
            <w:r>
              <w:rPr>
                <w:rFonts w:hint="eastAsia" w:ascii="宋体" w:hAnsi="宋体" w:cs="宋体"/>
                <w:b/>
                <w:szCs w:val="21"/>
              </w:rPr>
              <w:t xml:space="preserve">(大写) :                    </w:t>
            </w:r>
          </w:p>
          <w:p>
            <w:pPr>
              <w:jc w:val="center"/>
              <w:rPr>
                <w:rFonts w:ascii="宋体" w:hAnsi="宋体" w:cs="宋体"/>
                <w:b/>
                <w:szCs w:val="21"/>
              </w:rPr>
            </w:pPr>
          </w:p>
          <w:p>
            <w:pPr>
              <w:rPr>
                <w:rFonts w:ascii="宋体" w:hAnsi="宋体" w:cs="宋体"/>
                <w:b/>
                <w:szCs w:val="21"/>
              </w:rPr>
            </w:pPr>
            <w:r>
              <w:rPr>
                <w:rFonts w:hint="eastAsia" w:ascii="宋体" w:hAnsi="宋体" w:cs="宋体"/>
                <w:b/>
                <w:szCs w:val="21"/>
              </w:rPr>
              <w:t xml:space="preserve">（小写）：￥                </w:t>
            </w:r>
          </w:p>
        </w:tc>
        <w:tc>
          <w:tcPr>
            <w:tcW w:w="1633" w:type="dxa"/>
          </w:tcPr>
          <w:p>
            <w:pPr>
              <w:jc w:val="center"/>
              <w:rPr>
                <w:rFonts w:ascii="宋体" w:hAnsi="宋体" w:cs="宋体"/>
                <w:szCs w:val="21"/>
              </w:rPr>
            </w:pPr>
          </w:p>
        </w:tc>
        <w:tc>
          <w:tcPr>
            <w:tcW w:w="854" w:type="dxa"/>
            <w:vAlign w:val="center"/>
          </w:tcPr>
          <w:p>
            <w:pPr>
              <w:jc w:val="center"/>
              <w:rPr>
                <w:rFonts w:ascii="宋体" w:hAnsi="宋体" w:cs="宋体"/>
                <w:szCs w:val="21"/>
              </w:rPr>
            </w:pPr>
          </w:p>
        </w:tc>
      </w:tr>
    </w:tbl>
    <w:p>
      <w:pPr>
        <w:spacing w:line="360" w:lineRule="exact"/>
        <w:rPr>
          <w:rFonts w:ascii="宋体" w:hAnsi="宋体" w:cs="宋体"/>
          <w:b/>
          <w:bCs/>
          <w:szCs w:val="21"/>
        </w:rPr>
      </w:pPr>
    </w:p>
    <w:p>
      <w:pPr>
        <w:spacing w:line="360" w:lineRule="exact"/>
        <w:rPr>
          <w:rFonts w:ascii="宋体" w:hAnsi="宋体" w:cs="宋体"/>
          <w:b/>
          <w:szCs w:val="21"/>
        </w:rPr>
      </w:pPr>
      <w:r>
        <w:rPr>
          <w:rFonts w:hint="eastAsia" w:ascii="宋体" w:hAnsi="宋体" w:cs="宋体"/>
          <w:b/>
          <w:bCs/>
          <w:szCs w:val="21"/>
        </w:rPr>
        <w:t>注：1.</w:t>
      </w:r>
      <w:r>
        <w:rPr>
          <w:rFonts w:hint="eastAsia" w:ascii="宋体" w:hAnsi="宋体" w:cs="宋体"/>
          <w:b/>
          <w:szCs w:val="21"/>
        </w:rPr>
        <w:t>投标报价是包括了货物及其附件的采购、制造、检测、试验、运输、保险、现场仓储、税费（含进口关税、增值税等）以及验收、技术服务（包括技术资料的提供）、质保期保障等相关服务的全部费用。</w:t>
      </w:r>
    </w:p>
    <w:p>
      <w:pPr>
        <w:spacing w:line="360" w:lineRule="exact"/>
        <w:ind w:firstLine="413" w:firstLineChars="196"/>
        <w:rPr>
          <w:rFonts w:ascii="宋体" w:hAnsi="宋体" w:cs="宋体"/>
          <w:b/>
          <w:szCs w:val="21"/>
        </w:rPr>
      </w:pPr>
      <w:r>
        <w:rPr>
          <w:rFonts w:hint="eastAsia" w:ascii="宋体" w:hAnsi="宋体" w:cs="宋体"/>
          <w:b/>
          <w:szCs w:val="21"/>
        </w:rPr>
        <w:t>2.其中所涉及到第三方检测费用及其他验收费用均包含在投标总价中.</w:t>
      </w:r>
    </w:p>
    <w:p>
      <w:pPr>
        <w:spacing w:line="360" w:lineRule="exact"/>
        <w:ind w:firstLine="413" w:firstLineChars="196"/>
        <w:rPr>
          <w:rFonts w:ascii="宋体" w:hAnsi="宋体" w:cs="宋体"/>
          <w:b/>
          <w:szCs w:val="21"/>
        </w:rPr>
      </w:pPr>
      <w:r>
        <w:rPr>
          <w:rFonts w:hint="eastAsia" w:ascii="宋体" w:hAnsi="宋体" w:cs="宋体"/>
          <w:b/>
          <w:szCs w:val="21"/>
        </w:rPr>
        <w:t xml:space="preserve">3.如果投标人提出优惠条款，请在备注栏内注明。             </w:t>
      </w:r>
    </w:p>
    <w:p>
      <w:pPr>
        <w:spacing w:line="360" w:lineRule="exact"/>
        <w:ind w:left="637" w:leftChars="203" w:hanging="211" w:hangingChars="100"/>
        <w:rPr>
          <w:rFonts w:ascii="宋体" w:hAnsi="宋体" w:cs="宋体"/>
          <w:b/>
          <w:szCs w:val="21"/>
        </w:rPr>
      </w:pPr>
      <w:r>
        <w:rPr>
          <w:rFonts w:hint="eastAsia" w:ascii="宋体" w:hAnsi="宋体" w:cs="宋体"/>
          <w:b/>
          <w:szCs w:val="21"/>
          <w:u w:val="single"/>
        </w:rPr>
        <w:t>4.此表不得自行增减内容，不提供此表格将被视为没有实质性响应招标文件，其投标文件作无效标处理</w:t>
      </w:r>
      <w:r>
        <w:rPr>
          <w:rFonts w:hint="eastAsia" w:ascii="宋体" w:hAnsi="宋体" w:cs="宋体"/>
          <w:b/>
          <w:szCs w:val="21"/>
        </w:rPr>
        <w:t>。</w:t>
      </w:r>
    </w:p>
    <w:p>
      <w:pPr>
        <w:spacing w:line="360" w:lineRule="exact"/>
        <w:ind w:firstLine="4718" w:firstLineChars="2247"/>
        <w:rPr>
          <w:rFonts w:ascii="宋体" w:hAnsi="宋体" w:cs="宋体"/>
          <w:szCs w:val="21"/>
        </w:rPr>
      </w:pPr>
    </w:p>
    <w:p>
      <w:pPr>
        <w:spacing w:line="400" w:lineRule="exact"/>
        <w:ind w:left="500" w:leftChars="238"/>
        <w:rPr>
          <w:rFonts w:ascii="宋体" w:hAnsi="宋体" w:cs="宋体"/>
          <w:szCs w:val="21"/>
        </w:rPr>
      </w:pPr>
    </w:p>
    <w:p>
      <w:pPr>
        <w:spacing w:line="400" w:lineRule="exact"/>
        <w:ind w:left="500" w:leftChars="238"/>
        <w:rPr>
          <w:rFonts w:ascii="宋体" w:hAnsi="宋体" w:cs="宋体"/>
          <w:szCs w:val="21"/>
        </w:rPr>
      </w:pPr>
      <w:r>
        <w:rPr>
          <w:rFonts w:hint="eastAsia" w:ascii="宋体" w:hAnsi="宋体" w:cs="宋体"/>
          <w:szCs w:val="21"/>
        </w:rPr>
        <w:t>投标人全称（盖章）：</w:t>
      </w:r>
    </w:p>
    <w:p>
      <w:pPr>
        <w:spacing w:line="400" w:lineRule="exact"/>
        <w:ind w:left="500" w:leftChars="238"/>
        <w:rPr>
          <w:rFonts w:ascii="宋体" w:hAnsi="宋体" w:cs="宋体"/>
        </w:rPr>
      </w:pPr>
      <w:r>
        <w:rPr>
          <w:rFonts w:hint="eastAsia" w:ascii="宋体" w:hAnsi="宋体" w:cs="宋体"/>
          <w:szCs w:val="21"/>
        </w:rPr>
        <w:t>日    期：</w:t>
      </w:r>
      <w:r>
        <w:rPr>
          <w:rFonts w:hint="eastAsia" w:ascii="宋体" w:hAnsi="宋体" w:cs="宋体"/>
        </w:rPr>
        <w:tab/>
      </w:r>
      <w:r>
        <w:rPr>
          <w:rFonts w:hint="eastAsia" w:ascii="宋体" w:hAnsi="宋体" w:cs="宋体"/>
        </w:rPr>
        <w:t xml:space="preserve">                                                                                          </w:t>
      </w:r>
    </w:p>
    <w:p>
      <w:pPr>
        <w:pStyle w:val="3"/>
        <w:rPr>
          <w:rFonts w:ascii="宋体" w:hAnsi="宋体" w:eastAsia="宋体" w:cs="宋体"/>
        </w:rPr>
        <w:sectPr>
          <w:pgSz w:w="11907" w:h="16840"/>
          <w:pgMar w:top="1304" w:right="1531" w:bottom="1418" w:left="1304" w:header="720" w:footer="720" w:gutter="0"/>
          <w:cols w:space="720" w:num="1"/>
          <w:docGrid w:linePitch="380" w:charSpace="0"/>
        </w:sectPr>
      </w:pPr>
    </w:p>
    <w:p>
      <w:pPr>
        <w:pStyle w:val="4"/>
        <w:pageBreakBefore/>
        <w:ind w:firstLine="218" w:firstLineChars="68"/>
        <w:jc w:val="center"/>
        <w:rPr>
          <w:rFonts w:ascii="宋体" w:hAnsi="宋体" w:cs="宋体"/>
        </w:rPr>
      </w:pPr>
      <w:r>
        <w:rPr>
          <w:rFonts w:hint="eastAsia" w:ascii="宋体" w:hAnsi="宋体" w:cs="宋体"/>
        </w:rPr>
        <w:t>附件三  投标报价明细表</w:t>
      </w:r>
    </w:p>
    <w:p>
      <w:pPr>
        <w:spacing w:line="460" w:lineRule="exact"/>
        <w:jc w:val="left"/>
        <w:rPr>
          <w:rFonts w:ascii="宋体" w:hAnsi="宋体" w:cs="宋体"/>
          <w:b/>
          <w:sz w:val="22"/>
          <w:szCs w:val="22"/>
        </w:rPr>
      </w:pPr>
      <w:r>
        <w:rPr>
          <w:rFonts w:hint="eastAsia" w:ascii="宋体" w:hAnsi="宋体" w:cs="宋体"/>
          <w:b/>
          <w:sz w:val="22"/>
          <w:szCs w:val="22"/>
        </w:rPr>
        <w:t>采购单位：</w:t>
      </w:r>
      <w:r>
        <w:rPr>
          <w:rFonts w:hint="eastAsia" w:ascii="宋体" w:hAnsi="宋体" w:cs="宋体"/>
          <w:b/>
          <w:sz w:val="24"/>
          <w:lang w:eastAsia="zh-CN"/>
        </w:rPr>
        <w:t>龙港市职业中等专业学校</w:t>
      </w:r>
      <w:r>
        <w:rPr>
          <w:rFonts w:hint="eastAsia" w:ascii="宋体" w:hAnsi="宋体" w:cs="宋体"/>
          <w:b/>
          <w:sz w:val="24"/>
        </w:rPr>
        <w:t xml:space="preserve"> </w:t>
      </w:r>
      <w:r>
        <w:rPr>
          <w:rFonts w:hint="eastAsia" w:ascii="宋体" w:hAnsi="宋体" w:cs="宋体"/>
          <w:b/>
          <w:sz w:val="22"/>
          <w:szCs w:val="22"/>
        </w:rPr>
        <w:t xml:space="preserve">            项目编号：</w:t>
      </w:r>
    </w:p>
    <w:tbl>
      <w:tblPr>
        <w:tblStyle w:val="46"/>
        <w:tblW w:w="94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268"/>
        <w:gridCol w:w="2126"/>
        <w:gridCol w:w="992"/>
        <w:gridCol w:w="1276"/>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tcPr>
          <w:p>
            <w:pPr>
              <w:pStyle w:val="24"/>
              <w:spacing w:line="460" w:lineRule="atLeast"/>
              <w:jc w:val="center"/>
              <w:rPr>
                <w:rFonts w:hAnsi="宋体" w:cs="宋体"/>
                <w:b/>
                <w:sz w:val="22"/>
                <w:szCs w:val="22"/>
              </w:rPr>
            </w:pPr>
            <w:r>
              <w:rPr>
                <w:rFonts w:hint="eastAsia" w:hAnsi="宋体" w:cs="宋体"/>
                <w:b/>
                <w:sz w:val="22"/>
                <w:szCs w:val="22"/>
              </w:rPr>
              <w:t>序号</w:t>
            </w:r>
          </w:p>
        </w:tc>
        <w:tc>
          <w:tcPr>
            <w:tcW w:w="2268" w:type="dxa"/>
          </w:tcPr>
          <w:p>
            <w:pPr>
              <w:pStyle w:val="24"/>
              <w:spacing w:line="460" w:lineRule="atLeast"/>
              <w:jc w:val="center"/>
              <w:rPr>
                <w:rFonts w:hAnsi="宋体" w:cs="宋体"/>
                <w:b/>
                <w:sz w:val="22"/>
                <w:szCs w:val="22"/>
              </w:rPr>
            </w:pPr>
            <w:r>
              <w:rPr>
                <w:rFonts w:hint="eastAsia" w:hAnsi="宋体" w:cs="宋体"/>
                <w:b/>
                <w:sz w:val="22"/>
                <w:szCs w:val="22"/>
              </w:rPr>
              <w:t>报价内容</w:t>
            </w:r>
          </w:p>
        </w:tc>
        <w:tc>
          <w:tcPr>
            <w:tcW w:w="2126" w:type="dxa"/>
          </w:tcPr>
          <w:p>
            <w:pPr>
              <w:pStyle w:val="24"/>
              <w:spacing w:line="460" w:lineRule="atLeast"/>
              <w:jc w:val="center"/>
              <w:rPr>
                <w:rFonts w:hAnsi="宋体" w:cs="宋体"/>
                <w:b/>
                <w:sz w:val="22"/>
                <w:szCs w:val="22"/>
              </w:rPr>
            </w:pPr>
            <w:r>
              <w:rPr>
                <w:rFonts w:hint="eastAsia" w:hAnsi="宋体" w:cs="宋体"/>
                <w:b/>
                <w:sz w:val="22"/>
                <w:szCs w:val="22"/>
              </w:rPr>
              <w:t>品牌型号</w:t>
            </w:r>
          </w:p>
        </w:tc>
        <w:tc>
          <w:tcPr>
            <w:tcW w:w="992" w:type="dxa"/>
          </w:tcPr>
          <w:p>
            <w:pPr>
              <w:pStyle w:val="24"/>
              <w:spacing w:line="460" w:lineRule="atLeast"/>
              <w:jc w:val="center"/>
              <w:rPr>
                <w:rFonts w:hAnsi="宋体" w:cs="宋体"/>
                <w:b/>
                <w:sz w:val="22"/>
                <w:szCs w:val="22"/>
              </w:rPr>
            </w:pPr>
            <w:r>
              <w:rPr>
                <w:rFonts w:hint="eastAsia" w:hAnsi="宋体" w:cs="宋体"/>
                <w:b/>
                <w:sz w:val="22"/>
                <w:szCs w:val="22"/>
              </w:rPr>
              <w:t>数量</w:t>
            </w:r>
          </w:p>
        </w:tc>
        <w:tc>
          <w:tcPr>
            <w:tcW w:w="1276" w:type="dxa"/>
          </w:tcPr>
          <w:p>
            <w:pPr>
              <w:pStyle w:val="24"/>
              <w:spacing w:line="460" w:lineRule="atLeast"/>
              <w:jc w:val="center"/>
              <w:rPr>
                <w:rFonts w:hAnsi="宋体" w:cs="宋体"/>
                <w:b/>
                <w:sz w:val="22"/>
                <w:szCs w:val="22"/>
              </w:rPr>
            </w:pPr>
            <w:r>
              <w:rPr>
                <w:rFonts w:hint="eastAsia" w:hAnsi="宋体" w:cs="宋体"/>
                <w:b/>
                <w:sz w:val="22"/>
                <w:szCs w:val="22"/>
              </w:rPr>
              <w:t>单价</w:t>
            </w:r>
          </w:p>
        </w:tc>
        <w:tc>
          <w:tcPr>
            <w:tcW w:w="1686" w:type="dxa"/>
          </w:tcPr>
          <w:p>
            <w:pPr>
              <w:pStyle w:val="24"/>
              <w:spacing w:line="460" w:lineRule="atLeast"/>
              <w:jc w:val="center"/>
              <w:rPr>
                <w:rFonts w:hAnsi="宋体" w:cs="宋体"/>
                <w:b/>
                <w:sz w:val="22"/>
                <w:szCs w:val="22"/>
              </w:rPr>
            </w:pPr>
            <w:r>
              <w:rPr>
                <w:rFonts w:hint="eastAsia" w:hAnsi="宋体" w:cs="宋体"/>
                <w:b/>
                <w:sz w:val="22"/>
                <w:szCs w:val="22"/>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1" w:type="dxa"/>
          </w:tcPr>
          <w:p>
            <w:pPr>
              <w:pStyle w:val="24"/>
              <w:spacing w:line="460" w:lineRule="atLeast"/>
              <w:ind w:firstLine="440"/>
              <w:rPr>
                <w:rFonts w:hAnsi="宋体" w:cs="宋体"/>
                <w:b/>
                <w:sz w:val="22"/>
                <w:szCs w:val="22"/>
              </w:rPr>
            </w:pPr>
          </w:p>
        </w:tc>
        <w:tc>
          <w:tcPr>
            <w:tcW w:w="2268" w:type="dxa"/>
            <w:vAlign w:val="center"/>
          </w:tcPr>
          <w:p>
            <w:pPr>
              <w:widowControl/>
              <w:spacing w:before="80" w:after="80" w:line="360" w:lineRule="auto"/>
              <w:ind w:right="-21" w:firstLine="440"/>
              <w:outlineLvl w:val="0"/>
              <w:rPr>
                <w:rFonts w:ascii="宋体" w:hAnsi="宋体" w:cs="宋体"/>
                <w:b/>
                <w:sz w:val="22"/>
                <w:szCs w:val="22"/>
              </w:rPr>
            </w:pPr>
          </w:p>
        </w:tc>
        <w:tc>
          <w:tcPr>
            <w:tcW w:w="2126" w:type="dxa"/>
            <w:vAlign w:val="center"/>
          </w:tcPr>
          <w:p>
            <w:pPr>
              <w:widowControl/>
              <w:spacing w:before="80" w:after="80" w:line="360" w:lineRule="auto"/>
              <w:ind w:right="-21" w:firstLine="440"/>
              <w:outlineLvl w:val="0"/>
              <w:rPr>
                <w:rFonts w:ascii="宋体" w:hAnsi="宋体" w:cs="宋体"/>
                <w:b/>
                <w:sz w:val="22"/>
                <w:szCs w:val="22"/>
              </w:rPr>
            </w:pPr>
          </w:p>
        </w:tc>
        <w:tc>
          <w:tcPr>
            <w:tcW w:w="992" w:type="dxa"/>
            <w:vAlign w:val="center"/>
          </w:tcPr>
          <w:p>
            <w:pPr>
              <w:widowControl/>
              <w:spacing w:before="80" w:after="80" w:line="360" w:lineRule="auto"/>
              <w:ind w:right="-21" w:firstLine="440"/>
              <w:outlineLvl w:val="0"/>
              <w:rPr>
                <w:rFonts w:ascii="宋体" w:hAnsi="宋体" w:cs="宋体"/>
                <w:b/>
                <w:sz w:val="22"/>
                <w:szCs w:val="22"/>
              </w:rPr>
            </w:pPr>
          </w:p>
        </w:tc>
        <w:tc>
          <w:tcPr>
            <w:tcW w:w="1276" w:type="dxa"/>
          </w:tcPr>
          <w:p>
            <w:pPr>
              <w:rPr>
                <w:rFonts w:ascii="宋体" w:hAnsi="宋体" w:cs="宋体"/>
                <w:b/>
                <w:sz w:val="22"/>
                <w:szCs w:val="22"/>
              </w:rPr>
            </w:pPr>
          </w:p>
        </w:tc>
        <w:tc>
          <w:tcPr>
            <w:tcW w:w="1686" w:type="dxa"/>
          </w:tcPr>
          <w:p>
            <w:pPr>
              <w:pStyle w:val="24"/>
              <w:spacing w:line="460" w:lineRule="atLeast"/>
              <w:ind w:firstLine="440"/>
              <w:rPr>
                <w:rFonts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1" w:type="dxa"/>
          </w:tcPr>
          <w:p>
            <w:pPr>
              <w:pStyle w:val="24"/>
              <w:spacing w:line="460" w:lineRule="atLeast"/>
              <w:ind w:firstLine="440"/>
              <w:rPr>
                <w:rFonts w:hAnsi="宋体" w:cs="宋体"/>
                <w:b/>
                <w:sz w:val="22"/>
                <w:szCs w:val="22"/>
              </w:rPr>
            </w:pPr>
          </w:p>
        </w:tc>
        <w:tc>
          <w:tcPr>
            <w:tcW w:w="2268" w:type="dxa"/>
            <w:vAlign w:val="center"/>
          </w:tcPr>
          <w:p>
            <w:pPr>
              <w:widowControl/>
              <w:spacing w:before="80" w:after="80" w:line="360" w:lineRule="auto"/>
              <w:ind w:right="-21" w:firstLine="440"/>
              <w:outlineLvl w:val="0"/>
              <w:rPr>
                <w:rFonts w:ascii="宋体" w:hAnsi="宋体" w:cs="宋体"/>
                <w:b/>
                <w:sz w:val="22"/>
                <w:szCs w:val="22"/>
              </w:rPr>
            </w:pPr>
          </w:p>
        </w:tc>
        <w:tc>
          <w:tcPr>
            <w:tcW w:w="2126" w:type="dxa"/>
            <w:vAlign w:val="center"/>
          </w:tcPr>
          <w:p>
            <w:pPr>
              <w:widowControl/>
              <w:spacing w:before="80" w:after="80" w:line="360" w:lineRule="auto"/>
              <w:ind w:right="-21" w:firstLine="440"/>
              <w:outlineLvl w:val="0"/>
              <w:rPr>
                <w:rFonts w:ascii="宋体" w:hAnsi="宋体" w:cs="宋体"/>
                <w:b/>
                <w:sz w:val="22"/>
                <w:szCs w:val="22"/>
              </w:rPr>
            </w:pPr>
          </w:p>
        </w:tc>
        <w:tc>
          <w:tcPr>
            <w:tcW w:w="992" w:type="dxa"/>
            <w:vAlign w:val="center"/>
          </w:tcPr>
          <w:p>
            <w:pPr>
              <w:widowControl/>
              <w:spacing w:before="80" w:after="80" w:line="360" w:lineRule="auto"/>
              <w:ind w:right="-21" w:firstLine="440"/>
              <w:outlineLvl w:val="0"/>
              <w:rPr>
                <w:rFonts w:ascii="宋体" w:hAnsi="宋体" w:cs="宋体"/>
                <w:b/>
                <w:sz w:val="22"/>
                <w:szCs w:val="22"/>
              </w:rPr>
            </w:pPr>
          </w:p>
        </w:tc>
        <w:tc>
          <w:tcPr>
            <w:tcW w:w="1276" w:type="dxa"/>
          </w:tcPr>
          <w:p>
            <w:pPr>
              <w:rPr>
                <w:rFonts w:ascii="宋体" w:hAnsi="宋体" w:cs="宋体"/>
                <w:b/>
                <w:sz w:val="22"/>
                <w:szCs w:val="22"/>
              </w:rPr>
            </w:pPr>
          </w:p>
        </w:tc>
        <w:tc>
          <w:tcPr>
            <w:tcW w:w="1686" w:type="dxa"/>
          </w:tcPr>
          <w:p>
            <w:pPr>
              <w:pStyle w:val="24"/>
              <w:spacing w:line="460" w:lineRule="atLeast"/>
              <w:ind w:firstLine="440"/>
              <w:rPr>
                <w:rFonts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tcPr>
          <w:p>
            <w:pPr>
              <w:pStyle w:val="24"/>
              <w:spacing w:line="460" w:lineRule="atLeast"/>
              <w:ind w:firstLine="440"/>
              <w:rPr>
                <w:rFonts w:hAnsi="宋体" w:cs="宋体"/>
                <w:b/>
                <w:sz w:val="22"/>
                <w:szCs w:val="22"/>
              </w:rPr>
            </w:pPr>
          </w:p>
        </w:tc>
        <w:tc>
          <w:tcPr>
            <w:tcW w:w="2268" w:type="dxa"/>
          </w:tcPr>
          <w:p>
            <w:pPr>
              <w:pStyle w:val="24"/>
              <w:spacing w:line="460" w:lineRule="atLeast"/>
              <w:ind w:firstLine="440"/>
              <w:rPr>
                <w:rFonts w:hAnsi="宋体" w:cs="宋体"/>
                <w:b/>
                <w:sz w:val="22"/>
                <w:szCs w:val="22"/>
              </w:rPr>
            </w:pPr>
          </w:p>
        </w:tc>
        <w:tc>
          <w:tcPr>
            <w:tcW w:w="2126" w:type="dxa"/>
          </w:tcPr>
          <w:p>
            <w:pPr>
              <w:pStyle w:val="24"/>
              <w:spacing w:line="460" w:lineRule="atLeast"/>
              <w:ind w:firstLine="440"/>
              <w:rPr>
                <w:rFonts w:hAnsi="宋体" w:cs="宋体"/>
                <w:b/>
                <w:sz w:val="22"/>
                <w:szCs w:val="22"/>
              </w:rPr>
            </w:pPr>
          </w:p>
        </w:tc>
        <w:tc>
          <w:tcPr>
            <w:tcW w:w="992" w:type="dxa"/>
          </w:tcPr>
          <w:p>
            <w:pPr>
              <w:pStyle w:val="24"/>
              <w:spacing w:line="460" w:lineRule="atLeast"/>
              <w:ind w:firstLine="440"/>
              <w:rPr>
                <w:rFonts w:hAnsi="宋体" w:cs="宋体"/>
                <w:b/>
                <w:sz w:val="22"/>
                <w:szCs w:val="22"/>
              </w:rPr>
            </w:pPr>
          </w:p>
        </w:tc>
        <w:tc>
          <w:tcPr>
            <w:tcW w:w="1276" w:type="dxa"/>
          </w:tcPr>
          <w:p>
            <w:pPr>
              <w:pStyle w:val="24"/>
              <w:spacing w:line="460" w:lineRule="atLeast"/>
              <w:rPr>
                <w:rFonts w:hAnsi="宋体" w:cs="宋体"/>
                <w:b/>
                <w:sz w:val="22"/>
                <w:szCs w:val="22"/>
              </w:rPr>
            </w:pPr>
          </w:p>
        </w:tc>
        <w:tc>
          <w:tcPr>
            <w:tcW w:w="1686" w:type="dxa"/>
          </w:tcPr>
          <w:p>
            <w:pPr>
              <w:pStyle w:val="24"/>
              <w:spacing w:line="460" w:lineRule="atLeast"/>
              <w:ind w:firstLine="440"/>
              <w:rPr>
                <w:rFonts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tcPr>
          <w:p>
            <w:pPr>
              <w:pStyle w:val="24"/>
              <w:spacing w:line="460" w:lineRule="atLeast"/>
              <w:ind w:firstLine="440"/>
              <w:rPr>
                <w:rFonts w:hAnsi="宋体" w:cs="宋体"/>
                <w:b/>
                <w:sz w:val="22"/>
                <w:szCs w:val="22"/>
              </w:rPr>
            </w:pPr>
          </w:p>
        </w:tc>
        <w:tc>
          <w:tcPr>
            <w:tcW w:w="2268" w:type="dxa"/>
          </w:tcPr>
          <w:p>
            <w:pPr>
              <w:pStyle w:val="24"/>
              <w:spacing w:line="460" w:lineRule="atLeast"/>
              <w:ind w:firstLine="440"/>
              <w:rPr>
                <w:rFonts w:hAnsi="宋体" w:cs="宋体"/>
                <w:b/>
                <w:sz w:val="22"/>
                <w:szCs w:val="22"/>
              </w:rPr>
            </w:pPr>
          </w:p>
        </w:tc>
        <w:tc>
          <w:tcPr>
            <w:tcW w:w="2126" w:type="dxa"/>
          </w:tcPr>
          <w:p>
            <w:pPr>
              <w:pStyle w:val="24"/>
              <w:spacing w:line="460" w:lineRule="atLeast"/>
              <w:ind w:firstLine="440"/>
              <w:rPr>
                <w:rFonts w:hAnsi="宋体" w:cs="宋体"/>
                <w:b/>
                <w:sz w:val="22"/>
                <w:szCs w:val="22"/>
              </w:rPr>
            </w:pPr>
          </w:p>
        </w:tc>
        <w:tc>
          <w:tcPr>
            <w:tcW w:w="992" w:type="dxa"/>
          </w:tcPr>
          <w:p>
            <w:pPr>
              <w:pStyle w:val="24"/>
              <w:spacing w:line="460" w:lineRule="atLeast"/>
              <w:ind w:firstLine="440"/>
              <w:rPr>
                <w:rFonts w:hAnsi="宋体" w:cs="宋体"/>
                <w:b/>
                <w:sz w:val="22"/>
                <w:szCs w:val="22"/>
              </w:rPr>
            </w:pPr>
          </w:p>
        </w:tc>
        <w:tc>
          <w:tcPr>
            <w:tcW w:w="1276" w:type="dxa"/>
          </w:tcPr>
          <w:p>
            <w:pPr>
              <w:pStyle w:val="24"/>
              <w:spacing w:line="460" w:lineRule="atLeast"/>
              <w:rPr>
                <w:rFonts w:hAnsi="宋体" w:cs="宋体"/>
                <w:b/>
                <w:sz w:val="22"/>
                <w:szCs w:val="22"/>
              </w:rPr>
            </w:pPr>
          </w:p>
        </w:tc>
        <w:tc>
          <w:tcPr>
            <w:tcW w:w="1686" w:type="dxa"/>
          </w:tcPr>
          <w:p>
            <w:pPr>
              <w:pStyle w:val="24"/>
              <w:spacing w:line="460" w:lineRule="atLeast"/>
              <w:ind w:firstLine="440"/>
              <w:rPr>
                <w:rFonts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tcPr>
          <w:p>
            <w:pPr>
              <w:pStyle w:val="24"/>
              <w:spacing w:line="460" w:lineRule="atLeast"/>
              <w:ind w:firstLine="440"/>
              <w:rPr>
                <w:rFonts w:hAnsi="宋体" w:cs="宋体"/>
                <w:b/>
                <w:sz w:val="22"/>
                <w:szCs w:val="22"/>
              </w:rPr>
            </w:pPr>
          </w:p>
        </w:tc>
        <w:tc>
          <w:tcPr>
            <w:tcW w:w="2268" w:type="dxa"/>
          </w:tcPr>
          <w:p>
            <w:pPr>
              <w:pStyle w:val="24"/>
              <w:spacing w:line="460" w:lineRule="atLeast"/>
              <w:ind w:firstLine="440"/>
              <w:rPr>
                <w:rFonts w:hAnsi="宋体" w:cs="宋体"/>
                <w:b/>
                <w:sz w:val="22"/>
                <w:szCs w:val="22"/>
              </w:rPr>
            </w:pPr>
          </w:p>
        </w:tc>
        <w:tc>
          <w:tcPr>
            <w:tcW w:w="2126" w:type="dxa"/>
          </w:tcPr>
          <w:p>
            <w:pPr>
              <w:pStyle w:val="24"/>
              <w:spacing w:line="460" w:lineRule="atLeast"/>
              <w:ind w:firstLine="440"/>
              <w:rPr>
                <w:rFonts w:hAnsi="宋体" w:cs="宋体"/>
                <w:b/>
                <w:sz w:val="22"/>
                <w:szCs w:val="22"/>
              </w:rPr>
            </w:pPr>
          </w:p>
        </w:tc>
        <w:tc>
          <w:tcPr>
            <w:tcW w:w="992" w:type="dxa"/>
          </w:tcPr>
          <w:p>
            <w:pPr>
              <w:pStyle w:val="24"/>
              <w:spacing w:line="460" w:lineRule="atLeast"/>
              <w:ind w:firstLine="440"/>
              <w:rPr>
                <w:rFonts w:hAnsi="宋体" w:cs="宋体"/>
                <w:b/>
                <w:sz w:val="22"/>
                <w:szCs w:val="22"/>
              </w:rPr>
            </w:pPr>
          </w:p>
        </w:tc>
        <w:tc>
          <w:tcPr>
            <w:tcW w:w="1276" w:type="dxa"/>
          </w:tcPr>
          <w:p>
            <w:pPr>
              <w:pStyle w:val="24"/>
              <w:spacing w:line="460" w:lineRule="atLeast"/>
              <w:rPr>
                <w:rFonts w:hAnsi="宋体" w:cs="宋体"/>
                <w:b/>
                <w:sz w:val="22"/>
                <w:szCs w:val="22"/>
              </w:rPr>
            </w:pPr>
          </w:p>
        </w:tc>
        <w:tc>
          <w:tcPr>
            <w:tcW w:w="1686" w:type="dxa"/>
          </w:tcPr>
          <w:p>
            <w:pPr>
              <w:pStyle w:val="24"/>
              <w:spacing w:line="460" w:lineRule="atLeast"/>
              <w:ind w:firstLine="440"/>
              <w:rPr>
                <w:rFonts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tcPr>
          <w:p>
            <w:pPr>
              <w:pStyle w:val="24"/>
              <w:spacing w:line="460" w:lineRule="atLeast"/>
              <w:ind w:firstLine="440"/>
              <w:rPr>
                <w:rFonts w:hAnsi="宋体" w:cs="宋体"/>
                <w:b/>
                <w:sz w:val="22"/>
                <w:szCs w:val="22"/>
              </w:rPr>
            </w:pPr>
          </w:p>
        </w:tc>
        <w:tc>
          <w:tcPr>
            <w:tcW w:w="2268" w:type="dxa"/>
          </w:tcPr>
          <w:p>
            <w:pPr>
              <w:pStyle w:val="24"/>
              <w:spacing w:line="460" w:lineRule="atLeast"/>
              <w:ind w:firstLine="440"/>
              <w:rPr>
                <w:rFonts w:hAnsi="宋体" w:cs="宋体"/>
                <w:b/>
                <w:sz w:val="22"/>
                <w:szCs w:val="22"/>
              </w:rPr>
            </w:pPr>
          </w:p>
        </w:tc>
        <w:tc>
          <w:tcPr>
            <w:tcW w:w="2126" w:type="dxa"/>
          </w:tcPr>
          <w:p>
            <w:pPr>
              <w:pStyle w:val="24"/>
              <w:spacing w:line="460" w:lineRule="atLeast"/>
              <w:ind w:firstLine="440"/>
              <w:rPr>
                <w:rFonts w:hAnsi="宋体" w:cs="宋体"/>
                <w:b/>
                <w:sz w:val="22"/>
                <w:szCs w:val="22"/>
              </w:rPr>
            </w:pPr>
          </w:p>
        </w:tc>
        <w:tc>
          <w:tcPr>
            <w:tcW w:w="992" w:type="dxa"/>
          </w:tcPr>
          <w:p>
            <w:pPr>
              <w:pStyle w:val="24"/>
              <w:spacing w:line="460" w:lineRule="atLeast"/>
              <w:ind w:firstLine="440"/>
              <w:rPr>
                <w:rFonts w:hAnsi="宋体" w:cs="宋体"/>
                <w:b/>
                <w:sz w:val="22"/>
                <w:szCs w:val="22"/>
              </w:rPr>
            </w:pPr>
          </w:p>
        </w:tc>
        <w:tc>
          <w:tcPr>
            <w:tcW w:w="1276" w:type="dxa"/>
          </w:tcPr>
          <w:p>
            <w:pPr>
              <w:pStyle w:val="24"/>
              <w:spacing w:line="460" w:lineRule="atLeast"/>
              <w:rPr>
                <w:rFonts w:hAnsi="宋体" w:cs="宋体"/>
                <w:b/>
                <w:sz w:val="22"/>
                <w:szCs w:val="22"/>
              </w:rPr>
            </w:pPr>
          </w:p>
        </w:tc>
        <w:tc>
          <w:tcPr>
            <w:tcW w:w="1686" w:type="dxa"/>
          </w:tcPr>
          <w:p>
            <w:pPr>
              <w:pStyle w:val="24"/>
              <w:spacing w:line="460" w:lineRule="atLeast"/>
              <w:ind w:firstLine="440"/>
              <w:rPr>
                <w:rFonts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tcPr>
          <w:p>
            <w:pPr>
              <w:pStyle w:val="24"/>
              <w:spacing w:line="460" w:lineRule="atLeast"/>
              <w:ind w:firstLine="440"/>
              <w:rPr>
                <w:rFonts w:hAnsi="宋体" w:cs="宋体"/>
                <w:b/>
                <w:sz w:val="22"/>
                <w:szCs w:val="22"/>
              </w:rPr>
            </w:pPr>
          </w:p>
        </w:tc>
        <w:tc>
          <w:tcPr>
            <w:tcW w:w="2268" w:type="dxa"/>
          </w:tcPr>
          <w:p>
            <w:pPr>
              <w:pStyle w:val="24"/>
              <w:spacing w:line="460" w:lineRule="atLeast"/>
              <w:ind w:firstLine="440"/>
              <w:rPr>
                <w:rFonts w:hAnsi="宋体" w:cs="宋体"/>
                <w:b/>
                <w:sz w:val="22"/>
                <w:szCs w:val="22"/>
              </w:rPr>
            </w:pPr>
          </w:p>
        </w:tc>
        <w:tc>
          <w:tcPr>
            <w:tcW w:w="2126" w:type="dxa"/>
          </w:tcPr>
          <w:p>
            <w:pPr>
              <w:pStyle w:val="24"/>
              <w:spacing w:line="460" w:lineRule="atLeast"/>
              <w:ind w:firstLine="440"/>
              <w:rPr>
                <w:rFonts w:hAnsi="宋体" w:cs="宋体"/>
                <w:b/>
                <w:sz w:val="22"/>
                <w:szCs w:val="22"/>
              </w:rPr>
            </w:pPr>
          </w:p>
        </w:tc>
        <w:tc>
          <w:tcPr>
            <w:tcW w:w="992" w:type="dxa"/>
          </w:tcPr>
          <w:p>
            <w:pPr>
              <w:pStyle w:val="24"/>
              <w:spacing w:line="460" w:lineRule="atLeast"/>
              <w:ind w:firstLine="440"/>
              <w:rPr>
                <w:rFonts w:hAnsi="宋体" w:cs="宋体"/>
                <w:b/>
                <w:sz w:val="22"/>
                <w:szCs w:val="22"/>
              </w:rPr>
            </w:pPr>
          </w:p>
        </w:tc>
        <w:tc>
          <w:tcPr>
            <w:tcW w:w="1276" w:type="dxa"/>
          </w:tcPr>
          <w:p>
            <w:pPr>
              <w:pStyle w:val="24"/>
              <w:spacing w:line="460" w:lineRule="atLeast"/>
              <w:rPr>
                <w:rFonts w:hAnsi="宋体" w:cs="宋体"/>
                <w:b/>
                <w:sz w:val="22"/>
                <w:szCs w:val="22"/>
              </w:rPr>
            </w:pPr>
          </w:p>
        </w:tc>
        <w:tc>
          <w:tcPr>
            <w:tcW w:w="1686" w:type="dxa"/>
          </w:tcPr>
          <w:p>
            <w:pPr>
              <w:pStyle w:val="24"/>
              <w:spacing w:line="460" w:lineRule="atLeast"/>
              <w:ind w:firstLine="440"/>
              <w:rPr>
                <w:rFonts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1" w:type="dxa"/>
          </w:tcPr>
          <w:p>
            <w:pPr>
              <w:pStyle w:val="24"/>
              <w:spacing w:line="460" w:lineRule="atLeast"/>
              <w:ind w:firstLine="440"/>
              <w:rPr>
                <w:rFonts w:hAnsi="宋体" w:cs="宋体"/>
                <w:b/>
                <w:sz w:val="22"/>
                <w:szCs w:val="22"/>
              </w:rPr>
            </w:pPr>
          </w:p>
        </w:tc>
        <w:tc>
          <w:tcPr>
            <w:tcW w:w="2268" w:type="dxa"/>
          </w:tcPr>
          <w:p>
            <w:pPr>
              <w:pStyle w:val="24"/>
              <w:spacing w:line="460" w:lineRule="atLeast"/>
              <w:ind w:firstLine="440"/>
              <w:rPr>
                <w:rFonts w:hAnsi="宋体" w:cs="宋体"/>
                <w:b/>
                <w:sz w:val="22"/>
                <w:szCs w:val="22"/>
              </w:rPr>
            </w:pPr>
          </w:p>
        </w:tc>
        <w:tc>
          <w:tcPr>
            <w:tcW w:w="2126" w:type="dxa"/>
          </w:tcPr>
          <w:p>
            <w:pPr>
              <w:pStyle w:val="24"/>
              <w:spacing w:line="460" w:lineRule="atLeast"/>
              <w:ind w:firstLine="440"/>
              <w:rPr>
                <w:rFonts w:hAnsi="宋体" w:cs="宋体"/>
                <w:b/>
                <w:sz w:val="22"/>
                <w:szCs w:val="22"/>
              </w:rPr>
            </w:pPr>
          </w:p>
        </w:tc>
        <w:tc>
          <w:tcPr>
            <w:tcW w:w="992" w:type="dxa"/>
          </w:tcPr>
          <w:p>
            <w:pPr>
              <w:pStyle w:val="24"/>
              <w:spacing w:line="460" w:lineRule="atLeast"/>
              <w:ind w:firstLine="440"/>
              <w:rPr>
                <w:rFonts w:hAnsi="宋体" w:cs="宋体"/>
                <w:b/>
                <w:sz w:val="22"/>
                <w:szCs w:val="22"/>
              </w:rPr>
            </w:pPr>
          </w:p>
        </w:tc>
        <w:tc>
          <w:tcPr>
            <w:tcW w:w="1276" w:type="dxa"/>
          </w:tcPr>
          <w:p>
            <w:pPr>
              <w:pStyle w:val="24"/>
              <w:spacing w:line="460" w:lineRule="atLeast"/>
              <w:rPr>
                <w:rFonts w:hAnsi="宋体" w:cs="宋体"/>
                <w:b/>
                <w:sz w:val="22"/>
                <w:szCs w:val="22"/>
              </w:rPr>
            </w:pPr>
          </w:p>
        </w:tc>
        <w:tc>
          <w:tcPr>
            <w:tcW w:w="1686" w:type="dxa"/>
          </w:tcPr>
          <w:p>
            <w:pPr>
              <w:pStyle w:val="24"/>
              <w:spacing w:line="460" w:lineRule="atLeast"/>
              <w:ind w:firstLine="440"/>
              <w:rPr>
                <w:rFonts w:hAnsi="宋体" w:cs="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63" w:type="dxa"/>
            <w:gridSpan w:val="5"/>
          </w:tcPr>
          <w:p>
            <w:pPr>
              <w:pStyle w:val="24"/>
              <w:spacing w:line="460" w:lineRule="atLeast"/>
              <w:ind w:firstLine="440"/>
              <w:rPr>
                <w:rFonts w:hAnsi="宋体" w:cs="宋体"/>
                <w:b/>
                <w:sz w:val="22"/>
                <w:szCs w:val="22"/>
              </w:rPr>
            </w:pPr>
            <w:r>
              <w:rPr>
                <w:rFonts w:hint="eastAsia" w:hAnsi="宋体" w:cs="宋体"/>
                <w:b/>
                <w:sz w:val="22"/>
                <w:szCs w:val="22"/>
              </w:rPr>
              <w:t>总价：</w:t>
            </w:r>
          </w:p>
        </w:tc>
        <w:tc>
          <w:tcPr>
            <w:tcW w:w="1686" w:type="dxa"/>
          </w:tcPr>
          <w:p>
            <w:pPr>
              <w:pStyle w:val="24"/>
              <w:spacing w:line="460" w:lineRule="atLeast"/>
              <w:ind w:firstLine="440"/>
              <w:rPr>
                <w:rFonts w:hAnsi="宋体" w:cs="宋体"/>
                <w:b/>
                <w:sz w:val="22"/>
                <w:szCs w:val="22"/>
              </w:rPr>
            </w:pPr>
          </w:p>
        </w:tc>
      </w:tr>
    </w:tbl>
    <w:p>
      <w:pPr>
        <w:pStyle w:val="24"/>
        <w:spacing w:line="460" w:lineRule="atLeast"/>
        <w:rPr>
          <w:rFonts w:hAnsi="宋体" w:cs="宋体"/>
          <w:szCs w:val="21"/>
        </w:rPr>
      </w:pPr>
      <w:r>
        <w:rPr>
          <w:rFonts w:hint="eastAsia" w:hAnsi="宋体" w:cs="宋体"/>
          <w:b/>
          <w:bCs/>
          <w:szCs w:val="21"/>
        </w:rPr>
        <w:t>▲</w:t>
      </w:r>
      <w:r>
        <w:rPr>
          <w:rFonts w:hint="eastAsia" w:hAnsi="宋体" w:cs="宋体"/>
          <w:szCs w:val="21"/>
        </w:rPr>
        <w:t>1、不提供此表格的将视为没有实质性响应招标文件。</w:t>
      </w:r>
    </w:p>
    <w:p>
      <w:pPr>
        <w:pStyle w:val="24"/>
        <w:spacing w:line="460" w:lineRule="atLeast"/>
        <w:rPr>
          <w:rFonts w:hAnsi="宋体" w:cs="宋体"/>
          <w:szCs w:val="21"/>
        </w:rPr>
      </w:pPr>
      <w:r>
        <w:rPr>
          <w:rFonts w:hint="eastAsia" w:hAnsi="宋体" w:cs="宋体"/>
          <w:szCs w:val="21"/>
        </w:rPr>
        <w:t>2、</w:t>
      </w:r>
      <w:r>
        <w:rPr>
          <w:rFonts w:hint="eastAsia" w:hAnsi="宋体" w:cs="宋体"/>
          <w:bCs/>
          <w:szCs w:val="21"/>
        </w:rPr>
        <w:t>此表投标总价应与“投标一览表”中投标总价相一致。</w:t>
      </w:r>
    </w:p>
    <w:p>
      <w:pPr>
        <w:pStyle w:val="24"/>
        <w:spacing w:line="460" w:lineRule="atLeast"/>
        <w:rPr>
          <w:rFonts w:hAnsi="宋体" w:cs="宋体"/>
          <w:szCs w:val="21"/>
        </w:rPr>
      </w:pPr>
      <w:r>
        <w:rPr>
          <w:rFonts w:hint="eastAsia" w:hAnsi="宋体" w:cs="宋体"/>
          <w:szCs w:val="21"/>
        </w:rPr>
        <w:t>3、报价中须包含设备费、特殊工具费及随机易损件费、施工安装、调试及验收费、售后服务及技术培训费、运杂费装卸费、运输保险费及其它需要的费用。</w:t>
      </w:r>
    </w:p>
    <w:p>
      <w:pPr>
        <w:pStyle w:val="24"/>
        <w:spacing w:line="460" w:lineRule="atLeast"/>
        <w:rPr>
          <w:rFonts w:hAnsi="宋体" w:cs="宋体"/>
          <w:szCs w:val="21"/>
        </w:rPr>
      </w:pPr>
      <w:r>
        <w:rPr>
          <w:rFonts w:hint="eastAsia" w:hAnsi="宋体" w:cs="宋体"/>
          <w:szCs w:val="21"/>
        </w:rPr>
        <w:t>4、表格可以延续，</w:t>
      </w:r>
      <w:r>
        <w:rPr>
          <w:rFonts w:hint="eastAsia" w:hAnsi="宋体" w:cs="宋体"/>
          <w:bCs/>
          <w:szCs w:val="21"/>
        </w:rPr>
        <w:t>“投标报价明细表”为多页的。</w:t>
      </w:r>
      <w:r>
        <w:rPr>
          <w:rFonts w:hint="eastAsia" w:hAnsi="宋体" w:cs="宋体"/>
          <w:szCs w:val="21"/>
        </w:rPr>
        <w:t xml:space="preserve"> </w:t>
      </w:r>
    </w:p>
    <w:p>
      <w:pPr>
        <w:spacing w:line="320" w:lineRule="exact"/>
        <w:ind w:firstLine="411" w:firstLineChars="196"/>
        <w:rPr>
          <w:rFonts w:ascii="宋体" w:hAnsi="宋体" w:cs="宋体"/>
          <w:szCs w:val="21"/>
        </w:rPr>
      </w:pPr>
      <w:r>
        <w:rPr>
          <w:rFonts w:hint="eastAsia" w:ascii="宋体" w:hAnsi="宋体" w:cs="宋体"/>
          <w:szCs w:val="21"/>
        </w:rPr>
        <w:t xml:space="preserve">                                                      </w:t>
      </w:r>
      <w:r>
        <w:rPr>
          <w:rFonts w:hint="eastAsia" w:ascii="宋体" w:hAnsi="宋体" w:cs="宋体"/>
          <w:b/>
          <w:bCs/>
          <w:szCs w:val="21"/>
        </w:rPr>
        <w:t xml:space="preserve">      </w:t>
      </w:r>
    </w:p>
    <w:p>
      <w:pPr>
        <w:spacing w:line="400" w:lineRule="exact"/>
        <w:ind w:left="500" w:leftChars="238"/>
        <w:rPr>
          <w:rFonts w:ascii="宋体" w:hAnsi="宋体" w:cs="宋体"/>
          <w:szCs w:val="21"/>
        </w:rPr>
      </w:pPr>
      <w:r>
        <w:rPr>
          <w:rFonts w:hint="eastAsia" w:ascii="宋体" w:hAnsi="宋体" w:cs="宋体"/>
          <w:szCs w:val="21"/>
        </w:rPr>
        <w:t>投标人全称（盖章）：</w:t>
      </w:r>
    </w:p>
    <w:p>
      <w:pPr>
        <w:spacing w:line="500" w:lineRule="exact"/>
        <w:ind w:firstLine="525" w:firstLineChars="250"/>
        <w:rPr>
          <w:rFonts w:ascii="宋体" w:hAnsi="宋体" w:cs="宋体"/>
          <w:szCs w:val="21"/>
        </w:rPr>
      </w:pPr>
      <w:r>
        <w:rPr>
          <w:rFonts w:hint="eastAsia" w:ascii="宋体" w:hAnsi="宋体" w:cs="宋体"/>
          <w:szCs w:val="21"/>
        </w:rPr>
        <w:t xml:space="preserve">日     期： </w:t>
      </w:r>
    </w:p>
    <w:p>
      <w:pPr>
        <w:spacing w:line="500" w:lineRule="exact"/>
        <w:ind w:firstLine="525" w:firstLineChars="250"/>
        <w:rPr>
          <w:rFonts w:ascii="宋体" w:hAnsi="宋体" w:cs="宋体"/>
          <w:szCs w:val="21"/>
        </w:rPr>
      </w:pPr>
    </w:p>
    <w:p>
      <w:pPr>
        <w:spacing w:line="500" w:lineRule="exact"/>
        <w:ind w:firstLine="525" w:firstLineChars="250"/>
        <w:rPr>
          <w:rFonts w:ascii="宋体" w:hAnsi="宋体" w:cs="宋体"/>
          <w:szCs w:val="21"/>
        </w:rPr>
      </w:pPr>
    </w:p>
    <w:p>
      <w:pPr>
        <w:spacing w:line="500" w:lineRule="exact"/>
        <w:ind w:firstLine="525" w:firstLineChars="250"/>
        <w:rPr>
          <w:rFonts w:ascii="宋体" w:hAnsi="宋体" w:cs="宋体"/>
          <w:szCs w:val="21"/>
        </w:rPr>
      </w:pPr>
    </w:p>
    <w:p>
      <w:pPr>
        <w:spacing w:line="500" w:lineRule="exact"/>
        <w:ind w:firstLine="525" w:firstLineChars="250"/>
        <w:rPr>
          <w:rFonts w:ascii="宋体" w:hAnsi="宋体" w:cs="宋体"/>
          <w:szCs w:val="21"/>
        </w:rPr>
      </w:pPr>
    </w:p>
    <w:p>
      <w:pPr>
        <w:spacing w:line="500" w:lineRule="exact"/>
        <w:ind w:firstLine="525" w:firstLineChars="250"/>
        <w:rPr>
          <w:rFonts w:ascii="宋体" w:hAnsi="宋体" w:cs="宋体"/>
          <w:szCs w:val="21"/>
        </w:rPr>
      </w:pPr>
    </w:p>
    <w:p>
      <w:pPr>
        <w:spacing w:line="500" w:lineRule="exact"/>
        <w:ind w:firstLine="525" w:firstLineChars="250"/>
        <w:rPr>
          <w:rFonts w:ascii="宋体" w:hAnsi="宋体" w:cs="宋体"/>
          <w:szCs w:val="21"/>
        </w:rPr>
      </w:pPr>
    </w:p>
    <w:p>
      <w:pPr>
        <w:spacing w:line="500" w:lineRule="exact"/>
        <w:ind w:firstLine="525" w:firstLineChars="250"/>
        <w:rPr>
          <w:rFonts w:ascii="宋体" w:hAnsi="宋体" w:cs="宋体"/>
          <w:szCs w:val="21"/>
        </w:rPr>
      </w:pPr>
    </w:p>
    <w:p>
      <w:pPr>
        <w:spacing w:line="500" w:lineRule="exact"/>
        <w:ind w:firstLine="525" w:firstLineChars="250"/>
        <w:rPr>
          <w:rFonts w:ascii="宋体" w:hAnsi="宋体" w:cs="宋体"/>
          <w:szCs w:val="21"/>
        </w:rPr>
      </w:pPr>
    </w:p>
    <w:p>
      <w:pPr>
        <w:pStyle w:val="24"/>
        <w:adjustRightInd w:val="0"/>
        <w:snapToGrid w:val="0"/>
        <w:spacing w:line="400" w:lineRule="exact"/>
        <w:jc w:val="center"/>
        <w:rPr>
          <w:rFonts w:hAnsi="宋体" w:cs="宋体"/>
          <w:b/>
          <w:bCs/>
          <w:sz w:val="24"/>
          <w:szCs w:val="24"/>
        </w:rPr>
      </w:pPr>
    </w:p>
    <w:p>
      <w:pPr>
        <w:pStyle w:val="24"/>
        <w:adjustRightInd w:val="0"/>
        <w:snapToGrid w:val="0"/>
        <w:spacing w:line="400" w:lineRule="exact"/>
        <w:jc w:val="center"/>
        <w:rPr>
          <w:rFonts w:hAnsi="宋体" w:cs="宋体"/>
          <w:b/>
          <w:bCs/>
          <w:sz w:val="32"/>
          <w:szCs w:val="32"/>
        </w:rPr>
      </w:pPr>
      <w:r>
        <w:rPr>
          <w:rFonts w:hint="eastAsia" w:hAnsi="宋体" w:cs="宋体"/>
          <w:b/>
          <w:bCs/>
          <w:sz w:val="32"/>
          <w:szCs w:val="32"/>
        </w:rPr>
        <w:t>附件四 质保期外产品零件、易损件、备品备件报价表（如有）</w:t>
      </w:r>
    </w:p>
    <w:tbl>
      <w:tblPr>
        <w:tblStyle w:val="46"/>
        <w:tblpPr w:leftFromText="180" w:rightFromText="180" w:vertAnchor="text" w:horzAnchor="page" w:tblpX="1279" w:tblpY="460"/>
        <w:tblOverlap w:val="never"/>
        <w:tblW w:w="95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3"/>
        <w:gridCol w:w="3193"/>
        <w:gridCol w:w="2025"/>
        <w:gridCol w:w="1577"/>
        <w:gridCol w:w="17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trPr>
        <w:tc>
          <w:tcPr>
            <w:tcW w:w="943" w:type="dxa"/>
            <w:tcBorders>
              <w:right w:val="single" w:color="auto" w:sz="4" w:space="0"/>
            </w:tcBorders>
            <w:vAlign w:val="center"/>
          </w:tcPr>
          <w:p>
            <w:pPr>
              <w:jc w:val="center"/>
              <w:rPr>
                <w:rFonts w:ascii="宋体" w:hAnsi="宋体" w:cs="宋体"/>
                <w:b/>
                <w:sz w:val="22"/>
                <w:szCs w:val="22"/>
              </w:rPr>
            </w:pPr>
            <w:r>
              <w:rPr>
                <w:rFonts w:hint="eastAsia" w:ascii="宋体" w:hAnsi="宋体" w:cs="宋体"/>
                <w:b/>
                <w:sz w:val="22"/>
                <w:szCs w:val="22"/>
              </w:rPr>
              <w:t>序号</w:t>
            </w:r>
          </w:p>
        </w:tc>
        <w:tc>
          <w:tcPr>
            <w:tcW w:w="3193" w:type="dxa"/>
            <w:tcBorders>
              <w:left w:val="single" w:color="auto" w:sz="4" w:space="0"/>
            </w:tcBorders>
            <w:vAlign w:val="center"/>
          </w:tcPr>
          <w:p>
            <w:pPr>
              <w:jc w:val="center"/>
              <w:rPr>
                <w:rFonts w:ascii="宋体" w:hAnsi="宋体" w:cs="宋体"/>
                <w:b/>
                <w:sz w:val="22"/>
                <w:szCs w:val="22"/>
              </w:rPr>
            </w:pPr>
            <w:r>
              <w:rPr>
                <w:rFonts w:hint="eastAsia" w:ascii="宋体" w:hAnsi="宋体" w:cs="宋体"/>
                <w:b/>
                <w:sz w:val="22"/>
                <w:szCs w:val="22"/>
              </w:rPr>
              <w:t>名称</w:t>
            </w:r>
          </w:p>
        </w:tc>
        <w:tc>
          <w:tcPr>
            <w:tcW w:w="2025" w:type="dxa"/>
            <w:vAlign w:val="center"/>
          </w:tcPr>
          <w:p>
            <w:pPr>
              <w:jc w:val="center"/>
              <w:rPr>
                <w:rFonts w:ascii="宋体" w:hAnsi="宋体" w:cs="宋体"/>
                <w:b/>
                <w:sz w:val="22"/>
                <w:szCs w:val="22"/>
              </w:rPr>
            </w:pPr>
            <w:r>
              <w:rPr>
                <w:rFonts w:hint="eastAsia" w:ascii="宋体" w:hAnsi="宋体" w:cs="宋体"/>
                <w:b/>
                <w:sz w:val="22"/>
                <w:szCs w:val="22"/>
              </w:rPr>
              <w:t>品牌型号</w:t>
            </w:r>
          </w:p>
        </w:tc>
        <w:tc>
          <w:tcPr>
            <w:tcW w:w="1577" w:type="dxa"/>
            <w:vAlign w:val="center"/>
          </w:tcPr>
          <w:p>
            <w:pPr>
              <w:jc w:val="center"/>
              <w:rPr>
                <w:rFonts w:ascii="宋体" w:hAnsi="宋体" w:cs="宋体"/>
                <w:b/>
                <w:sz w:val="22"/>
                <w:szCs w:val="22"/>
              </w:rPr>
            </w:pPr>
            <w:r>
              <w:rPr>
                <w:rFonts w:hint="eastAsia" w:ascii="宋体" w:hAnsi="宋体" w:cs="宋体"/>
                <w:b/>
                <w:sz w:val="22"/>
                <w:szCs w:val="22"/>
              </w:rPr>
              <w:t>数量</w:t>
            </w:r>
          </w:p>
        </w:tc>
        <w:tc>
          <w:tcPr>
            <w:tcW w:w="1770" w:type="dxa"/>
            <w:vAlign w:val="center"/>
          </w:tcPr>
          <w:p>
            <w:pPr>
              <w:jc w:val="center"/>
              <w:rPr>
                <w:rFonts w:ascii="宋体" w:hAnsi="宋体" w:cs="宋体"/>
                <w:b/>
                <w:sz w:val="22"/>
                <w:szCs w:val="22"/>
              </w:rPr>
            </w:pPr>
            <w:r>
              <w:rPr>
                <w:rFonts w:hint="eastAsia" w:ascii="宋体" w:hAnsi="宋体" w:cs="宋体"/>
                <w:b/>
                <w:sz w:val="22"/>
                <w:szCs w:val="22"/>
              </w:rPr>
              <w:t>单价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90" w:hRule="atLeast"/>
        </w:trPr>
        <w:tc>
          <w:tcPr>
            <w:tcW w:w="943" w:type="dxa"/>
            <w:tcBorders>
              <w:right w:val="single" w:color="auto" w:sz="4" w:space="0"/>
            </w:tcBorders>
            <w:vAlign w:val="center"/>
          </w:tcPr>
          <w:p>
            <w:pPr>
              <w:jc w:val="center"/>
              <w:rPr>
                <w:rFonts w:ascii="宋体" w:hAnsi="宋体" w:cs="宋体"/>
                <w:b/>
                <w:sz w:val="22"/>
                <w:szCs w:val="22"/>
              </w:rPr>
            </w:pPr>
          </w:p>
        </w:tc>
        <w:tc>
          <w:tcPr>
            <w:tcW w:w="3193" w:type="dxa"/>
            <w:tcBorders>
              <w:left w:val="single" w:color="auto" w:sz="4" w:space="0"/>
            </w:tcBorders>
            <w:vAlign w:val="center"/>
          </w:tcPr>
          <w:p>
            <w:pPr>
              <w:jc w:val="center"/>
              <w:rPr>
                <w:rFonts w:ascii="宋体" w:hAnsi="宋体" w:cs="宋体"/>
                <w:b/>
                <w:sz w:val="22"/>
                <w:szCs w:val="22"/>
              </w:rPr>
            </w:pPr>
          </w:p>
        </w:tc>
        <w:tc>
          <w:tcPr>
            <w:tcW w:w="2025" w:type="dxa"/>
            <w:vAlign w:val="center"/>
          </w:tcPr>
          <w:p>
            <w:pPr>
              <w:jc w:val="center"/>
              <w:rPr>
                <w:rFonts w:ascii="宋体" w:hAnsi="宋体" w:cs="宋体"/>
                <w:b/>
                <w:sz w:val="22"/>
                <w:szCs w:val="22"/>
              </w:rPr>
            </w:pPr>
          </w:p>
        </w:tc>
        <w:tc>
          <w:tcPr>
            <w:tcW w:w="1577" w:type="dxa"/>
            <w:vAlign w:val="center"/>
          </w:tcPr>
          <w:p>
            <w:pPr>
              <w:jc w:val="center"/>
              <w:rPr>
                <w:rFonts w:ascii="宋体" w:hAnsi="宋体" w:cs="宋体"/>
                <w:b/>
                <w:sz w:val="22"/>
                <w:szCs w:val="22"/>
              </w:rPr>
            </w:pPr>
          </w:p>
        </w:tc>
        <w:tc>
          <w:tcPr>
            <w:tcW w:w="1770" w:type="dxa"/>
            <w:vAlign w:val="center"/>
          </w:tcPr>
          <w:p>
            <w:pPr>
              <w:jc w:val="center"/>
              <w:rPr>
                <w:rFonts w:ascii="宋体" w:hAnsi="宋体" w:cs="宋体"/>
                <w:b/>
                <w:sz w:val="22"/>
                <w:szCs w:val="22"/>
              </w:rPr>
            </w:pPr>
          </w:p>
        </w:tc>
      </w:tr>
    </w:tbl>
    <w:p>
      <w:pPr>
        <w:pStyle w:val="24"/>
        <w:adjustRightInd w:val="0"/>
        <w:snapToGrid w:val="0"/>
        <w:spacing w:line="400" w:lineRule="exact"/>
        <w:rPr>
          <w:rFonts w:hAnsi="宋体" w:cs="宋体"/>
          <w:b/>
          <w:bCs/>
          <w:sz w:val="24"/>
          <w:szCs w:val="24"/>
        </w:rPr>
      </w:pPr>
    </w:p>
    <w:p>
      <w:pPr>
        <w:pStyle w:val="24"/>
        <w:adjustRightInd w:val="0"/>
        <w:snapToGrid w:val="0"/>
        <w:spacing w:line="400" w:lineRule="exact"/>
        <w:rPr>
          <w:rFonts w:hAnsi="宋体" w:cs="宋体"/>
          <w:sz w:val="24"/>
          <w:szCs w:val="24"/>
        </w:rPr>
      </w:pPr>
      <w:r>
        <w:rPr>
          <w:rFonts w:hint="eastAsia" w:hAnsi="宋体" w:cs="宋体"/>
          <w:b/>
          <w:bCs/>
          <w:sz w:val="24"/>
          <w:szCs w:val="24"/>
        </w:rPr>
        <w:t>说明：</w:t>
      </w:r>
      <w:r>
        <w:rPr>
          <w:rFonts w:hint="eastAsia" w:hAnsi="宋体" w:cs="宋体"/>
          <w:b/>
          <w:bCs/>
          <w:sz w:val="22"/>
          <w:szCs w:val="22"/>
        </w:rPr>
        <w:t>如</w:t>
      </w:r>
      <w:r>
        <w:rPr>
          <w:rFonts w:hint="eastAsia" w:hAnsi="宋体" w:cs="宋体"/>
          <w:b/>
          <w:sz w:val="22"/>
          <w:szCs w:val="22"/>
        </w:rPr>
        <w:t>表格行数不够，投标供应商自行添加。</w:t>
      </w:r>
    </w:p>
    <w:p>
      <w:pPr>
        <w:spacing w:line="400" w:lineRule="exact"/>
        <w:ind w:left="500" w:leftChars="238"/>
        <w:rPr>
          <w:rFonts w:ascii="宋体" w:hAnsi="宋体" w:cs="宋体"/>
          <w:szCs w:val="21"/>
        </w:rPr>
      </w:pPr>
    </w:p>
    <w:p>
      <w:pPr>
        <w:spacing w:line="400" w:lineRule="exact"/>
        <w:ind w:left="500" w:leftChars="238"/>
        <w:rPr>
          <w:rFonts w:ascii="宋体" w:hAnsi="宋体" w:cs="宋体"/>
          <w:szCs w:val="21"/>
        </w:rPr>
      </w:pPr>
      <w:r>
        <w:rPr>
          <w:rFonts w:hint="eastAsia" w:ascii="宋体" w:hAnsi="宋体" w:cs="宋体"/>
          <w:szCs w:val="21"/>
        </w:rPr>
        <w:t>投标人全称（盖章）：</w:t>
      </w:r>
    </w:p>
    <w:p>
      <w:pPr>
        <w:spacing w:line="500" w:lineRule="exact"/>
        <w:ind w:firstLine="525" w:firstLineChars="250"/>
        <w:rPr>
          <w:rFonts w:ascii="宋体" w:hAnsi="宋体" w:cs="宋体"/>
          <w:szCs w:val="21"/>
        </w:rPr>
      </w:pPr>
      <w:r>
        <w:rPr>
          <w:rFonts w:hint="eastAsia" w:ascii="宋体" w:hAnsi="宋体" w:cs="宋体"/>
          <w:szCs w:val="21"/>
        </w:rPr>
        <w:t xml:space="preserve">日     期： </w:t>
      </w:r>
    </w:p>
    <w:p>
      <w:pPr>
        <w:pStyle w:val="57"/>
      </w:pPr>
    </w:p>
    <w:p>
      <w:pPr>
        <w:pStyle w:val="16"/>
      </w:pPr>
    </w:p>
    <w:p>
      <w:pPr>
        <w:pStyle w:val="17"/>
        <w:ind w:firstLine="320"/>
      </w:pPr>
    </w:p>
    <w:p>
      <w:pPr>
        <w:pStyle w:val="35"/>
      </w:pPr>
    </w:p>
    <w:p/>
    <w:p>
      <w:pPr>
        <w:pStyle w:val="57"/>
      </w:pPr>
    </w:p>
    <w:p>
      <w:pPr>
        <w:pStyle w:val="4"/>
        <w:jc w:val="center"/>
        <w:rPr>
          <w:rFonts w:ascii="宋体" w:hAnsi="宋体" w:cs="宋体"/>
          <w:b w:val="0"/>
          <w:bCs w:val="0"/>
        </w:rPr>
      </w:pPr>
      <w:r>
        <w:rPr>
          <w:rFonts w:hint="eastAsia" w:ascii="宋体" w:hAnsi="宋体" w:cs="宋体"/>
          <w:b w:val="0"/>
          <w:bCs w:val="0"/>
        </w:rPr>
        <w:t>附件五、技术规格表</w:t>
      </w:r>
    </w:p>
    <w:p>
      <w:pPr>
        <w:spacing w:line="400" w:lineRule="exact"/>
        <w:jc w:val="left"/>
        <w:rPr>
          <w:rFonts w:ascii="宋体" w:hAnsi="宋体" w:cs="宋体"/>
        </w:rPr>
      </w:pPr>
      <w:r>
        <w:rPr>
          <w:rFonts w:hint="eastAsia" w:ascii="宋体" w:hAnsi="宋体" w:cs="宋体"/>
          <w:b/>
          <w:sz w:val="24"/>
        </w:rPr>
        <w:t>采购单位：</w:t>
      </w:r>
      <w:r>
        <w:rPr>
          <w:rFonts w:hint="eastAsia" w:ascii="宋体" w:hAnsi="宋体" w:cs="宋体"/>
          <w:b/>
          <w:sz w:val="24"/>
          <w:lang w:eastAsia="zh-CN"/>
        </w:rPr>
        <w:t>龙港市职业中等专业学校</w:t>
      </w:r>
      <w:r>
        <w:rPr>
          <w:rFonts w:hint="eastAsia" w:ascii="宋体" w:hAnsi="宋体" w:cs="宋体"/>
        </w:rPr>
        <w:t xml:space="preserve">                   项目编号：XXX</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747"/>
        <w:gridCol w:w="1469"/>
        <w:gridCol w:w="1871"/>
        <w:gridCol w:w="167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top w:val="single" w:color="auto" w:sz="12" w:space="0"/>
              <w:left w:val="single" w:color="auto" w:sz="4" w:space="0"/>
              <w:bottom w:val="single" w:color="auto" w:sz="12" w:space="0"/>
              <w:right w:val="single" w:color="auto" w:sz="12" w:space="0"/>
            </w:tcBorders>
            <w:vAlign w:val="center"/>
          </w:tcPr>
          <w:p>
            <w:pPr>
              <w:jc w:val="center"/>
              <w:rPr>
                <w:rFonts w:ascii="宋体" w:hAnsi="宋体" w:cs="宋体"/>
              </w:rPr>
            </w:pPr>
            <w:r>
              <w:rPr>
                <w:rFonts w:hint="eastAsia" w:ascii="宋体" w:hAnsi="宋体" w:cs="宋体"/>
              </w:rPr>
              <w:t>序号</w:t>
            </w:r>
          </w:p>
        </w:tc>
        <w:tc>
          <w:tcPr>
            <w:tcW w:w="1747"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s="宋体"/>
              </w:rPr>
            </w:pPr>
            <w:r>
              <w:rPr>
                <w:rFonts w:hint="eastAsia" w:ascii="宋体" w:hAnsi="宋体" w:cs="宋体"/>
              </w:rPr>
              <w:t>货物名称</w:t>
            </w:r>
          </w:p>
        </w:tc>
        <w:tc>
          <w:tcPr>
            <w:tcW w:w="1469"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s="宋体"/>
              </w:rPr>
            </w:pPr>
            <w:r>
              <w:rPr>
                <w:rFonts w:hint="eastAsia" w:ascii="宋体" w:hAnsi="宋体" w:cs="宋体"/>
              </w:rPr>
              <w:t>品牌</w:t>
            </w:r>
          </w:p>
        </w:tc>
        <w:tc>
          <w:tcPr>
            <w:tcW w:w="1871"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s="宋体"/>
              </w:rPr>
            </w:pPr>
            <w:r>
              <w:rPr>
                <w:rFonts w:hint="eastAsia" w:ascii="宋体" w:hAnsi="宋体" w:cs="宋体"/>
              </w:rPr>
              <w:t>主要内容、型号、规格等</w:t>
            </w:r>
          </w:p>
        </w:tc>
        <w:tc>
          <w:tcPr>
            <w:tcW w:w="1670" w:type="dxa"/>
            <w:tcBorders>
              <w:top w:val="single" w:color="auto" w:sz="12" w:space="0"/>
              <w:left w:val="single" w:color="auto" w:sz="12" w:space="0"/>
              <w:bottom w:val="single" w:color="auto" w:sz="12" w:space="0"/>
              <w:right w:val="single" w:color="auto" w:sz="12" w:space="0"/>
            </w:tcBorders>
            <w:vAlign w:val="center"/>
          </w:tcPr>
          <w:p>
            <w:pPr>
              <w:jc w:val="center"/>
              <w:rPr>
                <w:rFonts w:ascii="宋体" w:hAnsi="宋体" w:cs="宋体"/>
              </w:rPr>
            </w:pPr>
            <w:r>
              <w:rPr>
                <w:rFonts w:hint="eastAsia" w:ascii="宋体" w:hAnsi="宋体" w:cs="宋体"/>
              </w:rPr>
              <w:t>数量</w:t>
            </w:r>
          </w:p>
        </w:tc>
        <w:tc>
          <w:tcPr>
            <w:tcW w:w="1670" w:type="dxa"/>
            <w:tcBorders>
              <w:top w:val="single" w:color="auto" w:sz="12" w:space="0"/>
              <w:left w:val="single" w:color="auto" w:sz="12" w:space="0"/>
              <w:bottom w:val="single" w:color="auto" w:sz="12" w:space="0"/>
              <w:right w:val="single" w:color="auto" w:sz="4" w:space="0"/>
            </w:tcBorders>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top w:val="single" w:color="auto" w:sz="12" w:space="0"/>
              <w:left w:val="single" w:color="auto" w:sz="4" w:space="0"/>
              <w:right w:val="single" w:color="auto" w:sz="12" w:space="0"/>
            </w:tcBorders>
            <w:vAlign w:val="center"/>
          </w:tcPr>
          <w:p>
            <w:pPr>
              <w:jc w:val="center"/>
              <w:rPr>
                <w:rFonts w:ascii="宋体" w:hAnsi="宋体" w:cs="宋体"/>
                <w:szCs w:val="21"/>
              </w:rPr>
            </w:pPr>
          </w:p>
        </w:tc>
        <w:tc>
          <w:tcPr>
            <w:tcW w:w="1747" w:type="dxa"/>
            <w:tcBorders>
              <w:top w:val="single" w:color="auto" w:sz="12" w:space="0"/>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top w:val="single" w:color="auto" w:sz="12" w:space="0"/>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top w:val="single" w:color="auto" w:sz="12" w:space="0"/>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top w:val="single" w:color="auto" w:sz="12" w:space="0"/>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top w:val="single" w:color="auto" w:sz="12" w:space="0"/>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bCs/>
                <w:szCs w:val="21"/>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szCs w:val="21"/>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szCs w:val="21"/>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1" w:type="dxa"/>
            <w:tcBorders>
              <w:left w:val="single" w:color="auto" w:sz="4" w:space="0"/>
              <w:right w:val="single" w:color="auto" w:sz="12" w:space="0"/>
            </w:tcBorders>
            <w:vAlign w:val="center"/>
          </w:tcPr>
          <w:p>
            <w:pPr>
              <w:jc w:val="center"/>
              <w:rPr>
                <w:rFonts w:ascii="宋体" w:hAnsi="宋体" w:cs="宋体"/>
                <w:szCs w:val="21"/>
              </w:rPr>
            </w:pPr>
          </w:p>
        </w:tc>
        <w:tc>
          <w:tcPr>
            <w:tcW w:w="1747" w:type="dxa"/>
            <w:tcBorders>
              <w:left w:val="single" w:color="auto" w:sz="12" w:space="0"/>
              <w:right w:val="single" w:color="auto" w:sz="4" w:space="0"/>
            </w:tcBorders>
            <w:vAlign w:val="center"/>
          </w:tcPr>
          <w:p>
            <w:pPr>
              <w:spacing w:line="340" w:lineRule="exact"/>
              <w:jc w:val="center"/>
              <w:rPr>
                <w:rFonts w:ascii="宋体" w:hAnsi="宋体" w:cs="宋体"/>
                <w:b/>
                <w:sz w:val="24"/>
              </w:rPr>
            </w:pPr>
          </w:p>
        </w:tc>
        <w:tc>
          <w:tcPr>
            <w:tcW w:w="1469" w:type="dxa"/>
            <w:tcBorders>
              <w:left w:val="single" w:color="auto" w:sz="12" w:space="0"/>
              <w:right w:val="single" w:color="auto" w:sz="12" w:space="0"/>
            </w:tcBorders>
          </w:tcPr>
          <w:p>
            <w:pPr>
              <w:spacing w:line="340" w:lineRule="exact"/>
              <w:jc w:val="center"/>
              <w:rPr>
                <w:rFonts w:ascii="宋体" w:hAnsi="宋体" w:cs="宋体"/>
                <w:b/>
                <w:sz w:val="24"/>
              </w:rPr>
            </w:pPr>
          </w:p>
        </w:tc>
        <w:tc>
          <w:tcPr>
            <w:tcW w:w="1871"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12" w:space="0"/>
            </w:tcBorders>
          </w:tcPr>
          <w:p>
            <w:pPr>
              <w:spacing w:line="340" w:lineRule="exact"/>
              <w:jc w:val="center"/>
              <w:rPr>
                <w:rFonts w:ascii="宋体" w:hAnsi="宋体" w:cs="宋体"/>
                <w:b/>
                <w:sz w:val="24"/>
              </w:rPr>
            </w:pPr>
          </w:p>
        </w:tc>
        <w:tc>
          <w:tcPr>
            <w:tcW w:w="1670" w:type="dxa"/>
            <w:tcBorders>
              <w:left w:val="single" w:color="auto" w:sz="12" w:space="0"/>
              <w:right w:val="single" w:color="auto" w:sz="4" w:space="0"/>
            </w:tcBorders>
          </w:tcPr>
          <w:p>
            <w:pPr>
              <w:spacing w:line="3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 w:type="dxa"/>
            <w:tcBorders>
              <w:left w:val="single" w:color="auto" w:sz="4" w:space="0"/>
              <w:bottom w:val="single" w:color="auto" w:sz="12" w:space="0"/>
              <w:right w:val="single" w:color="auto" w:sz="12" w:space="0"/>
            </w:tcBorders>
            <w:vAlign w:val="center"/>
          </w:tcPr>
          <w:p>
            <w:pPr>
              <w:jc w:val="center"/>
              <w:rPr>
                <w:rFonts w:ascii="宋体" w:hAnsi="宋体" w:cs="宋体"/>
                <w:szCs w:val="21"/>
              </w:rPr>
            </w:pPr>
            <w:r>
              <w:rPr>
                <w:rFonts w:hint="eastAsia" w:ascii="宋体" w:hAnsi="宋体" w:cs="宋体"/>
                <w:szCs w:val="21"/>
              </w:rPr>
              <w:t>备注</w:t>
            </w:r>
          </w:p>
        </w:tc>
        <w:tc>
          <w:tcPr>
            <w:tcW w:w="1747" w:type="dxa"/>
            <w:tcBorders>
              <w:left w:val="single" w:color="auto" w:sz="12" w:space="0"/>
              <w:bottom w:val="single" w:color="auto" w:sz="12" w:space="0"/>
              <w:right w:val="single" w:color="auto" w:sz="4" w:space="0"/>
            </w:tcBorders>
            <w:vAlign w:val="center"/>
          </w:tcPr>
          <w:p>
            <w:pPr>
              <w:jc w:val="center"/>
              <w:rPr>
                <w:rFonts w:ascii="宋体" w:hAnsi="宋体" w:cs="宋体"/>
              </w:rPr>
            </w:pPr>
          </w:p>
        </w:tc>
        <w:tc>
          <w:tcPr>
            <w:tcW w:w="1469" w:type="dxa"/>
            <w:tcBorders>
              <w:left w:val="single" w:color="auto" w:sz="12" w:space="0"/>
              <w:bottom w:val="single" w:color="auto" w:sz="12" w:space="0"/>
              <w:right w:val="single" w:color="auto" w:sz="12" w:space="0"/>
            </w:tcBorders>
          </w:tcPr>
          <w:p>
            <w:pPr>
              <w:jc w:val="center"/>
              <w:rPr>
                <w:rFonts w:ascii="宋体" w:hAnsi="宋体" w:cs="宋体"/>
              </w:rPr>
            </w:pPr>
          </w:p>
        </w:tc>
        <w:tc>
          <w:tcPr>
            <w:tcW w:w="1871" w:type="dxa"/>
            <w:tcBorders>
              <w:left w:val="single" w:color="auto" w:sz="12" w:space="0"/>
              <w:bottom w:val="single" w:color="auto" w:sz="12" w:space="0"/>
              <w:right w:val="single" w:color="auto" w:sz="12" w:space="0"/>
            </w:tcBorders>
          </w:tcPr>
          <w:p>
            <w:pPr>
              <w:jc w:val="center"/>
              <w:rPr>
                <w:rFonts w:ascii="宋体" w:hAnsi="宋体" w:cs="宋体"/>
              </w:rPr>
            </w:pPr>
          </w:p>
        </w:tc>
        <w:tc>
          <w:tcPr>
            <w:tcW w:w="1670" w:type="dxa"/>
            <w:tcBorders>
              <w:left w:val="single" w:color="auto" w:sz="12" w:space="0"/>
              <w:bottom w:val="single" w:color="auto" w:sz="12" w:space="0"/>
              <w:right w:val="single" w:color="auto" w:sz="12" w:space="0"/>
            </w:tcBorders>
          </w:tcPr>
          <w:p>
            <w:pPr>
              <w:jc w:val="center"/>
              <w:rPr>
                <w:rFonts w:ascii="宋体" w:hAnsi="宋体" w:cs="宋体"/>
              </w:rPr>
            </w:pPr>
          </w:p>
        </w:tc>
        <w:tc>
          <w:tcPr>
            <w:tcW w:w="1670" w:type="dxa"/>
            <w:tcBorders>
              <w:left w:val="single" w:color="auto" w:sz="12" w:space="0"/>
              <w:bottom w:val="single" w:color="auto" w:sz="12" w:space="0"/>
              <w:right w:val="single" w:color="auto" w:sz="4" w:space="0"/>
            </w:tcBorders>
          </w:tcPr>
          <w:p>
            <w:pPr>
              <w:jc w:val="center"/>
              <w:rPr>
                <w:rFonts w:ascii="宋体" w:hAnsi="宋体" w:cs="宋体"/>
              </w:rPr>
            </w:pPr>
          </w:p>
        </w:tc>
      </w:tr>
    </w:tbl>
    <w:p>
      <w:pPr>
        <w:spacing w:line="500" w:lineRule="exact"/>
        <w:rPr>
          <w:rFonts w:ascii="宋体" w:hAnsi="宋体" w:cs="宋体"/>
          <w:sz w:val="22"/>
          <w:szCs w:val="22"/>
        </w:rPr>
      </w:pPr>
      <w:r>
        <w:rPr>
          <w:rFonts w:hint="eastAsia" w:ascii="宋体" w:hAnsi="宋体" w:cs="宋体"/>
          <w:sz w:val="22"/>
          <w:szCs w:val="22"/>
        </w:rPr>
        <w:t>注：此表可按原有格式进行复制。</w:t>
      </w:r>
    </w:p>
    <w:p>
      <w:pPr>
        <w:pStyle w:val="24"/>
        <w:spacing w:line="460" w:lineRule="atLeast"/>
        <w:rPr>
          <w:rFonts w:hAnsi="宋体" w:cs="宋体"/>
          <w:sz w:val="22"/>
          <w:szCs w:val="22"/>
        </w:rPr>
      </w:pPr>
      <w:r>
        <w:rPr>
          <w:rFonts w:hint="eastAsia" w:hAnsi="宋体" w:cs="宋体"/>
          <w:b/>
          <w:bCs/>
          <w:sz w:val="22"/>
          <w:szCs w:val="22"/>
        </w:rPr>
        <w:t>▲</w:t>
      </w:r>
      <w:r>
        <w:rPr>
          <w:rFonts w:hint="eastAsia" w:hAnsi="宋体" w:cs="宋体"/>
          <w:sz w:val="22"/>
          <w:szCs w:val="22"/>
        </w:rPr>
        <w:t>不提供此表格的将视为没有实质性响应招标文件。</w:t>
      </w:r>
    </w:p>
    <w:p>
      <w:pPr>
        <w:spacing w:line="400" w:lineRule="exact"/>
        <w:rPr>
          <w:rFonts w:ascii="宋体" w:hAnsi="宋体" w:cs="宋体"/>
          <w:szCs w:val="21"/>
        </w:rPr>
      </w:pPr>
      <w:r>
        <w:rPr>
          <w:rFonts w:hint="eastAsia" w:ascii="宋体" w:hAnsi="宋体" w:cs="宋体"/>
          <w:szCs w:val="21"/>
        </w:rPr>
        <w:t>投标人全称（盖章）：</w:t>
      </w:r>
    </w:p>
    <w:p>
      <w:pPr>
        <w:spacing w:line="400" w:lineRule="exact"/>
        <w:rPr>
          <w:rFonts w:ascii="宋体" w:hAnsi="宋体" w:cs="宋体"/>
          <w:szCs w:val="21"/>
        </w:rPr>
      </w:pPr>
      <w:r>
        <w:rPr>
          <w:rFonts w:hint="eastAsia" w:ascii="宋体" w:hAnsi="宋体" w:cs="宋体"/>
          <w:szCs w:val="21"/>
        </w:rPr>
        <w:t xml:space="preserve">日    期： </w:t>
      </w:r>
    </w:p>
    <w:p>
      <w:pPr>
        <w:pStyle w:val="4"/>
        <w:pageBreakBefore/>
        <w:ind w:firstLine="217" w:firstLineChars="68"/>
        <w:jc w:val="center"/>
        <w:rPr>
          <w:rFonts w:ascii="宋体" w:hAnsi="宋体" w:cs="宋体"/>
          <w:b w:val="0"/>
          <w:bCs w:val="0"/>
          <w:sz w:val="30"/>
        </w:rPr>
      </w:pPr>
      <w:r>
        <w:rPr>
          <w:rFonts w:hint="eastAsia" w:ascii="宋体" w:hAnsi="宋体" w:cs="宋体"/>
          <w:b w:val="0"/>
          <w:bCs w:val="0"/>
        </w:rPr>
        <w:t xml:space="preserve">附件六、  </w:t>
      </w:r>
      <w:r>
        <w:rPr>
          <w:rFonts w:hint="eastAsia" w:ascii="宋体" w:hAnsi="宋体" w:cs="宋体"/>
          <w:b w:val="0"/>
          <w:bCs w:val="0"/>
          <w:spacing w:val="-20"/>
        </w:rPr>
        <w:t>技术、商务偏离表</w:t>
      </w:r>
    </w:p>
    <w:p>
      <w:pPr>
        <w:spacing w:line="560" w:lineRule="exact"/>
        <w:rPr>
          <w:rFonts w:ascii="宋体" w:hAnsi="宋体" w:cs="宋体"/>
        </w:rPr>
      </w:pPr>
      <w:r>
        <w:rPr>
          <w:rFonts w:hint="eastAsia" w:ascii="宋体" w:hAnsi="宋体" w:cs="宋体"/>
          <w:b/>
          <w:sz w:val="24"/>
        </w:rPr>
        <w:t>采购单位：</w:t>
      </w:r>
      <w:r>
        <w:rPr>
          <w:rFonts w:hint="eastAsia" w:ascii="宋体" w:hAnsi="宋体" w:cs="宋体"/>
          <w:b/>
          <w:sz w:val="24"/>
          <w:lang w:eastAsia="zh-CN"/>
        </w:rPr>
        <w:t>龙港市职业中等专业学校</w:t>
      </w:r>
      <w:r>
        <w:rPr>
          <w:rFonts w:hint="eastAsia" w:ascii="宋体" w:hAnsi="宋体" w:cs="宋体"/>
        </w:rPr>
        <w:t xml:space="preserve">            项目编号：XXX</w:t>
      </w:r>
    </w:p>
    <w:tbl>
      <w:tblPr>
        <w:tblStyle w:val="4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1754"/>
        <w:gridCol w:w="2078"/>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96" w:type="dxa"/>
            <w:vAlign w:val="center"/>
          </w:tcPr>
          <w:p>
            <w:pPr>
              <w:jc w:val="center"/>
              <w:rPr>
                <w:rFonts w:ascii="宋体" w:hAnsi="宋体" w:cs="宋体"/>
                <w:szCs w:val="21"/>
              </w:rPr>
            </w:pPr>
            <w:r>
              <w:rPr>
                <w:rFonts w:hint="eastAsia" w:ascii="宋体" w:hAnsi="宋体" w:cs="宋体"/>
                <w:szCs w:val="21"/>
              </w:rPr>
              <w:t>内容</w:t>
            </w:r>
          </w:p>
        </w:tc>
        <w:tc>
          <w:tcPr>
            <w:tcW w:w="1754" w:type="dxa"/>
            <w:vAlign w:val="center"/>
          </w:tcPr>
          <w:p>
            <w:pPr>
              <w:jc w:val="center"/>
              <w:rPr>
                <w:rFonts w:ascii="宋体" w:hAnsi="宋体" w:cs="宋体"/>
                <w:szCs w:val="21"/>
              </w:rPr>
            </w:pPr>
            <w:r>
              <w:rPr>
                <w:rFonts w:hint="eastAsia" w:ascii="宋体" w:hAnsi="宋体" w:cs="宋体"/>
                <w:szCs w:val="21"/>
              </w:rPr>
              <w:t>招标文件</w:t>
            </w:r>
          </w:p>
          <w:p>
            <w:pPr>
              <w:jc w:val="center"/>
              <w:rPr>
                <w:rFonts w:ascii="宋体" w:hAnsi="宋体" w:cs="宋体"/>
                <w:szCs w:val="21"/>
              </w:rPr>
            </w:pPr>
            <w:r>
              <w:rPr>
                <w:rFonts w:hint="eastAsia" w:ascii="宋体" w:hAnsi="宋体" w:cs="宋体"/>
                <w:szCs w:val="21"/>
              </w:rPr>
              <w:t>条目号</w:t>
            </w:r>
          </w:p>
        </w:tc>
        <w:tc>
          <w:tcPr>
            <w:tcW w:w="2078" w:type="dxa"/>
            <w:vAlign w:val="center"/>
          </w:tcPr>
          <w:p>
            <w:pPr>
              <w:jc w:val="center"/>
              <w:rPr>
                <w:rFonts w:ascii="宋体" w:hAnsi="宋体" w:cs="宋体"/>
                <w:szCs w:val="21"/>
              </w:rPr>
            </w:pPr>
            <w:r>
              <w:rPr>
                <w:rFonts w:hint="eastAsia" w:ascii="宋体" w:hAnsi="宋体" w:cs="宋体"/>
                <w:szCs w:val="21"/>
              </w:rPr>
              <w:t>招标规格</w:t>
            </w:r>
          </w:p>
        </w:tc>
        <w:tc>
          <w:tcPr>
            <w:tcW w:w="2160" w:type="dxa"/>
            <w:vAlign w:val="center"/>
          </w:tcPr>
          <w:p>
            <w:pPr>
              <w:jc w:val="center"/>
              <w:rPr>
                <w:rFonts w:ascii="宋体" w:hAnsi="宋体" w:cs="宋体"/>
                <w:szCs w:val="21"/>
              </w:rPr>
            </w:pPr>
            <w:r>
              <w:rPr>
                <w:rFonts w:hint="eastAsia" w:ascii="宋体" w:hAnsi="宋体" w:cs="宋体"/>
                <w:szCs w:val="21"/>
              </w:rPr>
              <w:t>投标规格</w:t>
            </w:r>
          </w:p>
        </w:tc>
        <w:tc>
          <w:tcPr>
            <w:tcW w:w="1800" w:type="dxa"/>
            <w:vAlign w:val="center"/>
          </w:tcPr>
          <w:p>
            <w:pPr>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vAlign w:val="center"/>
          </w:tcPr>
          <w:p>
            <w:pPr>
              <w:jc w:val="center"/>
              <w:rPr>
                <w:rFonts w:ascii="宋体" w:hAnsi="宋体" w:cs="宋体"/>
                <w:szCs w:val="21"/>
              </w:rPr>
            </w:pPr>
            <w:r>
              <w:rPr>
                <w:rFonts w:hint="eastAsia" w:ascii="宋体" w:hAnsi="宋体" w:cs="宋体"/>
                <w:szCs w:val="21"/>
              </w:rPr>
              <w:t xml:space="preserve">技  术  </w:t>
            </w:r>
          </w:p>
          <w:p>
            <w:pPr>
              <w:jc w:val="center"/>
              <w:rPr>
                <w:rFonts w:ascii="宋体" w:hAnsi="宋体" w:cs="宋体"/>
                <w:szCs w:val="21"/>
              </w:rPr>
            </w:pPr>
            <w:r>
              <w:rPr>
                <w:rFonts w:hint="eastAsia" w:ascii="宋体" w:hAnsi="宋体" w:cs="宋体"/>
                <w:szCs w:val="21"/>
              </w:rPr>
              <w:t>偏  离</w:t>
            </w: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96" w:type="dxa"/>
            <w:vAlign w:val="center"/>
          </w:tcPr>
          <w:p>
            <w:pPr>
              <w:jc w:val="center"/>
              <w:rPr>
                <w:rFonts w:ascii="宋体" w:hAnsi="宋体" w:cs="宋体"/>
                <w:szCs w:val="21"/>
              </w:rPr>
            </w:pPr>
            <w:r>
              <w:rPr>
                <w:rFonts w:hint="eastAsia" w:ascii="宋体" w:hAnsi="宋体" w:cs="宋体"/>
                <w:szCs w:val="21"/>
              </w:rPr>
              <w:t>内容</w:t>
            </w:r>
          </w:p>
        </w:tc>
        <w:tc>
          <w:tcPr>
            <w:tcW w:w="1754" w:type="dxa"/>
            <w:vAlign w:val="center"/>
          </w:tcPr>
          <w:p>
            <w:pPr>
              <w:jc w:val="center"/>
              <w:rPr>
                <w:rFonts w:ascii="宋体" w:hAnsi="宋体" w:cs="宋体"/>
                <w:szCs w:val="21"/>
              </w:rPr>
            </w:pPr>
            <w:r>
              <w:rPr>
                <w:rFonts w:hint="eastAsia" w:ascii="宋体" w:hAnsi="宋体" w:cs="宋体"/>
                <w:szCs w:val="21"/>
              </w:rPr>
              <w:t>招标文件</w:t>
            </w:r>
          </w:p>
          <w:p>
            <w:pPr>
              <w:jc w:val="center"/>
              <w:rPr>
                <w:rFonts w:ascii="宋体" w:hAnsi="宋体" w:cs="宋体"/>
                <w:szCs w:val="21"/>
              </w:rPr>
            </w:pPr>
            <w:r>
              <w:rPr>
                <w:rFonts w:hint="eastAsia" w:ascii="宋体" w:hAnsi="宋体" w:cs="宋体"/>
                <w:szCs w:val="21"/>
              </w:rPr>
              <w:t>条目号</w:t>
            </w:r>
          </w:p>
        </w:tc>
        <w:tc>
          <w:tcPr>
            <w:tcW w:w="2078" w:type="dxa"/>
            <w:vAlign w:val="center"/>
          </w:tcPr>
          <w:p>
            <w:pPr>
              <w:jc w:val="center"/>
              <w:rPr>
                <w:rFonts w:ascii="宋体" w:hAnsi="宋体" w:cs="宋体"/>
                <w:szCs w:val="21"/>
              </w:rPr>
            </w:pPr>
            <w:r>
              <w:rPr>
                <w:rFonts w:hint="eastAsia" w:ascii="宋体" w:hAnsi="宋体" w:cs="宋体"/>
                <w:szCs w:val="21"/>
              </w:rPr>
              <w:t>招标文件</w:t>
            </w:r>
          </w:p>
          <w:p>
            <w:pPr>
              <w:jc w:val="center"/>
              <w:rPr>
                <w:rFonts w:ascii="宋体" w:hAnsi="宋体" w:cs="宋体"/>
                <w:szCs w:val="21"/>
              </w:rPr>
            </w:pPr>
            <w:r>
              <w:rPr>
                <w:rFonts w:hint="eastAsia" w:ascii="宋体" w:hAnsi="宋体" w:cs="宋体"/>
                <w:szCs w:val="21"/>
              </w:rPr>
              <w:t>条款</w:t>
            </w:r>
          </w:p>
        </w:tc>
        <w:tc>
          <w:tcPr>
            <w:tcW w:w="2160" w:type="dxa"/>
            <w:vAlign w:val="center"/>
          </w:tcPr>
          <w:p>
            <w:pPr>
              <w:jc w:val="center"/>
              <w:rPr>
                <w:rFonts w:ascii="宋体" w:hAnsi="宋体" w:cs="宋体"/>
                <w:szCs w:val="21"/>
              </w:rPr>
            </w:pPr>
            <w:r>
              <w:rPr>
                <w:rFonts w:hint="eastAsia" w:ascii="宋体" w:hAnsi="宋体" w:cs="宋体"/>
                <w:szCs w:val="21"/>
              </w:rPr>
              <w:t>投标文件</w:t>
            </w:r>
          </w:p>
          <w:p>
            <w:pPr>
              <w:jc w:val="center"/>
              <w:rPr>
                <w:rFonts w:ascii="宋体" w:hAnsi="宋体" w:cs="宋体"/>
                <w:szCs w:val="21"/>
              </w:rPr>
            </w:pPr>
            <w:r>
              <w:rPr>
                <w:rFonts w:hint="eastAsia" w:ascii="宋体" w:hAnsi="宋体" w:cs="宋体"/>
                <w:szCs w:val="21"/>
              </w:rPr>
              <w:t>条款</w:t>
            </w:r>
          </w:p>
        </w:tc>
        <w:tc>
          <w:tcPr>
            <w:tcW w:w="1800" w:type="dxa"/>
            <w:vAlign w:val="center"/>
          </w:tcPr>
          <w:p>
            <w:pPr>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restart"/>
            <w:vAlign w:val="center"/>
          </w:tcPr>
          <w:p>
            <w:pPr>
              <w:jc w:val="center"/>
              <w:rPr>
                <w:rFonts w:ascii="宋体" w:hAnsi="宋体" w:cs="宋体"/>
                <w:szCs w:val="21"/>
              </w:rPr>
            </w:pPr>
            <w:r>
              <w:rPr>
                <w:rFonts w:hint="eastAsia" w:ascii="宋体" w:hAnsi="宋体" w:cs="宋体"/>
                <w:szCs w:val="21"/>
              </w:rPr>
              <w:t xml:space="preserve">商  务  </w:t>
            </w:r>
          </w:p>
          <w:p>
            <w:pPr>
              <w:jc w:val="center"/>
              <w:rPr>
                <w:rFonts w:ascii="宋体" w:hAnsi="宋体" w:cs="宋体"/>
                <w:szCs w:val="21"/>
              </w:rPr>
            </w:pPr>
            <w:r>
              <w:rPr>
                <w:rFonts w:hint="eastAsia" w:ascii="宋体" w:hAnsi="宋体" w:cs="宋体"/>
                <w:szCs w:val="21"/>
              </w:rPr>
              <w:t>偏  离</w:t>
            </w:r>
          </w:p>
          <w:p>
            <w:pPr>
              <w:jc w:val="center"/>
              <w:rPr>
                <w:rFonts w:ascii="宋体" w:hAnsi="宋体" w:cs="宋体"/>
                <w:szCs w:val="21"/>
              </w:rPr>
            </w:pPr>
            <w:r>
              <w:rPr>
                <w:rFonts w:hint="eastAsia" w:ascii="宋体" w:hAnsi="宋体" w:cs="宋体"/>
                <w:szCs w:val="21"/>
              </w:rPr>
              <w:t>（不含报价）</w:t>
            </w: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1496" w:type="dxa"/>
            <w:vMerge w:val="continue"/>
            <w:vAlign w:val="center"/>
          </w:tcPr>
          <w:p>
            <w:pPr>
              <w:jc w:val="center"/>
              <w:rPr>
                <w:rFonts w:ascii="宋体" w:hAnsi="宋体" w:cs="宋体"/>
                <w:szCs w:val="21"/>
              </w:rPr>
            </w:pPr>
          </w:p>
        </w:tc>
        <w:tc>
          <w:tcPr>
            <w:tcW w:w="1754" w:type="dxa"/>
            <w:vAlign w:val="center"/>
          </w:tcPr>
          <w:p>
            <w:pPr>
              <w:jc w:val="center"/>
              <w:rPr>
                <w:rFonts w:ascii="宋体" w:hAnsi="宋体" w:cs="宋体"/>
                <w:szCs w:val="21"/>
              </w:rPr>
            </w:pPr>
          </w:p>
        </w:tc>
        <w:tc>
          <w:tcPr>
            <w:tcW w:w="2078" w:type="dxa"/>
            <w:vAlign w:val="center"/>
          </w:tcPr>
          <w:p>
            <w:pPr>
              <w:jc w:val="center"/>
              <w:rPr>
                <w:rFonts w:ascii="宋体" w:hAnsi="宋体" w:cs="宋体"/>
                <w:szCs w:val="21"/>
              </w:rPr>
            </w:pPr>
          </w:p>
        </w:tc>
        <w:tc>
          <w:tcPr>
            <w:tcW w:w="2160" w:type="dxa"/>
            <w:vAlign w:val="center"/>
          </w:tcPr>
          <w:p>
            <w:pPr>
              <w:jc w:val="center"/>
              <w:rPr>
                <w:rFonts w:ascii="宋体" w:hAnsi="宋体" w:cs="宋体"/>
                <w:szCs w:val="21"/>
              </w:rPr>
            </w:pPr>
          </w:p>
        </w:tc>
        <w:tc>
          <w:tcPr>
            <w:tcW w:w="1800" w:type="dxa"/>
            <w:vAlign w:val="center"/>
          </w:tcPr>
          <w:p>
            <w:pPr>
              <w:jc w:val="center"/>
              <w:rPr>
                <w:rFonts w:ascii="宋体" w:hAnsi="宋体" w:cs="宋体"/>
                <w:szCs w:val="21"/>
              </w:rPr>
            </w:pPr>
          </w:p>
        </w:tc>
      </w:tr>
    </w:tbl>
    <w:p>
      <w:pPr>
        <w:spacing w:line="500" w:lineRule="exact"/>
        <w:rPr>
          <w:rFonts w:ascii="宋体" w:hAnsi="宋体" w:cs="宋体"/>
          <w:szCs w:val="21"/>
        </w:rPr>
      </w:pPr>
      <w:r>
        <w:rPr>
          <w:rFonts w:hint="eastAsia" w:ascii="宋体" w:hAnsi="宋体" w:cs="宋体"/>
          <w:sz w:val="22"/>
          <w:szCs w:val="22"/>
        </w:rPr>
        <w:t>注：此表可按原有格式进行复制。</w:t>
      </w:r>
    </w:p>
    <w:p>
      <w:pPr>
        <w:spacing w:line="400" w:lineRule="exact"/>
        <w:rPr>
          <w:rFonts w:ascii="宋体" w:hAnsi="宋体" w:cs="宋体"/>
          <w:szCs w:val="21"/>
        </w:rPr>
      </w:pPr>
      <w:r>
        <w:rPr>
          <w:rFonts w:hint="eastAsia" w:ascii="宋体" w:hAnsi="宋体" w:cs="宋体"/>
          <w:szCs w:val="21"/>
        </w:rPr>
        <w:t>投标人全称（盖章）：</w:t>
      </w:r>
    </w:p>
    <w:p>
      <w:pPr>
        <w:pStyle w:val="7"/>
        <w:ind w:firstLine="0"/>
        <w:rPr>
          <w:rFonts w:ascii="宋体" w:hAnsi="宋体" w:cs="宋体"/>
          <w:sz w:val="21"/>
          <w:szCs w:val="21"/>
        </w:rPr>
      </w:pPr>
      <w:r>
        <w:rPr>
          <w:rFonts w:hint="eastAsia" w:ascii="宋体" w:hAnsi="宋体" w:cs="宋体"/>
          <w:sz w:val="21"/>
          <w:szCs w:val="21"/>
        </w:rPr>
        <w:t xml:space="preserve">日    期： </w:t>
      </w:r>
    </w:p>
    <w:p>
      <w:pPr>
        <w:pStyle w:val="7"/>
        <w:ind w:firstLine="0"/>
        <w:rPr>
          <w:rFonts w:ascii="宋体" w:hAnsi="宋体" w:cs="宋体"/>
          <w:sz w:val="21"/>
          <w:szCs w:val="21"/>
        </w:rPr>
      </w:pPr>
    </w:p>
    <w:p>
      <w:pPr>
        <w:pStyle w:val="270"/>
        <w:spacing w:before="0" w:beforeAutospacing="0" w:after="0" w:afterAutospacing="0" w:line="360" w:lineRule="atLeast"/>
        <w:rPr>
          <w:rFonts w:ascii="宋体" w:hAnsi="宋体" w:eastAsia="宋体" w:cs="宋体"/>
          <w:sz w:val="22"/>
          <w:szCs w:val="22"/>
          <w:lang w:eastAsia="zh-CN"/>
        </w:rPr>
        <w:sectPr>
          <w:footerReference r:id="rId8" w:type="default"/>
          <w:pgSz w:w="11907" w:h="16840"/>
          <w:pgMar w:top="1304" w:right="1531" w:bottom="1091" w:left="1304" w:header="720" w:footer="720" w:gutter="0"/>
          <w:cols w:space="720" w:num="1"/>
          <w:docGrid w:linePitch="380" w:charSpace="0"/>
        </w:sectPr>
      </w:pPr>
    </w:p>
    <w:p>
      <w:pPr>
        <w:pStyle w:val="4"/>
        <w:pageBreakBefore/>
        <w:jc w:val="center"/>
        <w:rPr>
          <w:rFonts w:ascii="宋体" w:hAnsi="宋体" w:cs="宋体"/>
          <w:b w:val="0"/>
          <w:bCs w:val="0"/>
        </w:rPr>
      </w:pPr>
      <w:r>
        <w:rPr>
          <w:rFonts w:hint="eastAsia" w:ascii="宋体" w:hAnsi="宋体" w:cs="宋体"/>
          <w:b w:val="0"/>
          <w:bCs w:val="0"/>
        </w:rPr>
        <w:t>附件七、随机备品备件、专用工具清单（如有）</w:t>
      </w:r>
    </w:p>
    <w:p>
      <w:pPr>
        <w:spacing w:line="480" w:lineRule="exact"/>
        <w:rPr>
          <w:rFonts w:ascii="宋体" w:hAnsi="宋体" w:cs="宋体"/>
        </w:rPr>
      </w:pPr>
      <w:r>
        <w:rPr>
          <w:rFonts w:hint="eastAsia" w:ascii="宋体" w:hAnsi="宋体" w:cs="宋体"/>
          <w:b/>
          <w:sz w:val="24"/>
        </w:rPr>
        <w:t>采购单位：</w:t>
      </w:r>
      <w:r>
        <w:rPr>
          <w:rFonts w:hint="eastAsia" w:ascii="宋体" w:hAnsi="宋体" w:cs="宋体"/>
          <w:b/>
          <w:sz w:val="24"/>
          <w:lang w:eastAsia="zh-CN"/>
        </w:rPr>
        <w:t>龙港市职业中等专业学校</w:t>
      </w:r>
      <w:r>
        <w:rPr>
          <w:rFonts w:hint="eastAsia" w:ascii="宋体" w:hAnsi="宋体" w:cs="宋体"/>
        </w:rPr>
        <w:t xml:space="preserve">        项目编号：XXX</w:t>
      </w:r>
    </w:p>
    <w:tbl>
      <w:tblPr>
        <w:tblStyle w:val="46"/>
        <w:tblW w:w="85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68"/>
        <w:gridCol w:w="1110"/>
        <w:gridCol w:w="716"/>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0" w:type="dxa"/>
            <w:vAlign w:val="center"/>
          </w:tcPr>
          <w:p>
            <w:pPr>
              <w:spacing w:line="400" w:lineRule="exact"/>
              <w:jc w:val="center"/>
              <w:rPr>
                <w:rFonts w:ascii="宋体" w:hAnsi="宋体" w:cs="宋体"/>
                <w:b/>
                <w:sz w:val="22"/>
                <w:szCs w:val="22"/>
              </w:rPr>
            </w:pPr>
            <w:r>
              <w:rPr>
                <w:rFonts w:hint="eastAsia" w:ascii="宋体" w:hAnsi="宋体" w:cs="宋体"/>
                <w:b/>
                <w:sz w:val="22"/>
                <w:szCs w:val="22"/>
              </w:rPr>
              <w:t>序号</w:t>
            </w:r>
          </w:p>
        </w:tc>
        <w:tc>
          <w:tcPr>
            <w:tcW w:w="1668" w:type="dxa"/>
            <w:vAlign w:val="center"/>
          </w:tcPr>
          <w:p>
            <w:pPr>
              <w:spacing w:line="400" w:lineRule="exact"/>
              <w:jc w:val="center"/>
              <w:rPr>
                <w:rFonts w:ascii="宋体" w:hAnsi="宋体" w:cs="宋体"/>
                <w:b/>
                <w:sz w:val="22"/>
                <w:szCs w:val="22"/>
              </w:rPr>
            </w:pPr>
            <w:r>
              <w:rPr>
                <w:rFonts w:hint="eastAsia" w:ascii="宋体" w:hAnsi="宋体" w:cs="宋体"/>
                <w:b/>
                <w:sz w:val="22"/>
                <w:szCs w:val="22"/>
              </w:rPr>
              <w:t>名称</w:t>
            </w:r>
          </w:p>
        </w:tc>
        <w:tc>
          <w:tcPr>
            <w:tcW w:w="1110" w:type="dxa"/>
            <w:vAlign w:val="center"/>
          </w:tcPr>
          <w:p>
            <w:pPr>
              <w:spacing w:line="400" w:lineRule="exact"/>
              <w:jc w:val="center"/>
              <w:rPr>
                <w:rFonts w:ascii="宋体" w:hAnsi="宋体" w:cs="宋体"/>
                <w:b/>
                <w:sz w:val="22"/>
                <w:szCs w:val="22"/>
              </w:rPr>
            </w:pPr>
            <w:r>
              <w:rPr>
                <w:rFonts w:hint="eastAsia" w:ascii="宋体" w:hAnsi="宋体" w:cs="宋体"/>
                <w:b/>
                <w:sz w:val="22"/>
                <w:szCs w:val="22"/>
              </w:rPr>
              <w:t>规格型号</w:t>
            </w:r>
          </w:p>
        </w:tc>
        <w:tc>
          <w:tcPr>
            <w:tcW w:w="716" w:type="dxa"/>
            <w:vAlign w:val="center"/>
          </w:tcPr>
          <w:p>
            <w:pPr>
              <w:spacing w:line="400" w:lineRule="exact"/>
              <w:jc w:val="center"/>
              <w:rPr>
                <w:rFonts w:ascii="宋体" w:hAnsi="宋体" w:cs="宋体"/>
                <w:b/>
                <w:sz w:val="22"/>
                <w:szCs w:val="22"/>
              </w:rPr>
            </w:pPr>
            <w:r>
              <w:rPr>
                <w:rFonts w:hint="eastAsia" w:ascii="宋体" w:hAnsi="宋体" w:cs="宋体"/>
                <w:b/>
                <w:sz w:val="22"/>
                <w:szCs w:val="22"/>
              </w:rPr>
              <w:t>数量</w:t>
            </w:r>
          </w:p>
        </w:tc>
        <w:tc>
          <w:tcPr>
            <w:tcW w:w="4364" w:type="dxa"/>
            <w:vAlign w:val="center"/>
          </w:tcPr>
          <w:p>
            <w:pPr>
              <w:spacing w:line="400" w:lineRule="exact"/>
              <w:jc w:val="center"/>
              <w:rPr>
                <w:rFonts w:ascii="宋体" w:hAnsi="宋体" w:cs="宋体"/>
                <w:b/>
                <w:sz w:val="22"/>
                <w:szCs w:val="22"/>
              </w:rPr>
            </w:pPr>
            <w:r>
              <w:rPr>
                <w:rFonts w:hint="eastAsia" w:ascii="宋体" w:hAnsi="宋体" w:cs="宋体"/>
                <w:b/>
                <w:sz w:val="22"/>
                <w:szCs w:val="22"/>
              </w:rPr>
              <w:t>原产地/制造商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1</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2</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3</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4</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5</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6</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7</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8</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9</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10</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11</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12</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13</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14</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Align w:val="center"/>
          </w:tcPr>
          <w:p>
            <w:pPr>
              <w:spacing w:line="400" w:lineRule="exact"/>
              <w:jc w:val="center"/>
              <w:rPr>
                <w:rFonts w:ascii="宋体" w:hAnsi="宋体" w:cs="宋体"/>
                <w:sz w:val="22"/>
                <w:szCs w:val="22"/>
              </w:rPr>
            </w:pPr>
            <w:r>
              <w:rPr>
                <w:rFonts w:hint="eastAsia" w:ascii="宋体" w:hAnsi="宋体" w:cs="宋体"/>
                <w:sz w:val="22"/>
                <w:szCs w:val="22"/>
              </w:rPr>
              <w:t>15</w:t>
            </w:r>
          </w:p>
        </w:tc>
        <w:tc>
          <w:tcPr>
            <w:tcW w:w="1668" w:type="dxa"/>
          </w:tcPr>
          <w:p>
            <w:pPr>
              <w:spacing w:line="400" w:lineRule="exact"/>
              <w:rPr>
                <w:rFonts w:ascii="宋体" w:hAnsi="宋体" w:cs="宋体"/>
                <w:sz w:val="22"/>
                <w:szCs w:val="22"/>
              </w:rPr>
            </w:pPr>
          </w:p>
        </w:tc>
        <w:tc>
          <w:tcPr>
            <w:tcW w:w="1110" w:type="dxa"/>
          </w:tcPr>
          <w:p>
            <w:pPr>
              <w:spacing w:line="400" w:lineRule="exact"/>
              <w:rPr>
                <w:rFonts w:ascii="宋体" w:hAnsi="宋体" w:cs="宋体"/>
                <w:sz w:val="22"/>
                <w:szCs w:val="22"/>
              </w:rPr>
            </w:pPr>
          </w:p>
        </w:tc>
        <w:tc>
          <w:tcPr>
            <w:tcW w:w="716" w:type="dxa"/>
          </w:tcPr>
          <w:p>
            <w:pPr>
              <w:spacing w:line="400" w:lineRule="exact"/>
              <w:rPr>
                <w:rFonts w:ascii="宋体" w:hAnsi="宋体" w:cs="宋体"/>
                <w:sz w:val="22"/>
                <w:szCs w:val="22"/>
              </w:rPr>
            </w:pPr>
          </w:p>
        </w:tc>
        <w:tc>
          <w:tcPr>
            <w:tcW w:w="4364" w:type="dxa"/>
          </w:tcPr>
          <w:p>
            <w:pPr>
              <w:spacing w:line="400" w:lineRule="exact"/>
              <w:rPr>
                <w:rFonts w:ascii="宋体" w:hAnsi="宋体" w:cs="宋体"/>
                <w:sz w:val="22"/>
                <w:szCs w:val="22"/>
              </w:rPr>
            </w:pPr>
          </w:p>
        </w:tc>
      </w:tr>
    </w:tbl>
    <w:p>
      <w:pPr>
        <w:spacing w:line="400" w:lineRule="exact"/>
        <w:ind w:left="386" w:leftChars="-152" w:hanging="705" w:hangingChars="319"/>
        <w:rPr>
          <w:rFonts w:ascii="宋体" w:hAnsi="宋体" w:cs="宋体"/>
          <w:b/>
          <w:bCs/>
          <w:sz w:val="22"/>
          <w:szCs w:val="22"/>
        </w:rPr>
      </w:pPr>
      <w:r>
        <w:rPr>
          <w:rFonts w:hint="eastAsia" w:ascii="宋体" w:hAnsi="宋体" w:cs="宋体"/>
          <w:b/>
          <w:bCs/>
          <w:sz w:val="22"/>
          <w:szCs w:val="22"/>
        </w:rPr>
        <w:t>说明：1. 此表仅提供了表格形式，投标人可按此表格复制。</w:t>
      </w:r>
    </w:p>
    <w:p>
      <w:pPr>
        <w:spacing w:line="400" w:lineRule="exact"/>
        <w:rPr>
          <w:rFonts w:ascii="宋体" w:hAnsi="宋体" w:cs="宋体"/>
          <w:sz w:val="22"/>
          <w:szCs w:val="22"/>
        </w:rPr>
      </w:pPr>
      <w:r>
        <w:rPr>
          <w:rFonts w:hint="eastAsia" w:ascii="宋体" w:hAnsi="宋体" w:cs="宋体"/>
          <w:b/>
          <w:bCs/>
          <w:sz w:val="22"/>
          <w:szCs w:val="22"/>
        </w:rPr>
        <w:t xml:space="preserve">   2. 如果无此内容，投标时需说明。</w:t>
      </w:r>
    </w:p>
    <w:p>
      <w:pPr>
        <w:spacing w:line="400" w:lineRule="exact"/>
        <w:ind w:firstLine="5280" w:firstLineChars="2400"/>
        <w:rPr>
          <w:rFonts w:ascii="宋体" w:hAnsi="宋体" w:cs="宋体"/>
          <w:sz w:val="22"/>
          <w:szCs w:val="22"/>
        </w:rPr>
      </w:pPr>
    </w:p>
    <w:p>
      <w:pPr>
        <w:spacing w:line="400" w:lineRule="exact"/>
        <w:rPr>
          <w:rFonts w:ascii="宋体" w:hAnsi="宋体" w:cs="宋体"/>
          <w:szCs w:val="21"/>
        </w:rPr>
      </w:pPr>
      <w:r>
        <w:rPr>
          <w:rFonts w:hint="eastAsia" w:ascii="宋体" w:hAnsi="宋体" w:cs="宋体"/>
          <w:szCs w:val="21"/>
        </w:rPr>
        <w:t>投标人全称（盖章）：</w:t>
      </w:r>
    </w:p>
    <w:p>
      <w:pPr>
        <w:pStyle w:val="7"/>
        <w:spacing w:line="400" w:lineRule="exact"/>
        <w:ind w:firstLine="0"/>
        <w:rPr>
          <w:rFonts w:ascii="宋体" w:hAnsi="宋体" w:cs="宋体"/>
          <w:sz w:val="22"/>
          <w:szCs w:val="22"/>
        </w:rPr>
      </w:pPr>
      <w:r>
        <w:rPr>
          <w:rFonts w:hint="eastAsia" w:ascii="宋体" w:hAnsi="宋体" w:cs="宋体"/>
          <w:sz w:val="22"/>
          <w:szCs w:val="22"/>
        </w:rPr>
        <w:t>日    期：</w:t>
      </w:r>
    </w:p>
    <w:p>
      <w:pPr>
        <w:pStyle w:val="7"/>
        <w:spacing w:line="400" w:lineRule="exact"/>
        <w:ind w:firstLine="0"/>
        <w:rPr>
          <w:rFonts w:hint="eastAsia" w:ascii="宋体" w:hAnsi="宋体" w:cs="宋体"/>
        </w:rPr>
      </w:pPr>
    </w:p>
    <w:p>
      <w:pPr>
        <w:pStyle w:val="7"/>
        <w:spacing w:line="400" w:lineRule="exact"/>
        <w:ind w:firstLine="0"/>
        <w:rPr>
          <w:rFonts w:hint="eastAsia" w:ascii="宋体" w:hAnsi="宋体" w:eastAsia="宋体" w:cs="宋体"/>
          <w:sz w:val="32"/>
          <w:szCs w:val="32"/>
          <w:lang w:val="en-US" w:eastAsia="zh-CN"/>
        </w:rPr>
      </w:pPr>
      <w:r>
        <w:rPr>
          <w:rFonts w:hint="eastAsia" w:ascii="宋体" w:hAnsi="宋体" w:cs="宋体"/>
          <w:sz w:val="32"/>
          <w:szCs w:val="32"/>
        </w:rPr>
        <w:t>附件八    评分办法中需要</w:t>
      </w:r>
      <w:r>
        <w:rPr>
          <w:rFonts w:hint="eastAsia" w:ascii="宋体" w:hAnsi="宋体" w:cs="宋体"/>
          <w:sz w:val="32"/>
          <w:szCs w:val="32"/>
          <w:lang w:val="en-US" w:eastAsia="zh-CN"/>
        </w:rPr>
        <w:t>提供</w:t>
      </w:r>
      <w:r>
        <w:rPr>
          <w:rFonts w:hint="eastAsia" w:ascii="宋体" w:hAnsi="宋体" w:cs="宋体"/>
          <w:sz w:val="32"/>
          <w:szCs w:val="32"/>
        </w:rPr>
        <w:t>的打分项目</w:t>
      </w:r>
      <w:r>
        <w:rPr>
          <w:rFonts w:hint="eastAsia" w:ascii="宋体" w:hAnsi="宋体" w:cs="宋体"/>
          <w:sz w:val="32"/>
          <w:szCs w:val="32"/>
          <w:lang w:val="en-US" w:eastAsia="zh-CN"/>
        </w:rPr>
        <w:t>内容</w:t>
      </w:r>
    </w:p>
    <w:p>
      <w:pPr>
        <w:pStyle w:val="7"/>
        <w:spacing w:line="400" w:lineRule="exact"/>
        <w:ind w:firstLine="0"/>
        <w:rPr>
          <w:rFonts w:hint="eastAsia" w:ascii="宋体" w:hAnsi="宋体" w:cs="宋体"/>
          <w:sz w:val="32"/>
          <w:szCs w:val="32"/>
        </w:rPr>
      </w:pPr>
    </w:p>
    <w:p>
      <w:pPr>
        <w:pStyle w:val="7"/>
        <w:spacing w:line="400" w:lineRule="exact"/>
        <w:ind w:firstLine="0"/>
        <w:rPr>
          <w:rFonts w:hint="eastAsia" w:ascii="宋体" w:hAnsi="宋体" w:cs="宋体"/>
          <w:sz w:val="32"/>
          <w:szCs w:val="32"/>
        </w:rPr>
      </w:pPr>
    </w:p>
    <w:p>
      <w:pPr>
        <w:pStyle w:val="7"/>
        <w:spacing w:line="400" w:lineRule="exact"/>
        <w:ind w:firstLine="0"/>
        <w:rPr>
          <w:rFonts w:hint="eastAsia" w:ascii="宋体" w:hAnsi="宋体" w:cs="宋体"/>
          <w:sz w:val="32"/>
          <w:szCs w:val="32"/>
        </w:rPr>
      </w:pPr>
    </w:p>
    <w:p>
      <w:pPr>
        <w:pStyle w:val="7"/>
        <w:spacing w:line="400" w:lineRule="exact"/>
        <w:ind w:firstLine="0"/>
        <w:rPr>
          <w:rFonts w:hint="eastAsia" w:ascii="宋体" w:hAnsi="宋体" w:cs="宋体"/>
          <w:b w:val="0"/>
          <w:bCs w:val="0"/>
          <w:sz w:val="28"/>
          <w:szCs w:val="28"/>
        </w:rPr>
      </w:pPr>
      <w:r>
        <w:rPr>
          <w:rFonts w:hint="eastAsia" w:ascii="宋体" w:hAnsi="宋体" w:cs="宋体"/>
          <w:b w:val="0"/>
          <w:bCs w:val="0"/>
          <w:sz w:val="28"/>
          <w:szCs w:val="28"/>
        </w:rPr>
        <w:t>附件九、资格文件</w:t>
      </w:r>
    </w:p>
    <w:p>
      <w:pPr>
        <w:tabs>
          <w:tab w:val="left" w:pos="927"/>
        </w:tabs>
        <w:spacing w:line="380" w:lineRule="exact"/>
        <w:ind w:firstLine="315" w:firstLineChars="150"/>
        <w:rPr>
          <w:rFonts w:hint="eastAsia" w:ascii="宋体" w:hAnsi="宋体" w:cs="宋体"/>
          <w:b w:val="0"/>
          <w:bCs w:val="0"/>
          <w:sz w:val="28"/>
          <w:szCs w:val="28"/>
        </w:rPr>
      </w:pPr>
      <w:r>
        <w:rPr>
          <w:rFonts w:hint="eastAsia" w:ascii="宋体" w:hAnsi="宋体" w:cs="宋体"/>
          <w:szCs w:val="21"/>
        </w:rPr>
        <w:t xml:space="preserve">                      </w:t>
      </w:r>
    </w:p>
    <w:p>
      <w:pPr>
        <w:autoSpaceDE w:val="0"/>
        <w:autoSpaceDN w:val="0"/>
        <w:adjustRightInd w:val="0"/>
        <w:jc w:val="center"/>
        <w:rPr>
          <w:rFonts w:ascii="MicrosoftYaHei-Bold" w:eastAsia="MicrosoftYaHei-Bold" w:cs="MicrosoftYaHei-Bold"/>
          <w:b/>
          <w:bCs/>
          <w:kern w:val="0"/>
          <w:sz w:val="40"/>
          <w:szCs w:val="40"/>
        </w:rPr>
      </w:pPr>
      <w:r>
        <w:rPr>
          <w:rFonts w:hint="eastAsia"/>
          <w:b/>
          <w:bCs/>
          <w:sz w:val="40"/>
          <w:szCs w:val="40"/>
        </w:rPr>
        <w:t>资格</w:t>
      </w:r>
      <w:r>
        <w:rPr>
          <w:rFonts w:hint="eastAsia" w:ascii="宋体" w:hAnsi="宋体" w:cs="宋体"/>
          <w:b/>
          <w:bCs/>
          <w:kern w:val="0"/>
          <w:sz w:val="40"/>
          <w:szCs w:val="40"/>
        </w:rPr>
        <w:t>承诺函</w:t>
      </w:r>
    </w:p>
    <w:p>
      <w:pPr>
        <w:autoSpaceDE w:val="0"/>
        <w:autoSpaceDN w:val="0"/>
        <w:adjustRightInd w:val="0"/>
        <w:jc w:val="left"/>
        <w:rPr>
          <w:rFonts w:hint="eastAsia" w:ascii="宋体" w:hAnsi="宋体" w:cs="宋体"/>
          <w:kern w:val="0"/>
          <w:sz w:val="24"/>
        </w:rPr>
      </w:pPr>
    </w:p>
    <w:p>
      <w:pPr>
        <w:autoSpaceDE w:val="0"/>
        <w:autoSpaceDN w:val="0"/>
        <w:adjustRightInd w:val="0"/>
        <w:ind w:firstLine="560" w:firstLineChars="200"/>
        <w:jc w:val="left"/>
        <w:rPr>
          <w:rFonts w:hint="eastAsia" w:ascii="宋体" w:hAnsi="宋体" w:cs="宋体"/>
          <w:kern w:val="0"/>
          <w:sz w:val="28"/>
          <w:szCs w:val="28"/>
        </w:rPr>
      </w:pPr>
      <w:r>
        <w:rPr>
          <w:rFonts w:hint="eastAsia" w:ascii="宋体" w:hAnsi="宋体" w:cs="宋体"/>
          <w:kern w:val="0"/>
          <w:sz w:val="28"/>
          <w:szCs w:val="28"/>
        </w:rPr>
        <w:t>我方参加</w:t>
      </w:r>
      <w:r>
        <w:rPr>
          <w:rFonts w:hint="eastAsia" w:ascii="宋体" w:hAnsi="宋体" w:cs="宋体"/>
          <w:kern w:val="0"/>
          <w:sz w:val="28"/>
          <w:szCs w:val="28"/>
          <w:lang w:eastAsia="zh-CN"/>
        </w:rPr>
        <w:t>龙港市职业中等专业学校学生宿舍床设备项目</w:t>
      </w:r>
      <w:r>
        <w:rPr>
          <w:rFonts w:hint="eastAsia" w:ascii="宋体" w:hAnsi="宋体" w:cs="宋体"/>
          <w:kern w:val="0"/>
          <w:sz w:val="28"/>
          <w:szCs w:val="28"/>
        </w:rPr>
        <w:t>（</w:t>
      </w:r>
      <w:r>
        <w:rPr>
          <w:rFonts w:hint="eastAsia" w:ascii="宋体" w:hAnsi="宋体" w:cs="宋体"/>
          <w:kern w:val="0"/>
          <w:sz w:val="28"/>
          <w:szCs w:val="28"/>
          <w:lang w:val="en-US" w:eastAsia="zh-CN"/>
        </w:rPr>
        <w:t>项目</w:t>
      </w:r>
      <w:r>
        <w:rPr>
          <w:rFonts w:hint="eastAsia" w:ascii="宋体" w:hAnsi="宋体" w:cs="宋体"/>
          <w:kern w:val="0"/>
          <w:sz w:val="28"/>
          <w:szCs w:val="28"/>
        </w:rPr>
        <w:t>编号：</w:t>
      </w:r>
      <w:r>
        <w:rPr>
          <w:rFonts w:hint="eastAsia" w:ascii="宋体" w:hAnsi="宋体" w:cs="宋体"/>
          <w:kern w:val="0"/>
          <w:sz w:val="28"/>
          <w:szCs w:val="28"/>
          <w:lang w:val="en-US" w:eastAsia="zh-CN"/>
        </w:rPr>
        <w:t xml:space="preserve">      </w:t>
      </w:r>
      <w:r>
        <w:rPr>
          <w:rFonts w:hint="eastAsia" w:ascii="宋体" w:hAnsi="宋体" w:cs="宋体"/>
          <w:kern w:val="0"/>
          <w:sz w:val="28"/>
          <w:szCs w:val="28"/>
        </w:rPr>
        <w:t>）的政府采购活动，依据采购文</w:t>
      </w:r>
      <w:r>
        <w:rPr>
          <w:rFonts w:hint="eastAsia" w:ascii="宋体" w:hAnsi="宋体" w:eastAsia="宋体" w:cs="宋体"/>
          <w:kern w:val="0"/>
          <w:sz w:val="28"/>
          <w:szCs w:val="28"/>
        </w:rPr>
        <w:t>件</w:t>
      </w:r>
      <w:r>
        <w:rPr>
          <w:rFonts w:hint="eastAsia" w:ascii="宋体" w:hAnsi="宋体" w:cs="宋体"/>
          <w:kern w:val="0"/>
          <w:sz w:val="28"/>
          <w:szCs w:val="28"/>
        </w:rPr>
        <w:t>相关规定郑重承诺：</w:t>
      </w:r>
    </w:p>
    <w:p>
      <w:pPr>
        <w:autoSpaceDE w:val="0"/>
        <w:autoSpaceDN w:val="0"/>
        <w:adjustRightInd w:val="0"/>
        <w:spacing w:line="360" w:lineRule="auto"/>
        <w:ind w:firstLine="560" w:firstLineChars="200"/>
        <w:jc w:val="left"/>
        <w:rPr>
          <w:rFonts w:hint="eastAsia" w:ascii="宋体" w:hAnsi="宋体" w:cs="宋体"/>
          <w:kern w:val="0"/>
          <w:sz w:val="28"/>
          <w:szCs w:val="28"/>
        </w:rPr>
      </w:pPr>
      <w:r>
        <w:rPr>
          <w:rFonts w:hint="eastAsia" w:ascii="宋体" w:hAnsi="宋体" w:cs="宋体"/>
          <w:kern w:val="0"/>
          <w:sz w:val="28"/>
          <w:szCs w:val="28"/>
        </w:rPr>
        <w:t>我方</w:t>
      </w:r>
      <w:r>
        <w:rPr>
          <w:rFonts w:ascii="宋体" w:hAnsi="宋体" w:cs="宋体"/>
          <w:kern w:val="0"/>
          <w:sz w:val="28"/>
          <w:szCs w:val="28"/>
        </w:rPr>
        <w:t>满足《中华人民共和国政府采购法》第二十二条规定</w:t>
      </w:r>
      <w:r>
        <w:rPr>
          <w:rFonts w:hint="eastAsia" w:ascii="宋体" w:hAnsi="宋体" w:cs="宋体"/>
          <w:kern w:val="0"/>
          <w:sz w:val="28"/>
          <w:szCs w:val="28"/>
        </w:rPr>
        <w:t>，1、具有独立承担民事责任的能力。2、具有良好的商业信誉和健全的财务会计制度。3、具有履行合同所必需的设备和专业技术能力。4、有依法缴纳税收和社会保障资金的良好记录。5、参加本次政府采购活动前三年内在经营活动中没有重大违法记录。6、法律、行政法规规定的其他条件。同时未被“信用中国”（www.creditchina.gov.cn)、中国政府采购网（www.ccgp.gov.cn）列入失信被执行人、重大税收违法案件当事人名单、政府采购严重违法失信行为记录名单</w:t>
      </w:r>
    </w:p>
    <w:p>
      <w:pPr>
        <w:autoSpaceDE w:val="0"/>
        <w:autoSpaceDN w:val="0"/>
        <w:adjustRightInd w:val="0"/>
        <w:ind w:firstLine="560" w:firstLineChars="200"/>
        <w:jc w:val="left"/>
        <w:rPr>
          <w:rFonts w:hint="eastAsia" w:ascii="宋体" w:hAnsi="宋体" w:cs="宋体"/>
          <w:kern w:val="0"/>
          <w:sz w:val="28"/>
          <w:szCs w:val="28"/>
        </w:rPr>
      </w:pPr>
    </w:p>
    <w:p>
      <w:pPr>
        <w:autoSpaceDE w:val="0"/>
        <w:autoSpaceDN w:val="0"/>
        <w:adjustRightInd w:val="0"/>
        <w:ind w:firstLine="560" w:firstLineChars="200"/>
        <w:jc w:val="left"/>
        <w:rPr>
          <w:rFonts w:ascii="宋体" w:hAnsi="宋体" w:cs="宋体"/>
          <w:kern w:val="0"/>
          <w:sz w:val="28"/>
          <w:szCs w:val="28"/>
        </w:rPr>
      </w:pPr>
      <w:r>
        <w:rPr>
          <w:rFonts w:hint="eastAsia" w:ascii="宋体" w:hAnsi="宋体" w:cs="宋体"/>
          <w:kern w:val="0"/>
          <w:sz w:val="28"/>
          <w:szCs w:val="28"/>
        </w:rPr>
        <w:t>我方对上述承诺内容的真实性负责。如有虚假，将依法承担相应责任和</w:t>
      </w:r>
      <w:r>
        <w:rPr>
          <w:rFonts w:ascii="宋体" w:hAnsi="宋体" w:cs="宋体"/>
          <w:kern w:val="0"/>
          <w:sz w:val="28"/>
          <w:szCs w:val="28"/>
        </w:rPr>
        <w:t>由此而产生的一切后果。</w:t>
      </w:r>
    </w:p>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特此承诺</w:t>
      </w:r>
    </w:p>
    <w:p>
      <w:pPr>
        <w:autoSpaceDE w:val="0"/>
        <w:autoSpaceDN w:val="0"/>
        <w:adjustRightInd w:val="0"/>
        <w:jc w:val="left"/>
        <w:rPr>
          <w:rFonts w:ascii="宋体" w:hAnsi="宋体" w:cs="宋体"/>
          <w:kern w:val="0"/>
          <w:sz w:val="28"/>
          <w:szCs w:val="28"/>
        </w:rPr>
      </w:pPr>
      <w:r>
        <w:rPr>
          <w:rFonts w:hint="eastAsia" w:ascii="宋体" w:hAnsi="宋体" w:cs="宋体"/>
          <w:kern w:val="0"/>
          <w:sz w:val="28"/>
          <w:szCs w:val="28"/>
        </w:rPr>
        <w:t>投标人全称（公章）：</w:t>
      </w:r>
      <w:r>
        <w:rPr>
          <w:rFonts w:ascii="宋体" w:hAnsi="宋体" w:cs="宋体"/>
          <w:kern w:val="0"/>
          <w:sz w:val="28"/>
          <w:szCs w:val="28"/>
        </w:rPr>
        <w:t>__________________________________</w:t>
      </w:r>
    </w:p>
    <w:p>
      <w:pPr>
        <w:autoSpaceDE w:val="0"/>
        <w:autoSpaceDN w:val="0"/>
        <w:adjustRightInd w:val="0"/>
        <w:jc w:val="left"/>
        <w:rPr>
          <w:rFonts w:hint="eastAsia" w:ascii="新宋体" w:hAnsi="新宋体" w:eastAsia="新宋体"/>
          <w:sz w:val="22"/>
          <w:szCs w:val="22"/>
          <w:u w:val="single"/>
        </w:rPr>
      </w:pPr>
      <w:r>
        <w:rPr>
          <w:rFonts w:hint="eastAsia" w:ascii="宋体" w:hAnsi="宋体" w:cs="宋体"/>
          <w:kern w:val="0"/>
          <w:sz w:val="28"/>
          <w:szCs w:val="28"/>
        </w:rPr>
        <w:t>日期：</w:t>
      </w:r>
      <w:r>
        <w:rPr>
          <w:rFonts w:ascii="宋体" w:hAnsi="宋体" w:cs="宋体"/>
          <w:kern w:val="0"/>
          <w:sz w:val="28"/>
          <w:szCs w:val="28"/>
        </w:rPr>
        <w:t>________</w:t>
      </w:r>
      <w:r>
        <w:rPr>
          <w:rFonts w:hint="eastAsia" w:ascii="宋体" w:hAnsi="宋体" w:cs="宋体"/>
          <w:kern w:val="0"/>
          <w:sz w:val="28"/>
          <w:szCs w:val="28"/>
        </w:rPr>
        <w:t>年</w:t>
      </w:r>
      <w:r>
        <w:rPr>
          <w:rFonts w:ascii="宋体" w:hAnsi="宋体" w:cs="宋体"/>
          <w:kern w:val="0"/>
          <w:sz w:val="28"/>
          <w:szCs w:val="28"/>
        </w:rPr>
        <w:t>____</w:t>
      </w:r>
      <w:r>
        <w:rPr>
          <w:rFonts w:hint="eastAsia" w:ascii="宋体" w:hAnsi="宋体" w:cs="宋体"/>
          <w:kern w:val="0"/>
          <w:sz w:val="28"/>
          <w:szCs w:val="28"/>
        </w:rPr>
        <w:t>月</w:t>
      </w:r>
      <w:r>
        <w:rPr>
          <w:rFonts w:ascii="宋体" w:hAnsi="宋体" w:cs="宋体"/>
          <w:kern w:val="0"/>
          <w:sz w:val="28"/>
          <w:szCs w:val="28"/>
        </w:rPr>
        <w:t>____</w:t>
      </w:r>
      <w:r>
        <w:rPr>
          <w:rFonts w:hint="eastAsia" w:ascii="宋体" w:hAnsi="宋体" w:cs="宋体"/>
          <w:kern w:val="0"/>
          <w:sz w:val="28"/>
          <w:szCs w:val="28"/>
        </w:rPr>
        <w:t>日</w:t>
      </w:r>
      <w:r>
        <w:rPr>
          <w:rFonts w:hint="eastAsia" w:ascii="新宋体" w:hAnsi="新宋体" w:eastAsia="新宋体"/>
          <w:sz w:val="22"/>
          <w:szCs w:val="22"/>
          <w:u w:val="single"/>
        </w:rPr>
        <w:t xml:space="preserve">           </w:t>
      </w:r>
    </w:p>
    <w:p>
      <w:pPr>
        <w:pStyle w:val="2"/>
      </w:pPr>
    </w:p>
    <w:p/>
    <w:p>
      <w:pPr>
        <w:pStyle w:val="2"/>
      </w:pPr>
    </w:p>
    <w:p>
      <w:pPr>
        <w:jc w:val="center"/>
        <w:rPr>
          <w:rFonts w:ascii="宋体" w:hAnsi="宋体" w:cs="宋体"/>
          <w:b/>
          <w:sz w:val="30"/>
          <w:szCs w:val="30"/>
        </w:rPr>
      </w:pPr>
      <w:r>
        <w:rPr>
          <w:rFonts w:hint="eastAsia" w:ascii="宋体" w:hAnsi="宋体" w:cs="宋体"/>
          <w:b/>
          <w:sz w:val="30"/>
          <w:szCs w:val="30"/>
        </w:rPr>
        <w:t>法定代表人授权委托书</w:t>
      </w:r>
    </w:p>
    <w:p>
      <w:pPr>
        <w:rPr>
          <w:rFonts w:ascii="宋体" w:hAnsi="宋体" w:cs="宋体"/>
          <w:sz w:val="24"/>
          <w:u w:val="single"/>
        </w:rPr>
      </w:pPr>
    </w:p>
    <w:p>
      <w:pPr>
        <w:spacing w:line="46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杭州华旗招标代理有限公司</w:t>
      </w:r>
    </w:p>
    <w:p>
      <w:pPr>
        <w:spacing w:line="360" w:lineRule="auto"/>
        <w:ind w:firstLine="480" w:firstLineChars="200"/>
        <w:rPr>
          <w:rFonts w:ascii="宋体" w:hAnsi="宋体" w:cs="宋体"/>
          <w:sz w:val="24"/>
          <w:szCs w:val="28"/>
        </w:rPr>
      </w:pPr>
      <w:r>
        <w:rPr>
          <w:rFonts w:hint="eastAsia" w:ascii="宋体" w:hAnsi="宋体" w:cs="宋体"/>
          <w:sz w:val="24"/>
          <w:szCs w:val="28"/>
        </w:rPr>
        <w:t>本授权书声明：注册于中华人民共和国的</w:t>
      </w:r>
      <w:r>
        <w:rPr>
          <w:rFonts w:hint="eastAsia" w:ascii="宋体" w:hAnsi="宋体" w:cs="宋体"/>
          <w:sz w:val="24"/>
          <w:szCs w:val="28"/>
          <w:u w:val="single"/>
        </w:rPr>
        <w:t>　　　　　    　</w:t>
      </w:r>
      <w:r>
        <w:rPr>
          <w:rFonts w:hint="eastAsia" w:ascii="宋体" w:hAnsi="宋体" w:cs="宋体"/>
          <w:sz w:val="24"/>
          <w:szCs w:val="28"/>
        </w:rPr>
        <w:t>（投标人名称）法定代表人</w:t>
      </w:r>
      <w:r>
        <w:rPr>
          <w:rFonts w:hint="eastAsia" w:ascii="宋体" w:hAnsi="宋体" w:cs="宋体"/>
          <w:sz w:val="24"/>
          <w:szCs w:val="28"/>
          <w:u w:val="single"/>
        </w:rPr>
        <w:t>　　　　　　（姓名、职务）</w:t>
      </w:r>
      <w:r>
        <w:rPr>
          <w:rFonts w:hint="eastAsia" w:ascii="宋体" w:hAnsi="宋体" w:cs="宋体"/>
          <w:sz w:val="24"/>
          <w:szCs w:val="28"/>
        </w:rPr>
        <w:t>代表本公司授权</w:t>
      </w:r>
      <w:r>
        <w:rPr>
          <w:rFonts w:hint="eastAsia" w:ascii="宋体" w:hAnsi="宋体" w:cs="宋体"/>
          <w:sz w:val="24"/>
          <w:szCs w:val="28"/>
          <w:u w:val="single"/>
        </w:rPr>
        <w:t>　　      　　　　</w:t>
      </w:r>
      <w:r>
        <w:rPr>
          <w:rFonts w:hint="eastAsia" w:ascii="宋体" w:hAnsi="宋体" w:cs="宋体"/>
          <w:sz w:val="24"/>
          <w:szCs w:val="28"/>
        </w:rPr>
        <w:t>（被授权人的姓名、职务）为本公司的合法代表人，就</w:t>
      </w:r>
      <w:r>
        <w:rPr>
          <w:rFonts w:hint="eastAsia" w:ascii="宋体" w:hAnsi="宋体" w:cs="宋体"/>
          <w:sz w:val="24"/>
          <w:szCs w:val="28"/>
          <w:lang w:eastAsia="zh-CN"/>
        </w:rPr>
        <w:t>龙港市职业中等专业学校学生宿舍床设备</w:t>
      </w:r>
      <w:r>
        <w:rPr>
          <w:rFonts w:hint="eastAsia" w:ascii="宋体" w:hAnsi="宋体" w:cs="宋体"/>
          <w:sz w:val="24"/>
          <w:szCs w:val="28"/>
        </w:rPr>
        <w:t>项目（项目编号：XXX），以我方的名义处理一切与之有关的事宜。</w:t>
      </w:r>
    </w:p>
    <w:p>
      <w:pPr>
        <w:spacing w:line="480" w:lineRule="exact"/>
        <w:ind w:firstLine="480" w:firstLineChars="200"/>
        <w:rPr>
          <w:rFonts w:ascii="宋体" w:hAnsi="宋体" w:cs="宋体"/>
          <w:sz w:val="24"/>
        </w:rPr>
      </w:pPr>
      <w:r>
        <w:rPr>
          <w:rFonts w:hint="eastAsia" w:ascii="宋体" w:hAnsi="宋体" w:cs="宋体"/>
          <w:sz w:val="24"/>
          <w:szCs w:val="28"/>
        </w:rPr>
        <w:t>本授权书于</w:t>
      </w:r>
      <w:r>
        <w:rPr>
          <w:rFonts w:hint="eastAsia" w:ascii="宋体" w:hAnsi="宋体" w:cs="宋体"/>
          <w:sz w:val="24"/>
          <w:szCs w:val="28"/>
          <w:u w:val="single"/>
        </w:rPr>
        <w:t>　　　　</w:t>
      </w:r>
      <w:r>
        <w:rPr>
          <w:rFonts w:hint="eastAsia" w:ascii="宋体" w:hAnsi="宋体" w:cs="宋体"/>
          <w:sz w:val="24"/>
          <w:szCs w:val="28"/>
        </w:rPr>
        <w:t>年</w:t>
      </w:r>
      <w:r>
        <w:rPr>
          <w:rFonts w:hint="eastAsia" w:ascii="宋体" w:hAnsi="宋体" w:cs="宋体"/>
          <w:sz w:val="24"/>
          <w:szCs w:val="28"/>
          <w:u w:val="single"/>
        </w:rPr>
        <w:t>　　</w:t>
      </w:r>
      <w:r>
        <w:rPr>
          <w:rFonts w:hint="eastAsia" w:ascii="宋体" w:hAnsi="宋体" w:cs="宋体"/>
          <w:sz w:val="24"/>
          <w:szCs w:val="28"/>
        </w:rPr>
        <w:t>月</w:t>
      </w:r>
      <w:r>
        <w:rPr>
          <w:rFonts w:hint="eastAsia" w:ascii="宋体" w:hAnsi="宋体" w:cs="宋体"/>
          <w:sz w:val="24"/>
          <w:szCs w:val="28"/>
          <w:u w:val="single"/>
        </w:rPr>
        <w:t>　　</w:t>
      </w:r>
      <w:r>
        <w:rPr>
          <w:rFonts w:hint="eastAsia" w:ascii="宋体" w:hAnsi="宋体" w:cs="宋体"/>
          <w:sz w:val="24"/>
          <w:szCs w:val="28"/>
        </w:rPr>
        <w:t>日签字生效，有效期至</w:t>
      </w:r>
      <w:r>
        <w:rPr>
          <w:rFonts w:hint="eastAsia" w:ascii="宋体" w:hAnsi="宋体" w:cs="宋体"/>
          <w:sz w:val="24"/>
          <w:szCs w:val="28"/>
          <w:u w:val="single"/>
        </w:rPr>
        <w:t>　　　　</w:t>
      </w:r>
      <w:r>
        <w:rPr>
          <w:rFonts w:hint="eastAsia" w:ascii="宋体" w:hAnsi="宋体" w:cs="宋体"/>
          <w:sz w:val="24"/>
          <w:szCs w:val="28"/>
        </w:rPr>
        <w:t>年</w:t>
      </w:r>
      <w:r>
        <w:rPr>
          <w:rFonts w:hint="eastAsia" w:ascii="宋体" w:hAnsi="宋体" w:cs="宋体"/>
          <w:sz w:val="24"/>
          <w:szCs w:val="28"/>
          <w:u w:val="single"/>
        </w:rPr>
        <w:t>　　</w:t>
      </w:r>
      <w:r>
        <w:rPr>
          <w:rFonts w:hint="eastAsia" w:ascii="宋体" w:hAnsi="宋体" w:cs="宋体"/>
          <w:sz w:val="24"/>
          <w:szCs w:val="28"/>
        </w:rPr>
        <w:t>月</w:t>
      </w:r>
      <w:r>
        <w:rPr>
          <w:rFonts w:hint="eastAsia" w:ascii="宋体" w:hAnsi="宋体" w:cs="宋体"/>
          <w:sz w:val="24"/>
          <w:szCs w:val="28"/>
          <w:u w:val="single"/>
        </w:rPr>
        <w:t>　　</w:t>
      </w:r>
      <w:r>
        <w:rPr>
          <w:rFonts w:hint="eastAsia" w:ascii="宋体" w:hAnsi="宋体" w:cs="宋体"/>
          <w:sz w:val="24"/>
          <w:szCs w:val="28"/>
        </w:rPr>
        <w:t>日，特此声明。</w:t>
      </w:r>
    </w:p>
    <w:p>
      <w:pPr>
        <w:spacing w:line="480" w:lineRule="exact"/>
        <w:ind w:firstLine="4212" w:firstLineChars="1755"/>
        <w:rPr>
          <w:rFonts w:ascii="宋体" w:hAnsi="宋体" w:cs="宋体"/>
          <w:sz w:val="24"/>
          <w:u w:val="single"/>
        </w:rPr>
      </w:pPr>
      <w:r>
        <w:rPr>
          <w:rFonts w:hint="eastAsia" w:ascii="宋体" w:hAnsi="宋体" w:cs="宋体"/>
          <w:sz w:val="24"/>
        </w:rPr>
        <w:t>投标人全称（公章）：</w:t>
      </w:r>
      <w:r>
        <w:rPr>
          <w:rFonts w:hint="eastAsia" w:ascii="宋体" w:hAnsi="宋体" w:cs="宋体"/>
          <w:sz w:val="24"/>
          <w:u w:val="single"/>
        </w:rPr>
        <w:t xml:space="preserve">               </w:t>
      </w:r>
    </w:p>
    <w:p>
      <w:pPr>
        <w:spacing w:line="480" w:lineRule="exact"/>
        <w:ind w:firstLine="4212" w:firstLineChars="1755"/>
        <w:rPr>
          <w:rFonts w:ascii="宋体" w:hAnsi="宋体" w:cs="宋体"/>
          <w:sz w:val="24"/>
          <w:u w:val="single"/>
        </w:rPr>
      </w:pPr>
      <w:r>
        <w:rPr>
          <w:rFonts w:hint="eastAsia" w:ascii="宋体" w:hAnsi="宋体" w:cs="宋体"/>
          <w:sz w:val="24"/>
        </w:rPr>
        <w:t>法定代表人 (签字或盖章)：</w:t>
      </w:r>
      <w:r>
        <w:rPr>
          <w:rFonts w:hint="eastAsia" w:ascii="宋体" w:hAnsi="宋体" w:cs="宋体"/>
          <w:sz w:val="24"/>
          <w:u w:val="single"/>
        </w:rPr>
        <w:t xml:space="preserve">         </w:t>
      </w:r>
    </w:p>
    <w:p>
      <w:pPr>
        <w:spacing w:line="480" w:lineRule="exact"/>
        <w:ind w:firstLine="2955"/>
        <w:rPr>
          <w:rFonts w:ascii="宋体" w:hAnsi="宋体" w:cs="宋体"/>
          <w:sz w:val="24"/>
        </w:rPr>
      </w:pPr>
      <w:r>
        <w:rPr>
          <w:rFonts w:hint="eastAsia" w:ascii="宋体" w:hAnsi="宋体" w:cs="宋体"/>
          <w:sz w:val="24"/>
        </w:rPr>
        <w:t xml:space="preserve">           授 权 日 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80" w:lineRule="exact"/>
        <w:ind w:firstLine="540" w:firstLineChars="225"/>
        <w:rPr>
          <w:rFonts w:ascii="宋体" w:hAnsi="宋体" w:cs="宋体"/>
          <w:sz w:val="24"/>
          <w:u w:val="single"/>
        </w:rPr>
      </w:pPr>
      <w:r>
        <w:rPr>
          <w:rFonts w:hint="eastAsia" w:ascii="宋体" w:hAnsi="宋体" w:cs="宋体"/>
          <w:sz w:val="24"/>
        </w:rPr>
        <w:t>授权代表：</w:t>
      </w:r>
      <w:r>
        <w:rPr>
          <w:rFonts w:hint="eastAsia" w:ascii="宋体" w:hAnsi="宋体" w:cs="宋体"/>
          <w:sz w:val="24"/>
          <w:u w:val="single"/>
        </w:rPr>
        <w:t xml:space="preserve">                </w:t>
      </w:r>
    </w:p>
    <w:p>
      <w:pPr>
        <w:spacing w:line="480" w:lineRule="exact"/>
        <w:ind w:firstLine="540" w:firstLineChars="225"/>
        <w:rPr>
          <w:rFonts w:ascii="宋体" w:hAnsi="宋体" w:cs="宋体"/>
          <w:sz w:val="24"/>
          <w:u w:val="single"/>
        </w:rPr>
      </w:pPr>
      <w:r>
        <w:rPr>
          <w:rFonts w:hint="eastAsia" w:ascii="宋体" w:hAnsi="宋体" w:cs="宋体"/>
          <w:sz w:val="24"/>
        </w:rPr>
        <w:t>职务：</w:t>
      </w:r>
      <w:r>
        <w:rPr>
          <w:rFonts w:hint="eastAsia" w:ascii="宋体" w:hAnsi="宋体" w:cs="宋体"/>
          <w:sz w:val="24"/>
          <w:u w:val="single"/>
        </w:rPr>
        <w:t xml:space="preserve">                                 </w:t>
      </w:r>
    </w:p>
    <w:p>
      <w:pPr>
        <w:spacing w:line="480" w:lineRule="exact"/>
        <w:ind w:firstLine="540" w:firstLineChars="225"/>
        <w:rPr>
          <w:rFonts w:ascii="宋体" w:hAnsi="宋体" w:cs="宋体"/>
          <w:sz w:val="24"/>
          <w:u w:val="single"/>
        </w:rPr>
      </w:pPr>
      <w:r>
        <w:rPr>
          <w:rFonts w:hint="eastAsia" w:ascii="宋体" w:hAnsi="宋体" w:cs="宋体"/>
          <w:sz w:val="24"/>
        </w:rPr>
        <w:t>详细通讯地址：</w:t>
      </w:r>
      <w:r>
        <w:rPr>
          <w:rFonts w:hint="eastAsia" w:ascii="宋体" w:hAnsi="宋体" w:cs="宋体"/>
          <w:sz w:val="24"/>
          <w:u w:val="single"/>
        </w:rPr>
        <w:t xml:space="preserve">                         </w:t>
      </w:r>
    </w:p>
    <w:p>
      <w:pPr>
        <w:pStyle w:val="24"/>
        <w:spacing w:line="440" w:lineRule="atLeast"/>
        <w:ind w:firstLine="600" w:firstLineChars="250"/>
        <w:rPr>
          <w:rFonts w:hAnsi="宋体" w:cs="宋体"/>
          <w:sz w:val="24"/>
          <w:u w:val="single"/>
        </w:rPr>
      </w:pPr>
      <w:r>
        <w:rPr>
          <w:rFonts w:hint="eastAsia" w:hAnsi="宋体" w:cs="宋体"/>
          <w:sz w:val="24"/>
        </w:rPr>
        <w:t>电话及传真：</w:t>
      </w:r>
      <w:r>
        <w:rPr>
          <w:rFonts w:hint="eastAsia" w:hAnsi="宋体" w:cs="宋体"/>
          <w:sz w:val="24"/>
          <w:u w:val="single"/>
        </w:rPr>
        <w:t xml:space="preserve">                                 </w:t>
      </w:r>
    </w:p>
    <w:p>
      <w:pPr>
        <w:pStyle w:val="24"/>
        <w:spacing w:line="440" w:lineRule="atLeast"/>
        <w:ind w:firstLine="600" w:firstLineChars="250"/>
        <w:rPr>
          <w:rFonts w:hAnsi="宋体" w:cs="宋体"/>
          <w:b/>
          <w:sz w:val="36"/>
        </w:rPr>
      </w:pPr>
      <w:r>
        <w:rPr>
          <w:rFonts w:hint="eastAsia" w:hAnsi="宋体" w:cs="宋体"/>
          <w:sz w:val="24"/>
        </w:rPr>
        <w:t>邮政编码:</w:t>
      </w:r>
      <w:r>
        <w:rPr>
          <w:rFonts w:hint="eastAsia" w:hAnsi="宋体" w:cs="宋体"/>
          <w:sz w:val="24"/>
          <w:u w:val="single"/>
        </w:rPr>
        <w:t xml:space="preserve">                              </w:t>
      </w:r>
    </w:p>
    <w:tbl>
      <w:tblPr>
        <w:tblStyle w:val="46"/>
        <w:tblpPr w:leftFromText="180" w:rightFromText="180" w:vertAnchor="text" w:horzAnchor="margin" w:tblpXSpec="right" w:tblpY="1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8203" w:type="dxa"/>
          </w:tcPr>
          <w:p>
            <w:pPr>
              <w:pStyle w:val="24"/>
              <w:spacing w:line="440" w:lineRule="atLeast"/>
              <w:jc w:val="center"/>
              <w:rPr>
                <w:rFonts w:hAnsi="宋体" w:cs="宋体"/>
                <w:b/>
                <w:sz w:val="36"/>
              </w:rPr>
            </w:pPr>
            <w:r>
              <w:rPr>
                <w:rFonts w:hint="eastAsia" w:hAnsi="宋体" w:cs="宋体"/>
                <w:b/>
                <w:sz w:val="36"/>
              </w:rPr>
              <w:t>（授权代表身份证扫描件或影印件）</w:t>
            </w:r>
          </w:p>
          <w:p>
            <w:pPr>
              <w:pStyle w:val="24"/>
              <w:spacing w:line="440" w:lineRule="atLeast"/>
              <w:ind w:firstLine="1084" w:firstLineChars="300"/>
              <w:rPr>
                <w:rFonts w:hAnsi="宋体" w:cs="宋体"/>
                <w:b/>
                <w:sz w:val="36"/>
              </w:rPr>
            </w:pPr>
          </w:p>
          <w:p>
            <w:pPr>
              <w:pStyle w:val="24"/>
              <w:spacing w:line="440" w:lineRule="atLeast"/>
              <w:ind w:firstLine="1084" w:firstLineChars="300"/>
              <w:rPr>
                <w:rFonts w:hAnsi="宋体" w:cs="宋体"/>
                <w:b/>
                <w:sz w:val="36"/>
              </w:rPr>
            </w:pPr>
          </w:p>
          <w:p>
            <w:pPr>
              <w:pStyle w:val="24"/>
              <w:spacing w:line="440" w:lineRule="atLeast"/>
              <w:rPr>
                <w:rFonts w:hAnsi="宋体" w:cs="宋体"/>
                <w:b/>
                <w:sz w:val="36"/>
              </w:rPr>
            </w:pPr>
            <w:r>
              <w:rPr>
                <w:rFonts w:hint="eastAsia" w:hAnsi="宋体" w:cs="宋体"/>
                <w:b/>
                <w:sz w:val="36"/>
              </w:rPr>
              <w:t xml:space="preserve"> </w:t>
            </w:r>
            <w:r>
              <w:rPr>
                <w:rFonts w:hAnsi="宋体" w:cs="宋体"/>
                <w:b/>
                <w:sz w:val="36"/>
              </w:rPr>
              <w:t xml:space="preserve">     </w:t>
            </w:r>
          </w:p>
        </w:tc>
      </w:tr>
    </w:tbl>
    <w:p>
      <w:pPr>
        <w:tabs>
          <w:tab w:val="left" w:pos="927"/>
        </w:tabs>
        <w:spacing w:line="380" w:lineRule="exact"/>
        <w:ind w:firstLine="482" w:firstLineChars="150"/>
        <w:rPr>
          <w:rFonts w:ascii="宋体" w:hAnsi="宋体" w:cs="宋体"/>
          <w:b/>
          <w:kern w:val="0"/>
          <w:sz w:val="24"/>
        </w:rPr>
      </w:pPr>
      <w:r>
        <w:rPr>
          <w:rFonts w:hint="eastAsia" w:ascii="宋体" w:hAnsi="宋体" w:cs="宋体"/>
          <w:b/>
          <w:bCs/>
          <w:sz w:val="32"/>
          <w:szCs w:val="32"/>
        </w:rPr>
        <w:br w:type="page"/>
      </w:r>
    </w:p>
    <w:p>
      <w:pPr>
        <w:rPr>
          <w:rFonts w:ascii="宋体" w:hAnsi="宋体" w:cs="宋体"/>
          <w:sz w:val="32"/>
          <w:szCs w:val="32"/>
        </w:rPr>
      </w:pPr>
      <w:r>
        <w:rPr>
          <w:rFonts w:hint="eastAsia" w:ascii="宋体" w:hAnsi="宋体" w:cs="宋体"/>
          <w:b/>
          <w:bCs/>
          <w:spacing w:val="20"/>
          <w:sz w:val="32"/>
          <w:szCs w:val="32"/>
        </w:rPr>
        <w:t xml:space="preserve">附件十   </w:t>
      </w:r>
      <w:r>
        <w:rPr>
          <w:rFonts w:hint="eastAsia" w:ascii="宋体" w:hAnsi="宋体" w:cs="宋体"/>
          <w:sz w:val="32"/>
          <w:szCs w:val="32"/>
        </w:rPr>
        <w:t>节能（环境标志）产品</w:t>
      </w:r>
    </w:p>
    <w:p>
      <w:pPr>
        <w:autoSpaceDE w:val="0"/>
        <w:autoSpaceDN w:val="0"/>
        <w:adjustRightInd w:val="0"/>
        <w:spacing w:line="460" w:lineRule="atLeast"/>
        <w:ind w:firstLine="240" w:firstLineChars="100"/>
        <w:rPr>
          <w:rFonts w:ascii="宋体" w:hAnsi="宋体" w:cs="宋体"/>
          <w:sz w:val="24"/>
          <w:szCs w:val="20"/>
        </w:rPr>
      </w:pPr>
      <w:r>
        <w:rPr>
          <w:rFonts w:hint="eastAsia" w:ascii="宋体" w:hAnsi="宋体" w:cs="宋体"/>
          <w:sz w:val="24"/>
          <w:szCs w:val="20"/>
        </w:rPr>
        <w:t>需提供政府采购节能产品或环境标志产品认证证书扫描件，加盖公章。</w:t>
      </w:r>
    </w:p>
    <w:p>
      <w:pPr>
        <w:pStyle w:val="45"/>
      </w:pPr>
    </w:p>
    <w:p>
      <w:pPr>
        <w:autoSpaceDE w:val="0"/>
        <w:autoSpaceDN w:val="0"/>
        <w:adjustRightInd w:val="0"/>
        <w:spacing w:line="460" w:lineRule="atLeast"/>
        <w:ind w:firstLine="240" w:firstLineChars="100"/>
        <w:rPr>
          <w:rFonts w:ascii="宋体" w:hAnsi="宋体"/>
          <w:b/>
          <w:bCs/>
          <w:spacing w:val="20"/>
          <w:sz w:val="32"/>
          <w:szCs w:val="32"/>
        </w:rPr>
      </w:pPr>
      <w:r>
        <w:rPr>
          <w:rFonts w:hint="eastAsia" w:ascii="宋体" w:hAnsi="宋体" w:cs="宋体"/>
          <w:sz w:val="24"/>
          <w:szCs w:val="20"/>
        </w:rPr>
        <w:t>附注：认证机构以国家市场监管总局发布的参与实施政府采购节能产品、环境标志产品认证机构名录为准。</w:t>
      </w:r>
    </w:p>
    <w:p>
      <w:pPr>
        <w:adjustRightInd w:val="0"/>
        <w:snapToGrid w:val="0"/>
        <w:spacing w:line="460" w:lineRule="atLeast"/>
        <w:rPr>
          <w:rFonts w:ascii="宋体" w:hAnsi="宋体" w:cs="宋体"/>
          <w:b/>
          <w:bCs/>
          <w:spacing w:val="20"/>
          <w:sz w:val="32"/>
          <w:szCs w:val="32"/>
        </w:rPr>
      </w:pPr>
      <w:r>
        <w:rPr>
          <w:rFonts w:hint="eastAsia" w:ascii="宋体" w:hAnsi="宋体" w:cs="宋体"/>
          <w:b/>
          <w:bCs/>
          <w:spacing w:val="20"/>
          <w:sz w:val="32"/>
          <w:szCs w:val="32"/>
        </w:rPr>
        <w:t>附件十一</w:t>
      </w:r>
    </w:p>
    <w:p>
      <w:pPr>
        <w:adjustRightInd w:val="0"/>
        <w:snapToGrid w:val="0"/>
        <w:spacing w:line="360" w:lineRule="auto"/>
        <w:rPr>
          <w:rFonts w:ascii="宋体" w:hAnsi="宋体" w:cs="宋体"/>
          <w:b/>
          <w:bCs/>
          <w:spacing w:val="20"/>
          <w:sz w:val="36"/>
          <w:szCs w:val="36"/>
        </w:rPr>
      </w:pPr>
      <w:r>
        <w:rPr>
          <w:rFonts w:hint="eastAsia" w:ascii="宋体" w:hAnsi="宋体" w:cs="宋体"/>
          <w:b/>
          <w:bCs/>
          <w:spacing w:val="20"/>
          <w:sz w:val="28"/>
          <w:szCs w:val="28"/>
        </w:rPr>
        <w:t xml:space="preserve">            </w:t>
      </w:r>
      <w:r>
        <w:rPr>
          <w:rFonts w:hint="eastAsia" w:ascii="宋体" w:hAnsi="宋体" w:cs="宋体"/>
          <w:b/>
          <w:bCs/>
          <w:spacing w:val="20"/>
          <w:sz w:val="36"/>
          <w:szCs w:val="36"/>
        </w:rPr>
        <w:t>项目负责人及团队成员介绍</w:t>
      </w:r>
    </w:p>
    <w:p>
      <w:pPr>
        <w:adjustRightInd w:val="0"/>
        <w:snapToGrid w:val="0"/>
        <w:spacing w:line="360" w:lineRule="auto"/>
        <w:rPr>
          <w:rFonts w:ascii="宋体" w:hAnsi="宋体" w:cs="宋体"/>
          <w:b/>
          <w:bCs/>
          <w:spacing w:val="20"/>
          <w:sz w:val="32"/>
          <w:szCs w:val="32"/>
        </w:rPr>
      </w:pPr>
      <w:r>
        <w:rPr>
          <w:rFonts w:hint="eastAsia" w:ascii="宋体" w:hAnsi="宋体" w:cs="宋体"/>
          <w:b/>
          <w:bCs/>
          <w:spacing w:val="20"/>
          <w:sz w:val="32"/>
          <w:szCs w:val="32"/>
        </w:rPr>
        <w:t xml:space="preserve">             （一）项目主要负责人简历表</w:t>
      </w:r>
    </w:p>
    <w:tbl>
      <w:tblPr>
        <w:tblStyle w:val="4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1553"/>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姓名</w:t>
            </w:r>
          </w:p>
        </w:tc>
        <w:tc>
          <w:tcPr>
            <w:tcW w:w="1553" w:type="dxa"/>
          </w:tcPr>
          <w:p>
            <w:pPr>
              <w:adjustRightInd w:val="0"/>
              <w:snapToGrid w:val="0"/>
              <w:spacing w:line="460" w:lineRule="atLeast"/>
              <w:rPr>
                <w:rFonts w:ascii="宋体" w:hAnsi="宋体" w:cs="宋体"/>
                <w:spacing w:val="20"/>
                <w:sz w:val="24"/>
              </w:rPr>
            </w:pPr>
          </w:p>
        </w:tc>
        <w:tc>
          <w:tcPr>
            <w:tcW w:w="5103" w:type="dxa"/>
          </w:tcPr>
          <w:p>
            <w:pPr>
              <w:adjustRightInd w:val="0"/>
              <w:snapToGrid w:val="0"/>
              <w:spacing w:line="460" w:lineRule="atLeast"/>
              <w:rPr>
                <w:rFonts w:ascii="宋体" w:hAnsi="宋体" w:cs="宋体"/>
                <w:spacing w:val="20"/>
                <w:sz w:val="24"/>
              </w:rPr>
            </w:pPr>
            <w:r>
              <w:rPr>
                <w:rFonts w:hint="eastAsia" w:ascii="宋体" w:hAnsi="宋体" w:cs="宋体"/>
                <w:spacing w:val="20"/>
                <w:sz w:val="24"/>
              </w:rPr>
              <w:t xml:space="preserve">  近3年业绩及承担的主要工作情况 </w:t>
            </w:r>
          </w:p>
          <w:p>
            <w:pPr>
              <w:adjustRightInd w:val="0"/>
              <w:snapToGrid w:val="0"/>
              <w:spacing w:line="460" w:lineRule="atLeast"/>
              <w:rPr>
                <w:rFonts w:ascii="宋体" w:hAnsi="宋体" w:cs="宋体"/>
                <w:spacing w:val="20"/>
                <w:sz w:val="24"/>
              </w:rPr>
            </w:pPr>
            <w:r>
              <w:rPr>
                <w:rFonts w:hint="eastAsia" w:ascii="宋体" w:hAnsi="宋体" w:cs="宋体"/>
                <w:spacing w:val="20"/>
                <w:sz w:val="24"/>
              </w:rPr>
              <w:t xml:space="preserve"> （曾担任项目负责人的项目应列明细）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性别</w:t>
            </w:r>
          </w:p>
        </w:tc>
        <w:tc>
          <w:tcPr>
            <w:tcW w:w="1553" w:type="dxa"/>
          </w:tcPr>
          <w:p>
            <w:pPr>
              <w:adjustRightInd w:val="0"/>
              <w:snapToGrid w:val="0"/>
              <w:spacing w:line="460" w:lineRule="atLeast"/>
              <w:rPr>
                <w:rFonts w:ascii="宋体" w:hAnsi="宋体" w:cs="宋体"/>
                <w:spacing w:val="20"/>
                <w:sz w:val="24"/>
              </w:rPr>
            </w:pPr>
          </w:p>
        </w:tc>
        <w:tc>
          <w:tcPr>
            <w:tcW w:w="5103" w:type="dxa"/>
            <w:vMerge w:val="restart"/>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年龄</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职称</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学历</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所学专业</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毕业时间</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从业年限</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证书编号</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其他资质情况</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241" w:type="dxa"/>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联系电话</w:t>
            </w:r>
          </w:p>
        </w:tc>
        <w:tc>
          <w:tcPr>
            <w:tcW w:w="1553" w:type="dxa"/>
          </w:tcPr>
          <w:p>
            <w:pPr>
              <w:adjustRightInd w:val="0"/>
              <w:snapToGrid w:val="0"/>
              <w:spacing w:line="460" w:lineRule="atLeast"/>
              <w:rPr>
                <w:rFonts w:ascii="宋体" w:hAnsi="宋体" w:cs="宋体"/>
                <w:spacing w:val="20"/>
                <w:sz w:val="24"/>
              </w:rPr>
            </w:pPr>
          </w:p>
        </w:tc>
        <w:tc>
          <w:tcPr>
            <w:tcW w:w="5103" w:type="dxa"/>
            <w:vMerge w:val="continue"/>
          </w:tcPr>
          <w:p>
            <w:pPr>
              <w:adjustRightInd w:val="0"/>
              <w:snapToGrid w:val="0"/>
              <w:spacing w:line="460" w:lineRule="atLeast"/>
              <w:rPr>
                <w:rFonts w:ascii="宋体" w:hAnsi="宋体" w:cs="宋体"/>
                <w:b/>
                <w:bCs/>
                <w:spacing w:val="20"/>
                <w:sz w:val="24"/>
              </w:rPr>
            </w:pPr>
          </w:p>
        </w:tc>
      </w:tr>
    </w:tbl>
    <w:p>
      <w:pPr>
        <w:adjustRightInd w:val="0"/>
        <w:snapToGrid w:val="0"/>
        <w:spacing w:line="460" w:lineRule="atLeast"/>
        <w:rPr>
          <w:rFonts w:ascii="宋体" w:hAnsi="宋体" w:cs="宋体"/>
          <w:b/>
          <w:bCs/>
          <w:spacing w:val="20"/>
          <w:sz w:val="24"/>
        </w:rPr>
      </w:pPr>
      <w:r>
        <w:rPr>
          <w:rFonts w:hint="eastAsia" w:ascii="宋体" w:hAnsi="宋体" w:cs="宋体"/>
          <w:b/>
          <w:bCs/>
          <w:spacing w:val="20"/>
          <w:sz w:val="24"/>
        </w:rPr>
        <w:t>注：须随表提交相应的证书及证件材料（扫描件并加盖公章）。</w:t>
      </w:r>
    </w:p>
    <w:p>
      <w:pPr>
        <w:adjustRightInd w:val="0"/>
        <w:snapToGrid w:val="0"/>
        <w:spacing w:line="460" w:lineRule="atLeast"/>
        <w:rPr>
          <w:rFonts w:ascii="宋体" w:hAnsi="宋体" w:cs="宋体"/>
          <w:b/>
          <w:bCs/>
          <w:spacing w:val="20"/>
          <w:sz w:val="24"/>
        </w:rPr>
      </w:pPr>
      <w:r>
        <w:rPr>
          <w:rFonts w:hint="eastAsia" w:ascii="宋体" w:hAnsi="宋体" w:cs="宋体"/>
          <w:b/>
          <w:bCs/>
          <w:spacing w:val="20"/>
          <w:sz w:val="24"/>
        </w:rPr>
        <w:t>如未提供可能出现不利于投标人的评分，该风险由投标人自行承担。</w:t>
      </w:r>
    </w:p>
    <w:p>
      <w:pPr>
        <w:adjustRightInd w:val="0"/>
        <w:snapToGrid w:val="0"/>
        <w:spacing w:line="460" w:lineRule="atLeast"/>
        <w:rPr>
          <w:rFonts w:ascii="宋体" w:hAnsi="宋体" w:cs="宋体"/>
          <w:b/>
          <w:bCs/>
          <w:spacing w:val="20"/>
          <w:sz w:val="24"/>
        </w:rPr>
      </w:pPr>
    </w:p>
    <w:p>
      <w:pPr>
        <w:adjustRightInd w:val="0"/>
        <w:snapToGrid w:val="0"/>
        <w:spacing w:line="460" w:lineRule="atLeast"/>
        <w:rPr>
          <w:rFonts w:ascii="宋体" w:hAnsi="宋体" w:cs="宋体"/>
          <w:szCs w:val="21"/>
        </w:rPr>
      </w:pPr>
      <w:r>
        <w:rPr>
          <w:rFonts w:hint="eastAsia" w:ascii="宋体" w:hAnsi="宋体" w:cs="宋体"/>
          <w:szCs w:val="21"/>
        </w:rPr>
        <w:t>投标人全称（盖章）：</w:t>
      </w:r>
    </w:p>
    <w:p>
      <w:pPr>
        <w:adjustRightInd w:val="0"/>
        <w:snapToGrid w:val="0"/>
        <w:spacing w:line="460" w:lineRule="atLeast"/>
        <w:rPr>
          <w:rFonts w:ascii="宋体" w:hAnsi="宋体" w:cs="宋体"/>
          <w:b/>
          <w:bCs/>
          <w:spacing w:val="20"/>
          <w:sz w:val="28"/>
          <w:szCs w:val="28"/>
        </w:rPr>
      </w:pPr>
      <w:r>
        <w:rPr>
          <w:rFonts w:hint="eastAsia" w:ascii="宋体" w:hAnsi="宋体" w:cs="宋体"/>
          <w:sz w:val="24"/>
        </w:rPr>
        <w:t>日    期：</w:t>
      </w:r>
    </w:p>
    <w:p>
      <w:pPr>
        <w:adjustRightInd w:val="0"/>
        <w:snapToGrid w:val="0"/>
        <w:spacing w:line="360" w:lineRule="auto"/>
        <w:jc w:val="center"/>
        <w:rPr>
          <w:rFonts w:ascii="宋体" w:hAnsi="宋体" w:cs="宋体"/>
          <w:b/>
          <w:bCs/>
          <w:spacing w:val="20"/>
          <w:sz w:val="28"/>
          <w:szCs w:val="28"/>
        </w:rPr>
      </w:pPr>
      <w:r>
        <w:rPr>
          <w:rFonts w:hint="eastAsia" w:ascii="宋体" w:hAnsi="宋体" w:cs="宋体"/>
          <w:b/>
          <w:bCs/>
          <w:spacing w:val="20"/>
          <w:sz w:val="36"/>
          <w:szCs w:val="36"/>
        </w:rPr>
        <w:t>（二） 项目成员名单</w:t>
      </w:r>
    </w:p>
    <w:tbl>
      <w:tblPr>
        <w:tblStyle w:val="4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28"/>
        <w:gridCol w:w="851"/>
        <w:gridCol w:w="852"/>
        <w:gridCol w:w="852"/>
        <w:gridCol w:w="852"/>
        <w:gridCol w:w="852"/>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序号</w:t>
            </w:r>
          </w:p>
        </w:tc>
        <w:tc>
          <w:tcPr>
            <w:tcW w:w="1128"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姓名</w:t>
            </w:r>
          </w:p>
        </w:tc>
        <w:tc>
          <w:tcPr>
            <w:tcW w:w="851"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性别</w:t>
            </w:r>
          </w:p>
        </w:tc>
        <w:tc>
          <w:tcPr>
            <w:tcW w:w="852"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年龄</w:t>
            </w:r>
          </w:p>
        </w:tc>
        <w:tc>
          <w:tcPr>
            <w:tcW w:w="852"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学历</w:t>
            </w:r>
          </w:p>
        </w:tc>
        <w:tc>
          <w:tcPr>
            <w:tcW w:w="852"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专业</w:t>
            </w:r>
          </w:p>
        </w:tc>
        <w:tc>
          <w:tcPr>
            <w:tcW w:w="852"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职称</w:t>
            </w:r>
          </w:p>
        </w:tc>
        <w:tc>
          <w:tcPr>
            <w:tcW w:w="1417"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本项目中的职责</w:t>
            </w:r>
          </w:p>
        </w:tc>
        <w:tc>
          <w:tcPr>
            <w:tcW w:w="1134" w:type="dxa"/>
            <w:vAlign w:val="center"/>
          </w:tcPr>
          <w:p>
            <w:pPr>
              <w:adjustRightInd w:val="0"/>
              <w:snapToGrid w:val="0"/>
              <w:spacing w:line="460" w:lineRule="atLeast"/>
              <w:jc w:val="center"/>
              <w:rPr>
                <w:rFonts w:ascii="宋体" w:hAnsi="宋体" w:cs="宋体"/>
                <w:spacing w:val="20"/>
                <w:sz w:val="24"/>
              </w:rPr>
            </w:pPr>
            <w:r>
              <w:rPr>
                <w:rFonts w:hint="eastAsia" w:ascii="宋体" w:hAnsi="宋体" w:cs="宋体"/>
                <w:spacing w:val="20"/>
                <w:sz w:val="24"/>
              </w:rPr>
              <w:t>从事专业年限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7" w:type="dxa"/>
          </w:tcPr>
          <w:p>
            <w:pPr>
              <w:adjustRightInd w:val="0"/>
              <w:snapToGrid w:val="0"/>
              <w:spacing w:line="460" w:lineRule="atLeast"/>
              <w:rPr>
                <w:rFonts w:ascii="宋体" w:hAnsi="宋体" w:cs="宋体"/>
                <w:b/>
                <w:bCs/>
                <w:spacing w:val="20"/>
                <w:sz w:val="24"/>
              </w:rPr>
            </w:pPr>
          </w:p>
        </w:tc>
        <w:tc>
          <w:tcPr>
            <w:tcW w:w="1128" w:type="dxa"/>
          </w:tcPr>
          <w:p>
            <w:pPr>
              <w:adjustRightInd w:val="0"/>
              <w:snapToGrid w:val="0"/>
              <w:spacing w:line="460" w:lineRule="atLeast"/>
              <w:rPr>
                <w:rFonts w:ascii="宋体" w:hAnsi="宋体" w:cs="宋体"/>
                <w:b/>
                <w:bCs/>
                <w:spacing w:val="20"/>
                <w:sz w:val="24"/>
              </w:rPr>
            </w:pPr>
          </w:p>
        </w:tc>
        <w:tc>
          <w:tcPr>
            <w:tcW w:w="851"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852" w:type="dxa"/>
          </w:tcPr>
          <w:p>
            <w:pPr>
              <w:adjustRightInd w:val="0"/>
              <w:snapToGrid w:val="0"/>
              <w:spacing w:line="460" w:lineRule="atLeast"/>
              <w:rPr>
                <w:rFonts w:ascii="宋体" w:hAnsi="宋体" w:cs="宋体"/>
                <w:b/>
                <w:bCs/>
                <w:spacing w:val="20"/>
                <w:sz w:val="24"/>
              </w:rPr>
            </w:pPr>
          </w:p>
        </w:tc>
        <w:tc>
          <w:tcPr>
            <w:tcW w:w="1417" w:type="dxa"/>
          </w:tcPr>
          <w:p>
            <w:pPr>
              <w:adjustRightInd w:val="0"/>
              <w:snapToGrid w:val="0"/>
              <w:spacing w:line="460" w:lineRule="atLeast"/>
              <w:rPr>
                <w:rFonts w:ascii="宋体" w:hAnsi="宋体" w:cs="宋体"/>
                <w:b/>
                <w:bCs/>
                <w:spacing w:val="20"/>
                <w:sz w:val="24"/>
              </w:rPr>
            </w:pPr>
          </w:p>
        </w:tc>
        <w:tc>
          <w:tcPr>
            <w:tcW w:w="1134" w:type="dxa"/>
          </w:tcPr>
          <w:p>
            <w:pPr>
              <w:adjustRightInd w:val="0"/>
              <w:snapToGrid w:val="0"/>
              <w:spacing w:line="460" w:lineRule="atLeast"/>
              <w:rPr>
                <w:rFonts w:ascii="宋体" w:hAnsi="宋体" w:cs="宋体"/>
                <w:b/>
                <w:bCs/>
                <w:spacing w:val="20"/>
                <w:sz w:val="24"/>
              </w:rPr>
            </w:pPr>
          </w:p>
        </w:tc>
      </w:tr>
    </w:tbl>
    <w:p>
      <w:pPr>
        <w:adjustRightInd w:val="0"/>
        <w:snapToGrid w:val="0"/>
        <w:spacing w:line="460" w:lineRule="atLeast"/>
        <w:jc w:val="left"/>
        <w:rPr>
          <w:rFonts w:ascii="宋体" w:hAnsi="宋体" w:cs="宋体"/>
          <w:b/>
          <w:bCs/>
          <w:spacing w:val="20"/>
          <w:sz w:val="24"/>
        </w:rPr>
      </w:pPr>
      <w:r>
        <w:rPr>
          <w:rFonts w:hint="eastAsia" w:ascii="宋体" w:hAnsi="宋体" w:cs="宋体"/>
          <w:b/>
          <w:bCs/>
          <w:spacing w:val="20"/>
          <w:sz w:val="24"/>
        </w:rPr>
        <w:t>注：根据填写内容提供相应的证书、证明材料（扫描件并加盖公章），如未提供可能出现不利于投标人的评分，该风险由投标人自行承担。</w:t>
      </w:r>
    </w:p>
    <w:p>
      <w:pPr>
        <w:adjustRightInd w:val="0"/>
        <w:snapToGrid w:val="0"/>
        <w:spacing w:line="460" w:lineRule="atLeast"/>
        <w:rPr>
          <w:rFonts w:ascii="宋体" w:hAnsi="宋体" w:cs="宋体"/>
          <w:b/>
          <w:bCs/>
          <w:spacing w:val="20"/>
          <w:sz w:val="24"/>
        </w:rPr>
      </w:pPr>
    </w:p>
    <w:p>
      <w:pPr>
        <w:adjustRightInd w:val="0"/>
        <w:snapToGrid w:val="0"/>
        <w:spacing w:line="460" w:lineRule="atLeast"/>
        <w:rPr>
          <w:rFonts w:ascii="宋体" w:hAnsi="宋体" w:cs="宋体"/>
          <w:spacing w:val="20"/>
          <w:sz w:val="24"/>
        </w:rPr>
      </w:pPr>
    </w:p>
    <w:p>
      <w:pPr>
        <w:adjustRightInd w:val="0"/>
        <w:snapToGrid w:val="0"/>
        <w:spacing w:line="460" w:lineRule="atLeast"/>
        <w:rPr>
          <w:rFonts w:ascii="宋体" w:hAnsi="宋体" w:cs="宋体"/>
          <w:szCs w:val="21"/>
        </w:rPr>
      </w:pPr>
      <w:r>
        <w:rPr>
          <w:rFonts w:hint="eastAsia" w:ascii="宋体" w:hAnsi="宋体" w:cs="宋体"/>
          <w:szCs w:val="21"/>
        </w:rPr>
        <w:t>投标人全称（盖章）：</w:t>
      </w:r>
    </w:p>
    <w:p>
      <w:pPr>
        <w:adjustRightInd w:val="0"/>
        <w:snapToGrid w:val="0"/>
        <w:spacing w:line="460" w:lineRule="atLeast"/>
        <w:rPr>
          <w:rFonts w:ascii="宋体" w:hAnsi="宋体" w:cs="宋体"/>
          <w:spacing w:val="20"/>
          <w:sz w:val="24"/>
        </w:rPr>
      </w:pPr>
      <w:r>
        <w:rPr>
          <w:rFonts w:hint="eastAsia" w:ascii="宋体" w:hAnsi="宋体" w:cs="宋体"/>
          <w:sz w:val="24"/>
        </w:rPr>
        <w:t>日    期：</w:t>
      </w: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spacing w:line="480" w:lineRule="auto"/>
        <w:rPr>
          <w:rFonts w:ascii="宋体" w:hAnsi="宋体" w:cs="宋体"/>
          <w:b/>
          <w:sz w:val="24"/>
        </w:rPr>
      </w:pPr>
    </w:p>
    <w:p>
      <w:pPr>
        <w:adjustRightInd w:val="0"/>
        <w:snapToGrid w:val="0"/>
        <w:spacing w:line="460" w:lineRule="atLeast"/>
        <w:rPr>
          <w:rFonts w:ascii="宋体" w:hAnsi="宋体" w:cs="宋体"/>
          <w:b/>
          <w:bCs/>
          <w:spacing w:val="20"/>
          <w:sz w:val="32"/>
          <w:szCs w:val="32"/>
        </w:rPr>
      </w:pPr>
    </w:p>
    <w:p>
      <w:pPr>
        <w:adjustRightInd w:val="0"/>
        <w:snapToGrid w:val="0"/>
        <w:spacing w:line="460" w:lineRule="atLeast"/>
        <w:rPr>
          <w:rFonts w:ascii="宋体" w:hAnsi="宋体" w:cs="宋体"/>
          <w:b/>
          <w:bCs/>
          <w:spacing w:val="20"/>
          <w:sz w:val="32"/>
          <w:szCs w:val="32"/>
        </w:rPr>
      </w:pPr>
      <w:r>
        <w:rPr>
          <w:rFonts w:hint="eastAsia" w:ascii="宋体" w:hAnsi="宋体" w:cs="宋体"/>
          <w:b/>
          <w:bCs/>
          <w:spacing w:val="20"/>
          <w:sz w:val="32"/>
          <w:szCs w:val="32"/>
        </w:rPr>
        <w:t>附件十二</w:t>
      </w:r>
      <w:r>
        <w:rPr>
          <w:rFonts w:hint="eastAsia" w:ascii="宋体" w:hAnsi="宋体" w:cs="宋体"/>
          <w:b/>
          <w:sz w:val="24"/>
        </w:rPr>
        <w:t>（如有）</w:t>
      </w:r>
    </w:p>
    <w:p>
      <w:pPr>
        <w:widowControl/>
        <w:jc w:val="center"/>
        <w:rPr>
          <w:rFonts w:ascii="宋体" w:hAnsi="宋体"/>
          <w:color w:val="000000"/>
        </w:rPr>
      </w:pPr>
      <w:r>
        <w:rPr>
          <w:rFonts w:hint="eastAsia" w:ascii="宋体" w:hAnsi="宋体" w:cs="宋体"/>
          <w:b/>
          <w:color w:val="000000"/>
          <w:kern w:val="0"/>
          <w:sz w:val="36"/>
          <w:szCs w:val="36"/>
          <w:lang w:bidi="ar"/>
        </w:rPr>
        <w:t>中小企业声明函（货物）</w:t>
      </w:r>
    </w:p>
    <w:p>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本公司（联合体）郑重声明，根据《政府采购促进中小企业发展管理办法》（财库﹝2020﹞46 号）的规定，本公司（联合体）参加</w:t>
      </w:r>
      <w:r>
        <w:rPr>
          <w:rFonts w:hint="eastAsia" w:ascii="宋体" w:hAnsi="宋体" w:cs="宋体"/>
          <w:color w:val="000000"/>
          <w:kern w:val="0"/>
          <w:sz w:val="24"/>
          <w:u w:val="single"/>
          <w:lang w:bidi="ar"/>
        </w:rPr>
        <w:t>（单位名称）</w:t>
      </w:r>
      <w:r>
        <w:rPr>
          <w:rFonts w:hint="eastAsia" w:ascii="宋体" w:hAnsi="宋体" w:cs="宋体"/>
          <w:color w:val="000000"/>
          <w:kern w:val="0"/>
          <w:sz w:val="24"/>
          <w:lang w:bidi="ar"/>
        </w:rPr>
        <w:t>的</w:t>
      </w:r>
      <w:r>
        <w:rPr>
          <w:rFonts w:hint="eastAsia" w:ascii="宋体" w:hAnsi="宋体" w:cs="宋体"/>
          <w:color w:val="000000"/>
          <w:kern w:val="0"/>
          <w:sz w:val="24"/>
          <w:u w:val="single"/>
          <w:lang w:bidi="ar"/>
        </w:rPr>
        <w:t>（项目名称）</w:t>
      </w:r>
      <w:r>
        <w:rPr>
          <w:rFonts w:hint="eastAsia" w:ascii="宋体" w:hAnsi="宋体" w:cs="宋体"/>
          <w:color w:val="000000"/>
          <w:kern w:val="0"/>
          <w:sz w:val="24"/>
          <w:lang w:bidi="ar"/>
        </w:rPr>
        <w:t xml:space="preserve">采购活动，提供的货物全部由符合政策要求的中小企业制造。相关企业（含联合体中的中小企业、签订分包意向协议的中小企业）的具体情况如下： </w:t>
      </w:r>
    </w:p>
    <w:p>
      <w:pPr>
        <w:widowControl/>
        <w:spacing w:line="440" w:lineRule="exact"/>
        <w:ind w:firstLine="480" w:firstLineChars="200"/>
        <w:jc w:val="left"/>
        <w:rPr>
          <w:rFonts w:hint="eastAsia" w:ascii="宋体" w:hAnsi="宋体" w:cs="宋体"/>
          <w:color w:val="000000"/>
          <w:sz w:val="24"/>
          <w:u w:val="single"/>
        </w:rPr>
      </w:pPr>
      <w:r>
        <w:rPr>
          <w:rFonts w:hint="eastAsia" w:ascii="宋体" w:hAnsi="宋体" w:cs="宋体"/>
          <w:color w:val="000000"/>
          <w:kern w:val="0"/>
          <w:sz w:val="24"/>
          <w:lang w:bidi="ar"/>
        </w:rPr>
        <w:t xml:space="preserve">1. </w:t>
      </w:r>
      <w:r>
        <w:rPr>
          <w:rFonts w:hint="eastAsia" w:ascii="宋体" w:hAnsi="宋体" w:cs="宋体"/>
          <w:color w:val="000000"/>
          <w:kern w:val="0"/>
          <w:sz w:val="24"/>
          <w:u w:val="single"/>
          <w:lang w:bidi="ar"/>
        </w:rPr>
        <w:t xml:space="preserve">（标的名称） </w:t>
      </w:r>
      <w:r>
        <w:rPr>
          <w:rFonts w:hint="eastAsia" w:ascii="宋体" w:hAnsi="宋体" w:cs="宋体"/>
          <w:color w:val="000000"/>
          <w:kern w:val="0"/>
          <w:sz w:val="24"/>
          <w:lang w:bidi="ar"/>
        </w:rPr>
        <w:t>，属于</w:t>
      </w:r>
      <w:r>
        <w:rPr>
          <w:rFonts w:hint="eastAsia" w:ascii="宋体" w:hAnsi="宋体" w:cs="宋体"/>
          <w:color w:val="000000"/>
          <w:kern w:val="0"/>
          <w:sz w:val="24"/>
          <w:u w:val="single"/>
          <w:lang w:bidi="ar"/>
        </w:rPr>
        <w:t xml:space="preserve">（工业） </w:t>
      </w:r>
      <w:r>
        <w:rPr>
          <w:rFonts w:hint="eastAsia" w:ascii="宋体" w:hAnsi="宋体" w:cs="宋体"/>
          <w:color w:val="000000"/>
          <w:kern w:val="0"/>
          <w:sz w:val="24"/>
          <w:lang w:bidi="ar"/>
        </w:rPr>
        <w:t>行业；制造商为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 入为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 xml:space="preserve">万元，属于（中型企业、小型企业、微型企业）； </w:t>
      </w:r>
    </w:p>
    <w:p>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 xml:space="preserve">2. </w:t>
      </w:r>
      <w:r>
        <w:rPr>
          <w:rFonts w:hint="eastAsia" w:ascii="宋体" w:hAnsi="宋体" w:cs="宋体"/>
          <w:color w:val="000000"/>
          <w:kern w:val="0"/>
          <w:sz w:val="24"/>
          <w:u w:val="single"/>
          <w:lang w:bidi="ar"/>
        </w:rPr>
        <w:t xml:space="preserve">（标的名称） </w:t>
      </w:r>
      <w:r>
        <w:rPr>
          <w:rFonts w:hint="eastAsia" w:ascii="宋体" w:hAnsi="宋体" w:cs="宋体"/>
          <w:color w:val="000000"/>
          <w:kern w:val="0"/>
          <w:sz w:val="24"/>
          <w:lang w:bidi="ar"/>
        </w:rPr>
        <w:t>，属于</w:t>
      </w:r>
      <w:r>
        <w:rPr>
          <w:rFonts w:hint="eastAsia" w:ascii="宋体" w:hAnsi="宋体" w:cs="宋体"/>
          <w:color w:val="000000"/>
          <w:kern w:val="0"/>
          <w:sz w:val="24"/>
          <w:u w:val="single"/>
          <w:lang w:bidi="ar"/>
        </w:rPr>
        <w:t>（工业）</w:t>
      </w:r>
      <w:r>
        <w:rPr>
          <w:rFonts w:hint="eastAsia" w:ascii="宋体" w:hAnsi="宋体" w:cs="宋体"/>
          <w:color w:val="000000"/>
          <w:kern w:val="0"/>
          <w:sz w:val="24"/>
          <w:lang w:bidi="ar"/>
        </w:rPr>
        <w:t>行业；制造商为</w:t>
      </w:r>
      <w:r>
        <w:rPr>
          <w:rFonts w:hint="eastAsia" w:ascii="宋体" w:hAnsi="宋体" w:cs="宋体"/>
          <w:color w:val="000000"/>
          <w:kern w:val="0"/>
          <w:sz w:val="24"/>
          <w:u w:val="single"/>
          <w:lang w:bidi="ar"/>
        </w:rPr>
        <w:t>（企业名称）</w:t>
      </w:r>
      <w:r>
        <w:rPr>
          <w:rFonts w:hint="eastAsia" w:ascii="宋体" w:hAnsi="宋体" w:cs="宋体"/>
          <w:color w:val="000000"/>
          <w:kern w:val="0"/>
          <w:sz w:val="24"/>
          <w:lang w:bidi="ar"/>
        </w:rPr>
        <w:t>，从业人员</w:t>
      </w:r>
      <w:r>
        <w:rPr>
          <w:rFonts w:hint="eastAsia" w:ascii="宋体" w:hAnsi="宋体" w:cs="宋体"/>
          <w:color w:val="000000"/>
          <w:kern w:val="0"/>
          <w:sz w:val="24"/>
          <w:u w:val="single"/>
          <w:lang w:bidi="ar"/>
        </w:rPr>
        <w:t xml:space="preserve">    </w:t>
      </w:r>
      <w:r>
        <w:rPr>
          <w:rFonts w:hint="eastAsia" w:ascii="宋体" w:hAnsi="宋体" w:cs="宋体"/>
          <w:color w:val="000000"/>
          <w:kern w:val="0"/>
          <w:sz w:val="24"/>
          <w:lang w:bidi="ar"/>
        </w:rPr>
        <w:t>人，营业收入为</w:t>
      </w:r>
      <w:r>
        <w:rPr>
          <w:rFonts w:hint="eastAsia" w:ascii="宋体" w:hAnsi="宋体" w:cs="宋体"/>
          <w:color w:val="000000"/>
          <w:kern w:val="0"/>
          <w:sz w:val="24"/>
          <w:u w:val="single"/>
          <w:lang w:bidi="ar"/>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lang w:bidi="ar"/>
        </w:rPr>
        <w:t>万元，资产总额为</w:t>
      </w:r>
      <w:r>
        <w:rPr>
          <w:rFonts w:hint="eastAsia" w:ascii="宋体" w:hAnsi="宋体" w:cs="宋体"/>
          <w:color w:val="000000"/>
          <w:kern w:val="0"/>
          <w:sz w:val="24"/>
          <w:u w:val="single"/>
          <w:lang w:bidi="ar"/>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lang w:bidi="ar"/>
        </w:rPr>
        <w:t xml:space="preserve">万元，属于（中型企业、小型 企业、微型企业）； </w:t>
      </w:r>
    </w:p>
    <w:p>
      <w:pPr>
        <w:spacing w:line="480" w:lineRule="auto"/>
        <w:ind w:firstLine="220" w:firstLineChars="100"/>
      </w:pPr>
      <w:r>
        <w:rPr>
          <w:rFonts w:hint="eastAsia" w:ascii="宋体" w:hAnsi="宋体" w:cs="宋体"/>
          <w:color w:val="000000"/>
          <w:sz w:val="22"/>
          <w:szCs w:val="22"/>
        </w:rPr>
        <w:t>3.……（（按序号2格式自行增加））（注：享受价格扣除的投标供应商所投产品必须所有投标产品制造商均为小微型企业，才符合要求，并且需要将本项目所有采购产品的以上信息补充增加填写清楚），</w:t>
      </w:r>
      <w:r>
        <w:rPr>
          <w:rFonts w:hint="eastAsia" w:ascii="宋体" w:hAnsi="宋体" w:cs="宋体"/>
          <w:color w:val="000000"/>
          <w:sz w:val="22"/>
          <w:szCs w:val="22"/>
          <w:lang w:val="zh-CN"/>
        </w:rPr>
        <w:t>按“第二部分采购内容”</w:t>
      </w:r>
      <w:r>
        <w:rPr>
          <w:rFonts w:hint="eastAsia" w:ascii="宋体" w:hAnsi="宋体" w:cs="宋体"/>
          <w:color w:val="000000"/>
          <w:sz w:val="22"/>
          <w:szCs w:val="22"/>
        </w:rPr>
        <w:t>-“</w:t>
      </w:r>
      <w:r>
        <w:rPr>
          <w:rFonts w:hint="eastAsia" w:ascii="宋体" w:hAnsi="宋体" w:cs="宋体"/>
          <w:color w:val="000000"/>
          <w:sz w:val="22"/>
          <w:szCs w:val="22"/>
          <w:lang w:val="zh-CN"/>
        </w:rPr>
        <w:t>采购清单</w:t>
      </w:r>
      <w:r>
        <w:rPr>
          <w:rFonts w:hint="eastAsia" w:ascii="宋体" w:hAnsi="宋体" w:cs="宋体"/>
          <w:color w:val="000000"/>
          <w:sz w:val="22"/>
          <w:szCs w:val="22"/>
        </w:rPr>
        <w:t>”按序号逐条列出。</w:t>
      </w:r>
    </w:p>
    <w:p>
      <w:pPr>
        <w:widowControl/>
        <w:spacing w:line="440" w:lineRule="exact"/>
        <w:ind w:firstLine="480" w:firstLineChars="200"/>
        <w:jc w:val="left"/>
        <w:rPr>
          <w:rFonts w:hint="eastAsia" w:ascii="宋体" w:hAnsi="宋体" w:cs="宋体"/>
          <w:color w:val="000000"/>
          <w:sz w:val="24"/>
        </w:rPr>
      </w:pPr>
      <w:r>
        <w:rPr>
          <w:rFonts w:hint="eastAsia" w:ascii="宋体" w:hAnsi="宋体" w:cs="宋体"/>
          <w:color w:val="000000"/>
          <w:kern w:val="0"/>
          <w:sz w:val="24"/>
          <w:lang w:bidi="ar"/>
        </w:rPr>
        <w:t>以上企业，不属于大企业的分支机构，不存在控股股东为大企业的情形，也不存在与大企业的负责人为同一人的情形。</w:t>
      </w:r>
    </w:p>
    <w:p>
      <w:pPr>
        <w:widowControl/>
        <w:spacing w:line="440" w:lineRule="exact"/>
        <w:jc w:val="left"/>
        <w:rPr>
          <w:rFonts w:hint="eastAsia" w:ascii="宋体" w:hAnsi="宋体" w:cs="宋体"/>
          <w:color w:val="000000"/>
          <w:sz w:val="24"/>
        </w:rPr>
      </w:pPr>
      <w:r>
        <w:rPr>
          <w:rFonts w:hint="eastAsia" w:ascii="宋体" w:hAnsi="宋体" w:cs="宋体"/>
          <w:color w:val="000000"/>
          <w:kern w:val="0"/>
          <w:sz w:val="24"/>
          <w:lang w:bidi="ar"/>
        </w:rPr>
        <w:t xml:space="preserve">本企业对上述声明内容的真实性负责。如有虚假，将依法承担相应责任。 </w:t>
      </w:r>
    </w:p>
    <w:p>
      <w:pPr>
        <w:widowControl/>
        <w:spacing w:line="440" w:lineRule="exact"/>
        <w:jc w:val="right"/>
        <w:rPr>
          <w:rFonts w:hint="eastAsia" w:ascii="宋体" w:hAnsi="宋体" w:cs="宋体"/>
          <w:color w:val="000000"/>
          <w:sz w:val="24"/>
        </w:rPr>
      </w:pPr>
      <w:r>
        <w:rPr>
          <w:rFonts w:hint="eastAsia" w:ascii="宋体" w:hAnsi="宋体" w:cs="宋体"/>
          <w:color w:val="000000"/>
          <w:kern w:val="0"/>
          <w:sz w:val="24"/>
          <w:lang w:bidi="ar"/>
        </w:rPr>
        <w:t xml:space="preserve">企业名称（盖章）： </w:t>
      </w:r>
    </w:p>
    <w:p>
      <w:pPr>
        <w:widowControl/>
        <w:spacing w:line="440" w:lineRule="exact"/>
        <w:jc w:val="right"/>
        <w:rPr>
          <w:rFonts w:hint="eastAsia" w:ascii="宋体" w:hAnsi="宋体" w:cs="宋体"/>
          <w:color w:val="000000"/>
          <w:sz w:val="24"/>
        </w:rPr>
      </w:pPr>
      <w:r>
        <w:rPr>
          <w:rFonts w:hint="eastAsia" w:ascii="宋体" w:hAnsi="宋体" w:cs="宋体"/>
          <w:color w:val="000000"/>
          <w:kern w:val="0"/>
          <w:sz w:val="24"/>
          <w:lang w:bidi="ar"/>
        </w:rPr>
        <w:t xml:space="preserve">日 期： </w:t>
      </w:r>
    </w:p>
    <w:p>
      <w:pPr>
        <w:widowControl/>
        <w:spacing w:line="440" w:lineRule="exact"/>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从业人员、营业收入、资产总额填报上一年度数据，无上一年度数据的新成立企业可不填报。</w:t>
      </w:r>
    </w:p>
    <w:p>
      <w:pPr>
        <w:adjustRightInd w:val="0"/>
        <w:snapToGrid w:val="0"/>
        <w:spacing w:line="460" w:lineRule="atLeast"/>
        <w:rPr>
          <w:rFonts w:ascii="宋体" w:hAnsi="宋体" w:cs="宋体"/>
          <w:b/>
          <w:bCs/>
          <w:spacing w:val="20"/>
          <w:sz w:val="32"/>
          <w:szCs w:val="32"/>
        </w:rPr>
      </w:pPr>
    </w:p>
    <w:p>
      <w:pPr>
        <w:pStyle w:val="45"/>
        <w:rPr>
          <w:rFonts w:ascii="宋体" w:hAnsi="宋体"/>
          <w:b/>
          <w:bCs/>
          <w:spacing w:val="20"/>
          <w:sz w:val="32"/>
          <w:szCs w:val="32"/>
        </w:rPr>
      </w:pPr>
    </w:p>
    <w:p>
      <w:pPr>
        <w:rPr>
          <w:rFonts w:ascii="宋体" w:hAnsi="宋体"/>
          <w:b/>
          <w:bCs/>
          <w:spacing w:val="20"/>
          <w:sz w:val="32"/>
          <w:szCs w:val="32"/>
        </w:rPr>
      </w:pPr>
    </w:p>
    <w:p>
      <w:pPr>
        <w:rPr>
          <w:rFonts w:ascii="宋体" w:hAnsi="宋体"/>
          <w:b/>
          <w:bCs/>
          <w:spacing w:val="20"/>
          <w:sz w:val="32"/>
          <w:szCs w:val="32"/>
        </w:rPr>
      </w:pPr>
    </w:p>
    <w:p>
      <w:pPr>
        <w:adjustRightInd w:val="0"/>
        <w:snapToGrid w:val="0"/>
        <w:spacing w:line="460" w:lineRule="atLeast"/>
        <w:rPr>
          <w:rFonts w:hint="eastAsia" w:ascii="宋体" w:hAnsi="宋体" w:cs="宋体"/>
          <w:b/>
          <w:bCs/>
          <w:spacing w:val="20"/>
          <w:sz w:val="32"/>
          <w:szCs w:val="32"/>
        </w:rPr>
      </w:pPr>
    </w:p>
    <w:p>
      <w:pPr>
        <w:adjustRightInd w:val="0"/>
        <w:snapToGrid w:val="0"/>
        <w:spacing w:line="460" w:lineRule="atLeast"/>
        <w:rPr>
          <w:rFonts w:ascii="宋体" w:hAnsi="宋体" w:cs="宋体"/>
          <w:b/>
          <w:bCs/>
          <w:spacing w:val="20"/>
          <w:sz w:val="32"/>
          <w:szCs w:val="32"/>
        </w:rPr>
      </w:pPr>
      <w:r>
        <w:rPr>
          <w:rFonts w:hint="eastAsia" w:ascii="宋体" w:hAnsi="宋体" w:cs="宋体"/>
          <w:b/>
          <w:bCs/>
          <w:spacing w:val="20"/>
          <w:sz w:val="32"/>
          <w:szCs w:val="32"/>
        </w:rPr>
        <w:t>附件十三</w:t>
      </w:r>
      <w:r>
        <w:rPr>
          <w:rFonts w:hint="eastAsia" w:ascii="宋体" w:hAnsi="宋体" w:cs="宋体"/>
          <w:b/>
          <w:sz w:val="24"/>
        </w:rPr>
        <w:t>（如有）监狱企业证明文件</w:t>
      </w:r>
    </w:p>
    <w:p>
      <w:pPr>
        <w:spacing w:line="440" w:lineRule="exact"/>
        <w:ind w:firstLine="440" w:firstLineChars="200"/>
        <w:rPr>
          <w:rFonts w:ascii="宋体" w:hAnsi="宋体" w:cs="宋体"/>
          <w:sz w:val="22"/>
          <w:szCs w:val="22"/>
          <w:u w:val="single"/>
        </w:rPr>
      </w:pPr>
      <w:r>
        <w:rPr>
          <w:rFonts w:hint="eastAsia" w:ascii="宋体" w:hAnsi="宋体" w:cs="宋体"/>
          <w:sz w:val="22"/>
          <w:szCs w:val="22"/>
          <w:u w:val="single"/>
        </w:rPr>
        <w:t>监狱企业证明文件：省级或以上监狱管理局、戒毒管理局（含新疆生产建设兵团）出具的属于监狱企业的证明文件。（2）如果提供其他监狱企业制造的货物，还须同时提供该企业为监狱企业的证明文件。</w:t>
      </w:r>
    </w:p>
    <w:p>
      <w:pPr>
        <w:adjustRightInd w:val="0"/>
        <w:snapToGrid w:val="0"/>
        <w:spacing w:line="460" w:lineRule="atLeast"/>
        <w:rPr>
          <w:rFonts w:ascii="宋体" w:hAnsi="宋体" w:cs="宋体"/>
          <w:b/>
          <w:bCs/>
          <w:spacing w:val="20"/>
          <w:sz w:val="32"/>
          <w:szCs w:val="32"/>
        </w:rPr>
      </w:pPr>
    </w:p>
    <w:p>
      <w:pPr>
        <w:adjustRightInd w:val="0"/>
        <w:snapToGrid w:val="0"/>
        <w:spacing w:line="460" w:lineRule="atLeast"/>
        <w:rPr>
          <w:rFonts w:ascii="宋体" w:hAnsi="宋体" w:cs="宋体"/>
          <w:b/>
          <w:bCs/>
          <w:spacing w:val="20"/>
          <w:sz w:val="32"/>
          <w:szCs w:val="32"/>
        </w:rPr>
      </w:pPr>
    </w:p>
    <w:p>
      <w:pPr>
        <w:adjustRightInd w:val="0"/>
        <w:snapToGrid w:val="0"/>
        <w:spacing w:line="460" w:lineRule="atLeast"/>
        <w:rPr>
          <w:rFonts w:ascii="宋体" w:hAnsi="宋体" w:cs="宋体"/>
          <w:b/>
          <w:bCs/>
          <w:spacing w:val="20"/>
          <w:sz w:val="32"/>
          <w:szCs w:val="32"/>
        </w:rPr>
      </w:pPr>
      <w:r>
        <w:rPr>
          <w:rFonts w:hint="eastAsia" w:ascii="宋体" w:hAnsi="宋体" w:cs="宋体"/>
          <w:b/>
          <w:bCs/>
          <w:spacing w:val="20"/>
          <w:sz w:val="32"/>
          <w:szCs w:val="32"/>
        </w:rPr>
        <w:t>附件十四</w:t>
      </w:r>
      <w:r>
        <w:rPr>
          <w:rFonts w:hint="eastAsia" w:ascii="宋体" w:hAnsi="宋体" w:cs="宋体"/>
          <w:b/>
          <w:sz w:val="24"/>
        </w:rPr>
        <w:t>（如有）</w:t>
      </w:r>
    </w:p>
    <w:p>
      <w:pPr>
        <w:spacing w:line="480" w:lineRule="auto"/>
        <w:jc w:val="center"/>
        <w:rPr>
          <w:rFonts w:ascii="宋体" w:hAnsi="宋体" w:cs="宋体"/>
          <w:b/>
          <w:sz w:val="24"/>
        </w:rPr>
      </w:pPr>
    </w:p>
    <w:p>
      <w:pPr>
        <w:spacing w:line="480" w:lineRule="auto"/>
        <w:jc w:val="center"/>
        <w:rPr>
          <w:rFonts w:ascii="宋体" w:hAnsi="宋体" w:cs="宋体"/>
          <w:b/>
          <w:sz w:val="32"/>
          <w:szCs w:val="32"/>
        </w:rPr>
      </w:pPr>
      <w:r>
        <w:rPr>
          <w:rFonts w:hint="eastAsia" w:ascii="宋体" w:hAnsi="宋体" w:cs="宋体"/>
          <w:b/>
          <w:sz w:val="32"/>
          <w:szCs w:val="32"/>
        </w:rPr>
        <w:t>残疾人福利性单位声明函</w:t>
      </w:r>
    </w:p>
    <w:p>
      <w:pPr>
        <w:spacing w:line="480" w:lineRule="auto"/>
        <w:rPr>
          <w:rFonts w:ascii="宋体" w:hAnsi="宋体" w:cs="宋体"/>
          <w:b/>
          <w:sz w:val="24"/>
        </w:rPr>
      </w:pPr>
    </w:p>
    <w:p>
      <w:pPr>
        <w:widowControl/>
        <w:spacing w:before="100" w:beforeAutospacing="1" w:after="100" w:afterAutospacing="1" w:line="480" w:lineRule="auto"/>
        <w:ind w:firstLine="360" w:firstLineChars="150"/>
        <w:jc w:val="left"/>
        <w:rPr>
          <w:rFonts w:ascii="宋体" w:hAnsi="宋体" w:cs="宋体"/>
          <w:kern w:val="0"/>
          <w:sz w:val="24"/>
        </w:rPr>
      </w:pPr>
      <w:r>
        <w:rPr>
          <w:rFonts w:hint="eastAsia" w:ascii="宋体" w:hAnsi="宋体" w:cs="宋体"/>
          <w:kern w:val="0"/>
          <w:sz w:val="24"/>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kern w:val="0"/>
          <w:sz w:val="24"/>
          <w:u w:val="single"/>
        </w:rPr>
        <w:t xml:space="preserve">      项目名称   </w:t>
      </w:r>
      <w:r>
        <w:rPr>
          <w:rFonts w:hint="eastAsia" w:ascii="宋体" w:hAnsi="宋体" w:cs="宋体"/>
          <w:kern w:val="0"/>
          <w:sz w:val="24"/>
        </w:rPr>
        <w:t>（项目编号）采购活动提供本单位制造的货物（由本单位承担工程/提供服务），或者提供其他残疾人福利性单位制造的货物（不包括使用非残疾人福利性单位注册商标的货物）。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480" w:lineRule="auto"/>
        <w:ind w:firstLine="360" w:firstLineChars="150"/>
        <w:jc w:val="left"/>
        <w:rPr>
          <w:rFonts w:ascii="宋体" w:hAnsi="宋体" w:cs="宋体"/>
          <w:kern w:val="0"/>
          <w:sz w:val="24"/>
        </w:rPr>
      </w:pPr>
      <w:r>
        <w:rPr>
          <w:rFonts w:hint="eastAsia" w:ascii="宋体" w:hAnsi="宋体" w:cs="宋体"/>
          <w:kern w:val="0"/>
          <w:sz w:val="24"/>
        </w:rPr>
        <w:t>本单位对上述声明的真实性负责。如有虚假，将依法承担相应责任。</w:t>
      </w:r>
    </w:p>
    <w:p>
      <w:pPr>
        <w:snapToGrid w:val="0"/>
        <w:spacing w:line="360" w:lineRule="atLeast"/>
        <w:ind w:firstLine="570"/>
        <w:outlineLvl w:val="0"/>
        <w:rPr>
          <w:rFonts w:ascii="宋体" w:hAnsi="宋体" w:cs="宋体"/>
          <w:bCs/>
          <w:kern w:val="0"/>
          <w:sz w:val="36"/>
          <w:szCs w:val="36"/>
        </w:rPr>
      </w:pPr>
    </w:p>
    <w:p>
      <w:pPr>
        <w:widowControl/>
        <w:spacing w:before="100" w:beforeAutospacing="1" w:after="100" w:afterAutospacing="1" w:line="480" w:lineRule="auto"/>
        <w:ind w:firstLine="360" w:firstLineChars="150"/>
        <w:jc w:val="left"/>
        <w:rPr>
          <w:rFonts w:ascii="宋体" w:hAnsi="宋体" w:cs="宋体"/>
          <w:kern w:val="0"/>
          <w:sz w:val="24"/>
        </w:rPr>
      </w:pPr>
      <w:r>
        <w:rPr>
          <w:rFonts w:hint="eastAsia" w:ascii="宋体" w:hAnsi="宋体" w:cs="宋体"/>
          <w:kern w:val="0"/>
          <w:sz w:val="24"/>
        </w:rPr>
        <w:t xml:space="preserve">企业名称（盖章）： </w:t>
      </w:r>
    </w:p>
    <w:p>
      <w:pPr>
        <w:widowControl/>
        <w:spacing w:before="100" w:beforeAutospacing="1" w:after="100" w:afterAutospacing="1" w:line="480" w:lineRule="auto"/>
        <w:ind w:firstLine="360" w:firstLineChars="150"/>
        <w:jc w:val="left"/>
        <w:rPr>
          <w:rFonts w:ascii="宋体" w:hAnsi="宋体" w:cs="宋体"/>
          <w:kern w:val="0"/>
          <w:sz w:val="24"/>
        </w:rPr>
      </w:pPr>
      <w:r>
        <w:rPr>
          <w:rFonts w:hint="eastAsia" w:ascii="宋体" w:hAnsi="宋体" w:cs="宋体"/>
          <w:kern w:val="0"/>
          <w:sz w:val="24"/>
        </w:rPr>
        <w:t>日期：</w:t>
      </w:r>
    </w:p>
    <w:p>
      <w:pPr>
        <w:spacing w:line="480" w:lineRule="auto"/>
        <w:rPr>
          <w:rFonts w:ascii="宋体" w:hAnsi="宋体" w:cs="宋体"/>
          <w:b/>
          <w:sz w:val="24"/>
        </w:rPr>
      </w:pPr>
    </w:p>
    <w:p>
      <w:pPr>
        <w:rPr>
          <w:rFonts w:ascii="宋体" w:hAnsi="宋体" w:cs="宋体"/>
          <w:b/>
          <w:kern w:val="0"/>
          <w:sz w:val="24"/>
        </w:rPr>
      </w:pPr>
    </w:p>
    <w:p>
      <w:pPr>
        <w:autoSpaceDE w:val="0"/>
        <w:autoSpaceDN w:val="0"/>
        <w:adjustRightInd w:val="0"/>
        <w:jc w:val="left"/>
        <w:rPr>
          <w:rFonts w:ascii="宋体" w:hAnsi="宋体" w:cs="宋体"/>
          <w:kern w:val="0"/>
          <w:sz w:val="29"/>
          <w:szCs w:val="29"/>
        </w:rPr>
      </w:pPr>
    </w:p>
    <w:p>
      <w:pPr>
        <w:autoSpaceDE w:val="0"/>
        <w:autoSpaceDN w:val="0"/>
        <w:adjustRightInd w:val="0"/>
        <w:jc w:val="left"/>
        <w:rPr>
          <w:rFonts w:ascii="宋体" w:hAnsi="宋体" w:cs="宋体"/>
          <w:kern w:val="0"/>
          <w:sz w:val="29"/>
          <w:szCs w:val="29"/>
        </w:rPr>
      </w:pPr>
      <w:r>
        <w:rPr>
          <w:rFonts w:hint="eastAsia" w:ascii="宋体" w:hAnsi="宋体" w:cs="宋体"/>
          <w:kern w:val="0"/>
          <w:sz w:val="29"/>
          <w:szCs w:val="29"/>
        </w:rPr>
        <w:t>附件十五</w:t>
      </w:r>
    </w:p>
    <w:p>
      <w:pPr>
        <w:autoSpaceDE w:val="0"/>
        <w:autoSpaceDN w:val="0"/>
        <w:adjustRightInd w:val="0"/>
        <w:jc w:val="center"/>
        <w:rPr>
          <w:rFonts w:ascii="宋体" w:hAnsi="宋体" w:cs="宋体"/>
          <w:kern w:val="0"/>
          <w:sz w:val="29"/>
          <w:szCs w:val="29"/>
        </w:rPr>
      </w:pPr>
      <w:r>
        <w:rPr>
          <w:rFonts w:hint="eastAsia" w:ascii="宋体" w:hAnsi="宋体" w:cs="宋体"/>
          <w:kern w:val="0"/>
          <w:sz w:val="29"/>
          <w:szCs w:val="29"/>
        </w:rPr>
        <w:t>政府采购活动现场确认声明书</w:t>
      </w:r>
    </w:p>
    <w:p>
      <w:pPr>
        <w:autoSpaceDE w:val="0"/>
        <w:autoSpaceDN w:val="0"/>
        <w:adjustRightInd w:val="0"/>
        <w:jc w:val="left"/>
        <w:rPr>
          <w:rFonts w:ascii="宋体" w:hAnsi="宋体" w:cs="宋体"/>
          <w:kern w:val="0"/>
          <w:sz w:val="19"/>
          <w:szCs w:val="19"/>
        </w:rPr>
      </w:pPr>
      <w:r>
        <w:rPr>
          <w:rFonts w:hint="eastAsia" w:ascii="宋体" w:hAnsi="宋体" w:cs="宋体"/>
          <w:sz w:val="24"/>
          <w:u w:val="single"/>
        </w:rPr>
        <w:t>杭州华旗招标代理有限公司</w:t>
      </w:r>
      <w:r>
        <w:rPr>
          <w:rFonts w:hint="eastAsia" w:ascii="宋体" w:hAnsi="宋体" w:cs="宋体"/>
          <w:kern w:val="0"/>
          <w:sz w:val="19"/>
          <w:szCs w:val="19"/>
        </w:rPr>
        <w:t xml:space="preserve"> :</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 xml:space="preserve">本人 ____________（授权代表姓名），经由______________________________（单位） ____________（法定代表人姓名）合法授权参加 中共龙港市委政法委员会龙港市司法局社区矫正“智慧矫正中心”创建项目项目 （编号： </w:t>
      </w:r>
      <w:r>
        <w:rPr>
          <w:rFonts w:hint="eastAsia" w:ascii="宋体" w:hAnsi="宋体" w:cs="宋体"/>
          <w:kern w:val="0"/>
          <w:sz w:val="19"/>
          <w:szCs w:val="19"/>
          <w:lang w:eastAsia="zh-CN"/>
        </w:rPr>
        <w:t>LGCG2024</w:t>
      </w:r>
      <w:r>
        <w:rPr>
          <w:rFonts w:hint="eastAsia" w:ascii="宋体" w:hAnsi="宋体" w:cs="宋体"/>
          <w:kern w:val="0"/>
          <w:sz w:val="19"/>
          <w:szCs w:val="19"/>
        </w:rPr>
        <w:t>）政府采购活动．经与本单位法人代表（负责人）联系确认，现就有关公平竞争事项郑重声明如下:</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一、本单位与采购人之间口不存在利害关系口存在下列利害关系: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A．投资关系 B．行政隶属关系 C．业务指导关系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D．其他可能影响采购公正的利害关系（如有，请如实说明）。</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二、现己清楚知道参加本项目采购活动的其他所有供应商名称，本单位 口与其他所有供应商之间均不存在利害关系 口与______________（供应商名称）之间存在下列利害关系: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A．法定代表人或负责人或实际控制人是同一人</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B．法定代表人或负责人或实际控制人是夫妻关系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C．法定代表人或负责人或实际控制人是直系血亲关系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D．法定代表人或负责人或实际控制人存在三代以内旁系血亲关系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E．法定代表人或负责人或实际控制人存在近姻亲关系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F．法定代表人或负责人或实际控制人存在股份控制或实际控制关系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G．存在共同直接或间接投资设立子公司、联营企业和合营企业情况</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H．存在分级代理或代销关系、同一生产制造商关系、管理关系、重要业务（占主昔业务收入 50 ％以上）或重要财务往来关系（如融资）等其他实质性控制关系</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I．其他利害关系情况 ________________________________________。</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三、现己清楚知道并严格遵守政府采购法律法规和现场纪律。</w:t>
      </w: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四、我发现 ____________________供应商之间存在或可能存在上述第二条第 ____________项利害关系。</w:t>
      </w:r>
    </w:p>
    <w:p>
      <w:pPr>
        <w:autoSpaceDE w:val="0"/>
        <w:autoSpaceDN w:val="0"/>
        <w:adjustRightInd w:val="0"/>
        <w:jc w:val="left"/>
        <w:rPr>
          <w:rFonts w:ascii="宋体" w:hAnsi="宋体" w:cs="宋体"/>
          <w:kern w:val="0"/>
          <w:sz w:val="19"/>
          <w:szCs w:val="19"/>
        </w:rPr>
      </w:pPr>
    </w:p>
    <w:p>
      <w:pPr>
        <w:autoSpaceDE w:val="0"/>
        <w:autoSpaceDN w:val="0"/>
        <w:adjustRightInd w:val="0"/>
        <w:jc w:val="left"/>
        <w:rPr>
          <w:rFonts w:ascii="宋体" w:hAnsi="宋体" w:cs="宋体"/>
          <w:kern w:val="0"/>
          <w:sz w:val="19"/>
          <w:szCs w:val="19"/>
        </w:rPr>
      </w:pPr>
      <w:r>
        <w:rPr>
          <w:rFonts w:hint="eastAsia" w:ascii="宋体" w:hAnsi="宋体" w:cs="宋体"/>
          <w:kern w:val="0"/>
          <w:sz w:val="19"/>
          <w:szCs w:val="19"/>
        </w:rPr>
        <w:t>（供应商公章或代表签名）:</w:t>
      </w:r>
    </w:p>
    <w:p>
      <w:pPr>
        <w:jc w:val="right"/>
        <w:rPr>
          <w:rFonts w:ascii="宋体" w:hAnsi="宋体" w:cs="宋体"/>
          <w:kern w:val="0"/>
          <w:sz w:val="19"/>
          <w:szCs w:val="19"/>
        </w:rPr>
      </w:pPr>
    </w:p>
    <w:p>
      <w:pPr>
        <w:jc w:val="right"/>
        <w:rPr>
          <w:rFonts w:ascii="宋体" w:hAnsi="宋体" w:cs="宋体"/>
          <w:kern w:val="0"/>
          <w:sz w:val="19"/>
          <w:szCs w:val="19"/>
        </w:rPr>
      </w:pPr>
    </w:p>
    <w:p>
      <w:pPr>
        <w:wordWrap w:val="0"/>
        <w:jc w:val="right"/>
        <w:rPr>
          <w:rFonts w:ascii="宋体" w:hAnsi="宋体" w:cs="宋体"/>
          <w:kern w:val="0"/>
          <w:sz w:val="19"/>
          <w:szCs w:val="19"/>
        </w:rPr>
      </w:pPr>
      <w:r>
        <w:rPr>
          <w:rFonts w:hint="eastAsia" w:ascii="宋体" w:hAnsi="宋体" w:cs="宋体"/>
          <w:kern w:val="0"/>
          <w:sz w:val="19"/>
          <w:szCs w:val="19"/>
        </w:rPr>
        <w:t xml:space="preserve"> 年   月  日</w:t>
      </w:r>
    </w:p>
    <w:p>
      <w:pPr>
        <w:jc w:val="right"/>
        <w:rPr>
          <w:rFonts w:ascii="宋体" w:hAnsi="宋体" w:cs="宋体"/>
          <w:kern w:val="0"/>
          <w:sz w:val="19"/>
          <w:szCs w:val="19"/>
        </w:rPr>
      </w:pPr>
    </w:p>
    <w:p>
      <w:pPr>
        <w:jc w:val="right"/>
        <w:rPr>
          <w:rFonts w:ascii="宋体" w:hAnsi="宋体" w:cs="宋体"/>
          <w:kern w:val="0"/>
          <w:sz w:val="19"/>
          <w:szCs w:val="19"/>
        </w:rPr>
      </w:pPr>
    </w:p>
    <w:p>
      <w:pPr>
        <w:pStyle w:val="45"/>
        <w:rPr>
          <w:rFonts w:ascii="宋体" w:hAnsi="宋体"/>
          <w:sz w:val="22"/>
          <w:szCs w:val="22"/>
        </w:rPr>
      </w:pPr>
    </w:p>
    <w:p>
      <w:pPr>
        <w:pStyle w:val="45"/>
        <w:rPr>
          <w:rFonts w:ascii="宋体" w:hAnsi="宋体"/>
          <w:sz w:val="22"/>
          <w:szCs w:val="22"/>
        </w:rPr>
      </w:pPr>
    </w:p>
    <w:p>
      <w:pPr>
        <w:pStyle w:val="45"/>
        <w:rPr>
          <w:rFonts w:ascii="宋体" w:hAnsi="宋体"/>
          <w:sz w:val="22"/>
          <w:szCs w:val="22"/>
        </w:rPr>
      </w:pPr>
    </w:p>
    <w:p>
      <w:pPr>
        <w:pStyle w:val="45"/>
        <w:rPr>
          <w:rFonts w:ascii="宋体" w:hAnsi="宋体"/>
          <w:sz w:val="22"/>
          <w:szCs w:val="22"/>
        </w:rPr>
      </w:pPr>
    </w:p>
    <w:p>
      <w:pPr>
        <w:pStyle w:val="45"/>
        <w:rPr>
          <w:rFonts w:ascii="宋体" w:hAnsi="宋体"/>
          <w:sz w:val="22"/>
          <w:szCs w:val="22"/>
        </w:rPr>
      </w:pPr>
    </w:p>
    <w:p>
      <w:pPr>
        <w:pStyle w:val="2"/>
        <w:keepNext w:val="0"/>
        <w:keepLines w:val="0"/>
        <w:pageBreakBefore/>
        <w:jc w:val="center"/>
        <w:rPr>
          <w:rFonts w:ascii="宋体" w:hAnsi="宋体" w:cs="宋体"/>
          <w:spacing w:val="100"/>
          <w:kern w:val="28"/>
          <w:sz w:val="32"/>
        </w:rPr>
      </w:pPr>
      <w:r>
        <w:rPr>
          <w:rFonts w:hint="eastAsia" w:ascii="宋体" w:hAnsi="宋体" w:cs="宋体"/>
          <w:sz w:val="32"/>
        </w:rPr>
        <w:t>第六章</w:t>
      </w:r>
      <w:r>
        <w:rPr>
          <w:rFonts w:hint="eastAsia" w:ascii="宋体" w:hAnsi="宋体" w:cs="宋体"/>
          <w:spacing w:val="40"/>
          <w:sz w:val="32"/>
        </w:rPr>
        <w:t xml:space="preserve">  </w:t>
      </w:r>
      <w:r>
        <w:rPr>
          <w:rFonts w:hint="eastAsia" w:ascii="宋体" w:hAnsi="宋体" w:cs="宋体"/>
          <w:spacing w:val="32"/>
          <w:kern w:val="28"/>
          <w:sz w:val="32"/>
          <w:szCs w:val="32"/>
        </w:rPr>
        <w:t>评标原则及方法</w:t>
      </w:r>
    </w:p>
    <w:p>
      <w:pPr>
        <w:spacing w:line="500" w:lineRule="exact"/>
        <w:ind w:firstLine="440" w:firstLineChars="200"/>
        <w:rPr>
          <w:rFonts w:ascii="宋体" w:hAnsi="宋体" w:cs="宋体"/>
          <w:bCs/>
          <w:kern w:val="28"/>
          <w:sz w:val="22"/>
          <w:szCs w:val="22"/>
        </w:rPr>
      </w:pPr>
      <w:r>
        <w:rPr>
          <w:rFonts w:hint="eastAsia" w:ascii="宋体" w:hAnsi="宋体" w:cs="宋体"/>
          <w:bCs/>
          <w:kern w:val="28"/>
          <w:sz w:val="22"/>
          <w:szCs w:val="22"/>
        </w:rPr>
        <w:t>根据《中华人民共和国政府采购法》和《政府采购货物和服务招标投标管理办法》等相关法规和本项目招标文件，特制定本办法。</w:t>
      </w:r>
    </w:p>
    <w:p>
      <w:pPr>
        <w:spacing w:line="500" w:lineRule="exact"/>
        <w:rPr>
          <w:rFonts w:ascii="宋体" w:hAnsi="宋体" w:cs="宋体"/>
          <w:b/>
          <w:bCs/>
          <w:kern w:val="28"/>
          <w:sz w:val="22"/>
          <w:szCs w:val="22"/>
        </w:rPr>
      </w:pPr>
      <w:r>
        <w:rPr>
          <w:rFonts w:hint="eastAsia" w:ascii="宋体" w:hAnsi="宋体" w:cs="宋体"/>
          <w:b/>
          <w:bCs/>
          <w:kern w:val="28"/>
          <w:sz w:val="22"/>
          <w:szCs w:val="22"/>
        </w:rPr>
        <w:t>一、 评标原则</w:t>
      </w:r>
    </w:p>
    <w:p>
      <w:pPr>
        <w:spacing w:line="500" w:lineRule="exact"/>
        <w:ind w:firstLine="440" w:firstLineChars="200"/>
        <w:rPr>
          <w:rFonts w:ascii="宋体" w:hAnsi="宋体" w:cs="宋体"/>
          <w:bCs/>
          <w:kern w:val="28"/>
          <w:sz w:val="22"/>
          <w:szCs w:val="22"/>
        </w:rPr>
      </w:pPr>
      <w:r>
        <w:rPr>
          <w:rFonts w:hint="eastAsia" w:ascii="宋体" w:hAnsi="宋体" w:cs="宋体"/>
          <w:bCs/>
          <w:kern w:val="28"/>
          <w:sz w:val="22"/>
          <w:szCs w:val="22"/>
        </w:rPr>
        <w:t>为最大限度地保护当事人的权益，评标委员会应严格按照招标文件的技术、商务要求，对投标文件进行综合分析、对比、评价，编制评标报告。评标人员必须严格遵守保密规定，不得泄漏评标的有关情况，不得索贿受贿，不得接受吃请和礼品，不得参加影响公正评标的有关活动。投标人不得以任何方式干扰招投标工作的进行，一经发现其投标文件将被拒绝。对落标单位，评标委员会不作任何落标解释。</w:t>
      </w:r>
    </w:p>
    <w:p>
      <w:pPr>
        <w:spacing w:line="500" w:lineRule="exact"/>
        <w:ind w:firstLine="440" w:firstLineChars="200"/>
        <w:rPr>
          <w:rFonts w:ascii="宋体" w:hAnsi="宋体" w:cs="宋体"/>
          <w:bCs/>
          <w:kern w:val="28"/>
          <w:sz w:val="22"/>
          <w:szCs w:val="22"/>
        </w:rPr>
      </w:pPr>
      <w:r>
        <w:rPr>
          <w:rFonts w:hint="eastAsia" w:ascii="宋体" w:hAnsi="宋体" w:cs="宋体"/>
          <w:bCs/>
          <w:kern w:val="28"/>
          <w:sz w:val="22"/>
          <w:szCs w:val="22"/>
        </w:rPr>
        <w:t>评标应遵循公平、公正、科学、择优的原则推荐备选中标人。</w:t>
      </w:r>
    </w:p>
    <w:p>
      <w:pPr>
        <w:spacing w:line="500" w:lineRule="exact"/>
        <w:rPr>
          <w:rFonts w:ascii="宋体" w:hAnsi="宋体" w:cs="宋体"/>
          <w:b/>
          <w:bCs/>
          <w:kern w:val="28"/>
          <w:sz w:val="22"/>
          <w:szCs w:val="22"/>
        </w:rPr>
      </w:pPr>
      <w:r>
        <w:rPr>
          <w:rFonts w:hint="eastAsia" w:ascii="宋体" w:hAnsi="宋体" w:cs="宋体"/>
          <w:b/>
          <w:bCs/>
          <w:kern w:val="28"/>
          <w:sz w:val="22"/>
          <w:szCs w:val="22"/>
        </w:rPr>
        <w:t>二、评标组织</w:t>
      </w:r>
    </w:p>
    <w:p>
      <w:pPr>
        <w:spacing w:line="500" w:lineRule="exact"/>
        <w:ind w:firstLine="440" w:firstLineChars="200"/>
        <w:rPr>
          <w:rFonts w:ascii="宋体" w:hAnsi="宋体" w:cs="宋体"/>
          <w:bCs/>
          <w:kern w:val="28"/>
          <w:sz w:val="22"/>
          <w:szCs w:val="22"/>
        </w:rPr>
      </w:pPr>
      <w:r>
        <w:rPr>
          <w:rFonts w:hint="eastAsia" w:ascii="宋体" w:hAnsi="宋体" w:cs="宋体"/>
          <w:bCs/>
          <w:kern w:val="28"/>
          <w:sz w:val="22"/>
          <w:szCs w:val="22"/>
        </w:rPr>
        <w:t>评标工作由采购机构组建的评标委员会负责，评标过程由有关部门负责指导监督。评标委员会由</w:t>
      </w:r>
      <w:r>
        <w:rPr>
          <w:rFonts w:hint="eastAsia" w:ascii="宋体" w:hAnsi="宋体" w:cs="宋体"/>
          <w:sz w:val="22"/>
          <w:szCs w:val="22"/>
        </w:rPr>
        <w:t>采购</w:t>
      </w:r>
      <w:r>
        <w:rPr>
          <w:rFonts w:hint="eastAsia" w:ascii="宋体" w:hAnsi="宋体" w:cs="宋体"/>
          <w:bCs/>
          <w:kern w:val="28"/>
          <w:sz w:val="22"/>
          <w:szCs w:val="22"/>
        </w:rPr>
        <w:t xml:space="preserve">人的代表和有关专家组成，成员人数为五人或五人以上单数。 </w:t>
      </w:r>
    </w:p>
    <w:p>
      <w:pPr>
        <w:spacing w:line="500" w:lineRule="exact"/>
        <w:rPr>
          <w:rFonts w:ascii="宋体" w:hAnsi="宋体" w:cs="宋体"/>
          <w:b/>
          <w:bCs/>
          <w:kern w:val="28"/>
          <w:sz w:val="22"/>
          <w:szCs w:val="22"/>
        </w:rPr>
      </w:pPr>
      <w:r>
        <w:rPr>
          <w:rFonts w:hint="eastAsia" w:ascii="宋体" w:hAnsi="宋体" w:cs="宋体"/>
          <w:b/>
          <w:bCs/>
          <w:kern w:val="28"/>
          <w:sz w:val="22"/>
          <w:szCs w:val="22"/>
        </w:rPr>
        <w:t>三、评标办法</w:t>
      </w:r>
    </w:p>
    <w:p>
      <w:pPr>
        <w:adjustRightInd w:val="0"/>
        <w:snapToGrid w:val="0"/>
        <w:spacing w:line="360" w:lineRule="auto"/>
        <w:ind w:firstLine="440" w:firstLineChars="200"/>
        <w:rPr>
          <w:rFonts w:ascii="宋体" w:hAnsi="宋体" w:cs="宋体"/>
          <w:sz w:val="22"/>
          <w:szCs w:val="22"/>
        </w:rPr>
      </w:pPr>
      <w:r>
        <w:rPr>
          <w:rFonts w:hint="eastAsia" w:ascii="宋体" w:hAnsi="宋体" w:cs="宋体"/>
          <w:bCs/>
          <w:kern w:val="28"/>
          <w:sz w:val="22"/>
          <w:szCs w:val="22"/>
        </w:rPr>
        <w:t>1、采用</w:t>
      </w:r>
      <w:r>
        <w:rPr>
          <w:rFonts w:hint="eastAsia" w:ascii="宋体" w:hAnsi="宋体" w:cs="宋体"/>
          <w:sz w:val="22"/>
          <w:szCs w:val="22"/>
        </w:rPr>
        <w:t>技术资信文件合格通过后的</w:t>
      </w:r>
      <w:r>
        <w:rPr>
          <w:rFonts w:hint="eastAsia" w:ascii="宋体" w:hAnsi="宋体" w:cs="宋体"/>
          <w:bCs/>
          <w:kern w:val="28"/>
          <w:sz w:val="22"/>
          <w:szCs w:val="22"/>
        </w:rPr>
        <w:t>综合评分法（百分制法）</w:t>
      </w:r>
      <w:r>
        <w:rPr>
          <w:rFonts w:hint="eastAsia" w:ascii="宋体" w:hAnsi="宋体" w:cs="宋体"/>
          <w:sz w:val="22"/>
          <w:szCs w:val="22"/>
        </w:rPr>
        <w:t>，即投标人最大限度地满足招标文件实质性要求前提下，按照本评标方法的各项评分标准对其技术资信文件进行综合评审。并最终根据各技术资信文件合格投标人的技术资信文件和报价文件的合计得分由高到低确定中标候选人。</w:t>
      </w:r>
    </w:p>
    <w:p>
      <w:pPr>
        <w:spacing w:line="500" w:lineRule="exact"/>
        <w:ind w:left="210" w:leftChars="100"/>
        <w:rPr>
          <w:rFonts w:ascii="宋体" w:hAnsi="宋体" w:cs="宋体"/>
          <w:bCs/>
          <w:kern w:val="28"/>
          <w:sz w:val="22"/>
          <w:szCs w:val="22"/>
        </w:rPr>
      </w:pPr>
      <w:r>
        <w:rPr>
          <w:rFonts w:hint="eastAsia" w:ascii="宋体" w:hAnsi="宋体" w:cs="宋体"/>
          <w:bCs/>
          <w:kern w:val="28"/>
          <w:sz w:val="22"/>
          <w:szCs w:val="22"/>
        </w:rPr>
        <w:t>2、开标后，采购人首先对投标人资格性检查进行审查，审查合格后由</w:t>
      </w:r>
      <w:r>
        <w:rPr>
          <w:rFonts w:hint="eastAsia" w:ascii="宋体" w:hAnsi="宋体" w:cs="宋体"/>
          <w:sz w:val="22"/>
          <w:szCs w:val="22"/>
        </w:rPr>
        <w:t>评标委员会</w:t>
      </w:r>
      <w:r>
        <w:rPr>
          <w:rFonts w:hint="eastAsia" w:ascii="宋体" w:hAnsi="宋体" w:cs="宋体"/>
          <w:bCs/>
          <w:kern w:val="28"/>
          <w:sz w:val="22"/>
          <w:szCs w:val="22"/>
        </w:rPr>
        <w:t>进行符合性检查，凡投标书实质性内容和格式严重不符合有关规定或不响应招标文件要求者，经评标委员会认定作为无效投标，予以废除，不再进入后续评审。</w:t>
      </w:r>
      <w:r>
        <w:rPr>
          <w:rFonts w:hint="eastAsia" w:ascii="宋体" w:hAnsi="宋体" w:cs="宋体"/>
          <w:sz w:val="22"/>
          <w:szCs w:val="22"/>
        </w:rPr>
        <w:t>对投标文件中含义不明确，同类问题表达不一致或者有明显文字和计算错误的内容，评标委员会可以书面形式（应当由评标委员会专家签字）要求投标人做出必要的澄清、说明或者纠正。投标人的澄清、说明和纠正应当采用书面形式，由其授权代表人签字，并不得超出投标文件的范围或者改变投标文件的实质内容。</w:t>
      </w:r>
      <w:r>
        <w:rPr>
          <w:rFonts w:hint="eastAsia" w:ascii="宋体" w:hAnsi="宋体" w:cs="宋体"/>
          <w:bCs/>
          <w:kern w:val="28"/>
          <w:sz w:val="22"/>
          <w:szCs w:val="22"/>
        </w:rPr>
        <w:t>投标人做出书面答复作为投标书的补充文件。</w:t>
      </w:r>
    </w:p>
    <w:p>
      <w:pPr>
        <w:spacing w:line="500" w:lineRule="exact"/>
        <w:ind w:left="330" w:hanging="330" w:hangingChars="150"/>
        <w:rPr>
          <w:rFonts w:ascii="宋体" w:hAnsi="宋体" w:cs="宋体"/>
          <w:sz w:val="22"/>
          <w:szCs w:val="22"/>
          <w:u w:val="single"/>
        </w:rPr>
      </w:pPr>
      <w:r>
        <w:rPr>
          <w:rFonts w:hint="eastAsia" w:ascii="宋体" w:hAnsi="宋体" w:cs="宋体"/>
          <w:bCs/>
          <w:kern w:val="28"/>
          <w:sz w:val="22"/>
          <w:szCs w:val="22"/>
        </w:rPr>
        <w:t>3、</w:t>
      </w:r>
      <w:r>
        <w:rPr>
          <w:rFonts w:hint="eastAsia" w:ascii="宋体" w:hAnsi="宋体" w:cs="宋体"/>
          <w:sz w:val="22"/>
          <w:szCs w:val="22"/>
          <w:u w:val="single"/>
        </w:rPr>
        <w:t>评标委员会按照招标文件中规定的评标方法和标准，对符合性审查合格的投标文件进行报价和技术评估，综合比较与评价。</w:t>
      </w:r>
    </w:p>
    <w:p>
      <w:pPr>
        <w:spacing w:line="500" w:lineRule="exact"/>
        <w:ind w:left="331" w:hanging="331" w:hangingChars="150"/>
        <w:rPr>
          <w:rFonts w:ascii="宋体" w:hAnsi="宋体" w:cs="宋体"/>
          <w:b/>
          <w:sz w:val="22"/>
          <w:szCs w:val="22"/>
          <w:u w:val="single"/>
        </w:rPr>
      </w:pPr>
      <w:r>
        <w:rPr>
          <w:rFonts w:hint="eastAsia" w:ascii="宋体" w:hAnsi="宋体" w:cs="宋体"/>
          <w:b/>
          <w:sz w:val="22"/>
          <w:szCs w:val="22"/>
          <w:u w:val="single"/>
        </w:rPr>
        <w:t>（1）采用百分制打分法，其中技术资信70分，报价30分。</w:t>
      </w:r>
    </w:p>
    <w:p>
      <w:pPr>
        <w:spacing w:line="500" w:lineRule="exact"/>
        <w:rPr>
          <w:rFonts w:ascii="宋体" w:hAnsi="宋体" w:cs="宋体"/>
          <w:b/>
          <w:sz w:val="22"/>
          <w:szCs w:val="22"/>
          <w:u w:val="single"/>
        </w:rPr>
      </w:pPr>
      <w:r>
        <w:rPr>
          <w:rFonts w:hint="eastAsia" w:ascii="宋体" w:hAnsi="宋体" w:cs="宋体"/>
          <w:b/>
          <w:sz w:val="22"/>
          <w:szCs w:val="22"/>
          <w:u w:val="single"/>
        </w:rPr>
        <w:t>（2）本次招标设有最高限价人民币</w:t>
      </w:r>
      <w:r>
        <w:rPr>
          <w:rFonts w:hint="eastAsia" w:ascii="宋体" w:hAnsi="宋体" w:cs="宋体"/>
          <w:b/>
          <w:sz w:val="22"/>
          <w:szCs w:val="22"/>
          <w:u w:val="single"/>
          <w:lang w:val="en-US" w:eastAsia="zh-CN"/>
        </w:rPr>
        <w:t xml:space="preserve">     </w:t>
      </w:r>
      <w:r>
        <w:rPr>
          <w:rFonts w:hint="eastAsia" w:ascii="宋体" w:hAnsi="宋体" w:cs="宋体"/>
          <w:b/>
          <w:sz w:val="22"/>
          <w:szCs w:val="22"/>
          <w:u w:val="single"/>
        </w:rPr>
        <w:t>元，如果所有供应商的报价均超出采购预算或最高限价且采购人确认不能支付的情况，本次采购作流（废）标处理。如果仅仅某个（些）供应商的报价超出采购预算或最高限价，则该供应商作无效标处理。</w:t>
      </w:r>
    </w:p>
    <w:p>
      <w:pPr>
        <w:spacing w:line="500" w:lineRule="exact"/>
        <w:rPr>
          <w:rFonts w:ascii="宋体" w:hAnsi="宋体" w:cs="宋体"/>
          <w:b/>
          <w:sz w:val="22"/>
          <w:szCs w:val="22"/>
          <w:u w:val="single"/>
        </w:rPr>
      </w:pPr>
      <w:r>
        <w:rPr>
          <w:rFonts w:hint="eastAsia" w:ascii="宋体" w:hAnsi="宋体" w:cs="宋体"/>
          <w:b/>
          <w:sz w:val="22"/>
          <w:szCs w:val="22"/>
          <w:u w:val="single"/>
        </w:rPr>
        <w:t>评标委员会认为投标人的报价明显低于其他通过符合性审查投标人的报价，有可能影响产品质量或者不能诚信履约的，将要求其在评标现场合理的时间内提供书面说明，必要时提交相关证明材料；投标人不能证明其报价合理性的，将会作为无效投标处理。</w:t>
      </w:r>
    </w:p>
    <w:p>
      <w:pPr>
        <w:numPr>
          <w:ilvl w:val="0"/>
          <w:numId w:val="11"/>
        </w:numPr>
        <w:spacing w:line="500" w:lineRule="exact"/>
        <w:ind w:left="0" w:leftChars="0" w:firstLine="0" w:firstLineChars="0"/>
        <w:rPr>
          <w:rFonts w:hint="eastAsia" w:ascii="宋体" w:hAnsi="宋体" w:cs="宋体"/>
          <w:b/>
          <w:sz w:val="22"/>
          <w:szCs w:val="22"/>
          <w:u w:val="single"/>
        </w:rPr>
      </w:pPr>
      <w:r>
        <w:rPr>
          <w:rFonts w:hint="eastAsia" w:ascii="宋体" w:hAnsi="宋体" w:cs="宋体"/>
          <w:b/>
          <w:sz w:val="22"/>
          <w:szCs w:val="22"/>
          <w:u w:val="single"/>
        </w:rPr>
        <w:t>评标细则</w:t>
      </w:r>
    </w:p>
    <w:tbl>
      <w:tblPr>
        <w:tblStyle w:val="46"/>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65"/>
        <w:gridCol w:w="6693"/>
        <w:gridCol w:w="732"/>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dxa"/>
            <w:noWrap w:val="0"/>
            <w:vAlign w:val="center"/>
          </w:tcPr>
          <w:p>
            <w:pPr>
              <w:jc w:val="both"/>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序号</w:t>
            </w:r>
          </w:p>
        </w:tc>
        <w:tc>
          <w:tcPr>
            <w:tcW w:w="1165"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评分内容</w:t>
            </w:r>
          </w:p>
        </w:tc>
        <w:tc>
          <w:tcPr>
            <w:tcW w:w="6693"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评分标准说明</w:t>
            </w:r>
          </w:p>
        </w:tc>
        <w:tc>
          <w:tcPr>
            <w:tcW w:w="732"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分值</w:t>
            </w:r>
          </w:p>
          <w:p>
            <w:pPr>
              <w:jc w:val="center"/>
              <w:rPr>
                <w:rFonts w:hint="eastAsia" w:asciiTheme="minorEastAsia" w:hAnsiTheme="minorEastAsia" w:eastAsiaTheme="minorEastAsia" w:cstheme="minorEastAsia"/>
                <w:sz w:val="22"/>
                <w:szCs w:val="22"/>
                <w:highlight w:val="none"/>
              </w:rPr>
            </w:pPr>
          </w:p>
        </w:tc>
        <w:tc>
          <w:tcPr>
            <w:tcW w:w="537"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分值类型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w:t>
            </w:r>
          </w:p>
        </w:tc>
        <w:tc>
          <w:tcPr>
            <w:tcW w:w="1165" w:type="dxa"/>
            <w:noWrap w:val="0"/>
            <w:vAlign w:val="center"/>
          </w:tcPr>
          <w:p>
            <w:pPr>
              <w:pStyle w:val="37"/>
              <w:ind w:left="0" w:leftChars="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生产厂家情况</w:t>
            </w:r>
          </w:p>
        </w:tc>
        <w:tc>
          <w:tcPr>
            <w:tcW w:w="6693" w:type="dxa"/>
            <w:noWrap w:val="0"/>
            <w:vAlign w:val="center"/>
          </w:tcPr>
          <w:p>
            <w:pPr>
              <w:pStyle w:val="37"/>
              <w:numPr>
                <w:ilvl w:val="0"/>
                <w:numId w:val="13"/>
              </w:numPr>
              <w:ind w:left="0" w:leftChars="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投标</w:t>
            </w:r>
            <w:r>
              <w:rPr>
                <w:rFonts w:hint="eastAsia" w:asciiTheme="minorEastAsia" w:hAnsiTheme="minorEastAsia" w:eastAsiaTheme="minorEastAsia" w:cstheme="minorEastAsia"/>
                <w:sz w:val="22"/>
                <w:szCs w:val="22"/>
                <w:highlight w:val="none"/>
                <w:lang w:val="en-US" w:eastAsia="zh-CN"/>
              </w:rPr>
              <w:t>供应商</w:t>
            </w:r>
            <w:r>
              <w:rPr>
                <w:rFonts w:hint="eastAsia" w:asciiTheme="minorEastAsia" w:hAnsiTheme="minorEastAsia" w:eastAsiaTheme="minorEastAsia" w:cstheme="minorEastAsia"/>
                <w:sz w:val="22"/>
                <w:szCs w:val="22"/>
                <w:highlight w:val="none"/>
              </w:rPr>
              <w:t>具备有效期内的质量管理体系认证证书</w:t>
            </w:r>
            <w:r>
              <w:rPr>
                <w:rFonts w:hint="eastAsia" w:asciiTheme="minorEastAsia" w:hAnsiTheme="minorEastAsia" w:eastAsiaTheme="minorEastAsia" w:cstheme="minorEastAsia"/>
                <w:sz w:val="22"/>
                <w:szCs w:val="22"/>
                <w:highlight w:val="none"/>
                <w:lang w:eastAsia="zh-CN"/>
              </w:rPr>
              <w:t>的</w:t>
            </w:r>
            <w:r>
              <w:rPr>
                <w:rFonts w:hint="eastAsia" w:asciiTheme="minorEastAsia" w:hAnsiTheme="minorEastAsia" w:eastAsiaTheme="minorEastAsia" w:cstheme="minorEastAsia"/>
                <w:sz w:val="22"/>
                <w:szCs w:val="22"/>
                <w:highlight w:val="none"/>
                <w:lang w:val="en-US" w:eastAsia="zh-CN"/>
              </w:rPr>
              <w:t>得1分</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具备有效期内的环境管理体系认证证书</w:t>
            </w:r>
            <w:r>
              <w:rPr>
                <w:rFonts w:hint="eastAsia" w:asciiTheme="minorEastAsia" w:hAnsiTheme="minorEastAsia" w:eastAsiaTheme="minorEastAsia" w:cstheme="minorEastAsia"/>
                <w:sz w:val="22"/>
                <w:szCs w:val="22"/>
                <w:highlight w:val="none"/>
                <w:lang w:eastAsia="zh-CN"/>
              </w:rPr>
              <w:t>的</w:t>
            </w:r>
            <w:r>
              <w:rPr>
                <w:rFonts w:hint="eastAsia" w:asciiTheme="minorEastAsia" w:hAnsiTheme="minorEastAsia" w:eastAsiaTheme="minorEastAsia" w:cstheme="minorEastAsia"/>
                <w:sz w:val="22"/>
                <w:szCs w:val="22"/>
                <w:highlight w:val="none"/>
                <w:lang w:val="en-US" w:eastAsia="zh-CN"/>
              </w:rPr>
              <w:t>得1分</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具备有效期内的健康管理体系认证证书</w:t>
            </w:r>
            <w:r>
              <w:rPr>
                <w:rFonts w:hint="eastAsia" w:asciiTheme="minorEastAsia" w:hAnsiTheme="minorEastAsia" w:eastAsiaTheme="minorEastAsia" w:cstheme="minorEastAsia"/>
                <w:sz w:val="22"/>
                <w:szCs w:val="22"/>
                <w:highlight w:val="none"/>
                <w:lang w:eastAsia="zh-CN"/>
              </w:rPr>
              <w:t>的</w:t>
            </w:r>
            <w:r>
              <w:rPr>
                <w:rFonts w:hint="eastAsia" w:asciiTheme="minorEastAsia" w:hAnsiTheme="minorEastAsia" w:eastAsiaTheme="minorEastAsia" w:cstheme="minorEastAsia"/>
                <w:sz w:val="22"/>
                <w:szCs w:val="22"/>
                <w:highlight w:val="none"/>
                <w:lang w:val="en-US" w:eastAsia="zh-CN"/>
              </w:rPr>
              <w:t>得1分</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具备安全生产标准化一级认证</w:t>
            </w:r>
            <w:r>
              <w:rPr>
                <w:rFonts w:hint="eastAsia" w:asciiTheme="minorEastAsia" w:hAnsiTheme="minorEastAsia" w:eastAsiaTheme="minorEastAsia" w:cstheme="minorEastAsia"/>
                <w:sz w:val="22"/>
                <w:szCs w:val="22"/>
                <w:highlight w:val="none"/>
              </w:rPr>
              <w:t>得</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分</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lang w:val="en-US" w:eastAsia="zh-CN"/>
              </w:rPr>
              <w:t>最多4分</w:t>
            </w:r>
            <w:r>
              <w:rPr>
                <w:rFonts w:hint="eastAsia" w:asciiTheme="minorEastAsia" w:hAnsiTheme="minorEastAsia" w:eastAsiaTheme="minorEastAsia" w:cstheme="minorEastAsia"/>
                <w:sz w:val="22"/>
                <w:szCs w:val="22"/>
                <w:highlight w:val="none"/>
              </w:rPr>
              <w:t>。</w:t>
            </w:r>
          </w:p>
          <w:p>
            <w:pPr>
              <w:pStyle w:val="37"/>
              <w:numPr>
                <w:ilvl w:val="0"/>
                <w:numId w:val="13"/>
              </w:numPr>
              <w:ind w:left="0" w:leftChars="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投</w:t>
            </w:r>
            <w:r>
              <w:rPr>
                <w:rFonts w:hint="eastAsia" w:ascii="宋体" w:hAnsi="宋体" w:cs="仿宋"/>
                <w:kern w:val="0"/>
                <w:sz w:val="22"/>
                <w:szCs w:val="22"/>
                <w:lang w:val="en-US" w:eastAsia="zh-CN"/>
              </w:rPr>
              <w:t>标供</w:t>
            </w:r>
            <w:r>
              <w:rPr>
                <w:rFonts w:hint="eastAsia" w:asciiTheme="minorEastAsia" w:hAnsiTheme="minorEastAsia" w:eastAsiaTheme="minorEastAsia" w:cstheme="minorEastAsia"/>
                <w:sz w:val="22"/>
                <w:szCs w:val="22"/>
                <w:highlight w:val="none"/>
                <w:lang w:val="en-US" w:eastAsia="zh-CN"/>
              </w:rPr>
              <w:t>应商获得CQC中国环保产品认证证书或有害物质限量认证证书或产品防腐等级认证证书或CEC家具产品环保卫士认证证书或</w:t>
            </w:r>
            <w:r>
              <w:rPr>
                <w:rFonts w:hint="eastAsia" w:asciiTheme="minorEastAsia" w:hAnsiTheme="minorEastAsia" w:eastAsiaTheme="minorEastAsia" w:cstheme="minorEastAsia"/>
                <w:sz w:val="22"/>
                <w:szCs w:val="22"/>
                <w:highlight w:val="none"/>
              </w:rPr>
              <w:t>中</w:t>
            </w:r>
            <w:r>
              <w:rPr>
                <w:rFonts w:hint="eastAsia" w:ascii="宋体" w:hAnsi="宋体" w:cs="仿宋"/>
                <w:kern w:val="0"/>
                <w:sz w:val="22"/>
                <w:szCs w:val="22"/>
              </w:rPr>
              <w:t>国环境标志产品认证证书</w:t>
            </w:r>
            <w:r>
              <w:rPr>
                <w:rFonts w:hint="eastAsia" w:asciiTheme="minorEastAsia" w:hAnsiTheme="minorEastAsia" w:eastAsiaTheme="minorEastAsia" w:cstheme="minorEastAsia"/>
                <w:sz w:val="22"/>
                <w:szCs w:val="22"/>
                <w:highlight w:val="none"/>
                <w:lang w:val="en-US" w:eastAsia="zh-CN"/>
              </w:rPr>
              <w:t>，每个证书得1分，最多4分；</w:t>
            </w:r>
          </w:p>
          <w:p>
            <w:pPr>
              <w:pStyle w:val="37"/>
              <w:numPr>
                <w:ilvl w:val="0"/>
                <w:numId w:val="0"/>
              </w:numPr>
              <w:rPr>
                <w:rFonts w:hint="eastAsia" w:asciiTheme="minorEastAsia" w:hAnsiTheme="minorEastAsia" w:eastAsiaTheme="minorEastAsia" w:cstheme="minorEastAsia"/>
                <w:sz w:val="22"/>
                <w:szCs w:val="22"/>
                <w:lang w:val="en-US"/>
              </w:rPr>
            </w:pPr>
            <w:r>
              <w:rPr>
                <w:rFonts w:hint="eastAsia" w:asciiTheme="minorEastAsia" w:hAnsiTheme="minorEastAsia" w:eastAsiaTheme="minorEastAsia" w:cstheme="minorEastAsia"/>
                <w:sz w:val="22"/>
                <w:szCs w:val="22"/>
                <w:highlight w:val="none"/>
                <w:lang w:val="en-US" w:eastAsia="zh-CN"/>
              </w:rPr>
              <w:t>（说明：提供以上相关证书扫描件及提供全国认证认可监督信息服务平台的证书查询截图加盖单位公章，否则不得分。）</w:t>
            </w:r>
          </w:p>
        </w:tc>
        <w:tc>
          <w:tcPr>
            <w:tcW w:w="732" w:type="dxa"/>
            <w:noWrap w:val="0"/>
            <w:vAlign w:val="center"/>
          </w:tcPr>
          <w:p>
            <w:pPr>
              <w:jc w:val="center"/>
              <w:rPr>
                <w:rFonts w:hint="eastAsia"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rPr>
              <w:t>0-</w:t>
            </w:r>
            <w:r>
              <w:rPr>
                <w:rFonts w:hint="eastAsia" w:asciiTheme="minorEastAsia" w:hAnsiTheme="minorEastAsia" w:eastAsiaTheme="minorEastAsia" w:cstheme="minorEastAsia"/>
                <w:bCs/>
                <w:sz w:val="22"/>
                <w:szCs w:val="22"/>
                <w:highlight w:val="none"/>
                <w:lang w:val="en-US" w:eastAsia="zh-CN"/>
              </w:rPr>
              <w:t>8</w:t>
            </w:r>
          </w:p>
        </w:tc>
        <w:tc>
          <w:tcPr>
            <w:tcW w:w="537" w:type="dxa"/>
            <w:noWrap w:val="0"/>
            <w:vAlign w:val="center"/>
          </w:tcPr>
          <w:p>
            <w:pPr>
              <w:jc w:val="center"/>
              <w:rPr>
                <w:rFonts w:hint="eastAsia"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lang w:val="en-US" w:eastAsia="zh-CN" w:bidi="ar-SA"/>
              </w:rPr>
              <w:t>2</w:t>
            </w:r>
          </w:p>
        </w:tc>
        <w:tc>
          <w:tcPr>
            <w:tcW w:w="1165"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业绩</w:t>
            </w:r>
          </w:p>
        </w:tc>
        <w:tc>
          <w:tcPr>
            <w:tcW w:w="6693" w:type="dxa"/>
            <w:noWrap w:val="0"/>
            <w:vAlign w:val="center"/>
          </w:tcPr>
          <w:p>
            <w:pPr>
              <w:pStyle w:val="24"/>
              <w:adjustRightInd w:val="0"/>
              <w:snapToGrid w:val="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投标</w:t>
            </w:r>
            <w:r>
              <w:rPr>
                <w:rFonts w:hint="eastAsia" w:asciiTheme="minorEastAsia" w:hAnsiTheme="minorEastAsia" w:eastAsiaTheme="minorEastAsia" w:cstheme="minorEastAsia"/>
                <w:sz w:val="22"/>
                <w:szCs w:val="22"/>
                <w:highlight w:val="none"/>
                <w:lang w:val="en-US" w:eastAsia="zh-CN"/>
              </w:rPr>
              <w:t>供应商</w:t>
            </w:r>
            <w:r>
              <w:rPr>
                <w:rFonts w:hint="eastAsia" w:asciiTheme="minorEastAsia" w:hAnsiTheme="minorEastAsia" w:eastAsiaTheme="minorEastAsia" w:cstheme="minorEastAsia"/>
                <w:kern w:val="0"/>
                <w:sz w:val="22"/>
                <w:szCs w:val="22"/>
                <w:highlight w:val="none"/>
                <w:lang w:val="en-US" w:eastAsia="zh-CN"/>
              </w:rPr>
              <w:t>2020年1月1日至今同类项目业绩的每个得1.5分，最高得分3分。注：提供中标通知书及合同的复印件并加盖公章，否则不得分。</w:t>
            </w:r>
          </w:p>
        </w:tc>
        <w:tc>
          <w:tcPr>
            <w:tcW w:w="732" w:type="dxa"/>
            <w:noWrap w:val="0"/>
            <w:vAlign w:val="center"/>
          </w:tcPr>
          <w:p>
            <w:pPr>
              <w:jc w:val="center"/>
              <w:rPr>
                <w:rFonts w:hint="eastAsia"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rPr>
              <w:t>0</w:t>
            </w:r>
            <w:r>
              <w:rPr>
                <w:rFonts w:hint="eastAsia" w:asciiTheme="minorEastAsia" w:hAnsiTheme="minorEastAsia" w:eastAsiaTheme="minorEastAsia" w:cstheme="minorEastAsia"/>
                <w:bCs/>
                <w:sz w:val="22"/>
                <w:szCs w:val="22"/>
                <w:highlight w:val="none"/>
                <w:lang w:val="en-US" w:eastAsia="zh-CN"/>
              </w:rPr>
              <w:t>-3</w:t>
            </w:r>
          </w:p>
        </w:tc>
        <w:tc>
          <w:tcPr>
            <w:tcW w:w="537" w:type="dxa"/>
            <w:noWrap w:val="0"/>
            <w:vAlign w:val="center"/>
          </w:tcPr>
          <w:p>
            <w:pPr>
              <w:jc w:val="center"/>
              <w:rPr>
                <w:rFonts w:hint="eastAsia"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rPr>
              <w:t>3</w:t>
            </w:r>
          </w:p>
        </w:tc>
        <w:tc>
          <w:tcPr>
            <w:tcW w:w="1165"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投标样品</w:t>
            </w:r>
          </w:p>
        </w:tc>
        <w:tc>
          <w:tcPr>
            <w:tcW w:w="6693" w:type="dxa"/>
            <w:noWrap w:val="0"/>
            <w:vAlign w:val="center"/>
          </w:tcPr>
          <w:p>
            <w:pPr>
              <w:keepNext w:val="0"/>
              <w:keepLines w:val="0"/>
              <w:widowControl/>
              <w:suppressLineNumbers w:val="0"/>
              <w:jc w:val="left"/>
              <w:rPr>
                <w:rFonts w:hint="eastAsia" w:asciiTheme="minorEastAsia" w:hAnsiTheme="minorEastAsia" w:eastAsiaTheme="minorEastAsia" w:cstheme="minorEastAsia"/>
                <w:b w:val="0"/>
                <w:bCs/>
                <w:kern w:val="2"/>
                <w:sz w:val="22"/>
                <w:szCs w:val="22"/>
                <w:highlight w:val="none"/>
                <w:lang w:val="en-US" w:eastAsia="zh-CN" w:bidi="ar-SA"/>
              </w:rPr>
            </w:pPr>
            <w:r>
              <w:rPr>
                <w:rFonts w:hint="eastAsia" w:asciiTheme="minorEastAsia" w:hAnsiTheme="minorEastAsia" w:eastAsiaTheme="minorEastAsia" w:cstheme="minorEastAsia"/>
                <w:b w:val="0"/>
                <w:bCs/>
                <w:kern w:val="2"/>
                <w:sz w:val="22"/>
                <w:szCs w:val="22"/>
                <w:highlight w:val="none"/>
                <w:lang w:val="en-US" w:eastAsia="zh-CN" w:bidi="ar-SA"/>
              </w:rPr>
              <w:t>评标委员会根据样品造型尺寸与采购需求的符合程度，样品的材质、 功能、外观整体效果、制作工艺、安装工艺等进行综合打分，得 0-14分。样品严重偏离采购要求的、未递交样品的或样品数量不全</w:t>
            </w:r>
            <w:r>
              <w:rPr>
                <w:rFonts w:hint="eastAsia" w:asciiTheme="minorEastAsia" w:hAnsiTheme="minorEastAsia" w:eastAsiaTheme="minorEastAsia" w:cstheme="minorEastAsia"/>
                <w:b w:val="0"/>
                <w:bCs/>
                <w:sz w:val="22"/>
                <w:szCs w:val="22"/>
                <w:highlight w:val="none"/>
                <w:lang w:val="en-US" w:eastAsia="zh-CN"/>
              </w:rPr>
              <w:t>或样品采用3D打印产品代替的,</w:t>
            </w:r>
            <w:r>
              <w:rPr>
                <w:rFonts w:hint="eastAsia" w:asciiTheme="minorEastAsia" w:hAnsiTheme="minorEastAsia" w:eastAsiaTheme="minorEastAsia" w:cstheme="minorEastAsia"/>
                <w:b w:val="0"/>
                <w:bCs/>
                <w:kern w:val="2"/>
                <w:sz w:val="22"/>
                <w:szCs w:val="22"/>
                <w:highlight w:val="none"/>
                <w:lang w:val="en-US" w:eastAsia="zh-CN" w:bidi="ar-SA"/>
              </w:rPr>
              <w:t xml:space="preserve">样品分为零分。 </w:t>
            </w:r>
          </w:p>
          <w:p>
            <w:pPr>
              <w:pStyle w:val="24"/>
              <w:adjustRightInd w:val="0"/>
              <w:snapToGrid w:val="0"/>
              <w:rPr>
                <w:rFonts w:hint="eastAsia" w:ascii="宋体" w:hAnsi="宋体" w:eastAsia="宋体" w:cs="新宋体"/>
                <w:bCs/>
                <w:color w:val="000000"/>
                <w:kern w:val="2"/>
                <w:sz w:val="22"/>
                <w:szCs w:val="22"/>
                <w:lang w:val="en-US" w:eastAsia="zh-CN" w:bidi="ar-SA"/>
              </w:rPr>
            </w:pPr>
            <w:r>
              <w:rPr>
                <w:rFonts w:hint="eastAsia" w:ascii="宋体" w:hAnsi="宋体" w:eastAsia="宋体" w:cs="新宋体"/>
                <w:bCs/>
                <w:color w:val="000000"/>
                <w:kern w:val="2"/>
                <w:sz w:val="22"/>
                <w:szCs w:val="22"/>
                <w:lang w:val="en-US" w:eastAsia="zh-CN" w:bidi="ar-SA"/>
              </w:rPr>
              <w:t>1、款式:根据所提供样品的外观式样、美观度、色调搭</w:t>
            </w:r>
            <w:r>
              <w:rPr>
                <w:rFonts w:hint="default" w:ascii="宋体" w:hAnsi="宋体" w:eastAsia="宋体" w:cs="新宋体"/>
                <w:bCs/>
                <w:color w:val="000000"/>
                <w:kern w:val="2"/>
                <w:sz w:val="22"/>
                <w:szCs w:val="22"/>
                <w:lang w:val="en-US" w:eastAsia="zh-CN" w:bidi="ar-SA"/>
              </w:rPr>
              <w:t>配合理性及协调性比较评定（</w:t>
            </w:r>
            <w:r>
              <w:rPr>
                <w:rFonts w:hint="eastAsia" w:ascii="宋体" w:hAnsi="宋体" w:eastAsia="宋体" w:cs="新宋体"/>
                <w:bCs/>
                <w:color w:val="000000"/>
                <w:kern w:val="2"/>
                <w:sz w:val="22"/>
                <w:szCs w:val="22"/>
                <w:lang w:val="en-US" w:eastAsia="zh-CN" w:bidi="ar-SA"/>
              </w:rPr>
              <w:t>2</w:t>
            </w:r>
            <w:r>
              <w:rPr>
                <w:rFonts w:hint="default" w:ascii="宋体" w:hAnsi="宋体" w:eastAsia="宋体" w:cs="新宋体"/>
                <w:bCs/>
                <w:color w:val="000000"/>
                <w:kern w:val="2"/>
                <w:sz w:val="22"/>
                <w:szCs w:val="22"/>
                <w:lang w:val="en-US" w:eastAsia="zh-CN" w:bidi="ar-SA"/>
              </w:rPr>
              <w:t xml:space="preserve">分）。 </w:t>
            </w:r>
          </w:p>
          <w:p>
            <w:pPr>
              <w:pStyle w:val="24"/>
              <w:adjustRightInd w:val="0"/>
              <w:snapToGrid w:val="0"/>
              <w:rPr>
                <w:rFonts w:hint="eastAsia" w:ascii="宋体" w:hAnsi="宋体" w:eastAsia="宋体" w:cs="新宋体"/>
                <w:bCs/>
                <w:color w:val="000000"/>
                <w:kern w:val="2"/>
                <w:sz w:val="22"/>
                <w:szCs w:val="22"/>
                <w:lang w:val="en-US" w:eastAsia="zh-CN" w:bidi="ar-SA"/>
              </w:rPr>
            </w:pPr>
            <w:r>
              <w:rPr>
                <w:rFonts w:hint="default" w:ascii="宋体" w:hAnsi="宋体" w:eastAsia="宋体" w:cs="新宋体"/>
                <w:bCs/>
                <w:color w:val="000000"/>
                <w:kern w:val="2"/>
                <w:sz w:val="22"/>
                <w:szCs w:val="22"/>
                <w:lang w:val="en-US" w:eastAsia="zh-CN" w:bidi="ar-SA"/>
              </w:rPr>
              <w:t>2、材质:根据提供样品与招标文件项目需求的材质及要求比较评定（</w:t>
            </w:r>
            <w:r>
              <w:rPr>
                <w:rFonts w:hint="eastAsia" w:ascii="宋体" w:hAnsi="宋体" w:eastAsia="宋体" w:cs="新宋体"/>
                <w:bCs/>
                <w:color w:val="000000"/>
                <w:kern w:val="2"/>
                <w:sz w:val="22"/>
                <w:szCs w:val="22"/>
                <w:lang w:val="en-US" w:eastAsia="zh-CN" w:bidi="ar-SA"/>
              </w:rPr>
              <w:t>3</w:t>
            </w:r>
            <w:r>
              <w:rPr>
                <w:rFonts w:hint="default" w:ascii="宋体" w:hAnsi="宋体" w:eastAsia="宋体" w:cs="新宋体"/>
                <w:bCs/>
                <w:color w:val="000000"/>
                <w:kern w:val="2"/>
                <w:sz w:val="22"/>
                <w:szCs w:val="22"/>
                <w:lang w:val="en-US" w:eastAsia="zh-CN" w:bidi="ar-SA"/>
              </w:rPr>
              <w:t xml:space="preserve"> 分）。 </w:t>
            </w:r>
          </w:p>
          <w:p>
            <w:pPr>
              <w:pStyle w:val="24"/>
              <w:adjustRightInd w:val="0"/>
              <w:snapToGrid w:val="0"/>
              <w:rPr>
                <w:rFonts w:hint="eastAsia" w:ascii="宋体" w:hAnsi="宋体" w:eastAsia="宋体" w:cs="新宋体"/>
                <w:bCs/>
                <w:color w:val="000000"/>
                <w:kern w:val="2"/>
                <w:sz w:val="22"/>
                <w:szCs w:val="22"/>
                <w:lang w:val="en-US" w:eastAsia="zh-CN" w:bidi="ar-SA"/>
              </w:rPr>
            </w:pPr>
            <w:r>
              <w:rPr>
                <w:rFonts w:hint="default" w:ascii="宋体" w:hAnsi="宋体" w:eastAsia="宋体" w:cs="新宋体"/>
                <w:bCs/>
                <w:color w:val="000000"/>
                <w:kern w:val="2"/>
                <w:sz w:val="22"/>
                <w:szCs w:val="22"/>
                <w:lang w:val="en-US" w:eastAsia="zh-CN" w:bidi="ar-SA"/>
              </w:rPr>
              <w:t>3、结构、功能、牢固等：根据所提供样品的结构合理性、使用功能性、舒适性及牢固度等比较评定（</w:t>
            </w:r>
            <w:r>
              <w:rPr>
                <w:rFonts w:hint="eastAsia" w:ascii="宋体" w:hAnsi="宋体" w:eastAsia="宋体" w:cs="新宋体"/>
                <w:bCs/>
                <w:color w:val="000000"/>
                <w:kern w:val="2"/>
                <w:sz w:val="22"/>
                <w:szCs w:val="22"/>
                <w:lang w:val="en-US" w:eastAsia="zh-CN" w:bidi="ar-SA"/>
              </w:rPr>
              <w:t>3</w:t>
            </w:r>
            <w:r>
              <w:rPr>
                <w:rFonts w:hint="default" w:ascii="宋体" w:hAnsi="宋体" w:eastAsia="宋体" w:cs="新宋体"/>
                <w:bCs/>
                <w:color w:val="000000"/>
                <w:kern w:val="2"/>
                <w:sz w:val="22"/>
                <w:szCs w:val="22"/>
                <w:lang w:val="en-US" w:eastAsia="zh-CN" w:bidi="ar-SA"/>
              </w:rPr>
              <w:t xml:space="preserve"> 分）。 </w:t>
            </w:r>
          </w:p>
          <w:p>
            <w:pPr>
              <w:pStyle w:val="24"/>
              <w:adjustRightInd w:val="0"/>
              <w:snapToGrid w:val="0"/>
              <w:rPr>
                <w:rFonts w:hint="eastAsia" w:ascii="宋体" w:hAnsi="宋体" w:eastAsia="宋体" w:cs="新宋体"/>
                <w:bCs/>
                <w:color w:val="000000"/>
                <w:kern w:val="2"/>
                <w:sz w:val="22"/>
                <w:szCs w:val="22"/>
                <w:lang w:val="en-US" w:eastAsia="zh-CN" w:bidi="ar-SA"/>
              </w:rPr>
            </w:pPr>
            <w:r>
              <w:rPr>
                <w:rFonts w:hint="default" w:ascii="宋体" w:hAnsi="宋体" w:eastAsia="宋体" w:cs="新宋体"/>
                <w:bCs/>
                <w:color w:val="000000"/>
                <w:kern w:val="2"/>
                <w:sz w:val="22"/>
                <w:szCs w:val="22"/>
                <w:lang w:val="en-US" w:eastAsia="zh-CN" w:bidi="ar-SA"/>
              </w:rPr>
              <w:t>4、制作工艺：根据样品制作工艺、组合结构、油漆（喷涂）制作工艺、样品安装精密度、节点细部处理等比较评定（</w:t>
            </w:r>
            <w:r>
              <w:rPr>
                <w:rFonts w:hint="eastAsia" w:ascii="宋体" w:hAnsi="宋体" w:eastAsia="宋体" w:cs="新宋体"/>
                <w:bCs/>
                <w:color w:val="000000"/>
                <w:kern w:val="2"/>
                <w:sz w:val="22"/>
                <w:szCs w:val="22"/>
                <w:lang w:val="en-US" w:eastAsia="zh-CN" w:bidi="ar-SA"/>
              </w:rPr>
              <w:t>3</w:t>
            </w:r>
            <w:r>
              <w:rPr>
                <w:rFonts w:hint="default" w:ascii="宋体" w:hAnsi="宋体" w:eastAsia="宋体" w:cs="新宋体"/>
                <w:bCs/>
                <w:color w:val="000000"/>
                <w:kern w:val="2"/>
                <w:sz w:val="22"/>
                <w:szCs w:val="22"/>
                <w:lang w:val="en-US" w:eastAsia="zh-CN" w:bidi="ar-SA"/>
              </w:rPr>
              <w:t xml:space="preserve">分）。 </w:t>
            </w:r>
          </w:p>
          <w:p>
            <w:pPr>
              <w:pStyle w:val="24"/>
              <w:adjustRightInd w:val="0"/>
              <w:snapToGrid w:val="0"/>
              <w:rPr>
                <w:rFonts w:hint="eastAsia" w:ascii="宋体" w:hAnsi="宋体" w:eastAsia="宋体" w:cs="新宋体"/>
                <w:bCs/>
                <w:color w:val="000000"/>
                <w:kern w:val="2"/>
                <w:sz w:val="22"/>
                <w:szCs w:val="22"/>
                <w:lang w:val="en-US" w:eastAsia="zh-CN" w:bidi="ar-SA"/>
              </w:rPr>
            </w:pPr>
            <w:r>
              <w:rPr>
                <w:rFonts w:hint="default" w:ascii="宋体" w:hAnsi="宋体" w:eastAsia="宋体" w:cs="新宋体"/>
                <w:bCs/>
                <w:color w:val="000000"/>
                <w:kern w:val="2"/>
                <w:sz w:val="22"/>
                <w:szCs w:val="22"/>
                <w:lang w:val="en-US" w:eastAsia="zh-CN" w:bidi="ar-SA"/>
              </w:rPr>
              <w:t>5、材料及五金：根据所提供样品材料及五金件等反映质量、规格、品质等级等比较评定（</w:t>
            </w:r>
            <w:r>
              <w:rPr>
                <w:rFonts w:hint="eastAsia" w:ascii="宋体" w:hAnsi="宋体" w:eastAsia="宋体" w:cs="新宋体"/>
                <w:bCs/>
                <w:color w:val="000000"/>
                <w:kern w:val="2"/>
                <w:sz w:val="22"/>
                <w:szCs w:val="22"/>
                <w:lang w:val="en-US" w:eastAsia="zh-CN" w:bidi="ar-SA"/>
              </w:rPr>
              <w:t>3</w:t>
            </w:r>
            <w:r>
              <w:rPr>
                <w:rFonts w:hint="default" w:ascii="宋体" w:hAnsi="宋体" w:eastAsia="宋体" w:cs="新宋体"/>
                <w:bCs/>
                <w:color w:val="000000"/>
                <w:kern w:val="2"/>
                <w:sz w:val="22"/>
                <w:szCs w:val="22"/>
                <w:lang w:val="en-US" w:eastAsia="zh-CN" w:bidi="ar-SA"/>
              </w:rPr>
              <w:t xml:space="preserve"> 分）。 </w:t>
            </w:r>
          </w:p>
          <w:p>
            <w:pPr>
              <w:pStyle w:val="24"/>
              <w:adjustRightInd w:val="0"/>
              <w:snapToGrid w:val="0"/>
              <w:rPr>
                <w:rFonts w:hint="eastAsia" w:asciiTheme="minorEastAsia" w:hAnsiTheme="minorEastAsia" w:eastAsiaTheme="minorEastAsia" w:cstheme="minorEastAsia"/>
                <w:kern w:val="0"/>
                <w:sz w:val="22"/>
                <w:szCs w:val="22"/>
                <w:highlight w:val="none"/>
                <w:lang w:val="en-US" w:eastAsia="zh-CN"/>
              </w:rPr>
            </w:pPr>
            <w:r>
              <w:rPr>
                <w:rFonts w:hint="default" w:ascii="宋体" w:hAnsi="宋体" w:eastAsia="宋体" w:cs="新宋体"/>
                <w:bCs/>
                <w:color w:val="000000"/>
                <w:kern w:val="2"/>
                <w:sz w:val="22"/>
                <w:szCs w:val="22"/>
                <w:lang w:val="en-US" w:eastAsia="zh-CN" w:bidi="ar-SA"/>
              </w:rPr>
              <w:t>有欠缺的每处扣 0.5 分，累计扣完本项分值为止。</w:t>
            </w:r>
          </w:p>
        </w:tc>
        <w:tc>
          <w:tcPr>
            <w:tcW w:w="732" w:type="dxa"/>
            <w:noWrap w:val="0"/>
            <w:vAlign w:val="center"/>
          </w:tcPr>
          <w:p>
            <w:pPr>
              <w:jc w:val="center"/>
              <w:rPr>
                <w:rFonts w:hint="eastAsia"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rPr>
              <w:t>0-</w:t>
            </w:r>
            <w:r>
              <w:rPr>
                <w:rFonts w:hint="eastAsia" w:asciiTheme="minorEastAsia" w:hAnsiTheme="minorEastAsia" w:eastAsiaTheme="minorEastAsia" w:cstheme="minorEastAsia"/>
                <w:bCs/>
                <w:sz w:val="22"/>
                <w:szCs w:val="22"/>
                <w:highlight w:val="none"/>
                <w:lang w:val="en-US" w:eastAsia="zh-CN"/>
              </w:rPr>
              <w:t>14</w:t>
            </w:r>
          </w:p>
        </w:tc>
        <w:tc>
          <w:tcPr>
            <w:tcW w:w="537" w:type="dxa"/>
            <w:noWrap w:val="0"/>
            <w:vAlign w:val="center"/>
          </w:tcPr>
          <w:p>
            <w:pPr>
              <w:jc w:val="center"/>
              <w:rPr>
                <w:rFonts w:hint="eastAsia"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lang w:val="en-US" w:eastAsia="zh-CN"/>
              </w:rPr>
              <w:t>4</w:t>
            </w:r>
          </w:p>
        </w:tc>
        <w:tc>
          <w:tcPr>
            <w:tcW w:w="1165"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技术参数偏离</w:t>
            </w:r>
          </w:p>
        </w:tc>
        <w:tc>
          <w:tcPr>
            <w:tcW w:w="6693" w:type="dxa"/>
            <w:noWrap w:val="0"/>
            <w:vAlign w:val="center"/>
          </w:tcPr>
          <w:p>
            <w:pPr>
              <w:rPr>
                <w:rFonts w:hint="eastAsia" w:asciiTheme="minorEastAsia" w:hAnsiTheme="minorEastAsia" w:eastAsiaTheme="minorEastAsia" w:cstheme="minorEastAsia"/>
                <w:b w:val="0"/>
                <w:bCs/>
                <w:sz w:val="22"/>
                <w:szCs w:val="22"/>
                <w:highlight w:val="none"/>
                <w:lang w:val="en-US" w:eastAsia="zh-CN"/>
              </w:rPr>
            </w:pPr>
            <w:r>
              <w:rPr>
                <w:rFonts w:hint="eastAsia" w:asciiTheme="minorEastAsia" w:hAnsiTheme="minorEastAsia" w:eastAsiaTheme="minorEastAsia" w:cstheme="minorEastAsia"/>
                <w:b w:val="0"/>
                <w:bCs/>
                <w:sz w:val="22"/>
                <w:szCs w:val="22"/>
                <w:highlight w:val="none"/>
                <w:lang w:val="en-US" w:eastAsia="zh-CN"/>
              </w:rPr>
              <w:t>根据供应商所投货物的技术性能、功能以及对招标文件各项技术要求的逐项承诺等方面情况由评委进行评分。所投货物技术性能、功能完全满 足招标要求的得9分；每负偏离一条扣1分，直至本项扣完为止。（注：供应商必须如实地对招标文 件中“项目采购内容及技术参数”内的各条款作出明确的逐项承诺，并对其真实性负责。当供应商所提供样品与投标文件中响应的技术指标不符合时，评委将以样品为准进行评定。）</w:t>
            </w:r>
          </w:p>
        </w:tc>
        <w:tc>
          <w:tcPr>
            <w:tcW w:w="732" w:type="dxa"/>
            <w:noWrap w:val="0"/>
            <w:vAlign w:val="center"/>
          </w:tcPr>
          <w:p>
            <w:pPr>
              <w:jc w:val="center"/>
              <w:rPr>
                <w:rFonts w:hint="eastAsia" w:asciiTheme="minorEastAsia" w:hAnsiTheme="minorEastAsia" w:eastAsiaTheme="minorEastAsia" w:cstheme="minorEastAsia"/>
                <w:bCs/>
                <w:sz w:val="22"/>
                <w:szCs w:val="22"/>
                <w:highlight w:val="none"/>
                <w:lang w:val="en-US" w:eastAsia="zh-CN"/>
              </w:rPr>
            </w:pPr>
            <w:r>
              <w:rPr>
                <w:rFonts w:hint="eastAsia" w:asciiTheme="minorEastAsia" w:hAnsiTheme="minorEastAsia" w:eastAsiaTheme="minorEastAsia" w:cstheme="minorEastAsia"/>
                <w:bCs/>
                <w:sz w:val="22"/>
                <w:szCs w:val="22"/>
                <w:highlight w:val="none"/>
                <w:lang w:val="en-US" w:eastAsia="zh-CN"/>
              </w:rPr>
              <w:t>0-9</w:t>
            </w:r>
          </w:p>
        </w:tc>
        <w:tc>
          <w:tcPr>
            <w:tcW w:w="537" w:type="dxa"/>
            <w:noWrap w:val="0"/>
            <w:vAlign w:val="center"/>
          </w:tcPr>
          <w:p>
            <w:pPr>
              <w:jc w:val="center"/>
              <w:rPr>
                <w:rFonts w:hint="eastAsia" w:asciiTheme="minorEastAsia" w:hAnsiTheme="minorEastAsia" w:eastAsiaTheme="minorEastAsia" w:cstheme="minorEastAsia"/>
                <w:bCs/>
                <w:sz w:val="22"/>
                <w:szCs w:val="22"/>
                <w:highlight w:val="none"/>
              </w:rPr>
            </w:pPr>
            <w:r>
              <w:rPr>
                <w:rFonts w:hint="eastAsia" w:asciiTheme="minorEastAsia" w:hAnsiTheme="minorEastAsia" w:eastAsiaTheme="minorEastAsia" w:cstheme="minorEastAsia"/>
                <w:bCs/>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rPr>
              <w:t>5</w:t>
            </w:r>
          </w:p>
        </w:tc>
        <w:tc>
          <w:tcPr>
            <w:tcW w:w="1165" w:type="dxa"/>
            <w:noWrap w:val="0"/>
            <w:vAlign w:val="center"/>
          </w:tcPr>
          <w:p>
            <w:pPr>
              <w:pStyle w:val="24"/>
              <w:adjustRightInd w:val="0"/>
              <w:snapToGrid w:val="0"/>
              <w:rPr>
                <w:rFonts w:hint="eastAsia" w:asciiTheme="minorEastAsia" w:hAnsiTheme="minorEastAsia" w:eastAsiaTheme="minorEastAsia" w:cstheme="minorEastAsia"/>
                <w:b w:val="0"/>
                <w:bCs w:val="0"/>
                <w:sz w:val="22"/>
                <w:szCs w:val="22"/>
                <w:highlight w:val="none"/>
                <w:lang w:val="en-US" w:eastAsia="zh-CN"/>
              </w:rPr>
            </w:pPr>
            <w:r>
              <w:rPr>
                <w:rFonts w:hint="eastAsia" w:asciiTheme="minorEastAsia" w:hAnsiTheme="minorEastAsia" w:eastAsiaTheme="minorEastAsia" w:cstheme="minorEastAsia"/>
                <w:b w:val="0"/>
                <w:bCs w:val="0"/>
                <w:sz w:val="22"/>
                <w:szCs w:val="22"/>
                <w:highlight w:val="none"/>
                <w:lang w:val="en-US" w:eastAsia="zh-CN"/>
              </w:rPr>
              <w:t>主要产品的环保性、稳定性、安全性</w:t>
            </w:r>
          </w:p>
        </w:tc>
        <w:tc>
          <w:tcPr>
            <w:tcW w:w="6693" w:type="dxa"/>
            <w:noWrap w:val="0"/>
            <w:vAlign w:val="center"/>
          </w:tcPr>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投投标供应商提供2023年1月1日以来送检第三方具有相关检测资质的检验机构出具的合格委托抽检报告扫描件加盖公章：</w:t>
            </w:r>
          </w:p>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1、根据投标人提供的多功能组合床合格的检测报告，报告检测项目需含：1</w:t>
            </w: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.力学性能、理化性能（漆膜、软硬质覆面）、甲醛、重金属、结构安全；</w:t>
            </w: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2.理化性能（金属件、封边条表面胶合强度）、阻燃性能B1级，得1分。</w:t>
            </w:r>
          </w:p>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2、根据投标人提供的多层实木板合格的检测报告，报告检测项目需含：抗菌性能</w:t>
            </w:r>
            <w:r>
              <w:rPr>
                <w:rFonts w:hint="eastAsia" w:ascii="宋体" w:hAnsi="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甲醛释放量≤0.05mg/m³</w:t>
            </w:r>
            <w:r>
              <w:rPr>
                <w:rFonts w:hint="eastAsia" w:ascii="宋体" w:hAnsi="宋体" w:cs="宋体"/>
                <w:b w:val="0"/>
                <w:bCs/>
                <w:sz w:val="21"/>
                <w:szCs w:val="21"/>
                <w:highlight w:val="none"/>
                <w:lang w:val="en-US" w:eastAsia="zh-CN"/>
              </w:rPr>
              <w:t>的</w:t>
            </w:r>
            <w:r>
              <w:rPr>
                <w:rFonts w:hint="eastAsia" w:ascii="宋体" w:hAnsi="宋体" w:eastAsia="宋体" w:cs="宋体"/>
                <w:b w:val="0"/>
                <w:bCs/>
                <w:sz w:val="21"/>
                <w:szCs w:val="21"/>
                <w:highlight w:val="none"/>
                <w:lang w:val="en-US" w:eastAsia="zh-CN"/>
              </w:rPr>
              <w:t>得1分。</w:t>
            </w:r>
          </w:p>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3、根据投标人提供的塑料件合格的检测报告，报告检测项目需含：耐老化、硬度、重金属，</w:t>
            </w:r>
            <w:r>
              <w:rPr>
                <w:rFonts w:hint="eastAsia" w:ascii="宋体" w:hAnsi="宋体" w:cs="宋体"/>
                <w:b w:val="0"/>
                <w:bCs/>
                <w:sz w:val="21"/>
                <w:szCs w:val="21"/>
                <w:highlight w:val="none"/>
                <w:lang w:val="en-US" w:eastAsia="zh-CN"/>
              </w:rPr>
              <w:t>满足的</w:t>
            </w:r>
            <w:r>
              <w:rPr>
                <w:rFonts w:hint="eastAsia" w:ascii="宋体" w:hAnsi="宋体" w:eastAsia="宋体" w:cs="宋体"/>
                <w:b w:val="0"/>
                <w:bCs/>
                <w:sz w:val="21"/>
                <w:szCs w:val="21"/>
                <w:highlight w:val="none"/>
                <w:lang w:val="en-US" w:eastAsia="zh-CN"/>
              </w:rPr>
              <w:t>得1分。</w:t>
            </w:r>
          </w:p>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4、根据投标人提供的塑粉合格的检测报告</w:t>
            </w:r>
            <w:r>
              <w:rPr>
                <w:rFonts w:hint="eastAsia" w:ascii="宋体" w:hAnsi="宋体" w:cs="宋体"/>
                <w:b w:val="0"/>
                <w:bCs/>
                <w:sz w:val="21"/>
                <w:szCs w:val="21"/>
                <w:highlight w:val="none"/>
                <w:lang w:val="en-US" w:eastAsia="zh-CN"/>
              </w:rPr>
              <w:t>，</w:t>
            </w:r>
            <w:r>
              <w:rPr>
                <w:rFonts w:hint="eastAsia" w:ascii="宋体" w:hAnsi="宋体" w:eastAsia="宋体" w:cs="宋体"/>
                <w:b w:val="0"/>
                <w:bCs/>
                <w:sz w:val="21"/>
                <w:szCs w:val="21"/>
                <w:highlight w:val="none"/>
                <w:lang w:val="en-US" w:eastAsia="zh-CN"/>
              </w:rPr>
              <w:t>报告检测项目需含：耐湿热性</w:t>
            </w:r>
            <w:r>
              <w:rPr>
                <w:rFonts w:hint="eastAsia" w:ascii="宋体" w:hAnsi="宋体" w:cs="宋体"/>
                <w:b w:val="0"/>
                <w:bCs/>
                <w:sz w:val="21"/>
                <w:szCs w:val="21"/>
                <w:highlight w:val="none"/>
                <w:lang w:val="en-US" w:eastAsia="zh-CN"/>
              </w:rPr>
              <w:t>的</w:t>
            </w:r>
            <w:r>
              <w:rPr>
                <w:rFonts w:hint="eastAsia" w:ascii="宋体" w:hAnsi="宋体" w:eastAsia="宋体" w:cs="宋体"/>
                <w:b w:val="0"/>
                <w:bCs/>
                <w:sz w:val="21"/>
                <w:szCs w:val="21"/>
                <w:highlight w:val="none"/>
                <w:lang w:val="en-US" w:eastAsia="zh-CN"/>
              </w:rPr>
              <w:t>得1分。</w:t>
            </w:r>
          </w:p>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5、根据投标人提供的导轨合格的检测报告，报告检测项目需含：过载、功能、耐腐蚀</w:t>
            </w:r>
            <w:r>
              <w:rPr>
                <w:rFonts w:hint="eastAsia" w:ascii="宋体" w:hAnsi="宋体" w:cs="宋体"/>
                <w:b w:val="0"/>
                <w:bCs/>
                <w:sz w:val="21"/>
                <w:szCs w:val="21"/>
                <w:highlight w:val="none"/>
                <w:lang w:val="en-US" w:eastAsia="zh-CN"/>
              </w:rPr>
              <w:t>的</w:t>
            </w:r>
            <w:r>
              <w:rPr>
                <w:rFonts w:hint="eastAsia" w:ascii="宋体" w:hAnsi="宋体" w:eastAsia="宋体" w:cs="宋体"/>
                <w:b w:val="0"/>
                <w:bCs/>
                <w:sz w:val="21"/>
                <w:szCs w:val="21"/>
                <w:highlight w:val="none"/>
                <w:lang w:val="en-US" w:eastAsia="zh-CN"/>
              </w:rPr>
              <w:t>得1分。</w:t>
            </w:r>
          </w:p>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6、据投标人提供的封边条（PVC）合格的检测报告，报告检测项目需含：耐开裂性（耐龟裂性）≥1级；耐老化，耐干热性、耐磨、耐光色牢度、耐冷热循环、甲醛、重金属</w:t>
            </w:r>
            <w:r>
              <w:rPr>
                <w:rFonts w:hint="eastAsia" w:ascii="宋体" w:hAnsi="宋体" w:cs="宋体"/>
                <w:b w:val="0"/>
                <w:bCs/>
                <w:sz w:val="21"/>
                <w:szCs w:val="21"/>
                <w:highlight w:val="none"/>
                <w:lang w:val="en-US" w:eastAsia="zh-CN"/>
              </w:rPr>
              <w:t>的</w:t>
            </w:r>
            <w:r>
              <w:rPr>
                <w:rFonts w:hint="eastAsia" w:ascii="宋体" w:hAnsi="宋体" w:eastAsia="宋体" w:cs="宋体"/>
                <w:b w:val="0"/>
                <w:bCs/>
                <w:sz w:val="21"/>
                <w:szCs w:val="21"/>
                <w:highlight w:val="none"/>
                <w:lang w:val="en-US" w:eastAsia="zh-CN"/>
              </w:rPr>
              <w:t>得1分。</w:t>
            </w:r>
          </w:p>
          <w:p>
            <w:pP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7、据投标人提供的钢管合格的检测报告，报告检测项目需含：外观、金属喷漆（塑）涂层理化性能、重金属、屈服强度、抗拉强度、化学成分，得1分。</w:t>
            </w:r>
          </w:p>
          <w:p>
            <w:pPr>
              <w:pStyle w:val="24"/>
              <w:adjustRightInd w:val="0"/>
              <w:snapToGrid w:val="0"/>
              <w:rPr>
                <w:rFonts w:hint="eastAsia" w:asciiTheme="minorEastAsia" w:hAnsiTheme="minorEastAsia" w:eastAsiaTheme="minorEastAsia" w:cstheme="minorEastAsia"/>
                <w:b w:val="0"/>
                <w:bCs w:val="0"/>
                <w:sz w:val="22"/>
                <w:szCs w:val="22"/>
                <w:highlight w:val="none"/>
                <w:lang w:val="en-US" w:eastAsia="zh-CN"/>
              </w:rPr>
            </w:pPr>
            <w:r>
              <w:rPr>
                <w:rFonts w:hint="eastAsia" w:ascii="宋体" w:hAnsi="宋体" w:eastAsia="宋体" w:cs="宋体"/>
                <w:b w:val="0"/>
                <w:bCs/>
                <w:sz w:val="21"/>
                <w:szCs w:val="21"/>
                <w:highlight w:val="none"/>
                <w:lang w:val="en-US" w:eastAsia="zh-CN"/>
              </w:rPr>
              <w:t>以上检验报告需提供完整的检测报告（含封面及封底，封面需要有CMA或CNAS标志）复印件加盖公章。检验报告上面需有二维码或者电话查询真伪，不完整不得分。检测报告的检测产品名称可略有差异，以实现功能为准，具体由评委现场评审。</w:t>
            </w:r>
          </w:p>
        </w:tc>
        <w:tc>
          <w:tcPr>
            <w:tcW w:w="732" w:type="dxa"/>
            <w:noWrap w:val="0"/>
            <w:vAlign w:val="center"/>
          </w:tcPr>
          <w:p>
            <w:pPr>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7</w:t>
            </w:r>
          </w:p>
        </w:tc>
        <w:tc>
          <w:tcPr>
            <w:tcW w:w="537"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rPr>
              <w:t>6</w:t>
            </w:r>
          </w:p>
        </w:tc>
        <w:tc>
          <w:tcPr>
            <w:tcW w:w="1165" w:type="dxa"/>
            <w:noWrap w:val="0"/>
            <w:vAlign w:val="center"/>
          </w:tcPr>
          <w:p>
            <w:pPr>
              <w:widowControl/>
              <w:jc w:val="left"/>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生产加工设备情况</w:t>
            </w:r>
          </w:p>
        </w:tc>
        <w:tc>
          <w:tcPr>
            <w:tcW w:w="6693" w:type="dxa"/>
            <w:noWrap w:val="0"/>
            <w:vAlign w:val="center"/>
          </w:tcPr>
          <w:p>
            <w:pPr>
              <w:pStyle w:val="24"/>
              <w:adjustRightInd w:val="0"/>
              <w:snapToGrid w:val="0"/>
              <w:rPr>
                <w:rFonts w:hint="eastAsia" w:asciiTheme="minorEastAsia" w:hAnsiTheme="minorEastAsia" w:eastAsiaTheme="minorEastAsia" w:cstheme="minorEastAsia"/>
                <w:b w:val="0"/>
                <w:bCs w:val="0"/>
                <w:sz w:val="22"/>
                <w:szCs w:val="22"/>
                <w:highlight w:val="none"/>
                <w:lang w:val="en-US" w:eastAsia="zh-CN"/>
              </w:rPr>
            </w:pPr>
            <w:r>
              <w:rPr>
                <w:rFonts w:hint="eastAsia" w:asciiTheme="minorEastAsia" w:hAnsiTheme="minorEastAsia" w:eastAsiaTheme="minorEastAsia" w:cstheme="minorEastAsia"/>
                <w:b w:val="0"/>
                <w:bCs w:val="0"/>
                <w:sz w:val="22"/>
                <w:szCs w:val="22"/>
                <w:highlight w:val="none"/>
                <w:lang w:val="en-US" w:eastAsia="zh-CN"/>
              </w:rPr>
              <w:t>投标人自有电子开料锯、全自动直线封边机、数控钻孔中心、全自动焊接机器人设备、激光割管机、全自动弯管机、深劲压力机、冲压机、CNC数控板料折弯机、生物质颗粒燃烧室或天燃气管道、天然气燃烧室的、喷塑流水线、吊钩式抛丸清理机发票复印件并加盖公章，提供一项得0.5分，最高得5分。</w:t>
            </w:r>
          </w:p>
        </w:tc>
        <w:tc>
          <w:tcPr>
            <w:tcW w:w="732" w:type="dxa"/>
            <w:noWrap w:val="0"/>
            <w:vAlign w:val="center"/>
          </w:tcPr>
          <w:p>
            <w:pPr>
              <w:pStyle w:val="24"/>
              <w:adjustRightInd w:val="0"/>
              <w:snapToGrid w:val="0"/>
              <w:rPr>
                <w:rFonts w:hint="eastAsia" w:asciiTheme="minorEastAsia" w:hAnsiTheme="minorEastAsia" w:eastAsiaTheme="minorEastAsia" w:cstheme="minorEastAsia"/>
                <w:b w:val="0"/>
                <w:bCs w:val="0"/>
                <w:sz w:val="22"/>
                <w:szCs w:val="22"/>
                <w:highlight w:val="none"/>
                <w:lang w:val="en-US" w:eastAsia="zh-CN"/>
              </w:rPr>
            </w:pPr>
            <w:r>
              <w:rPr>
                <w:rFonts w:hint="eastAsia" w:asciiTheme="minorEastAsia" w:hAnsiTheme="minorEastAsia" w:eastAsiaTheme="minorEastAsia" w:cstheme="minorEastAsia"/>
                <w:b w:val="0"/>
                <w:bCs w:val="0"/>
                <w:sz w:val="22"/>
                <w:szCs w:val="22"/>
                <w:highlight w:val="none"/>
                <w:lang w:val="en-US" w:eastAsia="zh-CN"/>
              </w:rPr>
              <w:t>0-5</w:t>
            </w:r>
          </w:p>
        </w:tc>
        <w:tc>
          <w:tcPr>
            <w:tcW w:w="537" w:type="dxa"/>
            <w:noWrap w:val="0"/>
            <w:vAlign w:val="center"/>
          </w:tcPr>
          <w:p>
            <w:pPr>
              <w:pStyle w:val="24"/>
              <w:adjustRightInd w:val="0"/>
              <w:snapToGrid w:val="0"/>
              <w:rPr>
                <w:rFonts w:hint="eastAsia" w:asciiTheme="minorEastAsia" w:hAnsiTheme="minorEastAsia" w:eastAsiaTheme="minorEastAsia" w:cstheme="minorEastAsia"/>
                <w:b w:val="0"/>
                <w:bCs w:val="0"/>
                <w:sz w:val="22"/>
                <w:szCs w:val="22"/>
                <w:highlight w:val="none"/>
                <w:lang w:val="en-US" w:eastAsia="zh-CN"/>
              </w:rPr>
            </w:pPr>
            <w:r>
              <w:rPr>
                <w:rFonts w:hint="eastAsia" w:asciiTheme="minorEastAsia" w:hAnsiTheme="minorEastAsia" w:eastAsiaTheme="minorEastAsia" w:cstheme="minorEastAsia"/>
                <w:b w:val="0"/>
                <w:bCs w:val="0"/>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rPr>
              <w:t>7</w:t>
            </w:r>
          </w:p>
        </w:tc>
        <w:tc>
          <w:tcPr>
            <w:tcW w:w="1165"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技术团队情况</w:t>
            </w:r>
          </w:p>
        </w:tc>
        <w:tc>
          <w:tcPr>
            <w:tcW w:w="6693" w:type="dxa"/>
            <w:noWrap w:val="0"/>
            <w:vAlign w:val="center"/>
          </w:tcPr>
          <w:p>
            <w:pPr>
              <w:pStyle w:val="24"/>
              <w:adjustRightInd w:val="0"/>
              <w:snapToGrid w:val="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技术团队履历及能力说明，须提供项目负责人、专业技术人员与本项目有关的能力证明以及社保证明，包括但不限于职称证明、社保证明等材料，</w:t>
            </w:r>
            <w:r>
              <w:rPr>
                <w:rFonts w:hint="eastAsia" w:asciiTheme="minorEastAsia" w:hAnsiTheme="minorEastAsia" w:eastAsiaTheme="minorEastAsia" w:cstheme="minorEastAsia"/>
                <w:sz w:val="22"/>
                <w:szCs w:val="22"/>
                <w:highlight w:val="none"/>
              </w:rPr>
              <w:t>技术团队情况</w:t>
            </w:r>
            <w:r>
              <w:rPr>
                <w:rFonts w:hint="eastAsia" w:asciiTheme="minorEastAsia" w:hAnsiTheme="minorEastAsia" w:eastAsiaTheme="minorEastAsia" w:cstheme="minorEastAsia"/>
                <w:sz w:val="22"/>
                <w:szCs w:val="22"/>
                <w:highlight w:val="none"/>
                <w:lang w:val="en-US" w:eastAsia="zh-CN"/>
              </w:rPr>
              <w:t>描述</w:t>
            </w:r>
            <w:r>
              <w:rPr>
                <w:rFonts w:hint="eastAsia" w:asciiTheme="minorEastAsia" w:hAnsiTheme="minorEastAsia" w:eastAsiaTheme="minorEastAsia" w:cstheme="minorEastAsia"/>
                <w:kern w:val="0"/>
                <w:sz w:val="22"/>
                <w:szCs w:val="22"/>
                <w:highlight w:val="none"/>
                <w:lang w:val="en-US" w:eastAsia="zh-CN"/>
              </w:rPr>
              <w:t>方案全面、科学、合理、可操作性强的得</w:t>
            </w:r>
            <w:r>
              <w:rPr>
                <w:rFonts w:hint="eastAsia" w:asciiTheme="minorEastAsia" w:hAnsiTheme="minorEastAsia" w:eastAsiaTheme="minorEastAsia" w:cstheme="minorEastAsia"/>
                <w:sz w:val="22"/>
                <w:szCs w:val="22"/>
                <w:highlight w:val="none"/>
                <w:lang w:val="en-US" w:eastAsia="zh-CN"/>
              </w:rPr>
              <w:t>4分；比较科学具备基本可操作性的得2分；部分科学及操作性部分满足的得1分。</w:t>
            </w:r>
          </w:p>
        </w:tc>
        <w:tc>
          <w:tcPr>
            <w:tcW w:w="732" w:type="dxa"/>
            <w:noWrap w:val="0"/>
            <w:vAlign w:val="center"/>
          </w:tcPr>
          <w:p>
            <w:pPr>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4</w:t>
            </w:r>
          </w:p>
        </w:tc>
        <w:tc>
          <w:tcPr>
            <w:tcW w:w="537"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rPr>
              <w:t>8</w:t>
            </w:r>
          </w:p>
        </w:tc>
        <w:tc>
          <w:tcPr>
            <w:tcW w:w="1165"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项目实施方案</w:t>
            </w:r>
          </w:p>
        </w:tc>
        <w:tc>
          <w:tcPr>
            <w:tcW w:w="6693" w:type="dxa"/>
            <w:noWrap w:val="0"/>
            <w:vAlign w:val="center"/>
          </w:tcPr>
          <w:p>
            <w:pPr>
              <w:pStyle w:val="24"/>
              <w:adjustRightInd w:val="0"/>
              <w:snapToGrid w:val="0"/>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kern w:val="0"/>
                <w:sz w:val="22"/>
                <w:szCs w:val="22"/>
                <w:highlight w:val="none"/>
                <w:lang w:val="en-US" w:eastAsia="zh-CN"/>
              </w:rPr>
              <w:t>项目实施规划方案，提出合理的项目整体实施方案，能按照项目分解节点，并可跟踪实施。方案全面、科学、合理、可操作性强的得</w:t>
            </w:r>
            <w:r>
              <w:rPr>
                <w:rFonts w:hint="eastAsia" w:asciiTheme="minorEastAsia" w:hAnsiTheme="minorEastAsia" w:eastAsiaTheme="minorEastAsia" w:cstheme="minorEastAsia"/>
                <w:sz w:val="22"/>
                <w:szCs w:val="22"/>
                <w:highlight w:val="none"/>
                <w:lang w:val="en-US" w:eastAsia="zh-CN"/>
              </w:rPr>
              <w:t>4分；比较科学具备基本可操作性的得2分；部分科学及操作性部分满足的得1分。</w:t>
            </w:r>
          </w:p>
        </w:tc>
        <w:tc>
          <w:tcPr>
            <w:tcW w:w="732" w:type="dxa"/>
            <w:noWrap w:val="0"/>
            <w:vAlign w:val="center"/>
          </w:tcPr>
          <w:p>
            <w:pPr>
              <w:jc w:val="center"/>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4</w:t>
            </w:r>
          </w:p>
        </w:tc>
        <w:tc>
          <w:tcPr>
            <w:tcW w:w="537"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rPr>
              <w:t>9</w:t>
            </w:r>
          </w:p>
        </w:tc>
        <w:tc>
          <w:tcPr>
            <w:tcW w:w="1165"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生产实施方案</w:t>
            </w:r>
          </w:p>
        </w:tc>
        <w:tc>
          <w:tcPr>
            <w:tcW w:w="6693" w:type="dxa"/>
            <w:noWrap w:val="0"/>
            <w:vAlign w:val="center"/>
          </w:tcPr>
          <w:p>
            <w:pPr>
              <w:pStyle w:val="24"/>
              <w:adjustRightInd w:val="0"/>
              <w:snapToGrid w:val="0"/>
              <w:rPr>
                <w:rFonts w:hint="eastAsia" w:asciiTheme="minorEastAsia" w:hAnsiTheme="minorEastAsia" w:eastAsiaTheme="minorEastAsia" w:cstheme="minorEastAsia"/>
                <w:kern w:val="0"/>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生产实施方案，制造商要具备生产能力，在规定的时间内有计划的完成项目需求产品的生产装配。方案全面、科学、合理、可操作性强的得5分；比较科学具备基本可操作性的得3分；部分科学及操作性部分满足的得1分。</w:t>
            </w:r>
          </w:p>
        </w:tc>
        <w:tc>
          <w:tcPr>
            <w:tcW w:w="732" w:type="dxa"/>
            <w:noWrap w:val="0"/>
            <w:vAlign w:val="center"/>
          </w:tcPr>
          <w:p>
            <w:pPr>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5</w:t>
            </w:r>
          </w:p>
        </w:tc>
        <w:tc>
          <w:tcPr>
            <w:tcW w:w="537"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31" w:type="dxa"/>
            <w:noWrap w:val="0"/>
            <w:vAlign w:val="center"/>
          </w:tcPr>
          <w:p>
            <w:pPr>
              <w:jc w:val="center"/>
              <w:rPr>
                <w:rFonts w:hint="eastAsia" w:asciiTheme="minorEastAsia" w:hAnsiTheme="minorEastAsia" w:eastAsiaTheme="minorEastAsia" w:cstheme="minorEastAsia"/>
                <w:sz w:val="22"/>
                <w:szCs w:val="22"/>
                <w:highlight w:val="none"/>
                <w:lang w:val="en-US" w:eastAsia="zh-CN" w:bidi="ar-SA"/>
              </w:rPr>
            </w:pPr>
            <w:r>
              <w:rPr>
                <w:rFonts w:hint="eastAsia" w:asciiTheme="minorEastAsia" w:hAnsiTheme="minorEastAsia" w:eastAsiaTheme="minorEastAsia" w:cstheme="minorEastAsia"/>
                <w:sz w:val="22"/>
                <w:szCs w:val="22"/>
                <w:highlight w:val="none"/>
                <w:lang w:val="en-US" w:eastAsia="zh-CN"/>
              </w:rPr>
              <w:t>10</w:t>
            </w:r>
          </w:p>
        </w:tc>
        <w:tc>
          <w:tcPr>
            <w:tcW w:w="1165" w:type="dxa"/>
            <w:noWrap w:val="0"/>
            <w:vAlign w:val="center"/>
          </w:tcPr>
          <w:p>
            <w:pPr>
              <w:jc w:val="center"/>
              <w:rPr>
                <w:rFonts w:hint="eastAsia" w:asciiTheme="minorEastAsia" w:hAnsiTheme="minorEastAsia" w:eastAsiaTheme="minorEastAsia" w:cstheme="minorEastAsia"/>
                <w:b w:val="0"/>
                <w:bCs w:val="0"/>
                <w:sz w:val="22"/>
                <w:szCs w:val="22"/>
                <w:highlight w:val="none"/>
              </w:rPr>
            </w:pPr>
            <w:r>
              <w:rPr>
                <w:rFonts w:hint="eastAsia" w:asciiTheme="minorEastAsia" w:hAnsiTheme="minorEastAsia" w:eastAsiaTheme="minorEastAsia" w:cstheme="minorEastAsia"/>
                <w:b w:val="0"/>
                <w:bCs w:val="0"/>
                <w:sz w:val="22"/>
                <w:szCs w:val="22"/>
                <w:highlight w:val="none"/>
              </w:rPr>
              <w:t>安装服务实施方案</w:t>
            </w:r>
          </w:p>
        </w:tc>
        <w:tc>
          <w:tcPr>
            <w:tcW w:w="6693" w:type="dxa"/>
            <w:noWrap w:val="0"/>
            <w:vAlign w:val="center"/>
          </w:tcPr>
          <w:p>
            <w:pPr>
              <w:pStyle w:val="24"/>
              <w:adjustRightInd w:val="0"/>
              <w:snapToGrid w:val="0"/>
              <w:rPr>
                <w:rFonts w:hint="eastAsia" w:asciiTheme="minorEastAsia" w:hAnsiTheme="minorEastAsia" w:eastAsiaTheme="minorEastAsia" w:cstheme="minorEastAsia"/>
                <w:b w:val="0"/>
                <w:bCs w:val="0"/>
                <w:kern w:val="0"/>
                <w:sz w:val="22"/>
                <w:szCs w:val="22"/>
                <w:highlight w:val="none"/>
                <w:lang w:val="en-US" w:eastAsia="zh-CN"/>
              </w:rPr>
            </w:pPr>
            <w:r>
              <w:rPr>
                <w:rFonts w:hint="eastAsia" w:asciiTheme="minorEastAsia" w:hAnsiTheme="minorEastAsia" w:eastAsiaTheme="minorEastAsia" w:cstheme="minorEastAsia"/>
                <w:b w:val="0"/>
                <w:bCs w:val="0"/>
                <w:sz w:val="22"/>
                <w:szCs w:val="22"/>
                <w:highlight w:val="none"/>
                <w:lang w:val="en-US" w:eastAsia="zh-CN"/>
              </w:rPr>
              <w:t>安装服务实施方案，安装方案的制定，根据货物交付时间节点，落实送货安装时间和人员安排，确保按期交付使用。方案全面、科学、合理、可操作性强的得5分；比较科学具备基本可操作性的得3分；部分科学及操作性部分满足的得1分。</w:t>
            </w:r>
          </w:p>
        </w:tc>
        <w:tc>
          <w:tcPr>
            <w:tcW w:w="732"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0-</w:t>
            </w:r>
            <w:r>
              <w:rPr>
                <w:rFonts w:hint="eastAsia" w:asciiTheme="minorEastAsia" w:hAnsiTheme="minorEastAsia" w:eastAsiaTheme="minorEastAsia" w:cstheme="minorEastAsia"/>
                <w:sz w:val="22"/>
                <w:szCs w:val="22"/>
                <w:highlight w:val="none"/>
                <w:lang w:val="en-US" w:eastAsia="zh-CN"/>
              </w:rPr>
              <w:t>5</w:t>
            </w:r>
          </w:p>
        </w:tc>
        <w:tc>
          <w:tcPr>
            <w:tcW w:w="537" w:type="dxa"/>
            <w:noWrap w:val="0"/>
            <w:vAlign w:val="center"/>
          </w:tcPr>
          <w:p>
            <w:pPr>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bCs/>
                <w:sz w:val="22"/>
                <w:szCs w:val="22"/>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31" w:type="dxa"/>
            <w:noWrap w:val="0"/>
            <w:vAlign w:val="center"/>
          </w:tcPr>
          <w:p>
            <w:pPr>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kern w:val="2"/>
                <w:sz w:val="22"/>
                <w:szCs w:val="22"/>
                <w:highlight w:val="none"/>
                <w:lang w:val="en-US" w:eastAsia="zh-CN" w:bidi="ar-SA"/>
              </w:rPr>
              <w:t>11</w:t>
            </w:r>
          </w:p>
        </w:tc>
        <w:tc>
          <w:tcPr>
            <w:tcW w:w="1165" w:type="dxa"/>
            <w:noWrap w:val="0"/>
            <w:vAlign w:val="center"/>
          </w:tcPr>
          <w:p>
            <w:pPr>
              <w:jc w:val="left"/>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售后服务方案</w:t>
            </w:r>
          </w:p>
        </w:tc>
        <w:tc>
          <w:tcPr>
            <w:tcW w:w="6693" w:type="dxa"/>
            <w:noWrap w:val="0"/>
            <w:vAlign w:val="center"/>
          </w:tcPr>
          <w:p>
            <w:pPr>
              <w:numPr>
                <w:ilvl w:val="0"/>
                <w:numId w:val="0"/>
              </w:numPr>
              <w:autoSpaceDE w:val="0"/>
              <w:autoSpaceDN w:val="0"/>
              <w:adjustRightInd w:val="0"/>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1、根据投标人针对本项目提供售后服务方案的全面性、针对性以及符合采购需求情况等进行综合打分，包括①保修范围、②技术服务维护承诺、③维护响应时间、④质保期外后续服务。</w:t>
            </w:r>
          </w:p>
          <w:p>
            <w:pPr>
              <w:numPr>
                <w:ilvl w:val="0"/>
                <w:numId w:val="0"/>
              </w:numPr>
              <w:autoSpaceDE w:val="0"/>
              <w:autoSpaceDN w:val="0"/>
              <w:adjustRightInd w:val="0"/>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内容完整、措施有效、合理可行、本项目针对性强的每一项得1分，内容有欠缺、项目针对性不强的每一项得0.5分，未提供或方案不可行的不得分，本项最高得得4分。</w:t>
            </w:r>
          </w:p>
          <w:p>
            <w:pPr>
              <w:widowControl/>
              <w:jc w:val="left"/>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2、</w:t>
            </w:r>
            <w:r>
              <w:rPr>
                <w:rFonts w:hint="eastAsia" w:asciiTheme="minorEastAsia" w:hAnsiTheme="minorEastAsia" w:eastAsiaTheme="minorEastAsia" w:cstheme="minorEastAsia"/>
                <w:b w:val="0"/>
                <w:bCs w:val="0"/>
                <w:sz w:val="22"/>
                <w:szCs w:val="22"/>
                <w:highlight w:val="none"/>
              </w:rPr>
              <w:t>投标</w:t>
            </w:r>
            <w:r>
              <w:rPr>
                <w:rFonts w:hint="eastAsia" w:asciiTheme="minorEastAsia" w:hAnsiTheme="minorEastAsia" w:eastAsiaTheme="minorEastAsia" w:cstheme="minorEastAsia"/>
                <w:b w:val="0"/>
                <w:bCs w:val="0"/>
                <w:sz w:val="22"/>
                <w:szCs w:val="22"/>
                <w:highlight w:val="none"/>
                <w:lang w:val="en-US" w:eastAsia="zh-CN"/>
              </w:rPr>
              <w:t>供应商</w:t>
            </w:r>
            <w:r>
              <w:rPr>
                <w:rFonts w:hint="eastAsia" w:asciiTheme="minorEastAsia" w:hAnsiTheme="minorEastAsia" w:eastAsiaTheme="minorEastAsia" w:cstheme="minorEastAsia"/>
                <w:b w:val="0"/>
                <w:bCs w:val="0"/>
                <w:kern w:val="2"/>
                <w:sz w:val="22"/>
                <w:szCs w:val="22"/>
                <w:highlight w:val="none"/>
                <w:lang w:val="en-US" w:eastAsia="zh-CN" w:bidi="ar-SA"/>
              </w:rPr>
              <w:t>具有售后服务认证证书并需配备售后服务人员≥5 名（需提供社保证明），提供证书扫描件得2分，否则不得分。</w:t>
            </w:r>
          </w:p>
        </w:tc>
        <w:tc>
          <w:tcPr>
            <w:tcW w:w="732" w:type="dxa"/>
            <w:noWrap w:val="0"/>
            <w:vAlign w:val="center"/>
          </w:tcPr>
          <w:p>
            <w:pPr>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kern w:val="2"/>
                <w:sz w:val="22"/>
                <w:szCs w:val="22"/>
                <w:highlight w:val="none"/>
                <w:lang w:val="en-US" w:eastAsia="zh-CN" w:bidi="ar-SA"/>
              </w:rPr>
              <w:t>0-6</w:t>
            </w:r>
          </w:p>
        </w:tc>
        <w:tc>
          <w:tcPr>
            <w:tcW w:w="537" w:type="dxa"/>
            <w:noWrap w:val="0"/>
            <w:vAlign w:val="center"/>
          </w:tcPr>
          <w:p>
            <w:pPr>
              <w:jc w:val="center"/>
              <w:rPr>
                <w:rFonts w:hint="eastAsia" w:asciiTheme="minorEastAsia" w:hAnsiTheme="minorEastAsia" w:eastAsiaTheme="minorEastAsia" w:cstheme="minorEastAsia"/>
                <w:kern w:val="2"/>
                <w:sz w:val="22"/>
                <w:szCs w:val="22"/>
                <w:highlight w:val="none"/>
                <w:lang w:val="en-US" w:eastAsia="zh-CN" w:bidi="ar-SA"/>
              </w:rPr>
            </w:pPr>
            <w:r>
              <w:rPr>
                <w:rFonts w:hint="eastAsia" w:asciiTheme="minorEastAsia" w:hAnsiTheme="minorEastAsia" w:eastAsiaTheme="minorEastAsia" w:cstheme="minorEastAsia"/>
                <w:kern w:val="2"/>
                <w:sz w:val="22"/>
                <w:szCs w:val="22"/>
                <w:highlight w:val="none"/>
                <w:lang w:val="en-US" w:eastAsia="zh-CN" w:bidi="ar-SA"/>
              </w:rPr>
              <w:t>客/主观分</w:t>
            </w:r>
          </w:p>
        </w:tc>
      </w:tr>
    </w:tbl>
    <w:p>
      <w:pPr>
        <w:spacing w:line="50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 ：</w:t>
      </w:r>
    </w:p>
    <w:p>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（1）因落实政府采购政策需进行业绩加分的，其业绩分按满分计入。</w:t>
      </w:r>
    </w:p>
    <w:p>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（2）商务技术文件未提供评分项目内容的，该项按零分处理，且不受最低分值限制。</w:t>
      </w:r>
    </w:p>
    <w:p>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（3）商务技术文件中提供的证明材料无法辨认的，按未提供处理。</w:t>
      </w:r>
    </w:p>
    <w:p>
      <w:pPr>
        <w:keepNext w:val="0"/>
        <w:keepLines w:val="0"/>
        <w:widowControl/>
        <w:suppressLineNumbers w:val="0"/>
        <w:jc w:val="left"/>
        <w:textAlignment w:val="center"/>
        <w:rPr>
          <w:rFonts w:hint="eastAsia" w:asciiTheme="minorEastAsia" w:hAnsiTheme="minorEastAsia" w:eastAsiaTheme="minorEastAsia" w:cstheme="minorEastAsia"/>
          <w:b w:val="0"/>
          <w:bCs w:val="0"/>
          <w:kern w:val="2"/>
          <w:sz w:val="22"/>
          <w:szCs w:val="22"/>
          <w:highlight w:val="none"/>
          <w:lang w:val="en-US" w:eastAsia="zh-CN" w:bidi="ar-SA"/>
        </w:rPr>
      </w:pPr>
      <w:r>
        <w:rPr>
          <w:rFonts w:hint="eastAsia" w:asciiTheme="minorEastAsia" w:hAnsiTheme="minorEastAsia" w:eastAsiaTheme="minorEastAsia" w:cstheme="minorEastAsia"/>
          <w:b w:val="0"/>
          <w:bCs w:val="0"/>
          <w:kern w:val="2"/>
          <w:sz w:val="22"/>
          <w:szCs w:val="22"/>
          <w:highlight w:val="none"/>
          <w:lang w:val="en-US" w:eastAsia="zh-CN" w:bidi="ar-SA"/>
        </w:rPr>
        <w:t>（4）每个评委可根据上述评分内容和分值独立打分，然后求其算术平均值作为该投标人的技术、资信最后有效得分。</w:t>
      </w:r>
    </w:p>
    <w:p>
      <w:pPr>
        <w:spacing w:line="500" w:lineRule="exact"/>
        <w:ind w:left="-50"/>
        <w:rPr>
          <w:rFonts w:ascii="宋体" w:hAnsi="宋体" w:cs="宋体"/>
          <w:b/>
          <w:sz w:val="22"/>
          <w:szCs w:val="22"/>
        </w:rPr>
      </w:pPr>
      <w:r>
        <w:rPr>
          <w:rFonts w:hint="eastAsia" w:ascii="宋体" w:hAnsi="宋体" w:cs="宋体"/>
          <w:b/>
          <w:sz w:val="22"/>
          <w:szCs w:val="22"/>
        </w:rPr>
        <w:t>2．报价评分标准：30分</w:t>
      </w:r>
    </w:p>
    <w:p>
      <w:pPr>
        <w:spacing w:line="500" w:lineRule="exact"/>
        <w:ind w:firstLine="442" w:firstLineChars="200"/>
        <w:rPr>
          <w:rFonts w:ascii="宋体" w:hAnsi="宋体" w:cs="宋体"/>
          <w:b/>
          <w:kern w:val="0"/>
          <w:sz w:val="22"/>
          <w:szCs w:val="22"/>
        </w:rPr>
      </w:pPr>
      <w:r>
        <w:rPr>
          <w:rFonts w:hint="eastAsia" w:ascii="宋体" w:hAnsi="宋体" w:cs="宋体"/>
          <w:b/>
          <w:kern w:val="0"/>
          <w:sz w:val="22"/>
          <w:szCs w:val="22"/>
        </w:rPr>
        <w:t>2.1 评标基准价的确定方法为：</w:t>
      </w:r>
    </w:p>
    <w:p>
      <w:pPr>
        <w:spacing w:line="500" w:lineRule="exact"/>
        <w:ind w:firstLine="440" w:firstLineChars="200"/>
        <w:rPr>
          <w:rFonts w:ascii="宋体" w:hAnsi="宋体" w:cs="宋体"/>
          <w:sz w:val="22"/>
          <w:szCs w:val="22"/>
        </w:rPr>
      </w:pPr>
      <w:r>
        <w:rPr>
          <w:rFonts w:hint="eastAsia" w:ascii="宋体" w:hAnsi="宋体" w:cs="宋体"/>
          <w:sz w:val="22"/>
          <w:szCs w:val="22"/>
        </w:rPr>
        <w:t>满足招标文件要求且有效投标价格最低的投标报价为评标基准价，其价格分为满分。</w:t>
      </w:r>
      <w:r>
        <w:rPr>
          <w:rFonts w:hint="eastAsia" w:ascii="宋体" w:hAnsi="宋体" w:cs="宋体"/>
          <w:kern w:val="0"/>
          <w:sz w:val="22"/>
          <w:szCs w:val="22"/>
        </w:rPr>
        <w:t>其他投标人的价格分统一按照下列公式计算：投标报价得分=(评标基准价／投标报价)×价格权值×100</w:t>
      </w:r>
      <w:r>
        <w:rPr>
          <w:rFonts w:hint="eastAsia" w:ascii="宋体" w:hAnsi="宋体" w:cs="宋体"/>
          <w:sz w:val="22"/>
          <w:szCs w:val="22"/>
        </w:rPr>
        <w:t>。（四舍五入，精确到小数点后二位）。</w:t>
      </w:r>
    </w:p>
    <w:p>
      <w:pPr>
        <w:tabs>
          <w:tab w:val="left" w:pos="1899"/>
        </w:tabs>
        <w:adjustRightInd w:val="0"/>
        <w:snapToGrid w:val="0"/>
        <w:spacing w:before="100" w:after="50" w:line="440" w:lineRule="atLeast"/>
        <w:ind w:firstLine="420"/>
        <w:rPr>
          <w:rFonts w:ascii="宋体" w:hAnsi="宋体" w:cs="宋体"/>
          <w:sz w:val="22"/>
          <w:szCs w:val="22"/>
          <w:u w:val="single"/>
        </w:rPr>
      </w:pPr>
      <w:r>
        <w:rPr>
          <w:rFonts w:hint="eastAsia" w:ascii="宋体" w:hAnsi="宋体" w:cs="宋体"/>
          <w:b/>
          <w:sz w:val="22"/>
          <w:szCs w:val="22"/>
          <w:u w:val="single"/>
        </w:rPr>
        <w:t>2.2 本项目在报价评审时对符合中小企业划型标准规定（工信部联企业[2011]300号）的小型和微型企业给予价格优惠扶持，用扣除后的价格参与评审，具体如下：</w:t>
      </w:r>
    </w:p>
    <w:p>
      <w:pPr>
        <w:adjustRightInd w:val="0"/>
        <w:snapToGrid w:val="0"/>
        <w:spacing w:before="100" w:after="50" w:line="440" w:lineRule="atLeast"/>
        <w:ind w:firstLine="420"/>
        <w:rPr>
          <w:rFonts w:ascii="宋体" w:hAnsi="宋体" w:cs="宋体"/>
          <w:b/>
          <w:sz w:val="22"/>
          <w:szCs w:val="22"/>
          <w:u w:val="single"/>
        </w:rPr>
      </w:pPr>
      <w:r>
        <w:rPr>
          <w:rFonts w:hint="eastAsia" w:ascii="宋体" w:hAnsi="宋体" w:cs="宋体"/>
          <w:b/>
          <w:sz w:val="22"/>
          <w:szCs w:val="22"/>
          <w:u w:val="single"/>
        </w:rPr>
        <w:t xml:space="preserve">(1)本项目对小型和微型企业产品的价格给予 </w:t>
      </w:r>
      <w:r>
        <w:rPr>
          <w:rFonts w:hint="eastAsia" w:ascii="宋体" w:hAnsi="宋体" w:cs="宋体"/>
          <w:b/>
          <w:sz w:val="22"/>
          <w:szCs w:val="22"/>
          <w:u w:val="single"/>
          <w:lang w:val="en-US" w:eastAsia="zh-CN"/>
        </w:rPr>
        <w:t>1</w:t>
      </w:r>
      <w:r>
        <w:rPr>
          <w:rFonts w:ascii="宋体" w:hAnsi="宋体" w:cs="宋体"/>
          <w:b/>
          <w:sz w:val="22"/>
          <w:szCs w:val="22"/>
          <w:u w:val="single"/>
        </w:rPr>
        <w:t>0</w:t>
      </w:r>
      <w:r>
        <w:rPr>
          <w:rFonts w:hint="eastAsia" w:ascii="宋体" w:hAnsi="宋体" w:cs="宋体"/>
          <w:b/>
          <w:sz w:val="22"/>
          <w:szCs w:val="22"/>
          <w:u w:val="single"/>
        </w:rPr>
        <w:t xml:space="preserve">% 的扣除，用扣除后的价格（即投标报价的 </w:t>
      </w:r>
      <w:r>
        <w:rPr>
          <w:rFonts w:hint="eastAsia" w:ascii="宋体" w:hAnsi="宋体" w:cs="宋体"/>
          <w:b/>
          <w:sz w:val="22"/>
          <w:szCs w:val="22"/>
          <w:u w:val="single"/>
          <w:lang w:val="en-US" w:eastAsia="zh-CN"/>
        </w:rPr>
        <w:t>9</w:t>
      </w:r>
      <w:r>
        <w:rPr>
          <w:rFonts w:ascii="宋体" w:hAnsi="宋体" w:cs="宋体"/>
          <w:b/>
          <w:sz w:val="22"/>
          <w:szCs w:val="22"/>
          <w:u w:val="single"/>
        </w:rPr>
        <w:t>0</w:t>
      </w:r>
      <w:r>
        <w:rPr>
          <w:rFonts w:hint="eastAsia" w:ascii="宋体" w:hAnsi="宋体" w:cs="宋体"/>
          <w:b/>
          <w:sz w:val="22"/>
          <w:szCs w:val="22"/>
          <w:u w:val="single"/>
        </w:rPr>
        <w:t>% ）参与报价分评审。</w:t>
      </w:r>
    </w:p>
    <w:p>
      <w:pPr>
        <w:adjustRightInd w:val="0"/>
        <w:snapToGrid w:val="0"/>
        <w:spacing w:before="100" w:after="50" w:line="440" w:lineRule="atLeast"/>
        <w:ind w:firstLine="420"/>
        <w:rPr>
          <w:rFonts w:ascii="宋体" w:hAnsi="宋体" w:cs="宋体"/>
          <w:b/>
          <w:sz w:val="22"/>
          <w:szCs w:val="22"/>
          <w:u w:val="single"/>
        </w:rPr>
      </w:pPr>
      <w:r>
        <w:rPr>
          <w:rFonts w:hint="eastAsia" w:ascii="宋体" w:hAnsi="宋体" w:cs="宋体"/>
          <w:b/>
          <w:sz w:val="22"/>
          <w:szCs w:val="22"/>
          <w:u w:val="single"/>
        </w:rPr>
        <w:t>(2)参与本项目政府采购活动的中小企业应当提供 《中小企业声明函》。</w:t>
      </w:r>
    </w:p>
    <w:p>
      <w:pPr>
        <w:adjustRightInd w:val="0"/>
        <w:snapToGrid w:val="0"/>
        <w:spacing w:before="100" w:after="50" w:line="440" w:lineRule="atLeast"/>
        <w:ind w:firstLine="420"/>
        <w:rPr>
          <w:rFonts w:ascii="宋体" w:hAnsi="宋体" w:cs="宋体"/>
          <w:b/>
          <w:sz w:val="22"/>
          <w:szCs w:val="22"/>
          <w:u w:val="single"/>
        </w:rPr>
      </w:pPr>
      <w:r>
        <w:rPr>
          <w:rFonts w:hint="eastAsia" w:ascii="宋体" w:hAnsi="宋体" w:cs="宋体"/>
          <w:b/>
          <w:sz w:val="22"/>
          <w:szCs w:val="22"/>
          <w:u w:val="single"/>
        </w:rPr>
        <w:t>(3)中小企业按上述优惠取得政府采购合同后，小型、微型企业不得分包或转包给大型、中型企业，中型企业不得分包或转包给大型企业。</w:t>
      </w:r>
    </w:p>
    <w:p>
      <w:pPr>
        <w:adjustRightInd w:val="0"/>
        <w:snapToGrid w:val="0"/>
        <w:spacing w:before="100" w:after="50" w:line="440" w:lineRule="atLeast"/>
        <w:ind w:firstLine="420"/>
        <w:rPr>
          <w:rFonts w:ascii="宋体" w:hAnsi="宋体" w:cs="宋体"/>
          <w:b/>
          <w:bCs/>
          <w:kern w:val="0"/>
          <w:sz w:val="22"/>
          <w:szCs w:val="22"/>
          <w:u w:val="single"/>
        </w:rPr>
      </w:pPr>
      <w:r>
        <w:rPr>
          <w:rFonts w:hint="eastAsia" w:ascii="宋体" w:hAnsi="宋体" w:cs="宋体"/>
          <w:b/>
          <w:sz w:val="22"/>
          <w:szCs w:val="22"/>
          <w:u w:val="single"/>
        </w:rPr>
        <w:t>2.3</w:t>
      </w:r>
      <w:r>
        <w:rPr>
          <w:rFonts w:hint="eastAsia" w:ascii="宋体" w:hAnsi="宋体" w:cs="宋体"/>
          <w:b/>
          <w:bCs/>
          <w:kern w:val="0"/>
          <w:sz w:val="22"/>
          <w:szCs w:val="22"/>
          <w:u w:val="single"/>
        </w:rPr>
        <w:t>符合《财政部、司法部关于政府采购支持监狱企业发展有关问题的通知》（财库[2014]68 号）规定的监狱企业，在全部提供本单位制造的货物（由本单位承担工程/提供服务）或者提供其他监狱企业制造的货物（不包括使用非监狱企业注册商标的货物）参加政府采购活动时，视同小型、微型企业享受</w:t>
      </w:r>
      <w:r>
        <w:rPr>
          <w:rFonts w:hint="eastAsia" w:ascii="宋体" w:hAnsi="宋体" w:cs="宋体"/>
          <w:b/>
          <w:bCs/>
          <w:kern w:val="0"/>
          <w:sz w:val="22"/>
          <w:szCs w:val="22"/>
          <w:u w:val="single"/>
          <w:lang w:val="en-US" w:eastAsia="zh-CN"/>
        </w:rPr>
        <w:t>1</w:t>
      </w:r>
      <w:r>
        <w:rPr>
          <w:rFonts w:ascii="宋体" w:hAnsi="宋体" w:cs="宋体"/>
          <w:b/>
          <w:bCs/>
          <w:kern w:val="0"/>
          <w:sz w:val="22"/>
          <w:szCs w:val="22"/>
          <w:u w:val="single"/>
        </w:rPr>
        <w:t>0</w:t>
      </w:r>
      <w:r>
        <w:rPr>
          <w:rFonts w:hint="eastAsia" w:ascii="宋体" w:hAnsi="宋体" w:cs="宋体"/>
          <w:b/>
          <w:bCs/>
          <w:kern w:val="0"/>
          <w:sz w:val="22"/>
          <w:szCs w:val="22"/>
          <w:u w:val="single"/>
        </w:rPr>
        <w:t>%的价格扣除扶持政策。</w:t>
      </w:r>
    </w:p>
    <w:p>
      <w:pPr>
        <w:adjustRightInd w:val="0"/>
        <w:snapToGrid w:val="0"/>
        <w:spacing w:before="100" w:after="50" w:line="440" w:lineRule="atLeast"/>
        <w:ind w:firstLine="420"/>
        <w:rPr>
          <w:rFonts w:ascii="宋体" w:hAnsi="宋体" w:cs="宋体"/>
          <w:b/>
          <w:sz w:val="22"/>
          <w:szCs w:val="22"/>
          <w:u w:val="single"/>
        </w:rPr>
      </w:pPr>
      <w:r>
        <w:rPr>
          <w:rFonts w:hint="eastAsia" w:ascii="宋体" w:hAnsi="宋体" w:cs="宋体"/>
          <w:b/>
          <w:sz w:val="22"/>
          <w:szCs w:val="22"/>
          <w:u w:val="single"/>
        </w:rPr>
        <w:t>备注：（1）监狱企业证明文件：省级或以上监狱管理局、戒毒管理局（含新疆生产建设兵团）出具的属于监狱企业的证明文件。（2）如果提供其他监狱企业制造的货物，还须同时提供该企业为监狱企业的证明文件。</w:t>
      </w:r>
    </w:p>
    <w:p>
      <w:pPr>
        <w:adjustRightInd w:val="0"/>
        <w:snapToGrid w:val="0"/>
        <w:spacing w:before="100" w:after="50" w:line="440" w:lineRule="atLeast"/>
        <w:ind w:firstLine="420"/>
        <w:rPr>
          <w:rFonts w:ascii="宋体" w:hAnsi="宋体" w:cs="宋体"/>
          <w:b/>
          <w:bCs/>
          <w:kern w:val="0"/>
          <w:sz w:val="22"/>
          <w:szCs w:val="22"/>
          <w:u w:val="single"/>
        </w:rPr>
      </w:pPr>
      <w:r>
        <w:rPr>
          <w:rFonts w:hint="eastAsia" w:ascii="宋体" w:hAnsi="宋体" w:cs="宋体"/>
          <w:b/>
          <w:bCs/>
          <w:kern w:val="0"/>
          <w:sz w:val="22"/>
          <w:szCs w:val="22"/>
          <w:u w:val="single"/>
        </w:rPr>
        <w:t xml:space="preserve">2.4符合《财政部、民政部、中国残疾人联合会关于促进残疾人就业政府采购政策的通知》（财库[2017]141 号）规定的残疾人福利性单位，在全部提供本单位制造的货物（由本单位承担工程/提供服务）或者提供其他残疾人福利性单位制造的货物（不包括使用非残疾人福利性单位注册商标的货物）参加政府采购活动时，视同小型、微型企业享受 </w:t>
      </w:r>
      <w:r>
        <w:rPr>
          <w:rFonts w:ascii="宋体" w:hAnsi="宋体" w:cs="宋体"/>
          <w:b/>
          <w:bCs/>
          <w:kern w:val="0"/>
          <w:sz w:val="22"/>
          <w:szCs w:val="22"/>
          <w:u w:val="single"/>
        </w:rPr>
        <w:t>20</w:t>
      </w:r>
      <w:r>
        <w:rPr>
          <w:rFonts w:hint="eastAsia" w:ascii="宋体" w:hAnsi="宋体" w:cs="宋体"/>
          <w:b/>
          <w:bCs/>
          <w:kern w:val="0"/>
          <w:sz w:val="22"/>
          <w:szCs w:val="22"/>
          <w:u w:val="single"/>
        </w:rPr>
        <w:t>%价格扣除扶持政策。</w:t>
      </w:r>
    </w:p>
    <w:p>
      <w:pPr>
        <w:adjustRightInd w:val="0"/>
        <w:snapToGrid w:val="0"/>
        <w:spacing w:before="100" w:after="50" w:line="440" w:lineRule="atLeast"/>
        <w:ind w:firstLine="420"/>
        <w:rPr>
          <w:rFonts w:ascii="宋体" w:hAnsi="宋体" w:cs="宋体"/>
          <w:b/>
          <w:bCs/>
          <w:kern w:val="0"/>
          <w:sz w:val="22"/>
          <w:szCs w:val="22"/>
          <w:u w:val="single"/>
        </w:rPr>
      </w:pPr>
      <w:r>
        <w:rPr>
          <w:rFonts w:hint="eastAsia" w:ascii="宋体" w:hAnsi="宋体" w:cs="宋体"/>
          <w:b/>
          <w:bCs/>
          <w:kern w:val="0"/>
          <w:sz w:val="22"/>
          <w:szCs w:val="22"/>
          <w:u w:val="single"/>
        </w:rPr>
        <w:t>备注：（1）残疾人福利性单位证明材料：残疾人福利性单位声明函。（2）如提供其他残疾人福利性单位制造的货物，还须同时提供该企业的残疾人福利性单位声明函。</w:t>
      </w:r>
    </w:p>
    <w:p>
      <w:pPr>
        <w:spacing w:line="500" w:lineRule="exact"/>
        <w:rPr>
          <w:rFonts w:ascii="宋体" w:hAnsi="宋体" w:cs="宋体"/>
          <w:kern w:val="0"/>
          <w:sz w:val="22"/>
          <w:szCs w:val="22"/>
        </w:rPr>
      </w:pPr>
      <w:r>
        <w:rPr>
          <w:rFonts w:hint="eastAsia" w:ascii="宋体" w:hAnsi="宋体" w:cs="宋体"/>
          <w:kern w:val="0"/>
          <w:sz w:val="22"/>
          <w:szCs w:val="22"/>
        </w:rPr>
        <w:t>3、投标人的</w:t>
      </w:r>
      <w:r>
        <w:rPr>
          <w:rFonts w:hint="eastAsia" w:ascii="宋体" w:hAnsi="宋体" w:cs="宋体"/>
          <w:sz w:val="22"/>
          <w:szCs w:val="22"/>
        </w:rPr>
        <w:t>技术资信</w:t>
      </w:r>
      <w:r>
        <w:rPr>
          <w:rFonts w:hint="eastAsia" w:ascii="宋体" w:hAnsi="宋体" w:cs="宋体"/>
          <w:kern w:val="0"/>
          <w:sz w:val="22"/>
          <w:szCs w:val="22"/>
        </w:rPr>
        <w:t>和报价得分之和，即为该投标人的最终得分。</w:t>
      </w:r>
    </w:p>
    <w:p>
      <w:pPr>
        <w:pStyle w:val="24"/>
        <w:snapToGrid w:val="0"/>
        <w:spacing w:line="360" w:lineRule="exact"/>
        <w:rPr>
          <w:rFonts w:hAnsi="宋体" w:cs="宋体"/>
          <w:sz w:val="22"/>
          <w:szCs w:val="22"/>
        </w:rPr>
      </w:pPr>
      <w:r>
        <w:rPr>
          <w:rFonts w:hint="eastAsia" w:hAnsi="宋体" w:cs="宋体"/>
          <w:kern w:val="0"/>
          <w:sz w:val="22"/>
          <w:szCs w:val="22"/>
        </w:rPr>
        <w:t>4、评标委员会按</w:t>
      </w:r>
      <w:r>
        <w:rPr>
          <w:rFonts w:hint="eastAsia" w:hAnsi="宋体" w:cs="宋体"/>
          <w:sz w:val="22"/>
          <w:szCs w:val="22"/>
        </w:rPr>
        <w:t>技术资信</w:t>
      </w:r>
      <w:r>
        <w:rPr>
          <w:rFonts w:hint="eastAsia" w:hAnsi="宋体" w:cs="宋体"/>
          <w:kern w:val="0"/>
          <w:sz w:val="22"/>
          <w:szCs w:val="22"/>
        </w:rPr>
        <w:t>合格投标人的最终得分高低进行排序，将得分排名第一的投标人推荐中标人候选人（</w:t>
      </w:r>
      <w:r>
        <w:rPr>
          <w:rFonts w:hint="eastAsia" w:hAnsi="宋体" w:cs="宋体"/>
          <w:sz w:val="22"/>
          <w:szCs w:val="22"/>
        </w:rPr>
        <w:t>得分相同的，按投标报价由低到高顺序排列。得分且投标报价相同的，按技术指标优劣顺序排列。）</w:t>
      </w:r>
    </w:p>
    <w:p>
      <w:pPr>
        <w:spacing w:line="500" w:lineRule="exact"/>
        <w:rPr>
          <w:rFonts w:ascii="宋体" w:hAnsi="宋体" w:cs="宋体"/>
          <w:kern w:val="0"/>
          <w:sz w:val="22"/>
          <w:szCs w:val="22"/>
        </w:rPr>
      </w:pPr>
      <w:r>
        <w:rPr>
          <w:rFonts w:hint="eastAsia" w:ascii="宋体" w:hAnsi="宋体" w:cs="宋体"/>
          <w:kern w:val="0"/>
          <w:sz w:val="22"/>
          <w:szCs w:val="22"/>
        </w:rPr>
        <w:t>5、中标人确定后，在龙港市政务服务中心及浙江政府采购网上公示评标结果，采购人同时向中标单位发中标通知书，质疑期为七个工作日。</w:t>
      </w:r>
    </w:p>
    <w:p>
      <w:pPr>
        <w:spacing w:line="500" w:lineRule="exact"/>
        <w:rPr>
          <w:rFonts w:ascii="宋体" w:hAnsi="宋体" w:cs="宋体"/>
          <w:b/>
          <w:spacing w:val="22"/>
          <w:sz w:val="22"/>
          <w:szCs w:val="22"/>
        </w:rPr>
      </w:pPr>
      <w:r>
        <w:rPr>
          <w:rFonts w:hint="eastAsia" w:ascii="宋体" w:hAnsi="宋体" w:cs="宋体"/>
          <w:b/>
          <w:spacing w:val="22"/>
          <w:sz w:val="22"/>
          <w:szCs w:val="22"/>
        </w:rPr>
        <w:t>五、投标人义务</w:t>
      </w:r>
    </w:p>
    <w:p>
      <w:pPr>
        <w:spacing w:line="500" w:lineRule="exact"/>
        <w:ind w:firstLine="440" w:firstLineChars="200"/>
        <w:rPr>
          <w:rFonts w:ascii="宋体" w:hAnsi="宋体" w:cs="宋体"/>
          <w:sz w:val="22"/>
          <w:szCs w:val="22"/>
        </w:rPr>
      </w:pPr>
      <w:r>
        <w:rPr>
          <w:rFonts w:hint="eastAsia" w:ascii="宋体" w:hAnsi="宋体" w:cs="宋体"/>
          <w:sz w:val="22"/>
          <w:szCs w:val="22"/>
        </w:rPr>
        <w:t>投标人应随时随地答复评标委员会的询标，解答包括有关的报价、技术问题等。评标结束，所有评标资料存采购人备查。未尽事宜按有关法律法规规定执行。</w:t>
      </w:r>
      <w:bookmarkEnd w:id="0"/>
      <w:bookmarkEnd w:id="1"/>
      <w:bookmarkEnd w:id="14"/>
      <w:bookmarkEnd w:id="15"/>
      <w:bookmarkEnd w:id="16"/>
      <w:bookmarkEnd w:id="19"/>
      <w:bookmarkEnd w:id="20"/>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YaHei-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45</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Fonts w:hint="eastAsia"/>
      </w:rPr>
      <w:t>０</w:t>
    </w:r>
    <w:r>
      <w:fldChar w:fldCharType="end"/>
    </w: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75</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公开招标</w:t>
    </w:r>
    <w:r>
      <w:rPr>
        <w:rFonts w:hint="eastAsia"/>
        <w:lang w:val="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公开招标</w:t>
    </w:r>
    <w:r>
      <w:rPr>
        <w:rFonts w:hint="eastAsia"/>
        <w:lang w:val="zh-CN"/>
      </w:rPr>
      <w:t>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both"/>
    </w:pPr>
    <w:r>
      <w:rPr>
        <w:rFonts w:hint="eastAsia"/>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DA5A5"/>
    <w:multiLevelType w:val="singleLevel"/>
    <w:tmpl w:val="C55DA5A5"/>
    <w:lvl w:ilvl="0" w:tentative="0">
      <w:start w:val="1"/>
      <w:numFmt w:val="chineseCounting"/>
      <w:suff w:val="nothing"/>
      <w:lvlText w:val="%1、"/>
      <w:lvlJc w:val="left"/>
      <w:rPr>
        <w:rFonts w:hint="eastAsia"/>
      </w:rPr>
    </w:lvl>
  </w:abstractNum>
  <w:abstractNum w:abstractNumId="1">
    <w:nsid w:val="C9C3722B"/>
    <w:multiLevelType w:val="singleLevel"/>
    <w:tmpl w:val="C9C3722B"/>
    <w:lvl w:ilvl="0" w:tentative="0">
      <w:start w:val="1"/>
      <w:numFmt w:val="decimal"/>
      <w:suff w:val="nothing"/>
      <w:lvlText w:val="%1、"/>
      <w:lvlJc w:val="left"/>
    </w:lvl>
  </w:abstractNum>
  <w:abstractNum w:abstractNumId="2">
    <w:nsid w:val="067E4C7D"/>
    <w:multiLevelType w:val="multilevel"/>
    <w:tmpl w:val="067E4C7D"/>
    <w:lvl w:ilvl="0" w:tentative="0">
      <w:start w:val="1"/>
      <w:numFmt w:val="decimal"/>
      <w:lvlText w:val="%1、"/>
      <w:lvlJc w:val="left"/>
      <w:pPr>
        <w:tabs>
          <w:tab w:val="left" w:pos="525"/>
        </w:tabs>
        <w:ind w:left="525" w:hanging="420"/>
      </w:pPr>
      <w:rPr>
        <w:rFonts w:hint="eastAsia"/>
      </w:rPr>
    </w:lvl>
    <w:lvl w:ilvl="1" w:tentative="0">
      <w:start w:val="1"/>
      <w:numFmt w:val="lowerLetter"/>
      <w:pStyle w:val="198"/>
      <w:lvlText w:val="%2)"/>
      <w:lvlJc w:val="left"/>
      <w:pPr>
        <w:tabs>
          <w:tab w:val="left" w:pos="945"/>
        </w:tabs>
        <w:ind w:left="945" w:hanging="420"/>
      </w:pPr>
    </w:lvl>
    <w:lvl w:ilvl="2" w:tentative="0">
      <w:start w:val="1"/>
      <w:numFmt w:val="lowerRoman"/>
      <w:pStyle w:val="180"/>
      <w:lvlText w:val="%3."/>
      <w:lvlJc w:val="right"/>
      <w:pPr>
        <w:tabs>
          <w:tab w:val="left" w:pos="1365"/>
        </w:tabs>
        <w:ind w:left="1365" w:hanging="420"/>
      </w:pPr>
    </w:lvl>
    <w:lvl w:ilvl="3" w:tentative="0">
      <w:start w:val="1"/>
      <w:numFmt w:val="decimal"/>
      <w:pStyle w:val="328"/>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pStyle w:val="25"/>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3">
    <w:nsid w:val="169B6435"/>
    <w:multiLevelType w:val="multilevel"/>
    <w:tmpl w:val="169B6435"/>
    <w:lvl w:ilvl="0" w:tentative="0">
      <w:start w:val="1"/>
      <w:numFmt w:val="decimal"/>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C805A7"/>
    <w:multiLevelType w:val="multilevel"/>
    <w:tmpl w:val="1BC805A7"/>
    <w:lvl w:ilvl="0" w:tentative="0">
      <w:start w:val="1"/>
      <w:numFmt w:val="decimal"/>
      <w:lvlText w:val="(%1)"/>
      <w:lvlJc w:val="left"/>
      <w:pPr>
        <w:tabs>
          <w:tab w:val="left" w:pos="832"/>
        </w:tabs>
        <w:ind w:left="889" w:hanging="477"/>
      </w:pPr>
      <w:rPr>
        <w:rFonts w:hint="eastAsia"/>
        <w:b w:val="0"/>
      </w:rPr>
    </w:lvl>
    <w:lvl w:ilvl="1" w:tentative="0">
      <w:start w:val="1"/>
      <w:numFmt w:val="lowerLetter"/>
      <w:lvlText w:val="%2)"/>
      <w:lvlJc w:val="left"/>
      <w:pPr>
        <w:tabs>
          <w:tab w:val="left" w:pos="832"/>
        </w:tabs>
        <w:ind w:left="832" w:hanging="420"/>
      </w:pPr>
    </w:lvl>
    <w:lvl w:ilvl="2" w:tentative="0">
      <w:start w:val="1"/>
      <w:numFmt w:val="lowerRoman"/>
      <w:lvlText w:val="%3."/>
      <w:lvlJc w:val="right"/>
      <w:pPr>
        <w:tabs>
          <w:tab w:val="left" w:pos="1252"/>
        </w:tabs>
        <w:ind w:left="1252" w:hanging="420"/>
      </w:pPr>
    </w:lvl>
    <w:lvl w:ilvl="3" w:tentative="0">
      <w:start w:val="1"/>
      <w:numFmt w:val="decimal"/>
      <w:lvlText w:val="%4."/>
      <w:lvlJc w:val="left"/>
      <w:pPr>
        <w:tabs>
          <w:tab w:val="left" w:pos="1672"/>
        </w:tabs>
        <w:ind w:left="1672" w:hanging="420"/>
      </w:pPr>
    </w:lvl>
    <w:lvl w:ilvl="4" w:tentative="0">
      <w:start w:val="1"/>
      <w:numFmt w:val="lowerLetter"/>
      <w:lvlText w:val="%5)"/>
      <w:lvlJc w:val="left"/>
      <w:pPr>
        <w:tabs>
          <w:tab w:val="left" w:pos="2092"/>
        </w:tabs>
        <w:ind w:left="2092" w:hanging="420"/>
      </w:pPr>
    </w:lvl>
    <w:lvl w:ilvl="5" w:tentative="0">
      <w:start w:val="1"/>
      <w:numFmt w:val="lowerRoman"/>
      <w:lvlText w:val="%6."/>
      <w:lvlJc w:val="right"/>
      <w:pPr>
        <w:tabs>
          <w:tab w:val="left" w:pos="2512"/>
        </w:tabs>
        <w:ind w:left="2512" w:hanging="420"/>
      </w:pPr>
    </w:lvl>
    <w:lvl w:ilvl="6" w:tentative="0">
      <w:start w:val="1"/>
      <w:numFmt w:val="decimal"/>
      <w:lvlText w:val="%7."/>
      <w:lvlJc w:val="left"/>
      <w:pPr>
        <w:tabs>
          <w:tab w:val="left" w:pos="2932"/>
        </w:tabs>
        <w:ind w:left="2932" w:hanging="420"/>
      </w:pPr>
    </w:lvl>
    <w:lvl w:ilvl="7" w:tentative="0">
      <w:start w:val="1"/>
      <w:numFmt w:val="lowerLetter"/>
      <w:lvlText w:val="%8)"/>
      <w:lvlJc w:val="left"/>
      <w:pPr>
        <w:tabs>
          <w:tab w:val="left" w:pos="3352"/>
        </w:tabs>
        <w:ind w:left="3352" w:hanging="420"/>
      </w:pPr>
    </w:lvl>
    <w:lvl w:ilvl="8" w:tentative="0">
      <w:start w:val="1"/>
      <w:numFmt w:val="lowerRoman"/>
      <w:lvlText w:val="%9."/>
      <w:lvlJc w:val="right"/>
      <w:pPr>
        <w:tabs>
          <w:tab w:val="left" w:pos="3772"/>
        </w:tabs>
        <w:ind w:left="3772" w:hanging="420"/>
      </w:pPr>
    </w:lvl>
  </w:abstractNum>
  <w:abstractNum w:abstractNumId="5">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pStyle w:val="242"/>
      <w:lvlText w:val="%1.%2"/>
      <w:lvlJc w:val="left"/>
      <w:pPr>
        <w:tabs>
          <w:tab w:val="left" w:pos="1031"/>
        </w:tabs>
        <w:ind w:left="1031" w:hanging="851"/>
      </w:pPr>
      <w:rPr>
        <w:rFonts w:hint="default" w:ascii="Arial" w:hAnsi="Arial" w:eastAsia="宋体"/>
        <w:b w:val="0"/>
        <w:i w:val="0"/>
        <w:color w:val="00000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6">
    <w:nsid w:val="329D7AAE"/>
    <w:multiLevelType w:val="multilevel"/>
    <w:tmpl w:val="329D7AAE"/>
    <w:lvl w:ilvl="0" w:tentative="0">
      <w:start w:val="1"/>
      <w:numFmt w:val="japaneseCounting"/>
      <w:pStyle w:val="222"/>
      <w:lvlText w:val="%1．"/>
      <w:lvlJc w:val="left"/>
      <w:pPr>
        <w:tabs>
          <w:tab w:val="left" w:pos="720"/>
        </w:tabs>
        <w:ind w:left="720" w:hanging="720"/>
      </w:pPr>
      <w:rPr>
        <w:rFonts w:hint="default" w:ascii="新宋体" w:hAnsi="新宋体" w:eastAsia="新宋体"/>
        <w:sz w:val="2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69B5A0E"/>
    <w:multiLevelType w:val="singleLevel"/>
    <w:tmpl w:val="569B5A0E"/>
    <w:lvl w:ilvl="0" w:tentative="0">
      <w:start w:val="2"/>
      <w:numFmt w:val="chineseCounting"/>
      <w:suff w:val="space"/>
      <w:lvlText w:val="%1、"/>
      <w:lvlJc w:val="left"/>
      <w:rPr>
        <w:rFonts w:cs="Times New Roman"/>
      </w:rPr>
    </w:lvl>
  </w:abstractNum>
  <w:abstractNum w:abstractNumId="8">
    <w:nsid w:val="6B02696B"/>
    <w:multiLevelType w:val="multilevel"/>
    <w:tmpl w:val="6B02696B"/>
    <w:lvl w:ilvl="0" w:tentative="0">
      <w:start w:val="1"/>
      <w:numFmt w:val="decimal"/>
      <w:lvlText w:val="(%1)"/>
      <w:lvlJc w:val="left"/>
      <w:pPr>
        <w:tabs>
          <w:tab w:val="left" w:pos="1347"/>
        </w:tabs>
        <w:ind w:left="1404" w:hanging="477"/>
      </w:pPr>
      <w:rPr>
        <w:rFonts w:hint="eastAsia"/>
      </w:rPr>
    </w:lvl>
    <w:lvl w:ilvl="1" w:tentative="0">
      <w:start w:val="1"/>
      <w:numFmt w:val="lowerLetter"/>
      <w:lvlText w:val="%2)"/>
      <w:lvlJc w:val="left"/>
      <w:pPr>
        <w:tabs>
          <w:tab w:val="left" w:pos="1347"/>
        </w:tabs>
        <w:ind w:left="1347" w:hanging="420"/>
      </w:pPr>
    </w:lvl>
    <w:lvl w:ilvl="2" w:tentative="0">
      <w:start w:val="1"/>
      <w:numFmt w:val="lowerRoman"/>
      <w:lvlText w:val="%3."/>
      <w:lvlJc w:val="right"/>
      <w:pPr>
        <w:tabs>
          <w:tab w:val="left" w:pos="1767"/>
        </w:tabs>
        <w:ind w:left="1767" w:hanging="420"/>
      </w:pPr>
    </w:lvl>
    <w:lvl w:ilvl="3" w:tentative="0">
      <w:start w:val="1"/>
      <w:numFmt w:val="decimal"/>
      <w:lvlText w:val="%4."/>
      <w:lvlJc w:val="left"/>
      <w:pPr>
        <w:tabs>
          <w:tab w:val="left" w:pos="2187"/>
        </w:tabs>
        <w:ind w:left="2187" w:hanging="420"/>
      </w:pPr>
    </w:lvl>
    <w:lvl w:ilvl="4" w:tentative="0">
      <w:start w:val="1"/>
      <w:numFmt w:val="lowerLetter"/>
      <w:lvlText w:val="%5)"/>
      <w:lvlJc w:val="left"/>
      <w:pPr>
        <w:tabs>
          <w:tab w:val="left" w:pos="2607"/>
        </w:tabs>
        <w:ind w:left="2607" w:hanging="420"/>
      </w:pPr>
    </w:lvl>
    <w:lvl w:ilvl="5" w:tentative="0">
      <w:start w:val="1"/>
      <w:numFmt w:val="lowerRoman"/>
      <w:lvlText w:val="%6."/>
      <w:lvlJc w:val="right"/>
      <w:pPr>
        <w:tabs>
          <w:tab w:val="left" w:pos="3027"/>
        </w:tabs>
        <w:ind w:left="3027" w:hanging="420"/>
      </w:pPr>
    </w:lvl>
    <w:lvl w:ilvl="6" w:tentative="0">
      <w:start w:val="1"/>
      <w:numFmt w:val="decimal"/>
      <w:lvlText w:val="%7."/>
      <w:lvlJc w:val="left"/>
      <w:pPr>
        <w:tabs>
          <w:tab w:val="left" w:pos="3447"/>
        </w:tabs>
        <w:ind w:left="3447" w:hanging="420"/>
      </w:pPr>
    </w:lvl>
    <w:lvl w:ilvl="7" w:tentative="0">
      <w:start w:val="1"/>
      <w:numFmt w:val="lowerLetter"/>
      <w:lvlText w:val="%8)"/>
      <w:lvlJc w:val="left"/>
      <w:pPr>
        <w:tabs>
          <w:tab w:val="left" w:pos="3867"/>
        </w:tabs>
        <w:ind w:left="3867" w:hanging="420"/>
      </w:pPr>
    </w:lvl>
    <w:lvl w:ilvl="8" w:tentative="0">
      <w:start w:val="1"/>
      <w:numFmt w:val="lowerRoman"/>
      <w:lvlText w:val="%9."/>
      <w:lvlJc w:val="right"/>
      <w:pPr>
        <w:tabs>
          <w:tab w:val="left" w:pos="4287"/>
        </w:tabs>
        <w:ind w:left="4287" w:hanging="420"/>
      </w:pPr>
    </w:lvl>
  </w:abstractNum>
  <w:abstractNum w:abstractNumId="9">
    <w:nsid w:val="768A66F8"/>
    <w:multiLevelType w:val="singleLevel"/>
    <w:tmpl w:val="768A66F8"/>
    <w:lvl w:ilvl="0" w:tentative="0">
      <w:start w:val="1"/>
      <w:numFmt w:val="decimal"/>
      <w:suff w:val="nothing"/>
      <w:lvlText w:val="%1、"/>
      <w:lvlJc w:val="left"/>
    </w:lvl>
  </w:abstractNum>
  <w:abstractNum w:abstractNumId="10">
    <w:nsid w:val="789366F8"/>
    <w:multiLevelType w:val="multilevel"/>
    <w:tmpl w:val="789366F8"/>
    <w:lvl w:ilvl="0" w:tentative="0">
      <w:start w:val="1"/>
      <w:numFmt w:val="decimal"/>
      <w:lvlText w:val="（%1）"/>
      <w:lvlJc w:val="left"/>
      <w:pPr>
        <w:tabs>
          <w:tab w:val="left" w:pos="1029"/>
        </w:tabs>
        <w:ind w:left="1029" w:hanging="720"/>
      </w:pPr>
      <w:rPr>
        <w:rFonts w:hint="eastAsia"/>
      </w:rPr>
    </w:lvl>
    <w:lvl w:ilvl="1" w:tentative="0">
      <w:start w:val="1"/>
      <w:numFmt w:val="decimal"/>
      <w:lvlText w:val="%2、"/>
      <w:lvlJc w:val="left"/>
      <w:pPr>
        <w:tabs>
          <w:tab w:val="left" w:pos="1899"/>
        </w:tabs>
        <w:ind w:left="1899" w:hanging="1170"/>
      </w:pPr>
      <w:rPr>
        <w:rFonts w:ascii="宋体" w:hAnsi="宋体" w:eastAsia="宋体" w:cs="宋体"/>
      </w:rPr>
    </w:lvl>
    <w:lvl w:ilvl="2" w:tentative="0">
      <w:start w:val="1"/>
      <w:numFmt w:val="lowerRoman"/>
      <w:lvlText w:val="%3."/>
      <w:lvlJc w:val="right"/>
      <w:pPr>
        <w:tabs>
          <w:tab w:val="left" w:pos="1569"/>
        </w:tabs>
        <w:ind w:left="1569" w:hanging="420"/>
      </w:pPr>
    </w:lvl>
    <w:lvl w:ilvl="3" w:tentative="0">
      <w:start w:val="1"/>
      <w:numFmt w:val="decimal"/>
      <w:lvlText w:val="%4."/>
      <w:lvlJc w:val="left"/>
      <w:pPr>
        <w:tabs>
          <w:tab w:val="left" w:pos="1989"/>
        </w:tabs>
        <w:ind w:left="1989" w:hanging="420"/>
      </w:pPr>
    </w:lvl>
    <w:lvl w:ilvl="4" w:tentative="0">
      <w:start w:val="1"/>
      <w:numFmt w:val="lowerLetter"/>
      <w:lvlText w:val="%5)"/>
      <w:lvlJc w:val="left"/>
      <w:pPr>
        <w:tabs>
          <w:tab w:val="left" w:pos="2409"/>
        </w:tabs>
        <w:ind w:left="2409" w:hanging="420"/>
      </w:pPr>
    </w:lvl>
    <w:lvl w:ilvl="5" w:tentative="0">
      <w:start w:val="1"/>
      <w:numFmt w:val="lowerRoman"/>
      <w:lvlText w:val="%6."/>
      <w:lvlJc w:val="right"/>
      <w:pPr>
        <w:tabs>
          <w:tab w:val="left" w:pos="2829"/>
        </w:tabs>
        <w:ind w:left="2829" w:hanging="420"/>
      </w:p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1">
    <w:nsid w:val="7A0E4572"/>
    <w:multiLevelType w:val="multilevel"/>
    <w:tmpl w:val="7A0E4572"/>
    <w:lvl w:ilvl="0" w:tentative="0">
      <w:start w:val="1"/>
      <w:numFmt w:val="decimal"/>
      <w:lvlText w:val="（%1）"/>
      <w:lvlJc w:val="left"/>
      <w:pPr>
        <w:ind w:left="729" w:hanging="420"/>
      </w:pPr>
      <w:rPr>
        <w:rFonts w:hint="eastAsia"/>
      </w:rPr>
    </w:lvl>
    <w:lvl w:ilvl="1" w:tentative="0">
      <w:start w:val="1"/>
      <w:numFmt w:val="lowerLetter"/>
      <w:lvlText w:val="%2)"/>
      <w:lvlJc w:val="left"/>
      <w:pPr>
        <w:ind w:left="1149" w:hanging="420"/>
      </w:pPr>
    </w:lvl>
    <w:lvl w:ilvl="2" w:tentative="0">
      <w:start w:val="1"/>
      <w:numFmt w:val="lowerRoman"/>
      <w:lvlText w:val="%3."/>
      <w:lvlJc w:val="right"/>
      <w:pPr>
        <w:ind w:left="1569" w:hanging="420"/>
      </w:pPr>
    </w:lvl>
    <w:lvl w:ilvl="3" w:tentative="0">
      <w:start w:val="1"/>
      <w:numFmt w:val="decimal"/>
      <w:lvlText w:val="%4."/>
      <w:lvlJc w:val="left"/>
      <w:pPr>
        <w:ind w:left="1989" w:hanging="420"/>
      </w:pPr>
    </w:lvl>
    <w:lvl w:ilvl="4" w:tentative="0">
      <w:start w:val="1"/>
      <w:numFmt w:val="lowerLetter"/>
      <w:lvlText w:val="%5)"/>
      <w:lvlJc w:val="left"/>
      <w:pPr>
        <w:ind w:left="2409" w:hanging="420"/>
      </w:pPr>
    </w:lvl>
    <w:lvl w:ilvl="5" w:tentative="0">
      <w:start w:val="1"/>
      <w:numFmt w:val="lowerRoman"/>
      <w:lvlText w:val="%6."/>
      <w:lvlJc w:val="right"/>
      <w:pPr>
        <w:ind w:left="2829" w:hanging="420"/>
      </w:pPr>
    </w:lvl>
    <w:lvl w:ilvl="6" w:tentative="0">
      <w:start w:val="1"/>
      <w:numFmt w:val="decimal"/>
      <w:lvlText w:val="%7."/>
      <w:lvlJc w:val="left"/>
      <w:pPr>
        <w:ind w:left="3249" w:hanging="420"/>
      </w:pPr>
    </w:lvl>
    <w:lvl w:ilvl="7" w:tentative="0">
      <w:start w:val="1"/>
      <w:numFmt w:val="lowerLetter"/>
      <w:lvlText w:val="%8)"/>
      <w:lvlJc w:val="left"/>
      <w:pPr>
        <w:ind w:left="3669" w:hanging="420"/>
      </w:pPr>
    </w:lvl>
    <w:lvl w:ilvl="8" w:tentative="0">
      <w:start w:val="1"/>
      <w:numFmt w:val="lowerRoman"/>
      <w:lvlText w:val="%9."/>
      <w:lvlJc w:val="right"/>
      <w:pPr>
        <w:ind w:left="4089" w:hanging="420"/>
      </w:pPr>
    </w:lvl>
  </w:abstractNum>
  <w:abstractNum w:abstractNumId="12">
    <w:nsid w:val="7F9C4890"/>
    <w:multiLevelType w:val="multilevel"/>
    <w:tmpl w:val="7F9C4890"/>
    <w:lvl w:ilvl="0" w:tentative="0">
      <w:start w:val="1"/>
      <w:numFmt w:val="japaneseCounting"/>
      <w:lvlText w:val="第%1章"/>
      <w:lvlJc w:val="left"/>
      <w:pPr>
        <w:tabs>
          <w:tab w:val="left" w:pos="840"/>
        </w:tabs>
        <w:ind w:left="840" w:hanging="8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5"/>
  </w:num>
  <w:num w:numId="4">
    <w:abstractNumId w:val="12"/>
  </w:num>
  <w:num w:numId="5">
    <w:abstractNumId w:val="3"/>
  </w:num>
  <w:num w:numId="6">
    <w:abstractNumId w:val="8"/>
  </w:num>
  <w:num w:numId="7">
    <w:abstractNumId w:val="10"/>
  </w:num>
  <w:num w:numId="8">
    <w:abstractNumId w:val="4"/>
  </w:num>
  <w:num w:numId="9">
    <w:abstractNumId w:val="11"/>
  </w:num>
  <w:num w:numId="10">
    <w:abstractNumId w:val="7"/>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kMzAyZTY4MmUwMTVjZWU4NWE0YjMwYmQ2MDY0OGIifQ=="/>
  </w:docVars>
  <w:rsids>
    <w:rsidRoot w:val="00FD1F47"/>
    <w:rsid w:val="00000989"/>
    <w:rsid w:val="00000A03"/>
    <w:rsid w:val="00001149"/>
    <w:rsid w:val="000013B5"/>
    <w:rsid w:val="00001435"/>
    <w:rsid w:val="000016E3"/>
    <w:rsid w:val="000018EA"/>
    <w:rsid w:val="00001C70"/>
    <w:rsid w:val="00002518"/>
    <w:rsid w:val="0000264E"/>
    <w:rsid w:val="00002722"/>
    <w:rsid w:val="00002A08"/>
    <w:rsid w:val="00002A1D"/>
    <w:rsid w:val="00002B82"/>
    <w:rsid w:val="00003E5A"/>
    <w:rsid w:val="00003E8E"/>
    <w:rsid w:val="000043CD"/>
    <w:rsid w:val="0000446C"/>
    <w:rsid w:val="00004A26"/>
    <w:rsid w:val="00004A4B"/>
    <w:rsid w:val="00004C8C"/>
    <w:rsid w:val="00005587"/>
    <w:rsid w:val="000058FB"/>
    <w:rsid w:val="00005D3D"/>
    <w:rsid w:val="00007CEF"/>
    <w:rsid w:val="000101E4"/>
    <w:rsid w:val="00010257"/>
    <w:rsid w:val="0001092D"/>
    <w:rsid w:val="00010AA3"/>
    <w:rsid w:val="000110F1"/>
    <w:rsid w:val="00011DD2"/>
    <w:rsid w:val="000131B0"/>
    <w:rsid w:val="00013271"/>
    <w:rsid w:val="00013782"/>
    <w:rsid w:val="00014065"/>
    <w:rsid w:val="00014376"/>
    <w:rsid w:val="00014885"/>
    <w:rsid w:val="0001498A"/>
    <w:rsid w:val="0001573C"/>
    <w:rsid w:val="00015A32"/>
    <w:rsid w:val="00015F1B"/>
    <w:rsid w:val="00016582"/>
    <w:rsid w:val="00016994"/>
    <w:rsid w:val="00016AFE"/>
    <w:rsid w:val="0001731C"/>
    <w:rsid w:val="00017AA6"/>
    <w:rsid w:val="00017B40"/>
    <w:rsid w:val="000207EB"/>
    <w:rsid w:val="00020A45"/>
    <w:rsid w:val="00020B94"/>
    <w:rsid w:val="00020BE4"/>
    <w:rsid w:val="00020D1D"/>
    <w:rsid w:val="00020D79"/>
    <w:rsid w:val="00021099"/>
    <w:rsid w:val="00021EA8"/>
    <w:rsid w:val="00022F2D"/>
    <w:rsid w:val="00022FF5"/>
    <w:rsid w:val="0002308D"/>
    <w:rsid w:val="0002446D"/>
    <w:rsid w:val="00024849"/>
    <w:rsid w:val="00024BBF"/>
    <w:rsid w:val="00024EC5"/>
    <w:rsid w:val="000260F7"/>
    <w:rsid w:val="00026457"/>
    <w:rsid w:val="000267CC"/>
    <w:rsid w:val="00026901"/>
    <w:rsid w:val="0002783A"/>
    <w:rsid w:val="00030037"/>
    <w:rsid w:val="00030459"/>
    <w:rsid w:val="000304CC"/>
    <w:rsid w:val="000305E9"/>
    <w:rsid w:val="00031301"/>
    <w:rsid w:val="00031380"/>
    <w:rsid w:val="0003152D"/>
    <w:rsid w:val="00031698"/>
    <w:rsid w:val="00031E42"/>
    <w:rsid w:val="00031F7A"/>
    <w:rsid w:val="00032453"/>
    <w:rsid w:val="000325CB"/>
    <w:rsid w:val="000327F9"/>
    <w:rsid w:val="0003290D"/>
    <w:rsid w:val="000329F3"/>
    <w:rsid w:val="000329FD"/>
    <w:rsid w:val="00032BFC"/>
    <w:rsid w:val="00033595"/>
    <w:rsid w:val="00033ADE"/>
    <w:rsid w:val="00033BDA"/>
    <w:rsid w:val="00033CB1"/>
    <w:rsid w:val="00034071"/>
    <w:rsid w:val="00034178"/>
    <w:rsid w:val="000347CB"/>
    <w:rsid w:val="00035C15"/>
    <w:rsid w:val="00036B89"/>
    <w:rsid w:val="00037451"/>
    <w:rsid w:val="00037E05"/>
    <w:rsid w:val="0004048F"/>
    <w:rsid w:val="000409A2"/>
    <w:rsid w:val="00040BB4"/>
    <w:rsid w:val="0004107F"/>
    <w:rsid w:val="000425B6"/>
    <w:rsid w:val="000425BE"/>
    <w:rsid w:val="00042685"/>
    <w:rsid w:val="0004288D"/>
    <w:rsid w:val="00042B1D"/>
    <w:rsid w:val="00042EA5"/>
    <w:rsid w:val="00043649"/>
    <w:rsid w:val="00044251"/>
    <w:rsid w:val="00044490"/>
    <w:rsid w:val="00044C65"/>
    <w:rsid w:val="00045185"/>
    <w:rsid w:val="00045A29"/>
    <w:rsid w:val="00045B35"/>
    <w:rsid w:val="00045EA1"/>
    <w:rsid w:val="000460E5"/>
    <w:rsid w:val="0004648A"/>
    <w:rsid w:val="00046941"/>
    <w:rsid w:val="00046E02"/>
    <w:rsid w:val="00047820"/>
    <w:rsid w:val="00047F3B"/>
    <w:rsid w:val="000508F6"/>
    <w:rsid w:val="00050C10"/>
    <w:rsid w:val="00050D54"/>
    <w:rsid w:val="000513DF"/>
    <w:rsid w:val="00051731"/>
    <w:rsid w:val="00051EF7"/>
    <w:rsid w:val="00052B05"/>
    <w:rsid w:val="000531E8"/>
    <w:rsid w:val="0005445F"/>
    <w:rsid w:val="00054540"/>
    <w:rsid w:val="00054C1C"/>
    <w:rsid w:val="00054C59"/>
    <w:rsid w:val="00054C6E"/>
    <w:rsid w:val="00054F93"/>
    <w:rsid w:val="00055547"/>
    <w:rsid w:val="000559A8"/>
    <w:rsid w:val="00055BC1"/>
    <w:rsid w:val="00055F12"/>
    <w:rsid w:val="00056D8E"/>
    <w:rsid w:val="00057031"/>
    <w:rsid w:val="000576AF"/>
    <w:rsid w:val="00057E14"/>
    <w:rsid w:val="0006003F"/>
    <w:rsid w:val="00060969"/>
    <w:rsid w:val="00061302"/>
    <w:rsid w:val="00061F04"/>
    <w:rsid w:val="00062709"/>
    <w:rsid w:val="000627EE"/>
    <w:rsid w:val="00062B46"/>
    <w:rsid w:val="00062B5F"/>
    <w:rsid w:val="00063210"/>
    <w:rsid w:val="00063680"/>
    <w:rsid w:val="00063F84"/>
    <w:rsid w:val="00064008"/>
    <w:rsid w:val="00064474"/>
    <w:rsid w:val="000648F2"/>
    <w:rsid w:val="000658B2"/>
    <w:rsid w:val="00065B45"/>
    <w:rsid w:val="00066096"/>
    <w:rsid w:val="00066495"/>
    <w:rsid w:val="00066947"/>
    <w:rsid w:val="00066F28"/>
    <w:rsid w:val="00066FA6"/>
    <w:rsid w:val="000700F6"/>
    <w:rsid w:val="00071363"/>
    <w:rsid w:val="0007159F"/>
    <w:rsid w:val="00071758"/>
    <w:rsid w:val="00071B39"/>
    <w:rsid w:val="00071D9B"/>
    <w:rsid w:val="00072B95"/>
    <w:rsid w:val="00072D10"/>
    <w:rsid w:val="00072D44"/>
    <w:rsid w:val="00073BC5"/>
    <w:rsid w:val="00073D2B"/>
    <w:rsid w:val="000747B9"/>
    <w:rsid w:val="00074848"/>
    <w:rsid w:val="00074FC2"/>
    <w:rsid w:val="00075483"/>
    <w:rsid w:val="00075ED6"/>
    <w:rsid w:val="00076F34"/>
    <w:rsid w:val="00077E37"/>
    <w:rsid w:val="00080389"/>
    <w:rsid w:val="00080391"/>
    <w:rsid w:val="00082028"/>
    <w:rsid w:val="00082483"/>
    <w:rsid w:val="00082806"/>
    <w:rsid w:val="00082AD5"/>
    <w:rsid w:val="00082B3A"/>
    <w:rsid w:val="00082E5E"/>
    <w:rsid w:val="00082E74"/>
    <w:rsid w:val="00083301"/>
    <w:rsid w:val="000838B1"/>
    <w:rsid w:val="000840CF"/>
    <w:rsid w:val="000841F6"/>
    <w:rsid w:val="0008490F"/>
    <w:rsid w:val="00084C35"/>
    <w:rsid w:val="00084CAB"/>
    <w:rsid w:val="00084DB9"/>
    <w:rsid w:val="00085B6C"/>
    <w:rsid w:val="00085F07"/>
    <w:rsid w:val="000869DB"/>
    <w:rsid w:val="00086FA1"/>
    <w:rsid w:val="0008759D"/>
    <w:rsid w:val="00087A5B"/>
    <w:rsid w:val="00087E2D"/>
    <w:rsid w:val="00090501"/>
    <w:rsid w:val="00090530"/>
    <w:rsid w:val="000906B5"/>
    <w:rsid w:val="00090BAB"/>
    <w:rsid w:val="0009122E"/>
    <w:rsid w:val="00091689"/>
    <w:rsid w:val="0009194B"/>
    <w:rsid w:val="000924E8"/>
    <w:rsid w:val="00092993"/>
    <w:rsid w:val="00092A69"/>
    <w:rsid w:val="0009324B"/>
    <w:rsid w:val="000935A7"/>
    <w:rsid w:val="00093D0D"/>
    <w:rsid w:val="00094209"/>
    <w:rsid w:val="00094C71"/>
    <w:rsid w:val="00094EBC"/>
    <w:rsid w:val="0009501C"/>
    <w:rsid w:val="00095101"/>
    <w:rsid w:val="00095562"/>
    <w:rsid w:val="00095B07"/>
    <w:rsid w:val="00096308"/>
    <w:rsid w:val="000963D1"/>
    <w:rsid w:val="00096508"/>
    <w:rsid w:val="00096578"/>
    <w:rsid w:val="00096BAF"/>
    <w:rsid w:val="00096F33"/>
    <w:rsid w:val="0009764A"/>
    <w:rsid w:val="00097904"/>
    <w:rsid w:val="00097A69"/>
    <w:rsid w:val="00097E5C"/>
    <w:rsid w:val="000A001A"/>
    <w:rsid w:val="000A01DC"/>
    <w:rsid w:val="000A05C1"/>
    <w:rsid w:val="000A0BF6"/>
    <w:rsid w:val="000A0DB4"/>
    <w:rsid w:val="000A11D7"/>
    <w:rsid w:val="000A1BB1"/>
    <w:rsid w:val="000A3040"/>
    <w:rsid w:val="000A3687"/>
    <w:rsid w:val="000A3974"/>
    <w:rsid w:val="000A3EF3"/>
    <w:rsid w:val="000A4029"/>
    <w:rsid w:val="000A41A8"/>
    <w:rsid w:val="000A4A7A"/>
    <w:rsid w:val="000A5519"/>
    <w:rsid w:val="000A6479"/>
    <w:rsid w:val="000A6D68"/>
    <w:rsid w:val="000A72BE"/>
    <w:rsid w:val="000A7B66"/>
    <w:rsid w:val="000B07E9"/>
    <w:rsid w:val="000B09B9"/>
    <w:rsid w:val="000B0A9F"/>
    <w:rsid w:val="000B0F55"/>
    <w:rsid w:val="000B138C"/>
    <w:rsid w:val="000B2041"/>
    <w:rsid w:val="000B2583"/>
    <w:rsid w:val="000B2D07"/>
    <w:rsid w:val="000B2F13"/>
    <w:rsid w:val="000B3311"/>
    <w:rsid w:val="000B3908"/>
    <w:rsid w:val="000B3F93"/>
    <w:rsid w:val="000B4101"/>
    <w:rsid w:val="000B47EA"/>
    <w:rsid w:val="000B4C81"/>
    <w:rsid w:val="000B51FD"/>
    <w:rsid w:val="000B57BA"/>
    <w:rsid w:val="000B5CC4"/>
    <w:rsid w:val="000B610D"/>
    <w:rsid w:val="000B6791"/>
    <w:rsid w:val="000B6BA3"/>
    <w:rsid w:val="000B7BF1"/>
    <w:rsid w:val="000B7F21"/>
    <w:rsid w:val="000B7FA6"/>
    <w:rsid w:val="000C03EB"/>
    <w:rsid w:val="000C05FF"/>
    <w:rsid w:val="000C0986"/>
    <w:rsid w:val="000C0C30"/>
    <w:rsid w:val="000C155F"/>
    <w:rsid w:val="000C15B4"/>
    <w:rsid w:val="000C22A7"/>
    <w:rsid w:val="000C2E5B"/>
    <w:rsid w:val="000C34B2"/>
    <w:rsid w:val="000C391D"/>
    <w:rsid w:val="000C40EA"/>
    <w:rsid w:val="000C42E2"/>
    <w:rsid w:val="000C478E"/>
    <w:rsid w:val="000C4882"/>
    <w:rsid w:val="000C5186"/>
    <w:rsid w:val="000C52AD"/>
    <w:rsid w:val="000C5843"/>
    <w:rsid w:val="000C58ED"/>
    <w:rsid w:val="000C633D"/>
    <w:rsid w:val="000C6B0A"/>
    <w:rsid w:val="000C6CB3"/>
    <w:rsid w:val="000C6F77"/>
    <w:rsid w:val="000C77CB"/>
    <w:rsid w:val="000C784F"/>
    <w:rsid w:val="000C78F5"/>
    <w:rsid w:val="000C7DF6"/>
    <w:rsid w:val="000C7F69"/>
    <w:rsid w:val="000D038E"/>
    <w:rsid w:val="000D056D"/>
    <w:rsid w:val="000D063B"/>
    <w:rsid w:val="000D08C1"/>
    <w:rsid w:val="000D111D"/>
    <w:rsid w:val="000D11E9"/>
    <w:rsid w:val="000D142C"/>
    <w:rsid w:val="000D165C"/>
    <w:rsid w:val="000D1765"/>
    <w:rsid w:val="000D22A8"/>
    <w:rsid w:val="000D2AC5"/>
    <w:rsid w:val="000D2B03"/>
    <w:rsid w:val="000D2D97"/>
    <w:rsid w:val="000D2FCF"/>
    <w:rsid w:val="000D3F3D"/>
    <w:rsid w:val="000D4141"/>
    <w:rsid w:val="000D54DB"/>
    <w:rsid w:val="000D5A91"/>
    <w:rsid w:val="000D5E62"/>
    <w:rsid w:val="000D68DE"/>
    <w:rsid w:val="000D6B70"/>
    <w:rsid w:val="000D7A86"/>
    <w:rsid w:val="000D7AC0"/>
    <w:rsid w:val="000E0114"/>
    <w:rsid w:val="000E04B5"/>
    <w:rsid w:val="000E0697"/>
    <w:rsid w:val="000E07F9"/>
    <w:rsid w:val="000E0924"/>
    <w:rsid w:val="000E09DD"/>
    <w:rsid w:val="000E0A12"/>
    <w:rsid w:val="000E163D"/>
    <w:rsid w:val="000E1ED8"/>
    <w:rsid w:val="000E2134"/>
    <w:rsid w:val="000E2DEF"/>
    <w:rsid w:val="000E2F8E"/>
    <w:rsid w:val="000E2FA2"/>
    <w:rsid w:val="000E33F7"/>
    <w:rsid w:val="000E34CF"/>
    <w:rsid w:val="000E3E7A"/>
    <w:rsid w:val="000E3EA9"/>
    <w:rsid w:val="000E424C"/>
    <w:rsid w:val="000E4595"/>
    <w:rsid w:val="000E4956"/>
    <w:rsid w:val="000E5250"/>
    <w:rsid w:val="000E5A6B"/>
    <w:rsid w:val="000E63A0"/>
    <w:rsid w:val="000E67D0"/>
    <w:rsid w:val="000E73ED"/>
    <w:rsid w:val="000E781E"/>
    <w:rsid w:val="000E7A57"/>
    <w:rsid w:val="000E7FD4"/>
    <w:rsid w:val="000E7FDD"/>
    <w:rsid w:val="000F02B8"/>
    <w:rsid w:val="000F040F"/>
    <w:rsid w:val="000F075F"/>
    <w:rsid w:val="000F0C16"/>
    <w:rsid w:val="000F11EB"/>
    <w:rsid w:val="000F132F"/>
    <w:rsid w:val="000F170A"/>
    <w:rsid w:val="000F1D1E"/>
    <w:rsid w:val="000F1E70"/>
    <w:rsid w:val="000F2399"/>
    <w:rsid w:val="000F2986"/>
    <w:rsid w:val="000F2BA7"/>
    <w:rsid w:val="000F2BEC"/>
    <w:rsid w:val="000F2C6D"/>
    <w:rsid w:val="000F2F1E"/>
    <w:rsid w:val="000F30EE"/>
    <w:rsid w:val="000F331C"/>
    <w:rsid w:val="000F41E5"/>
    <w:rsid w:val="000F4C3A"/>
    <w:rsid w:val="000F5710"/>
    <w:rsid w:val="000F5D35"/>
    <w:rsid w:val="000F6009"/>
    <w:rsid w:val="000F64B9"/>
    <w:rsid w:val="000F6696"/>
    <w:rsid w:val="000F7518"/>
    <w:rsid w:val="00100958"/>
    <w:rsid w:val="00101925"/>
    <w:rsid w:val="00101997"/>
    <w:rsid w:val="00101D08"/>
    <w:rsid w:val="00101D13"/>
    <w:rsid w:val="00102722"/>
    <w:rsid w:val="0010272E"/>
    <w:rsid w:val="0010273F"/>
    <w:rsid w:val="00102DA0"/>
    <w:rsid w:val="00104061"/>
    <w:rsid w:val="00104152"/>
    <w:rsid w:val="00104544"/>
    <w:rsid w:val="001045F4"/>
    <w:rsid w:val="00104E19"/>
    <w:rsid w:val="00104E67"/>
    <w:rsid w:val="0010535F"/>
    <w:rsid w:val="00105465"/>
    <w:rsid w:val="00105758"/>
    <w:rsid w:val="00105818"/>
    <w:rsid w:val="00105A42"/>
    <w:rsid w:val="00105A96"/>
    <w:rsid w:val="00105D97"/>
    <w:rsid w:val="001064CF"/>
    <w:rsid w:val="00106681"/>
    <w:rsid w:val="0010668F"/>
    <w:rsid w:val="00106965"/>
    <w:rsid w:val="00106AE8"/>
    <w:rsid w:val="00106CF0"/>
    <w:rsid w:val="001071C3"/>
    <w:rsid w:val="0010744E"/>
    <w:rsid w:val="001075A8"/>
    <w:rsid w:val="00107ABE"/>
    <w:rsid w:val="00107AE3"/>
    <w:rsid w:val="00107D89"/>
    <w:rsid w:val="00110581"/>
    <w:rsid w:val="0011064B"/>
    <w:rsid w:val="001107F8"/>
    <w:rsid w:val="0011126F"/>
    <w:rsid w:val="00111278"/>
    <w:rsid w:val="001119C2"/>
    <w:rsid w:val="001122AB"/>
    <w:rsid w:val="001122AC"/>
    <w:rsid w:val="00112302"/>
    <w:rsid w:val="00112811"/>
    <w:rsid w:val="00112848"/>
    <w:rsid w:val="001132E9"/>
    <w:rsid w:val="00113717"/>
    <w:rsid w:val="00113BBF"/>
    <w:rsid w:val="00113F71"/>
    <w:rsid w:val="00114128"/>
    <w:rsid w:val="0011525B"/>
    <w:rsid w:val="0011527A"/>
    <w:rsid w:val="001157E9"/>
    <w:rsid w:val="001158C6"/>
    <w:rsid w:val="00116548"/>
    <w:rsid w:val="00116A2A"/>
    <w:rsid w:val="0011732A"/>
    <w:rsid w:val="00120079"/>
    <w:rsid w:val="0012046D"/>
    <w:rsid w:val="001208C5"/>
    <w:rsid w:val="00120D29"/>
    <w:rsid w:val="00121298"/>
    <w:rsid w:val="0012219F"/>
    <w:rsid w:val="001226C9"/>
    <w:rsid w:val="00122BD9"/>
    <w:rsid w:val="00122D2E"/>
    <w:rsid w:val="00123209"/>
    <w:rsid w:val="0012375B"/>
    <w:rsid w:val="001237A3"/>
    <w:rsid w:val="00123AAC"/>
    <w:rsid w:val="00123B11"/>
    <w:rsid w:val="00123C16"/>
    <w:rsid w:val="0012403C"/>
    <w:rsid w:val="00124225"/>
    <w:rsid w:val="001242E6"/>
    <w:rsid w:val="00124655"/>
    <w:rsid w:val="00124BC9"/>
    <w:rsid w:val="00125133"/>
    <w:rsid w:val="00125320"/>
    <w:rsid w:val="00125332"/>
    <w:rsid w:val="00125B5B"/>
    <w:rsid w:val="00125BCF"/>
    <w:rsid w:val="00125F6E"/>
    <w:rsid w:val="00126549"/>
    <w:rsid w:val="0012668C"/>
    <w:rsid w:val="001266FA"/>
    <w:rsid w:val="001267D3"/>
    <w:rsid w:val="001272AA"/>
    <w:rsid w:val="00127637"/>
    <w:rsid w:val="00127D41"/>
    <w:rsid w:val="00130301"/>
    <w:rsid w:val="0013033A"/>
    <w:rsid w:val="00130F92"/>
    <w:rsid w:val="00131183"/>
    <w:rsid w:val="00131346"/>
    <w:rsid w:val="001318A2"/>
    <w:rsid w:val="00131C86"/>
    <w:rsid w:val="00132769"/>
    <w:rsid w:val="00132870"/>
    <w:rsid w:val="00132A3D"/>
    <w:rsid w:val="00132C4F"/>
    <w:rsid w:val="001330F2"/>
    <w:rsid w:val="0013324C"/>
    <w:rsid w:val="00133502"/>
    <w:rsid w:val="00133822"/>
    <w:rsid w:val="00133D7D"/>
    <w:rsid w:val="0013437B"/>
    <w:rsid w:val="00134CA5"/>
    <w:rsid w:val="001352D4"/>
    <w:rsid w:val="00135300"/>
    <w:rsid w:val="00135E12"/>
    <w:rsid w:val="00136B5A"/>
    <w:rsid w:val="00136F12"/>
    <w:rsid w:val="00137080"/>
    <w:rsid w:val="00137168"/>
    <w:rsid w:val="001372E6"/>
    <w:rsid w:val="0013751C"/>
    <w:rsid w:val="001376B8"/>
    <w:rsid w:val="00137712"/>
    <w:rsid w:val="00137A0B"/>
    <w:rsid w:val="00137C71"/>
    <w:rsid w:val="001403FA"/>
    <w:rsid w:val="00140915"/>
    <w:rsid w:val="00140AAE"/>
    <w:rsid w:val="0014154B"/>
    <w:rsid w:val="0014168C"/>
    <w:rsid w:val="00141C35"/>
    <w:rsid w:val="00141CC5"/>
    <w:rsid w:val="00141F6F"/>
    <w:rsid w:val="00142282"/>
    <w:rsid w:val="00143346"/>
    <w:rsid w:val="0014347C"/>
    <w:rsid w:val="0014406A"/>
    <w:rsid w:val="00144EB1"/>
    <w:rsid w:val="00145885"/>
    <w:rsid w:val="00145AA3"/>
    <w:rsid w:val="001473C0"/>
    <w:rsid w:val="00147EE5"/>
    <w:rsid w:val="001507EF"/>
    <w:rsid w:val="00150923"/>
    <w:rsid w:val="0015118A"/>
    <w:rsid w:val="001513A9"/>
    <w:rsid w:val="0015158E"/>
    <w:rsid w:val="00152945"/>
    <w:rsid w:val="00152B33"/>
    <w:rsid w:val="00153051"/>
    <w:rsid w:val="00153F2F"/>
    <w:rsid w:val="001540B8"/>
    <w:rsid w:val="0015460B"/>
    <w:rsid w:val="00154CEE"/>
    <w:rsid w:val="00155095"/>
    <w:rsid w:val="00155130"/>
    <w:rsid w:val="00155ECD"/>
    <w:rsid w:val="0015667C"/>
    <w:rsid w:val="001566F4"/>
    <w:rsid w:val="00156B78"/>
    <w:rsid w:val="00156CDE"/>
    <w:rsid w:val="00156E14"/>
    <w:rsid w:val="0015713A"/>
    <w:rsid w:val="00157B38"/>
    <w:rsid w:val="00157B4C"/>
    <w:rsid w:val="00157B81"/>
    <w:rsid w:val="00157BF7"/>
    <w:rsid w:val="001609EA"/>
    <w:rsid w:val="00160E9F"/>
    <w:rsid w:val="00161330"/>
    <w:rsid w:val="00161646"/>
    <w:rsid w:val="001616F2"/>
    <w:rsid w:val="00162F4D"/>
    <w:rsid w:val="001631CE"/>
    <w:rsid w:val="0016345F"/>
    <w:rsid w:val="00163481"/>
    <w:rsid w:val="001639D3"/>
    <w:rsid w:val="00163A2E"/>
    <w:rsid w:val="00163F54"/>
    <w:rsid w:val="0016460D"/>
    <w:rsid w:val="0016507E"/>
    <w:rsid w:val="00165110"/>
    <w:rsid w:val="001651F8"/>
    <w:rsid w:val="00165E32"/>
    <w:rsid w:val="0016613C"/>
    <w:rsid w:val="0016618E"/>
    <w:rsid w:val="00166AA3"/>
    <w:rsid w:val="00166BF7"/>
    <w:rsid w:val="00166D78"/>
    <w:rsid w:val="00166F5E"/>
    <w:rsid w:val="00167253"/>
    <w:rsid w:val="001673C7"/>
    <w:rsid w:val="0016789D"/>
    <w:rsid w:val="00167942"/>
    <w:rsid w:val="0016795A"/>
    <w:rsid w:val="00167C9A"/>
    <w:rsid w:val="001700EB"/>
    <w:rsid w:val="0017028D"/>
    <w:rsid w:val="00170683"/>
    <w:rsid w:val="001708CE"/>
    <w:rsid w:val="00170F4D"/>
    <w:rsid w:val="00170F88"/>
    <w:rsid w:val="00170FB4"/>
    <w:rsid w:val="0017121C"/>
    <w:rsid w:val="00171B9A"/>
    <w:rsid w:val="00171FAA"/>
    <w:rsid w:val="0017216C"/>
    <w:rsid w:val="0017260B"/>
    <w:rsid w:val="00172D35"/>
    <w:rsid w:val="00172D44"/>
    <w:rsid w:val="001730B2"/>
    <w:rsid w:val="0017347B"/>
    <w:rsid w:val="00173656"/>
    <w:rsid w:val="001738E2"/>
    <w:rsid w:val="001738EB"/>
    <w:rsid w:val="001746B4"/>
    <w:rsid w:val="00174FB5"/>
    <w:rsid w:val="001752E0"/>
    <w:rsid w:val="0017557A"/>
    <w:rsid w:val="00175687"/>
    <w:rsid w:val="00176160"/>
    <w:rsid w:val="00176635"/>
    <w:rsid w:val="00176D27"/>
    <w:rsid w:val="00176D53"/>
    <w:rsid w:val="00177264"/>
    <w:rsid w:val="00180C1B"/>
    <w:rsid w:val="00180E55"/>
    <w:rsid w:val="00180F1A"/>
    <w:rsid w:val="00181425"/>
    <w:rsid w:val="00181918"/>
    <w:rsid w:val="00182063"/>
    <w:rsid w:val="00182A1D"/>
    <w:rsid w:val="00182C47"/>
    <w:rsid w:val="001837B3"/>
    <w:rsid w:val="00183879"/>
    <w:rsid w:val="00183FD0"/>
    <w:rsid w:val="00184DA5"/>
    <w:rsid w:val="00185656"/>
    <w:rsid w:val="0018602C"/>
    <w:rsid w:val="0018616C"/>
    <w:rsid w:val="001862DD"/>
    <w:rsid w:val="0018651E"/>
    <w:rsid w:val="001865BD"/>
    <w:rsid w:val="00186DFA"/>
    <w:rsid w:val="001878C2"/>
    <w:rsid w:val="00187FB6"/>
    <w:rsid w:val="001900AD"/>
    <w:rsid w:val="00190C76"/>
    <w:rsid w:val="00190F7C"/>
    <w:rsid w:val="00191453"/>
    <w:rsid w:val="0019160A"/>
    <w:rsid w:val="00192299"/>
    <w:rsid w:val="00192617"/>
    <w:rsid w:val="00192ACD"/>
    <w:rsid w:val="00192D3D"/>
    <w:rsid w:val="00193C37"/>
    <w:rsid w:val="00194097"/>
    <w:rsid w:val="00194198"/>
    <w:rsid w:val="00194260"/>
    <w:rsid w:val="001945F2"/>
    <w:rsid w:val="0019530F"/>
    <w:rsid w:val="001954B4"/>
    <w:rsid w:val="00195BAB"/>
    <w:rsid w:val="00195BF6"/>
    <w:rsid w:val="00195D8F"/>
    <w:rsid w:val="00196478"/>
    <w:rsid w:val="001967E3"/>
    <w:rsid w:val="00196D3B"/>
    <w:rsid w:val="00196E3F"/>
    <w:rsid w:val="001A090D"/>
    <w:rsid w:val="001A0F4A"/>
    <w:rsid w:val="001A1045"/>
    <w:rsid w:val="001A1193"/>
    <w:rsid w:val="001A1356"/>
    <w:rsid w:val="001A13AB"/>
    <w:rsid w:val="001A1AAD"/>
    <w:rsid w:val="001A223E"/>
    <w:rsid w:val="001A2FAA"/>
    <w:rsid w:val="001A3B48"/>
    <w:rsid w:val="001A477A"/>
    <w:rsid w:val="001A4B64"/>
    <w:rsid w:val="001A4B80"/>
    <w:rsid w:val="001A4E81"/>
    <w:rsid w:val="001A6B31"/>
    <w:rsid w:val="001A71E1"/>
    <w:rsid w:val="001A7A83"/>
    <w:rsid w:val="001B0081"/>
    <w:rsid w:val="001B1579"/>
    <w:rsid w:val="001B1779"/>
    <w:rsid w:val="001B17C4"/>
    <w:rsid w:val="001B1A81"/>
    <w:rsid w:val="001B1FAA"/>
    <w:rsid w:val="001B21A7"/>
    <w:rsid w:val="001B23BD"/>
    <w:rsid w:val="001B2F97"/>
    <w:rsid w:val="001B333B"/>
    <w:rsid w:val="001B349E"/>
    <w:rsid w:val="001B3523"/>
    <w:rsid w:val="001B3628"/>
    <w:rsid w:val="001B3E53"/>
    <w:rsid w:val="001B3F0E"/>
    <w:rsid w:val="001B443A"/>
    <w:rsid w:val="001B49B6"/>
    <w:rsid w:val="001B4A92"/>
    <w:rsid w:val="001B4B9D"/>
    <w:rsid w:val="001B5162"/>
    <w:rsid w:val="001B5389"/>
    <w:rsid w:val="001B56FD"/>
    <w:rsid w:val="001B5741"/>
    <w:rsid w:val="001B629A"/>
    <w:rsid w:val="001B6319"/>
    <w:rsid w:val="001B6719"/>
    <w:rsid w:val="001B6861"/>
    <w:rsid w:val="001B68FD"/>
    <w:rsid w:val="001B7315"/>
    <w:rsid w:val="001B75BF"/>
    <w:rsid w:val="001B7835"/>
    <w:rsid w:val="001B7961"/>
    <w:rsid w:val="001B7AC2"/>
    <w:rsid w:val="001B7B45"/>
    <w:rsid w:val="001B7F22"/>
    <w:rsid w:val="001C0115"/>
    <w:rsid w:val="001C0A16"/>
    <w:rsid w:val="001C12C6"/>
    <w:rsid w:val="001C1A62"/>
    <w:rsid w:val="001C1F48"/>
    <w:rsid w:val="001C26DE"/>
    <w:rsid w:val="001C2892"/>
    <w:rsid w:val="001C291C"/>
    <w:rsid w:val="001C3F77"/>
    <w:rsid w:val="001C4393"/>
    <w:rsid w:val="001C46C2"/>
    <w:rsid w:val="001C490B"/>
    <w:rsid w:val="001C4C2D"/>
    <w:rsid w:val="001C4CF7"/>
    <w:rsid w:val="001C50C1"/>
    <w:rsid w:val="001C5404"/>
    <w:rsid w:val="001C578E"/>
    <w:rsid w:val="001C6138"/>
    <w:rsid w:val="001C6773"/>
    <w:rsid w:val="001C6AF8"/>
    <w:rsid w:val="001C6FED"/>
    <w:rsid w:val="001C71F0"/>
    <w:rsid w:val="001C753F"/>
    <w:rsid w:val="001C76CA"/>
    <w:rsid w:val="001C79BF"/>
    <w:rsid w:val="001C7B79"/>
    <w:rsid w:val="001D172A"/>
    <w:rsid w:val="001D175C"/>
    <w:rsid w:val="001D1DB3"/>
    <w:rsid w:val="001D240A"/>
    <w:rsid w:val="001D2D93"/>
    <w:rsid w:val="001D3EFA"/>
    <w:rsid w:val="001D4050"/>
    <w:rsid w:val="001D4359"/>
    <w:rsid w:val="001D43F2"/>
    <w:rsid w:val="001D4A1C"/>
    <w:rsid w:val="001D4D26"/>
    <w:rsid w:val="001D5497"/>
    <w:rsid w:val="001D55ED"/>
    <w:rsid w:val="001D5769"/>
    <w:rsid w:val="001D5B31"/>
    <w:rsid w:val="001D64AE"/>
    <w:rsid w:val="001D65EF"/>
    <w:rsid w:val="001D6646"/>
    <w:rsid w:val="001D7429"/>
    <w:rsid w:val="001D75B7"/>
    <w:rsid w:val="001D75C8"/>
    <w:rsid w:val="001D7723"/>
    <w:rsid w:val="001D7EB2"/>
    <w:rsid w:val="001E262C"/>
    <w:rsid w:val="001E276A"/>
    <w:rsid w:val="001E299D"/>
    <w:rsid w:val="001E2B57"/>
    <w:rsid w:val="001E2DA2"/>
    <w:rsid w:val="001E2EC2"/>
    <w:rsid w:val="001E34CE"/>
    <w:rsid w:val="001E3849"/>
    <w:rsid w:val="001E3A95"/>
    <w:rsid w:val="001E3A9A"/>
    <w:rsid w:val="001E6024"/>
    <w:rsid w:val="001E6C13"/>
    <w:rsid w:val="001E6CD7"/>
    <w:rsid w:val="001E71AB"/>
    <w:rsid w:val="001E7CCE"/>
    <w:rsid w:val="001E7CF3"/>
    <w:rsid w:val="001E7F2A"/>
    <w:rsid w:val="001F01CF"/>
    <w:rsid w:val="001F0431"/>
    <w:rsid w:val="001F07CA"/>
    <w:rsid w:val="001F081B"/>
    <w:rsid w:val="001F09B3"/>
    <w:rsid w:val="001F0CA0"/>
    <w:rsid w:val="001F1966"/>
    <w:rsid w:val="001F1EA2"/>
    <w:rsid w:val="001F2092"/>
    <w:rsid w:val="001F211B"/>
    <w:rsid w:val="001F2408"/>
    <w:rsid w:val="001F284D"/>
    <w:rsid w:val="001F3073"/>
    <w:rsid w:val="001F3689"/>
    <w:rsid w:val="001F3C15"/>
    <w:rsid w:val="001F3FB0"/>
    <w:rsid w:val="001F4240"/>
    <w:rsid w:val="001F449F"/>
    <w:rsid w:val="001F503F"/>
    <w:rsid w:val="001F5243"/>
    <w:rsid w:val="001F5688"/>
    <w:rsid w:val="001F5711"/>
    <w:rsid w:val="001F7442"/>
    <w:rsid w:val="00200D64"/>
    <w:rsid w:val="0020124E"/>
    <w:rsid w:val="002012A3"/>
    <w:rsid w:val="002014F3"/>
    <w:rsid w:val="0020163B"/>
    <w:rsid w:val="0020182B"/>
    <w:rsid w:val="00202293"/>
    <w:rsid w:val="002024D3"/>
    <w:rsid w:val="002025B1"/>
    <w:rsid w:val="002025FB"/>
    <w:rsid w:val="00202C20"/>
    <w:rsid w:val="00203111"/>
    <w:rsid w:val="00203369"/>
    <w:rsid w:val="002033DC"/>
    <w:rsid w:val="0020356E"/>
    <w:rsid w:val="00203BAD"/>
    <w:rsid w:val="00203C50"/>
    <w:rsid w:val="00203CF1"/>
    <w:rsid w:val="00204259"/>
    <w:rsid w:val="00204693"/>
    <w:rsid w:val="00204ACC"/>
    <w:rsid w:val="00204E0F"/>
    <w:rsid w:val="00204FB4"/>
    <w:rsid w:val="00205161"/>
    <w:rsid w:val="0020534B"/>
    <w:rsid w:val="00205CA9"/>
    <w:rsid w:val="002066CA"/>
    <w:rsid w:val="00207048"/>
    <w:rsid w:val="00207239"/>
    <w:rsid w:val="00210A84"/>
    <w:rsid w:val="00210E28"/>
    <w:rsid w:val="002115F3"/>
    <w:rsid w:val="00211C25"/>
    <w:rsid w:val="00212CD5"/>
    <w:rsid w:val="00212CFB"/>
    <w:rsid w:val="00212F98"/>
    <w:rsid w:val="002135E2"/>
    <w:rsid w:val="002139FA"/>
    <w:rsid w:val="002139FB"/>
    <w:rsid w:val="00215EFB"/>
    <w:rsid w:val="00216B50"/>
    <w:rsid w:val="002173B7"/>
    <w:rsid w:val="00217D27"/>
    <w:rsid w:val="00220018"/>
    <w:rsid w:val="002200A9"/>
    <w:rsid w:val="002204BE"/>
    <w:rsid w:val="0022071B"/>
    <w:rsid w:val="00221A40"/>
    <w:rsid w:val="00221CE0"/>
    <w:rsid w:val="00222260"/>
    <w:rsid w:val="00222291"/>
    <w:rsid w:val="00222427"/>
    <w:rsid w:val="00222B27"/>
    <w:rsid w:val="00223001"/>
    <w:rsid w:val="00223177"/>
    <w:rsid w:val="002232EB"/>
    <w:rsid w:val="0022352C"/>
    <w:rsid w:val="002239DC"/>
    <w:rsid w:val="00223AEC"/>
    <w:rsid w:val="00224297"/>
    <w:rsid w:val="0022451A"/>
    <w:rsid w:val="00224C54"/>
    <w:rsid w:val="00225059"/>
    <w:rsid w:val="00225495"/>
    <w:rsid w:val="00225502"/>
    <w:rsid w:val="00225850"/>
    <w:rsid w:val="002263B5"/>
    <w:rsid w:val="00226EC6"/>
    <w:rsid w:val="00226F88"/>
    <w:rsid w:val="00227C14"/>
    <w:rsid w:val="00227D89"/>
    <w:rsid w:val="002303FF"/>
    <w:rsid w:val="00230593"/>
    <w:rsid w:val="00230847"/>
    <w:rsid w:val="00230FAE"/>
    <w:rsid w:val="002312A8"/>
    <w:rsid w:val="0023142D"/>
    <w:rsid w:val="002314C0"/>
    <w:rsid w:val="002316D6"/>
    <w:rsid w:val="002318BA"/>
    <w:rsid w:val="00231C7D"/>
    <w:rsid w:val="00231F5E"/>
    <w:rsid w:val="00232416"/>
    <w:rsid w:val="002329B3"/>
    <w:rsid w:val="00232C63"/>
    <w:rsid w:val="00232D03"/>
    <w:rsid w:val="00234948"/>
    <w:rsid w:val="00234CB5"/>
    <w:rsid w:val="0023540B"/>
    <w:rsid w:val="002363F7"/>
    <w:rsid w:val="00236746"/>
    <w:rsid w:val="00236794"/>
    <w:rsid w:val="002367DA"/>
    <w:rsid w:val="00236B72"/>
    <w:rsid w:val="0023731A"/>
    <w:rsid w:val="00237756"/>
    <w:rsid w:val="0024078B"/>
    <w:rsid w:val="002409D4"/>
    <w:rsid w:val="00240DC5"/>
    <w:rsid w:val="0024109A"/>
    <w:rsid w:val="002416EB"/>
    <w:rsid w:val="002417D7"/>
    <w:rsid w:val="00241999"/>
    <w:rsid w:val="00241E16"/>
    <w:rsid w:val="002420D9"/>
    <w:rsid w:val="0024216F"/>
    <w:rsid w:val="0024279A"/>
    <w:rsid w:val="00242D0B"/>
    <w:rsid w:val="00242DA3"/>
    <w:rsid w:val="00242E2B"/>
    <w:rsid w:val="00243019"/>
    <w:rsid w:val="00243542"/>
    <w:rsid w:val="00243811"/>
    <w:rsid w:val="00243F45"/>
    <w:rsid w:val="00244D2C"/>
    <w:rsid w:val="00245490"/>
    <w:rsid w:val="00245A97"/>
    <w:rsid w:val="002469B2"/>
    <w:rsid w:val="00247560"/>
    <w:rsid w:val="0024762F"/>
    <w:rsid w:val="0024788E"/>
    <w:rsid w:val="00247F7B"/>
    <w:rsid w:val="002502F4"/>
    <w:rsid w:val="0025060B"/>
    <w:rsid w:val="00250819"/>
    <w:rsid w:val="00250C42"/>
    <w:rsid w:val="00250D0D"/>
    <w:rsid w:val="00250F30"/>
    <w:rsid w:val="00251C94"/>
    <w:rsid w:val="00252701"/>
    <w:rsid w:val="00252E0E"/>
    <w:rsid w:val="0025375F"/>
    <w:rsid w:val="00253DE3"/>
    <w:rsid w:val="002540D7"/>
    <w:rsid w:val="002543DB"/>
    <w:rsid w:val="0025450F"/>
    <w:rsid w:val="00254568"/>
    <w:rsid w:val="00254A24"/>
    <w:rsid w:val="00255160"/>
    <w:rsid w:val="00255AFB"/>
    <w:rsid w:val="00255D9C"/>
    <w:rsid w:val="00255E8D"/>
    <w:rsid w:val="00255ED2"/>
    <w:rsid w:val="002562F4"/>
    <w:rsid w:val="00256E6C"/>
    <w:rsid w:val="00257135"/>
    <w:rsid w:val="00257663"/>
    <w:rsid w:val="00257B86"/>
    <w:rsid w:val="00260419"/>
    <w:rsid w:val="00261086"/>
    <w:rsid w:val="002612C9"/>
    <w:rsid w:val="002617D2"/>
    <w:rsid w:val="002618A9"/>
    <w:rsid w:val="00262B90"/>
    <w:rsid w:val="00262C14"/>
    <w:rsid w:val="00262CC5"/>
    <w:rsid w:val="00262CE3"/>
    <w:rsid w:val="00262D0F"/>
    <w:rsid w:val="00263709"/>
    <w:rsid w:val="0026444F"/>
    <w:rsid w:val="00264A9C"/>
    <w:rsid w:val="00264DE2"/>
    <w:rsid w:val="00265318"/>
    <w:rsid w:val="00265446"/>
    <w:rsid w:val="00265D46"/>
    <w:rsid w:val="00266081"/>
    <w:rsid w:val="00266130"/>
    <w:rsid w:val="00266325"/>
    <w:rsid w:val="00266684"/>
    <w:rsid w:val="00266ED9"/>
    <w:rsid w:val="0026725B"/>
    <w:rsid w:val="0026731C"/>
    <w:rsid w:val="002674BF"/>
    <w:rsid w:val="002675D4"/>
    <w:rsid w:val="00267616"/>
    <w:rsid w:val="00267BB1"/>
    <w:rsid w:val="00267F24"/>
    <w:rsid w:val="00270F35"/>
    <w:rsid w:val="002712EF"/>
    <w:rsid w:val="00271647"/>
    <w:rsid w:val="00271A40"/>
    <w:rsid w:val="00271BD2"/>
    <w:rsid w:val="00271C18"/>
    <w:rsid w:val="002723F7"/>
    <w:rsid w:val="00272B0F"/>
    <w:rsid w:val="00273A32"/>
    <w:rsid w:val="00273EEB"/>
    <w:rsid w:val="00273F92"/>
    <w:rsid w:val="00273FBB"/>
    <w:rsid w:val="0027413A"/>
    <w:rsid w:val="00274487"/>
    <w:rsid w:val="00274A21"/>
    <w:rsid w:val="00274AEB"/>
    <w:rsid w:val="00275123"/>
    <w:rsid w:val="002751B8"/>
    <w:rsid w:val="00275342"/>
    <w:rsid w:val="00275449"/>
    <w:rsid w:val="0027549E"/>
    <w:rsid w:val="002754AE"/>
    <w:rsid w:val="00275A0C"/>
    <w:rsid w:val="00275F80"/>
    <w:rsid w:val="002767B9"/>
    <w:rsid w:val="00276AA0"/>
    <w:rsid w:val="00276CB9"/>
    <w:rsid w:val="00277564"/>
    <w:rsid w:val="002779FB"/>
    <w:rsid w:val="00277C4C"/>
    <w:rsid w:val="00277EC4"/>
    <w:rsid w:val="00280108"/>
    <w:rsid w:val="00280273"/>
    <w:rsid w:val="00280852"/>
    <w:rsid w:val="00280B41"/>
    <w:rsid w:val="00280D8F"/>
    <w:rsid w:val="00280E7A"/>
    <w:rsid w:val="00280ECA"/>
    <w:rsid w:val="00281294"/>
    <w:rsid w:val="00281539"/>
    <w:rsid w:val="00281A6D"/>
    <w:rsid w:val="00281BD9"/>
    <w:rsid w:val="00281C3B"/>
    <w:rsid w:val="0028228E"/>
    <w:rsid w:val="00282373"/>
    <w:rsid w:val="00283634"/>
    <w:rsid w:val="00284AEC"/>
    <w:rsid w:val="00284BDC"/>
    <w:rsid w:val="00285310"/>
    <w:rsid w:val="002853FF"/>
    <w:rsid w:val="00285729"/>
    <w:rsid w:val="00285922"/>
    <w:rsid w:val="00285939"/>
    <w:rsid w:val="00285A2A"/>
    <w:rsid w:val="00285D56"/>
    <w:rsid w:val="00285E42"/>
    <w:rsid w:val="002866BB"/>
    <w:rsid w:val="00286BA4"/>
    <w:rsid w:val="0028706F"/>
    <w:rsid w:val="002879C1"/>
    <w:rsid w:val="00287DD6"/>
    <w:rsid w:val="0029005C"/>
    <w:rsid w:val="002901A4"/>
    <w:rsid w:val="002909C5"/>
    <w:rsid w:val="00290AC5"/>
    <w:rsid w:val="00291D19"/>
    <w:rsid w:val="00292041"/>
    <w:rsid w:val="00292DE1"/>
    <w:rsid w:val="00292F49"/>
    <w:rsid w:val="002937D2"/>
    <w:rsid w:val="0029416E"/>
    <w:rsid w:val="00294369"/>
    <w:rsid w:val="00294F54"/>
    <w:rsid w:val="00295753"/>
    <w:rsid w:val="002967FE"/>
    <w:rsid w:val="00296BE5"/>
    <w:rsid w:val="002975E7"/>
    <w:rsid w:val="00297A09"/>
    <w:rsid w:val="002A0A4E"/>
    <w:rsid w:val="002A0CD7"/>
    <w:rsid w:val="002A1DEF"/>
    <w:rsid w:val="002A264C"/>
    <w:rsid w:val="002A2788"/>
    <w:rsid w:val="002A28D7"/>
    <w:rsid w:val="002A31CE"/>
    <w:rsid w:val="002A3423"/>
    <w:rsid w:val="002A3647"/>
    <w:rsid w:val="002A3DC9"/>
    <w:rsid w:val="002A3E32"/>
    <w:rsid w:val="002A3E5B"/>
    <w:rsid w:val="002A4422"/>
    <w:rsid w:val="002A47A0"/>
    <w:rsid w:val="002A4BD5"/>
    <w:rsid w:val="002A5155"/>
    <w:rsid w:val="002A5F61"/>
    <w:rsid w:val="002A626C"/>
    <w:rsid w:val="002A6777"/>
    <w:rsid w:val="002A6903"/>
    <w:rsid w:val="002A6DDF"/>
    <w:rsid w:val="002A6ECC"/>
    <w:rsid w:val="002A760C"/>
    <w:rsid w:val="002A7DE0"/>
    <w:rsid w:val="002B06A6"/>
    <w:rsid w:val="002B0D34"/>
    <w:rsid w:val="002B0FC7"/>
    <w:rsid w:val="002B1817"/>
    <w:rsid w:val="002B18B2"/>
    <w:rsid w:val="002B199B"/>
    <w:rsid w:val="002B1AF5"/>
    <w:rsid w:val="002B1FA9"/>
    <w:rsid w:val="002B2669"/>
    <w:rsid w:val="002B2F3F"/>
    <w:rsid w:val="002B33E4"/>
    <w:rsid w:val="002B3630"/>
    <w:rsid w:val="002B4927"/>
    <w:rsid w:val="002B4A75"/>
    <w:rsid w:val="002B4E2A"/>
    <w:rsid w:val="002B5431"/>
    <w:rsid w:val="002B5EA4"/>
    <w:rsid w:val="002B67FC"/>
    <w:rsid w:val="002B6C42"/>
    <w:rsid w:val="002B7133"/>
    <w:rsid w:val="002C01D9"/>
    <w:rsid w:val="002C0ED1"/>
    <w:rsid w:val="002C1722"/>
    <w:rsid w:val="002C2A39"/>
    <w:rsid w:val="002C2E77"/>
    <w:rsid w:val="002C366E"/>
    <w:rsid w:val="002C408A"/>
    <w:rsid w:val="002C4398"/>
    <w:rsid w:val="002C4B6A"/>
    <w:rsid w:val="002C5182"/>
    <w:rsid w:val="002C554F"/>
    <w:rsid w:val="002C5C44"/>
    <w:rsid w:val="002C5F4C"/>
    <w:rsid w:val="002C5F59"/>
    <w:rsid w:val="002C606B"/>
    <w:rsid w:val="002C6269"/>
    <w:rsid w:val="002C627B"/>
    <w:rsid w:val="002C694C"/>
    <w:rsid w:val="002C6C3E"/>
    <w:rsid w:val="002C7BAE"/>
    <w:rsid w:val="002D0325"/>
    <w:rsid w:val="002D075D"/>
    <w:rsid w:val="002D0D9A"/>
    <w:rsid w:val="002D1B8B"/>
    <w:rsid w:val="002D1C97"/>
    <w:rsid w:val="002D204C"/>
    <w:rsid w:val="002D20C2"/>
    <w:rsid w:val="002D384C"/>
    <w:rsid w:val="002D3987"/>
    <w:rsid w:val="002D3A24"/>
    <w:rsid w:val="002D3DBA"/>
    <w:rsid w:val="002D4288"/>
    <w:rsid w:val="002D4674"/>
    <w:rsid w:val="002D49C3"/>
    <w:rsid w:val="002D57F6"/>
    <w:rsid w:val="002D583E"/>
    <w:rsid w:val="002D58BF"/>
    <w:rsid w:val="002D5A1B"/>
    <w:rsid w:val="002D64C2"/>
    <w:rsid w:val="002D6B8A"/>
    <w:rsid w:val="002D7F46"/>
    <w:rsid w:val="002E0462"/>
    <w:rsid w:val="002E0C15"/>
    <w:rsid w:val="002E0F34"/>
    <w:rsid w:val="002E12BD"/>
    <w:rsid w:val="002E15BB"/>
    <w:rsid w:val="002E1A7C"/>
    <w:rsid w:val="002E1EAA"/>
    <w:rsid w:val="002E20BA"/>
    <w:rsid w:val="002E2412"/>
    <w:rsid w:val="002E28BE"/>
    <w:rsid w:val="002E344A"/>
    <w:rsid w:val="002E35FA"/>
    <w:rsid w:val="002E3F3E"/>
    <w:rsid w:val="002E419E"/>
    <w:rsid w:val="002E48D0"/>
    <w:rsid w:val="002E4E7D"/>
    <w:rsid w:val="002E5476"/>
    <w:rsid w:val="002E55F5"/>
    <w:rsid w:val="002E5A9E"/>
    <w:rsid w:val="002E5D6C"/>
    <w:rsid w:val="002E5F9C"/>
    <w:rsid w:val="002E5FB0"/>
    <w:rsid w:val="002E65F4"/>
    <w:rsid w:val="002E6ADC"/>
    <w:rsid w:val="002E6F17"/>
    <w:rsid w:val="002E7070"/>
    <w:rsid w:val="002E70F0"/>
    <w:rsid w:val="002E71A2"/>
    <w:rsid w:val="002E740C"/>
    <w:rsid w:val="002E7924"/>
    <w:rsid w:val="002E7C32"/>
    <w:rsid w:val="002E7DA3"/>
    <w:rsid w:val="002E7FE7"/>
    <w:rsid w:val="002F04E2"/>
    <w:rsid w:val="002F0797"/>
    <w:rsid w:val="002F0D06"/>
    <w:rsid w:val="002F0D20"/>
    <w:rsid w:val="002F11B0"/>
    <w:rsid w:val="002F149B"/>
    <w:rsid w:val="002F1527"/>
    <w:rsid w:val="002F19E4"/>
    <w:rsid w:val="002F2556"/>
    <w:rsid w:val="002F2902"/>
    <w:rsid w:val="002F2A8D"/>
    <w:rsid w:val="002F2CA2"/>
    <w:rsid w:val="002F2E4A"/>
    <w:rsid w:val="002F3374"/>
    <w:rsid w:val="002F34A6"/>
    <w:rsid w:val="002F381F"/>
    <w:rsid w:val="002F3877"/>
    <w:rsid w:val="002F41E7"/>
    <w:rsid w:val="002F466B"/>
    <w:rsid w:val="002F48AB"/>
    <w:rsid w:val="002F4C7D"/>
    <w:rsid w:val="002F4F85"/>
    <w:rsid w:val="002F55AF"/>
    <w:rsid w:val="002F5B4C"/>
    <w:rsid w:val="002F671A"/>
    <w:rsid w:val="002F6E1A"/>
    <w:rsid w:val="002F775F"/>
    <w:rsid w:val="002F7996"/>
    <w:rsid w:val="002F79C3"/>
    <w:rsid w:val="002F7B05"/>
    <w:rsid w:val="002F7FBF"/>
    <w:rsid w:val="003000E7"/>
    <w:rsid w:val="00300622"/>
    <w:rsid w:val="00300650"/>
    <w:rsid w:val="003008FA"/>
    <w:rsid w:val="00300D9E"/>
    <w:rsid w:val="00300EE9"/>
    <w:rsid w:val="0030131D"/>
    <w:rsid w:val="003019C1"/>
    <w:rsid w:val="00301A23"/>
    <w:rsid w:val="00302ACB"/>
    <w:rsid w:val="00302BE5"/>
    <w:rsid w:val="00302E89"/>
    <w:rsid w:val="00303373"/>
    <w:rsid w:val="00303B0B"/>
    <w:rsid w:val="00303ECA"/>
    <w:rsid w:val="00304284"/>
    <w:rsid w:val="003042CC"/>
    <w:rsid w:val="003057E3"/>
    <w:rsid w:val="00305F5D"/>
    <w:rsid w:val="0030614A"/>
    <w:rsid w:val="003066E7"/>
    <w:rsid w:val="00306EDB"/>
    <w:rsid w:val="00307902"/>
    <w:rsid w:val="0031046B"/>
    <w:rsid w:val="00310840"/>
    <w:rsid w:val="00310C1B"/>
    <w:rsid w:val="00311857"/>
    <w:rsid w:val="003128E2"/>
    <w:rsid w:val="00312A32"/>
    <w:rsid w:val="00313C56"/>
    <w:rsid w:val="0031431C"/>
    <w:rsid w:val="003144FF"/>
    <w:rsid w:val="00314645"/>
    <w:rsid w:val="003146A2"/>
    <w:rsid w:val="00314DC3"/>
    <w:rsid w:val="0031518A"/>
    <w:rsid w:val="00315289"/>
    <w:rsid w:val="0031584A"/>
    <w:rsid w:val="00315D22"/>
    <w:rsid w:val="00316B2F"/>
    <w:rsid w:val="00316FB7"/>
    <w:rsid w:val="00317C00"/>
    <w:rsid w:val="00317D2C"/>
    <w:rsid w:val="003201AD"/>
    <w:rsid w:val="0032090B"/>
    <w:rsid w:val="00320A75"/>
    <w:rsid w:val="003210C8"/>
    <w:rsid w:val="003210D4"/>
    <w:rsid w:val="0032117C"/>
    <w:rsid w:val="003211E8"/>
    <w:rsid w:val="00321A21"/>
    <w:rsid w:val="00322174"/>
    <w:rsid w:val="003237D6"/>
    <w:rsid w:val="00324B7D"/>
    <w:rsid w:val="003259D4"/>
    <w:rsid w:val="0032776A"/>
    <w:rsid w:val="003279C9"/>
    <w:rsid w:val="00327A4D"/>
    <w:rsid w:val="00327E76"/>
    <w:rsid w:val="0033061C"/>
    <w:rsid w:val="00330C9E"/>
    <w:rsid w:val="00331022"/>
    <w:rsid w:val="0033139B"/>
    <w:rsid w:val="0033174E"/>
    <w:rsid w:val="00331786"/>
    <w:rsid w:val="00332629"/>
    <w:rsid w:val="003335DE"/>
    <w:rsid w:val="00333858"/>
    <w:rsid w:val="003338C9"/>
    <w:rsid w:val="003344B7"/>
    <w:rsid w:val="00334659"/>
    <w:rsid w:val="0033554D"/>
    <w:rsid w:val="00335C14"/>
    <w:rsid w:val="00335CFC"/>
    <w:rsid w:val="00335F41"/>
    <w:rsid w:val="00336E5A"/>
    <w:rsid w:val="00336E7C"/>
    <w:rsid w:val="003376F2"/>
    <w:rsid w:val="0033796E"/>
    <w:rsid w:val="00340217"/>
    <w:rsid w:val="00340700"/>
    <w:rsid w:val="0034075D"/>
    <w:rsid w:val="00341157"/>
    <w:rsid w:val="00341A5E"/>
    <w:rsid w:val="00341BFC"/>
    <w:rsid w:val="00341CC5"/>
    <w:rsid w:val="00342406"/>
    <w:rsid w:val="003433C2"/>
    <w:rsid w:val="003436B8"/>
    <w:rsid w:val="00343FC2"/>
    <w:rsid w:val="00345202"/>
    <w:rsid w:val="003455CD"/>
    <w:rsid w:val="00345703"/>
    <w:rsid w:val="00346352"/>
    <w:rsid w:val="003465FF"/>
    <w:rsid w:val="003469BD"/>
    <w:rsid w:val="00347014"/>
    <w:rsid w:val="003477C1"/>
    <w:rsid w:val="00347A5F"/>
    <w:rsid w:val="00347BA4"/>
    <w:rsid w:val="00347E36"/>
    <w:rsid w:val="00350CAC"/>
    <w:rsid w:val="00350F9A"/>
    <w:rsid w:val="00350FB4"/>
    <w:rsid w:val="0035135B"/>
    <w:rsid w:val="00351529"/>
    <w:rsid w:val="00351DB5"/>
    <w:rsid w:val="00351DBA"/>
    <w:rsid w:val="0035268D"/>
    <w:rsid w:val="003528D7"/>
    <w:rsid w:val="00352A90"/>
    <w:rsid w:val="00352F3A"/>
    <w:rsid w:val="003530C5"/>
    <w:rsid w:val="00353924"/>
    <w:rsid w:val="003542C7"/>
    <w:rsid w:val="00354533"/>
    <w:rsid w:val="00354E20"/>
    <w:rsid w:val="00355B58"/>
    <w:rsid w:val="00355B78"/>
    <w:rsid w:val="00355CB6"/>
    <w:rsid w:val="00356472"/>
    <w:rsid w:val="00356508"/>
    <w:rsid w:val="003565CF"/>
    <w:rsid w:val="00356AE1"/>
    <w:rsid w:val="00356B8E"/>
    <w:rsid w:val="00356E7E"/>
    <w:rsid w:val="003571D8"/>
    <w:rsid w:val="0035723E"/>
    <w:rsid w:val="00357F8C"/>
    <w:rsid w:val="003602F7"/>
    <w:rsid w:val="003608C1"/>
    <w:rsid w:val="0036093F"/>
    <w:rsid w:val="00360CBF"/>
    <w:rsid w:val="0036155F"/>
    <w:rsid w:val="003618CF"/>
    <w:rsid w:val="00362221"/>
    <w:rsid w:val="003622F4"/>
    <w:rsid w:val="003630B6"/>
    <w:rsid w:val="003630CC"/>
    <w:rsid w:val="00363E85"/>
    <w:rsid w:val="00363FFA"/>
    <w:rsid w:val="00364259"/>
    <w:rsid w:val="0036427E"/>
    <w:rsid w:val="003645F7"/>
    <w:rsid w:val="003647DC"/>
    <w:rsid w:val="00364994"/>
    <w:rsid w:val="00365113"/>
    <w:rsid w:val="00365733"/>
    <w:rsid w:val="00365855"/>
    <w:rsid w:val="00365A05"/>
    <w:rsid w:val="00365ACF"/>
    <w:rsid w:val="00365C43"/>
    <w:rsid w:val="003664FD"/>
    <w:rsid w:val="0036652C"/>
    <w:rsid w:val="00366E4A"/>
    <w:rsid w:val="00366F4C"/>
    <w:rsid w:val="003677DB"/>
    <w:rsid w:val="00367825"/>
    <w:rsid w:val="00367C6D"/>
    <w:rsid w:val="00370166"/>
    <w:rsid w:val="003705FE"/>
    <w:rsid w:val="003709AB"/>
    <w:rsid w:val="00371082"/>
    <w:rsid w:val="00371393"/>
    <w:rsid w:val="0037182A"/>
    <w:rsid w:val="00371915"/>
    <w:rsid w:val="003719C5"/>
    <w:rsid w:val="00371CD5"/>
    <w:rsid w:val="00372137"/>
    <w:rsid w:val="00372C30"/>
    <w:rsid w:val="00372EF1"/>
    <w:rsid w:val="0037329A"/>
    <w:rsid w:val="00373D55"/>
    <w:rsid w:val="00373DD1"/>
    <w:rsid w:val="00374600"/>
    <w:rsid w:val="003748C2"/>
    <w:rsid w:val="00374EA5"/>
    <w:rsid w:val="003754B5"/>
    <w:rsid w:val="00375521"/>
    <w:rsid w:val="00375DFB"/>
    <w:rsid w:val="00376459"/>
    <w:rsid w:val="003778D8"/>
    <w:rsid w:val="00377D98"/>
    <w:rsid w:val="003800F9"/>
    <w:rsid w:val="00380560"/>
    <w:rsid w:val="0038110A"/>
    <w:rsid w:val="00381F6B"/>
    <w:rsid w:val="00382304"/>
    <w:rsid w:val="003827FC"/>
    <w:rsid w:val="00382F91"/>
    <w:rsid w:val="0038350D"/>
    <w:rsid w:val="00383734"/>
    <w:rsid w:val="00383D18"/>
    <w:rsid w:val="00383DB0"/>
    <w:rsid w:val="0038405B"/>
    <w:rsid w:val="003840E5"/>
    <w:rsid w:val="003843AB"/>
    <w:rsid w:val="00384BFF"/>
    <w:rsid w:val="003851F9"/>
    <w:rsid w:val="003853AD"/>
    <w:rsid w:val="003853C3"/>
    <w:rsid w:val="0038577C"/>
    <w:rsid w:val="00385CAF"/>
    <w:rsid w:val="00385CF1"/>
    <w:rsid w:val="00385D4A"/>
    <w:rsid w:val="003865C6"/>
    <w:rsid w:val="003866F8"/>
    <w:rsid w:val="003868D0"/>
    <w:rsid w:val="00386BE9"/>
    <w:rsid w:val="0038738C"/>
    <w:rsid w:val="0038746B"/>
    <w:rsid w:val="00387B4A"/>
    <w:rsid w:val="0039024E"/>
    <w:rsid w:val="00390886"/>
    <w:rsid w:val="00390A08"/>
    <w:rsid w:val="00390CAE"/>
    <w:rsid w:val="00391626"/>
    <w:rsid w:val="003916B3"/>
    <w:rsid w:val="00391826"/>
    <w:rsid w:val="0039215C"/>
    <w:rsid w:val="0039236F"/>
    <w:rsid w:val="003924B6"/>
    <w:rsid w:val="003924CA"/>
    <w:rsid w:val="003929ED"/>
    <w:rsid w:val="003930D2"/>
    <w:rsid w:val="00393285"/>
    <w:rsid w:val="0039357C"/>
    <w:rsid w:val="00393764"/>
    <w:rsid w:val="003947E5"/>
    <w:rsid w:val="003954CE"/>
    <w:rsid w:val="00395922"/>
    <w:rsid w:val="00395D16"/>
    <w:rsid w:val="00396822"/>
    <w:rsid w:val="00396A2E"/>
    <w:rsid w:val="00397030"/>
    <w:rsid w:val="00397041"/>
    <w:rsid w:val="0039755F"/>
    <w:rsid w:val="00397731"/>
    <w:rsid w:val="0039788D"/>
    <w:rsid w:val="00397909"/>
    <w:rsid w:val="00397919"/>
    <w:rsid w:val="003979C8"/>
    <w:rsid w:val="00397EA5"/>
    <w:rsid w:val="003A0298"/>
    <w:rsid w:val="003A11A6"/>
    <w:rsid w:val="003A1491"/>
    <w:rsid w:val="003A1869"/>
    <w:rsid w:val="003A1B2F"/>
    <w:rsid w:val="003A21FF"/>
    <w:rsid w:val="003A257D"/>
    <w:rsid w:val="003A2783"/>
    <w:rsid w:val="003A2DA3"/>
    <w:rsid w:val="003A2FAD"/>
    <w:rsid w:val="003A3AFD"/>
    <w:rsid w:val="003A418F"/>
    <w:rsid w:val="003A43DE"/>
    <w:rsid w:val="003A4437"/>
    <w:rsid w:val="003A4511"/>
    <w:rsid w:val="003A5225"/>
    <w:rsid w:val="003A5228"/>
    <w:rsid w:val="003A5E57"/>
    <w:rsid w:val="003A6389"/>
    <w:rsid w:val="003A674B"/>
    <w:rsid w:val="003A6842"/>
    <w:rsid w:val="003A6E43"/>
    <w:rsid w:val="003A7905"/>
    <w:rsid w:val="003A7BAA"/>
    <w:rsid w:val="003B0109"/>
    <w:rsid w:val="003B061B"/>
    <w:rsid w:val="003B0BF4"/>
    <w:rsid w:val="003B0DD2"/>
    <w:rsid w:val="003B1227"/>
    <w:rsid w:val="003B1D2E"/>
    <w:rsid w:val="003B221B"/>
    <w:rsid w:val="003B2C7E"/>
    <w:rsid w:val="003B2CF1"/>
    <w:rsid w:val="003B2DE1"/>
    <w:rsid w:val="003B33BB"/>
    <w:rsid w:val="003B3547"/>
    <w:rsid w:val="003B3C5E"/>
    <w:rsid w:val="003B3D10"/>
    <w:rsid w:val="003B401B"/>
    <w:rsid w:val="003B4029"/>
    <w:rsid w:val="003B41C8"/>
    <w:rsid w:val="003B4556"/>
    <w:rsid w:val="003B46D8"/>
    <w:rsid w:val="003B4B44"/>
    <w:rsid w:val="003B4BF6"/>
    <w:rsid w:val="003B530C"/>
    <w:rsid w:val="003B55B7"/>
    <w:rsid w:val="003B663B"/>
    <w:rsid w:val="003B6FD0"/>
    <w:rsid w:val="003B7129"/>
    <w:rsid w:val="003B7707"/>
    <w:rsid w:val="003B7DD9"/>
    <w:rsid w:val="003C0232"/>
    <w:rsid w:val="003C0548"/>
    <w:rsid w:val="003C05FD"/>
    <w:rsid w:val="003C06D4"/>
    <w:rsid w:val="003C0940"/>
    <w:rsid w:val="003C0BB7"/>
    <w:rsid w:val="003C0F1D"/>
    <w:rsid w:val="003C0FC5"/>
    <w:rsid w:val="003C2712"/>
    <w:rsid w:val="003C2CA4"/>
    <w:rsid w:val="003C2D6C"/>
    <w:rsid w:val="003C3007"/>
    <w:rsid w:val="003C320A"/>
    <w:rsid w:val="003C3323"/>
    <w:rsid w:val="003C3350"/>
    <w:rsid w:val="003C3516"/>
    <w:rsid w:val="003C3BAB"/>
    <w:rsid w:val="003C3F30"/>
    <w:rsid w:val="003C4218"/>
    <w:rsid w:val="003C43A7"/>
    <w:rsid w:val="003C5306"/>
    <w:rsid w:val="003C53F9"/>
    <w:rsid w:val="003C56B1"/>
    <w:rsid w:val="003C63E9"/>
    <w:rsid w:val="003C66CD"/>
    <w:rsid w:val="003C69AB"/>
    <w:rsid w:val="003C6A79"/>
    <w:rsid w:val="003D05DD"/>
    <w:rsid w:val="003D07AB"/>
    <w:rsid w:val="003D0973"/>
    <w:rsid w:val="003D09DA"/>
    <w:rsid w:val="003D0DE7"/>
    <w:rsid w:val="003D1696"/>
    <w:rsid w:val="003D1EE3"/>
    <w:rsid w:val="003D2293"/>
    <w:rsid w:val="003D2788"/>
    <w:rsid w:val="003D333A"/>
    <w:rsid w:val="003D33D2"/>
    <w:rsid w:val="003D3D4C"/>
    <w:rsid w:val="003D51F4"/>
    <w:rsid w:val="003D57B1"/>
    <w:rsid w:val="003D5937"/>
    <w:rsid w:val="003D626A"/>
    <w:rsid w:val="003D6971"/>
    <w:rsid w:val="003D79D5"/>
    <w:rsid w:val="003E0362"/>
    <w:rsid w:val="003E049E"/>
    <w:rsid w:val="003E1079"/>
    <w:rsid w:val="003E117A"/>
    <w:rsid w:val="003E13C4"/>
    <w:rsid w:val="003E1479"/>
    <w:rsid w:val="003E1C1B"/>
    <w:rsid w:val="003E22CE"/>
    <w:rsid w:val="003E2615"/>
    <w:rsid w:val="003E3796"/>
    <w:rsid w:val="003E3F15"/>
    <w:rsid w:val="003E4180"/>
    <w:rsid w:val="003E55E9"/>
    <w:rsid w:val="003E59D9"/>
    <w:rsid w:val="003E5CFA"/>
    <w:rsid w:val="003E61C0"/>
    <w:rsid w:val="003E63AF"/>
    <w:rsid w:val="003E656E"/>
    <w:rsid w:val="003E6669"/>
    <w:rsid w:val="003E7077"/>
    <w:rsid w:val="003E7D6B"/>
    <w:rsid w:val="003F02DB"/>
    <w:rsid w:val="003F0318"/>
    <w:rsid w:val="003F0F97"/>
    <w:rsid w:val="003F1119"/>
    <w:rsid w:val="003F1359"/>
    <w:rsid w:val="003F16A2"/>
    <w:rsid w:val="003F1763"/>
    <w:rsid w:val="003F2435"/>
    <w:rsid w:val="003F256D"/>
    <w:rsid w:val="003F28A4"/>
    <w:rsid w:val="003F2939"/>
    <w:rsid w:val="003F2B72"/>
    <w:rsid w:val="003F2D5D"/>
    <w:rsid w:val="003F365B"/>
    <w:rsid w:val="003F389F"/>
    <w:rsid w:val="003F3CE4"/>
    <w:rsid w:val="003F4B94"/>
    <w:rsid w:val="003F5EBD"/>
    <w:rsid w:val="003F6543"/>
    <w:rsid w:val="003F67E7"/>
    <w:rsid w:val="003F6B75"/>
    <w:rsid w:val="003F6D5F"/>
    <w:rsid w:val="003F795B"/>
    <w:rsid w:val="004003CC"/>
    <w:rsid w:val="0040046E"/>
    <w:rsid w:val="00400470"/>
    <w:rsid w:val="00400DFD"/>
    <w:rsid w:val="00401599"/>
    <w:rsid w:val="00401CB7"/>
    <w:rsid w:val="00401D45"/>
    <w:rsid w:val="004026C4"/>
    <w:rsid w:val="00402CD3"/>
    <w:rsid w:val="00403D03"/>
    <w:rsid w:val="00404099"/>
    <w:rsid w:val="004040D3"/>
    <w:rsid w:val="004042A3"/>
    <w:rsid w:val="0040464D"/>
    <w:rsid w:val="00404793"/>
    <w:rsid w:val="00404CF3"/>
    <w:rsid w:val="00404E0E"/>
    <w:rsid w:val="00404E62"/>
    <w:rsid w:val="004052C9"/>
    <w:rsid w:val="00405E63"/>
    <w:rsid w:val="004062EF"/>
    <w:rsid w:val="00406334"/>
    <w:rsid w:val="004069E8"/>
    <w:rsid w:val="00406AA8"/>
    <w:rsid w:val="00406C79"/>
    <w:rsid w:val="00407501"/>
    <w:rsid w:val="0040765D"/>
    <w:rsid w:val="00407C18"/>
    <w:rsid w:val="00407D45"/>
    <w:rsid w:val="00407F91"/>
    <w:rsid w:val="0041086A"/>
    <w:rsid w:val="0041093C"/>
    <w:rsid w:val="00410D28"/>
    <w:rsid w:val="00410EFB"/>
    <w:rsid w:val="00411A55"/>
    <w:rsid w:val="00411F67"/>
    <w:rsid w:val="004122B0"/>
    <w:rsid w:val="00412736"/>
    <w:rsid w:val="00412EB5"/>
    <w:rsid w:val="004135DC"/>
    <w:rsid w:val="00413CB7"/>
    <w:rsid w:val="004141F2"/>
    <w:rsid w:val="0041428E"/>
    <w:rsid w:val="00414F67"/>
    <w:rsid w:val="0041511F"/>
    <w:rsid w:val="004153D2"/>
    <w:rsid w:val="0041556F"/>
    <w:rsid w:val="004155B9"/>
    <w:rsid w:val="00415724"/>
    <w:rsid w:val="0041587E"/>
    <w:rsid w:val="00415AF8"/>
    <w:rsid w:val="00415C0C"/>
    <w:rsid w:val="0041611E"/>
    <w:rsid w:val="00416376"/>
    <w:rsid w:val="00416931"/>
    <w:rsid w:val="00416B7C"/>
    <w:rsid w:val="0041712A"/>
    <w:rsid w:val="00417726"/>
    <w:rsid w:val="00417782"/>
    <w:rsid w:val="00417906"/>
    <w:rsid w:val="0041793A"/>
    <w:rsid w:val="00420292"/>
    <w:rsid w:val="00420313"/>
    <w:rsid w:val="0042081D"/>
    <w:rsid w:val="00420DB8"/>
    <w:rsid w:val="004210A2"/>
    <w:rsid w:val="00422CDD"/>
    <w:rsid w:val="00422F91"/>
    <w:rsid w:val="0042311A"/>
    <w:rsid w:val="0042392E"/>
    <w:rsid w:val="0042405B"/>
    <w:rsid w:val="00424290"/>
    <w:rsid w:val="004244DD"/>
    <w:rsid w:val="00424D74"/>
    <w:rsid w:val="00424ECF"/>
    <w:rsid w:val="00425261"/>
    <w:rsid w:val="004253DC"/>
    <w:rsid w:val="004254E6"/>
    <w:rsid w:val="0042566F"/>
    <w:rsid w:val="00425A5A"/>
    <w:rsid w:val="00425E9D"/>
    <w:rsid w:val="0042634A"/>
    <w:rsid w:val="00426363"/>
    <w:rsid w:val="004265E5"/>
    <w:rsid w:val="004268D9"/>
    <w:rsid w:val="00426BDB"/>
    <w:rsid w:val="004272D8"/>
    <w:rsid w:val="00427682"/>
    <w:rsid w:val="00427993"/>
    <w:rsid w:val="00427E88"/>
    <w:rsid w:val="00430781"/>
    <w:rsid w:val="004309A9"/>
    <w:rsid w:val="00431B71"/>
    <w:rsid w:val="00431B9C"/>
    <w:rsid w:val="00432523"/>
    <w:rsid w:val="00432FC9"/>
    <w:rsid w:val="004342A7"/>
    <w:rsid w:val="00434573"/>
    <w:rsid w:val="00434744"/>
    <w:rsid w:val="00435055"/>
    <w:rsid w:val="004351DB"/>
    <w:rsid w:val="00435647"/>
    <w:rsid w:val="00435653"/>
    <w:rsid w:val="0043570E"/>
    <w:rsid w:val="00436002"/>
    <w:rsid w:val="004360A8"/>
    <w:rsid w:val="0043621F"/>
    <w:rsid w:val="004364DA"/>
    <w:rsid w:val="004365CA"/>
    <w:rsid w:val="00436608"/>
    <w:rsid w:val="00436BD3"/>
    <w:rsid w:val="00436BD7"/>
    <w:rsid w:val="00436CDE"/>
    <w:rsid w:val="00436D9F"/>
    <w:rsid w:val="004376A4"/>
    <w:rsid w:val="00437B22"/>
    <w:rsid w:val="00440103"/>
    <w:rsid w:val="0044079B"/>
    <w:rsid w:val="00440BB6"/>
    <w:rsid w:val="00441012"/>
    <w:rsid w:val="00441921"/>
    <w:rsid w:val="004419F6"/>
    <w:rsid w:val="00442635"/>
    <w:rsid w:val="00442772"/>
    <w:rsid w:val="00442A09"/>
    <w:rsid w:val="00442C40"/>
    <w:rsid w:val="00442D1B"/>
    <w:rsid w:val="004438EB"/>
    <w:rsid w:val="00443936"/>
    <w:rsid w:val="004439C1"/>
    <w:rsid w:val="00444493"/>
    <w:rsid w:val="00444CD9"/>
    <w:rsid w:val="00444D1F"/>
    <w:rsid w:val="00444D8E"/>
    <w:rsid w:val="00445254"/>
    <w:rsid w:val="004462D0"/>
    <w:rsid w:val="004465B3"/>
    <w:rsid w:val="00446E3A"/>
    <w:rsid w:val="004472C6"/>
    <w:rsid w:val="004474E1"/>
    <w:rsid w:val="0044775A"/>
    <w:rsid w:val="00447971"/>
    <w:rsid w:val="00447D95"/>
    <w:rsid w:val="00450370"/>
    <w:rsid w:val="00450573"/>
    <w:rsid w:val="0045090B"/>
    <w:rsid w:val="00450D92"/>
    <w:rsid w:val="00450DA4"/>
    <w:rsid w:val="00451A6B"/>
    <w:rsid w:val="004527D1"/>
    <w:rsid w:val="00452837"/>
    <w:rsid w:val="00452905"/>
    <w:rsid w:val="00452A60"/>
    <w:rsid w:val="00452B1C"/>
    <w:rsid w:val="00452BB9"/>
    <w:rsid w:val="0045333B"/>
    <w:rsid w:val="0045334E"/>
    <w:rsid w:val="00454019"/>
    <w:rsid w:val="00454142"/>
    <w:rsid w:val="00454EE9"/>
    <w:rsid w:val="00455494"/>
    <w:rsid w:val="0045557A"/>
    <w:rsid w:val="00455970"/>
    <w:rsid w:val="00455B50"/>
    <w:rsid w:val="00455CA1"/>
    <w:rsid w:val="00455FE8"/>
    <w:rsid w:val="004560F0"/>
    <w:rsid w:val="00456475"/>
    <w:rsid w:val="00456A3B"/>
    <w:rsid w:val="00456E56"/>
    <w:rsid w:val="004579F6"/>
    <w:rsid w:val="00457D1B"/>
    <w:rsid w:val="00460030"/>
    <w:rsid w:val="00460579"/>
    <w:rsid w:val="004618BF"/>
    <w:rsid w:val="00461F3A"/>
    <w:rsid w:val="004623B3"/>
    <w:rsid w:val="004624DB"/>
    <w:rsid w:val="00462C21"/>
    <w:rsid w:val="00462E60"/>
    <w:rsid w:val="00463BD7"/>
    <w:rsid w:val="00463D26"/>
    <w:rsid w:val="00463D3E"/>
    <w:rsid w:val="0046479A"/>
    <w:rsid w:val="00464931"/>
    <w:rsid w:val="00464C90"/>
    <w:rsid w:val="004651BD"/>
    <w:rsid w:val="00465A57"/>
    <w:rsid w:val="00466165"/>
    <w:rsid w:val="00466DDC"/>
    <w:rsid w:val="00467165"/>
    <w:rsid w:val="004676EF"/>
    <w:rsid w:val="00467CC1"/>
    <w:rsid w:val="00467D83"/>
    <w:rsid w:val="004705F9"/>
    <w:rsid w:val="00470CAA"/>
    <w:rsid w:val="00471132"/>
    <w:rsid w:val="00471295"/>
    <w:rsid w:val="00471382"/>
    <w:rsid w:val="00471B34"/>
    <w:rsid w:val="00471BC5"/>
    <w:rsid w:val="00472169"/>
    <w:rsid w:val="004722E0"/>
    <w:rsid w:val="00472BCE"/>
    <w:rsid w:val="00472F15"/>
    <w:rsid w:val="004730C9"/>
    <w:rsid w:val="004740E0"/>
    <w:rsid w:val="0047414D"/>
    <w:rsid w:val="0047461C"/>
    <w:rsid w:val="00474E4C"/>
    <w:rsid w:val="004751AE"/>
    <w:rsid w:val="00475337"/>
    <w:rsid w:val="0047543F"/>
    <w:rsid w:val="004757DE"/>
    <w:rsid w:val="00475AAB"/>
    <w:rsid w:val="00475DDC"/>
    <w:rsid w:val="004761AF"/>
    <w:rsid w:val="00476225"/>
    <w:rsid w:val="00476630"/>
    <w:rsid w:val="00476637"/>
    <w:rsid w:val="0047666B"/>
    <w:rsid w:val="0047700F"/>
    <w:rsid w:val="00477457"/>
    <w:rsid w:val="00477F08"/>
    <w:rsid w:val="00480418"/>
    <w:rsid w:val="00480795"/>
    <w:rsid w:val="004808DF"/>
    <w:rsid w:val="00480C67"/>
    <w:rsid w:val="00480FDF"/>
    <w:rsid w:val="004811E1"/>
    <w:rsid w:val="00481650"/>
    <w:rsid w:val="00481B7A"/>
    <w:rsid w:val="00481D48"/>
    <w:rsid w:val="00482122"/>
    <w:rsid w:val="004825A8"/>
    <w:rsid w:val="004827A3"/>
    <w:rsid w:val="0048280B"/>
    <w:rsid w:val="00482884"/>
    <w:rsid w:val="00482B86"/>
    <w:rsid w:val="00482EA8"/>
    <w:rsid w:val="00483527"/>
    <w:rsid w:val="0048421D"/>
    <w:rsid w:val="00484267"/>
    <w:rsid w:val="004847BB"/>
    <w:rsid w:val="004847C4"/>
    <w:rsid w:val="0048520D"/>
    <w:rsid w:val="00485260"/>
    <w:rsid w:val="0048550A"/>
    <w:rsid w:val="004856C9"/>
    <w:rsid w:val="00486164"/>
    <w:rsid w:val="0048709D"/>
    <w:rsid w:val="00487CAC"/>
    <w:rsid w:val="0049029D"/>
    <w:rsid w:val="004907D7"/>
    <w:rsid w:val="00490AAC"/>
    <w:rsid w:val="00491173"/>
    <w:rsid w:val="004912EF"/>
    <w:rsid w:val="0049243D"/>
    <w:rsid w:val="0049269E"/>
    <w:rsid w:val="004927DF"/>
    <w:rsid w:val="00492896"/>
    <w:rsid w:val="00492AC1"/>
    <w:rsid w:val="00492C34"/>
    <w:rsid w:val="00492C83"/>
    <w:rsid w:val="00492F8E"/>
    <w:rsid w:val="00493228"/>
    <w:rsid w:val="00493B9E"/>
    <w:rsid w:val="00493CDB"/>
    <w:rsid w:val="00494379"/>
    <w:rsid w:val="00494EF2"/>
    <w:rsid w:val="004958B0"/>
    <w:rsid w:val="00495D22"/>
    <w:rsid w:val="00495D34"/>
    <w:rsid w:val="004965A8"/>
    <w:rsid w:val="004965FE"/>
    <w:rsid w:val="00496646"/>
    <w:rsid w:val="004967A9"/>
    <w:rsid w:val="004968E5"/>
    <w:rsid w:val="00496BCF"/>
    <w:rsid w:val="00496CF9"/>
    <w:rsid w:val="004971D7"/>
    <w:rsid w:val="0049753C"/>
    <w:rsid w:val="004A035C"/>
    <w:rsid w:val="004A064A"/>
    <w:rsid w:val="004A0DD2"/>
    <w:rsid w:val="004A10AE"/>
    <w:rsid w:val="004A13EF"/>
    <w:rsid w:val="004A195B"/>
    <w:rsid w:val="004A1E34"/>
    <w:rsid w:val="004A20C8"/>
    <w:rsid w:val="004A20CC"/>
    <w:rsid w:val="004A23AC"/>
    <w:rsid w:val="004A2837"/>
    <w:rsid w:val="004A2DEC"/>
    <w:rsid w:val="004A3392"/>
    <w:rsid w:val="004A362C"/>
    <w:rsid w:val="004A3E94"/>
    <w:rsid w:val="004A4383"/>
    <w:rsid w:val="004A45D1"/>
    <w:rsid w:val="004A50D3"/>
    <w:rsid w:val="004A55BA"/>
    <w:rsid w:val="004A5B9F"/>
    <w:rsid w:val="004A5DDF"/>
    <w:rsid w:val="004A604B"/>
    <w:rsid w:val="004A63E7"/>
    <w:rsid w:val="004A63FF"/>
    <w:rsid w:val="004A6F7F"/>
    <w:rsid w:val="004A7250"/>
    <w:rsid w:val="004A73EB"/>
    <w:rsid w:val="004B026F"/>
    <w:rsid w:val="004B056A"/>
    <w:rsid w:val="004B094C"/>
    <w:rsid w:val="004B139C"/>
    <w:rsid w:val="004B14AF"/>
    <w:rsid w:val="004B1685"/>
    <w:rsid w:val="004B1976"/>
    <w:rsid w:val="004B19FA"/>
    <w:rsid w:val="004B1A99"/>
    <w:rsid w:val="004B21D9"/>
    <w:rsid w:val="004B24B8"/>
    <w:rsid w:val="004B2CD9"/>
    <w:rsid w:val="004B3853"/>
    <w:rsid w:val="004B3C8D"/>
    <w:rsid w:val="004B41F9"/>
    <w:rsid w:val="004B4372"/>
    <w:rsid w:val="004B44C7"/>
    <w:rsid w:val="004B4688"/>
    <w:rsid w:val="004B4782"/>
    <w:rsid w:val="004B6056"/>
    <w:rsid w:val="004B6566"/>
    <w:rsid w:val="004B6877"/>
    <w:rsid w:val="004B69A6"/>
    <w:rsid w:val="004B6DFC"/>
    <w:rsid w:val="004B795B"/>
    <w:rsid w:val="004C005E"/>
    <w:rsid w:val="004C01B7"/>
    <w:rsid w:val="004C02D1"/>
    <w:rsid w:val="004C051B"/>
    <w:rsid w:val="004C0936"/>
    <w:rsid w:val="004C0B96"/>
    <w:rsid w:val="004C0BC8"/>
    <w:rsid w:val="004C0CC6"/>
    <w:rsid w:val="004C11AC"/>
    <w:rsid w:val="004C181B"/>
    <w:rsid w:val="004C1ACA"/>
    <w:rsid w:val="004C1C88"/>
    <w:rsid w:val="004C1E9B"/>
    <w:rsid w:val="004C1F7F"/>
    <w:rsid w:val="004C2129"/>
    <w:rsid w:val="004C2BDD"/>
    <w:rsid w:val="004C2F3C"/>
    <w:rsid w:val="004C2F58"/>
    <w:rsid w:val="004C452E"/>
    <w:rsid w:val="004C45CD"/>
    <w:rsid w:val="004C476E"/>
    <w:rsid w:val="004C4A48"/>
    <w:rsid w:val="004C4AC9"/>
    <w:rsid w:val="004C4FEC"/>
    <w:rsid w:val="004C54B0"/>
    <w:rsid w:val="004C54FC"/>
    <w:rsid w:val="004C55CF"/>
    <w:rsid w:val="004C60C5"/>
    <w:rsid w:val="004C683C"/>
    <w:rsid w:val="004C6E18"/>
    <w:rsid w:val="004C75BF"/>
    <w:rsid w:val="004C78F0"/>
    <w:rsid w:val="004C797B"/>
    <w:rsid w:val="004C7A97"/>
    <w:rsid w:val="004C7A9E"/>
    <w:rsid w:val="004D089E"/>
    <w:rsid w:val="004D0E3D"/>
    <w:rsid w:val="004D0F84"/>
    <w:rsid w:val="004D1BD7"/>
    <w:rsid w:val="004D1D00"/>
    <w:rsid w:val="004D1DCF"/>
    <w:rsid w:val="004D2437"/>
    <w:rsid w:val="004D247B"/>
    <w:rsid w:val="004D2680"/>
    <w:rsid w:val="004D2793"/>
    <w:rsid w:val="004D29AA"/>
    <w:rsid w:val="004D3385"/>
    <w:rsid w:val="004D351A"/>
    <w:rsid w:val="004D39DB"/>
    <w:rsid w:val="004D4407"/>
    <w:rsid w:val="004D4EB0"/>
    <w:rsid w:val="004D4EDB"/>
    <w:rsid w:val="004D5270"/>
    <w:rsid w:val="004D5495"/>
    <w:rsid w:val="004D59FC"/>
    <w:rsid w:val="004D6A07"/>
    <w:rsid w:val="004D6AC0"/>
    <w:rsid w:val="004D7A99"/>
    <w:rsid w:val="004D7E1C"/>
    <w:rsid w:val="004E005C"/>
    <w:rsid w:val="004E0FCE"/>
    <w:rsid w:val="004E248F"/>
    <w:rsid w:val="004E24D9"/>
    <w:rsid w:val="004E29A3"/>
    <w:rsid w:val="004E3752"/>
    <w:rsid w:val="004E3C80"/>
    <w:rsid w:val="004E47CA"/>
    <w:rsid w:val="004E4E2A"/>
    <w:rsid w:val="004E4EFE"/>
    <w:rsid w:val="004E5527"/>
    <w:rsid w:val="004E62D7"/>
    <w:rsid w:val="004E6B87"/>
    <w:rsid w:val="004E6F22"/>
    <w:rsid w:val="004E6F6F"/>
    <w:rsid w:val="004E6FFF"/>
    <w:rsid w:val="004E7AD1"/>
    <w:rsid w:val="004F03A5"/>
    <w:rsid w:val="004F08BA"/>
    <w:rsid w:val="004F0C36"/>
    <w:rsid w:val="004F0E36"/>
    <w:rsid w:val="004F11F0"/>
    <w:rsid w:val="004F162B"/>
    <w:rsid w:val="004F19A9"/>
    <w:rsid w:val="004F1EBA"/>
    <w:rsid w:val="004F2D3D"/>
    <w:rsid w:val="004F2EF9"/>
    <w:rsid w:val="004F30FA"/>
    <w:rsid w:val="004F42FA"/>
    <w:rsid w:val="004F4706"/>
    <w:rsid w:val="004F47EE"/>
    <w:rsid w:val="004F484B"/>
    <w:rsid w:val="004F5332"/>
    <w:rsid w:val="004F5405"/>
    <w:rsid w:val="004F5813"/>
    <w:rsid w:val="004F5EDF"/>
    <w:rsid w:val="004F6B1E"/>
    <w:rsid w:val="004F7057"/>
    <w:rsid w:val="004F7279"/>
    <w:rsid w:val="004F7C1F"/>
    <w:rsid w:val="004F7DB8"/>
    <w:rsid w:val="004F7FA5"/>
    <w:rsid w:val="00500404"/>
    <w:rsid w:val="005004D6"/>
    <w:rsid w:val="00500626"/>
    <w:rsid w:val="00500700"/>
    <w:rsid w:val="00500A98"/>
    <w:rsid w:val="00500C2E"/>
    <w:rsid w:val="00500E01"/>
    <w:rsid w:val="00501287"/>
    <w:rsid w:val="0050267B"/>
    <w:rsid w:val="005030E9"/>
    <w:rsid w:val="005031EB"/>
    <w:rsid w:val="0050333B"/>
    <w:rsid w:val="00503344"/>
    <w:rsid w:val="005036D0"/>
    <w:rsid w:val="0050395B"/>
    <w:rsid w:val="00503C81"/>
    <w:rsid w:val="00503CA8"/>
    <w:rsid w:val="00503CBB"/>
    <w:rsid w:val="00503D69"/>
    <w:rsid w:val="005041E7"/>
    <w:rsid w:val="00504CDA"/>
    <w:rsid w:val="00504DCD"/>
    <w:rsid w:val="00507065"/>
    <w:rsid w:val="005076DE"/>
    <w:rsid w:val="00507757"/>
    <w:rsid w:val="00507CE6"/>
    <w:rsid w:val="00510534"/>
    <w:rsid w:val="00510A46"/>
    <w:rsid w:val="00510CA6"/>
    <w:rsid w:val="00511272"/>
    <w:rsid w:val="00511595"/>
    <w:rsid w:val="005115A6"/>
    <w:rsid w:val="0051169C"/>
    <w:rsid w:val="0051194C"/>
    <w:rsid w:val="00511D50"/>
    <w:rsid w:val="00511DA7"/>
    <w:rsid w:val="00512417"/>
    <w:rsid w:val="00512B18"/>
    <w:rsid w:val="00512FCA"/>
    <w:rsid w:val="005132BB"/>
    <w:rsid w:val="00513CA4"/>
    <w:rsid w:val="00514676"/>
    <w:rsid w:val="00514826"/>
    <w:rsid w:val="00514909"/>
    <w:rsid w:val="005157C8"/>
    <w:rsid w:val="00516254"/>
    <w:rsid w:val="00516525"/>
    <w:rsid w:val="005165E1"/>
    <w:rsid w:val="005165F8"/>
    <w:rsid w:val="005168E7"/>
    <w:rsid w:val="00516928"/>
    <w:rsid w:val="005179AB"/>
    <w:rsid w:val="00520D2E"/>
    <w:rsid w:val="00520DC2"/>
    <w:rsid w:val="00520F33"/>
    <w:rsid w:val="005212B6"/>
    <w:rsid w:val="0052151A"/>
    <w:rsid w:val="005217A7"/>
    <w:rsid w:val="00522073"/>
    <w:rsid w:val="005224C6"/>
    <w:rsid w:val="00522522"/>
    <w:rsid w:val="005232CC"/>
    <w:rsid w:val="0052394E"/>
    <w:rsid w:val="00523ABB"/>
    <w:rsid w:val="0052427F"/>
    <w:rsid w:val="0052438E"/>
    <w:rsid w:val="005250F9"/>
    <w:rsid w:val="00525D10"/>
    <w:rsid w:val="005261DC"/>
    <w:rsid w:val="00526B2B"/>
    <w:rsid w:val="00526FDA"/>
    <w:rsid w:val="005272D0"/>
    <w:rsid w:val="005279C2"/>
    <w:rsid w:val="00527BF5"/>
    <w:rsid w:val="00527F3D"/>
    <w:rsid w:val="00530DF9"/>
    <w:rsid w:val="00531119"/>
    <w:rsid w:val="00531863"/>
    <w:rsid w:val="00531CB2"/>
    <w:rsid w:val="0053252B"/>
    <w:rsid w:val="00532AD8"/>
    <w:rsid w:val="005331DE"/>
    <w:rsid w:val="00533A4A"/>
    <w:rsid w:val="00533BCA"/>
    <w:rsid w:val="00533C7F"/>
    <w:rsid w:val="00533D1A"/>
    <w:rsid w:val="00534A42"/>
    <w:rsid w:val="00534C35"/>
    <w:rsid w:val="00534D50"/>
    <w:rsid w:val="005358FD"/>
    <w:rsid w:val="005359D4"/>
    <w:rsid w:val="00535E4D"/>
    <w:rsid w:val="0053606F"/>
    <w:rsid w:val="005365F5"/>
    <w:rsid w:val="00536FA6"/>
    <w:rsid w:val="005376F7"/>
    <w:rsid w:val="00537CDC"/>
    <w:rsid w:val="0054040B"/>
    <w:rsid w:val="005412A9"/>
    <w:rsid w:val="00541334"/>
    <w:rsid w:val="00541375"/>
    <w:rsid w:val="005414B5"/>
    <w:rsid w:val="005418E1"/>
    <w:rsid w:val="00541A02"/>
    <w:rsid w:val="0054207B"/>
    <w:rsid w:val="00542091"/>
    <w:rsid w:val="00542A09"/>
    <w:rsid w:val="00542B13"/>
    <w:rsid w:val="00542D62"/>
    <w:rsid w:val="005436A8"/>
    <w:rsid w:val="00544E94"/>
    <w:rsid w:val="00544FB5"/>
    <w:rsid w:val="005450CF"/>
    <w:rsid w:val="005456AC"/>
    <w:rsid w:val="0054576F"/>
    <w:rsid w:val="0054590B"/>
    <w:rsid w:val="005459A7"/>
    <w:rsid w:val="00545F67"/>
    <w:rsid w:val="00546942"/>
    <w:rsid w:val="00546AAE"/>
    <w:rsid w:val="00546BCA"/>
    <w:rsid w:val="005477C0"/>
    <w:rsid w:val="00547CAD"/>
    <w:rsid w:val="00547F4D"/>
    <w:rsid w:val="00550516"/>
    <w:rsid w:val="00550AF8"/>
    <w:rsid w:val="00550AFD"/>
    <w:rsid w:val="00550E44"/>
    <w:rsid w:val="0055117D"/>
    <w:rsid w:val="005512FA"/>
    <w:rsid w:val="0055151D"/>
    <w:rsid w:val="00551625"/>
    <w:rsid w:val="005517E9"/>
    <w:rsid w:val="00551C97"/>
    <w:rsid w:val="00551E13"/>
    <w:rsid w:val="0055203C"/>
    <w:rsid w:val="005521DF"/>
    <w:rsid w:val="005524A9"/>
    <w:rsid w:val="00552B56"/>
    <w:rsid w:val="00552E5D"/>
    <w:rsid w:val="00553104"/>
    <w:rsid w:val="00553B84"/>
    <w:rsid w:val="00554671"/>
    <w:rsid w:val="00554779"/>
    <w:rsid w:val="00554969"/>
    <w:rsid w:val="00555664"/>
    <w:rsid w:val="00555810"/>
    <w:rsid w:val="00556633"/>
    <w:rsid w:val="00556843"/>
    <w:rsid w:val="005570EE"/>
    <w:rsid w:val="005571D5"/>
    <w:rsid w:val="00557625"/>
    <w:rsid w:val="0055764E"/>
    <w:rsid w:val="005578AC"/>
    <w:rsid w:val="005608E1"/>
    <w:rsid w:val="005609BC"/>
    <w:rsid w:val="00560A7A"/>
    <w:rsid w:val="005612A4"/>
    <w:rsid w:val="00561ADA"/>
    <w:rsid w:val="00561B4D"/>
    <w:rsid w:val="00561BE9"/>
    <w:rsid w:val="00561C20"/>
    <w:rsid w:val="00562461"/>
    <w:rsid w:val="005624FD"/>
    <w:rsid w:val="00562B09"/>
    <w:rsid w:val="00562E3B"/>
    <w:rsid w:val="005632AE"/>
    <w:rsid w:val="0056388B"/>
    <w:rsid w:val="00563F28"/>
    <w:rsid w:val="00564040"/>
    <w:rsid w:val="00564268"/>
    <w:rsid w:val="005645FC"/>
    <w:rsid w:val="00564856"/>
    <w:rsid w:val="00564999"/>
    <w:rsid w:val="005651E2"/>
    <w:rsid w:val="00565B0A"/>
    <w:rsid w:val="00565F38"/>
    <w:rsid w:val="005671D0"/>
    <w:rsid w:val="00567426"/>
    <w:rsid w:val="00567847"/>
    <w:rsid w:val="00567F80"/>
    <w:rsid w:val="00570968"/>
    <w:rsid w:val="00570E6D"/>
    <w:rsid w:val="00570ED1"/>
    <w:rsid w:val="005714A9"/>
    <w:rsid w:val="00571BC2"/>
    <w:rsid w:val="005720FC"/>
    <w:rsid w:val="00572463"/>
    <w:rsid w:val="00572F41"/>
    <w:rsid w:val="0057346A"/>
    <w:rsid w:val="00573543"/>
    <w:rsid w:val="0057371F"/>
    <w:rsid w:val="00573B67"/>
    <w:rsid w:val="00573EE5"/>
    <w:rsid w:val="00574608"/>
    <w:rsid w:val="0057461B"/>
    <w:rsid w:val="005749B4"/>
    <w:rsid w:val="00574D1B"/>
    <w:rsid w:val="00574F8A"/>
    <w:rsid w:val="00575060"/>
    <w:rsid w:val="005759C2"/>
    <w:rsid w:val="00575BD8"/>
    <w:rsid w:val="00575DDD"/>
    <w:rsid w:val="00576128"/>
    <w:rsid w:val="00576136"/>
    <w:rsid w:val="00576329"/>
    <w:rsid w:val="00576341"/>
    <w:rsid w:val="0057639A"/>
    <w:rsid w:val="00580041"/>
    <w:rsid w:val="0058091A"/>
    <w:rsid w:val="005809D3"/>
    <w:rsid w:val="00580A6F"/>
    <w:rsid w:val="00581937"/>
    <w:rsid w:val="005819AB"/>
    <w:rsid w:val="00581DA5"/>
    <w:rsid w:val="00582135"/>
    <w:rsid w:val="0058214A"/>
    <w:rsid w:val="005823BC"/>
    <w:rsid w:val="0058247E"/>
    <w:rsid w:val="00582835"/>
    <w:rsid w:val="00583319"/>
    <w:rsid w:val="005833C5"/>
    <w:rsid w:val="0058349E"/>
    <w:rsid w:val="0058360B"/>
    <w:rsid w:val="00583881"/>
    <w:rsid w:val="00584156"/>
    <w:rsid w:val="005842D1"/>
    <w:rsid w:val="00584C1E"/>
    <w:rsid w:val="005856F3"/>
    <w:rsid w:val="0058586D"/>
    <w:rsid w:val="005859CD"/>
    <w:rsid w:val="00585B9B"/>
    <w:rsid w:val="00585E23"/>
    <w:rsid w:val="005860E8"/>
    <w:rsid w:val="00586108"/>
    <w:rsid w:val="0058621E"/>
    <w:rsid w:val="00586634"/>
    <w:rsid w:val="00586C31"/>
    <w:rsid w:val="00586F77"/>
    <w:rsid w:val="0058726D"/>
    <w:rsid w:val="0059005B"/>
    <w:rsid w:val="005904D9"/>
    <w:rsid w:val="0059055C"/>
    <w:rsid w:val="005906A5"/>
    <w:rsid w:val="00590ACB"/>
    <w:rsid w:val="00591387"/>
    <w:rsid w:val="0059156F"/>
    <w:rsid w:val="005915A5"/>
    <w:rsid w:val="00591BB1"/>
    <w:rsid w:val="00591ED7"/>
    <w:rsid w:val="0059235D"/>
    <w:rsid w:val="00592DA9"/>
    <w:rsid w:val="005930E2"/>
    <w:rsid w:val="0059323E"/>
    <w:rsid w:val="00593544"/>
    <w:rsid w:val="005942A9"/>
    <w:rsid w:val="00594766"/>
    <w:rsid w:val="00594F53"/>
    <w:rsid w:val="005956AB"/>
    <w:rsid w:val="00595E0F"/>
    <w:rsid w:val="00595F0B"/>
    <w:rsid w:val="0059649B"/>
    <w:rsid w:val="00596767"/>
    <w:rsid w:val="005971C5"/>
    <w:rsid w:val="00597472"/>
    <w:rsid w:val="005977B5"/>
    <w:rsid w:val="0059786F"/>
    <w:rsid w:val="00597B3F"/>
    <w:rsid w:val="00597C1F"/>
    <w:rsid w:val="005A036A"/>
    <w:rsid w:val="005A0B58"/>
    <w:rsid w:val="005A109E"/>
    <w:rsid w:val="005A18F1"/>
    <w:rsid w:val="005A1DA2"/>
    <w:rsid w:val="005A1DC5"/>
    <w:rsid w:val="005A1DEB"/>
    <w:rsid w:val="005A200B"/>
    <w:rsid w:val="005A2039"/>
    <w:rsid w:val="005A2B34"/>
    <w:rsid w:val="005A2CC6"/>
    <w:rsid w:val="005A32D1"/>
    <w:rsid w:val="005A4787"/>
    <w:rsid w:val="005A48DC"/>
    <w:rsid w:val="005A495B"/>
    <w:rsid w:val="005A4A02"/>
    <w:rsid w:val="005A4C6E"/>
    <w:rsid w:val="005A4CD8"/>
    <w:rsid w:val="005A520E"/>
    <w:rsid w:val="005A5C4A"/>
    <w:rsid w:val="005A65FF"/>
    <w:rsid w:val="005A69DF"/>
    <w:rsid w:val="005A6F71"/>
    <w:rsid w:val="005A71F6"/>
    <w:rsid w:val="005A752C"/>
    <w:rsid w:val="005A7A09"/>
    <w:rsid w:val="005A7F3D"/>
    <w:rsid w:val="005B000E"/>
    <w:rsid w:val="005B0446"/>
    <w:rsid w:val="005B0F43"/>
    <w:rsid w:val="005B14B4"/>
    <w:rsid w:val="005B16A0"/>
    <w:rsid w:val="005B189C"/>
    <w:rsid w:val="005B1E5C"/>
    <w:rsid w:val="005B20AC"/>
    <w:rsid w:val="005B24E7"/>
    <w:rsid w:val="005B3553"/>
    <w:rsid w:val="005B3DD1"/>
    <w:rsid w:val="005B40D3"/>
    <w:rsid w:val="005B4804"/>
    <w:rsid w:val="005B4D92"/>
    <w:rsid w:val="005B62E7"/>
    <w:rsid w:val="005B6C14"/>
    <w:rsid w:val="005B7717"/>
    <w:rsid w:val="005B7B1E"/>
    <w:rsid w:val="005B7C76"/>
    <w:rsid w:val="005C009E"/>
    <w:rsid w:val="005C0649"/>
    <w:rsid w:val="005C07C9"/>
    <w:rsid w:val="005C0A85"/>
    <w:rsid w:val="005C0DF0"/>
    <w:rsid w:val="005C137A"/>
    <w:rsid w:val="005C23CC"/>
    <w:rsid w:val="005C2591"/>
    <w:rsid w:val="005C2A26"/>
    <w:rsid w:val="005C2D12"/>
    <w:rsid w:val="005C31A4"/>
    <w:rsid w:val="005C33EF"/>
    <w:rsid w:val="005C36F3"/>
    <w:rsid w:val="005C41CC"/>
    <w:rsid w:val="005C41E5"/>
    <w:rsid w:val="005C4315"/>
    <w:rsid w:val="005C48A4"/>
    <w:rsid w:val="005C4B35"/>
    <w:rsid w:val="005C4E4D"/>
    <w:rsid w:val="005C5F37"/>
    <w:rsid w:val="005C7A20"/>
    <w:rsid w:val="005C7AC0"/>
    <w:rsid w:val="005C7C13"/>
    <w:rsid w:val="005D006D"/>
    <w:rsid w:val="005D0D9E"/>
    <w:rsid w:val="005D1059"/>
    <w:rsid w:val="005D2E53"/>
    <w:rsid w:val="005D39DC"/>
    <w:rsid w:val="005D4326"/>
    <w:rsid w:val="005D4746"/>
    <w:rsid w:val="005D4890"/>
    <w:rsid w:val="005D4984"/>
    <w:rsid w:val="005D4A7C"/>
    <w:rsid w:val="005D4CD1"/>
    <w:rsid w:val="005D4E5C"/>
    <w:rsid w:val="005D58A4"/>
    <w:rsid w:val="005D5ACE"/>
    <w:rsid w:val="005D5D94"/>
    <w:rsid w:val="005D6249"/>
    <w:rsid w:val="005D63DD"/>
    <w:rsid w:val="005D6424"/>
    <w:rsid w:val="005D6E5D"/>
    <w:rsid w:val="005D739D"/>
    <w:rsid w:val="005D7D6C"/>
    <w:rsid w:val="005D7FAB"/>
    <w:rsid w:val="005E113C"/>
    <w:rsid w:val="005E11A3"/>
    <w:rsid w:val="005E16CA"/>
    <w:rsid w:val="005E18DE"/>
    <w:rsid w:val="005E1AFF"/>
    <w:rsid w:val="005E217F"/>
    <w:rsid w:val="005E2180"/>
    <w:rsid w:val="005E2551"/>
    <w:rsid w:val="005E315D"/>
    <w:rsid w:val="005E35B0"/>
    <w:rsid w:val="005E3839"/>
    <w:rsid w:val="005E44FE"/>
    <w:rsid w:val="005E4693"/>
    <w:rsid w:val="005E46A3"/>
    <w:rsid w:val="005E51C4"/>
    <w:rsid w:val="005E5651"/>
    <w:rsid w:val="005E59D0"/>
    <w:rsid w:val="005E6550"/>
    <w:rsid w:val="005E6DC7"/>
    <w:rsid w:val="005E6E26"/>
    <w:rsid w:val="005E6F02"/>
    <w:rsid w:val="005E721C"/>
    <w:rsid w:val="005E7913"/>
    <w:rsid w:val="005E7A76"/>
    <w:rsid w:val="005E7E85"/>
    <w:rsid w:val="005F0227"/>
    <w:rsid w:val="005F08A7"/>
    <w:rsid w:val="005F08C6"/>
    <w:rsid w:val="005F15DA"/>
    <w:rsid w:val="005F1795"/>
    <w:rsid w:val="005F1862"/>
    <w:rsid w:val="005F1878"/>
    <w:rsid w:val="005F1DDB"/>
    <w:rsid w:val="005F2187"/>
    <w:rsid w:val="005F26CD"/>
    <w:rsid w:val="005F2AA1"/>
    <w:rsid w:val="005F2B04"/>
    <w:rsid w:val="005F2B7B"/>
    <w:rsid w:val="005F2F94"/>
    <w:rsid w:val="005F329E"/>
    <w:rsid w:val="005F4172"/>
    <w:rsid w:val="005F4A43"/>
    <w:rsid w:val="005F561D"/>
    <w:rsid w:val="005F65E3"/>
    <w:rsid w:val="005F6920"/>
    <w:rsid w:val="005F6F53"/>
    <w:rsid w:val="005F7B15"/>
    <w:rsid w:val="005F7DB6"/>
    <w:rsid w:val="00600515"/>
    <w:rsid w:val="00600A19"/>
    <w:rsid w:val="00600AF1"/>
    <w:rsid w:val="00600D49"/>
    <w:rsid w:val="006010E3"/>
    <w:rsid w:val="00601118"/>
    <w:rsid w:val="006015FD"/>
    <w:rsid w:val="00601898"/>
    <w:rsid w:val="00601A6A"/>
    <w:rsid w:val="006022E0"/>
    <w:rsid w:val="0060277C"/>
    <w:rsid w:val="00602942"/>
    <w:rsid w:val="00602B2D"/>
    <w:rsid w:val="006031F3"/>
    <w:rsid w:val="006034DA"/>
    <w:rsid w:val="0060394B"/>
    <w:rsid w:val="00603D11"/>
    <w:rsid w:val="0060404A"/>
    <w:rsid w:val="006042E7"/>
    <w:rsid w:val="006047FD"/>
    <w:rsid w:val="006048FD"/>
    <w:rsid w:val="00604CA9"/>
    <w:rsid w:val="00605349"/>
    <w:rsid w:val="00605484"/>
    <w:rsid w:val="006055F8"/>
    <w:rsid w:val="006057BA"/>
    <w:rsid w:val="00605890"/>
    <w:rsid w:val="00605893"/>
    <w:rsid w:val="00605B43"/>
    <w:rsid w:val="00605F5B"/>
    <w:rsid w:val="00605F84"/>
    <w:rsid w:val="006062F3"/>
    <w:rsid w:val="00606570"/>
    <w:rsid w:val="00607366"/>
    <w:rsid w:val="0060768A"/>
    <w:rsid w:val="006077A1"/>
    <w:rsid w:val="006077D8"/>
    <w:rsid w:val="00607E98"/>
    <w:rsid w:val="006109CF"/>
    <w:rsid w:val="00610ABB"/>
    <w:rsid w:val="006121B4"/>
    <w:rsid w:val="006124A5"/>
    <w:rsid w:val="00612841"/>
    <w:rsid w:val="0061309C"/>
    <w:rsid w:val="006133F6"/>
    <w:rsid w:val="006136A0"/>
    <w:rsid w:val="006136B8"/>
    <w:rsid w:val="00613D4A"/>
    <w:rsid w:val="006146B1"/>
    <w:rsid w:val="006149CA"/>
    <w:rsid w:val="006149EE"/>
    <w:rsid w:val="00614D19"/>
    <w:rsid w:val="00614DD9"/>
    <w:rsid w:val="00615859"/>
    <w:rsid w:val="00615B34"/>
    <w:rsid w:val="0061697D"/>
    <w:rsid w:val="00616CCA"/>
    <w:rsid w:val="00616E85"/>
    <w:rsid w:val="006172F0"/>
    <w:rsid w:val="0061737D"/>
    <w:rsid w:val="006174BB"/>
    <w:rsid w:val="00617941"/>
    <w:rsid w:val="00617B0C"/>
    <w:rsid w:val="00617DFE"/>
    <w:rsid w:val="006200F6"/>
    <w:rsid w:val="00620A53"/>
    <w:rsid w:val="00620A54"/>
    <w:rsid w:val="00620E90"/>
    <w:rsid w:val="006211AF"/>
    <w:rsid w:val="00621364"/>
    <w:rsid w:val="0062158C"/>
    <w:rsid w:val="006215C3"/>
    <w:rsid w:val="006217B4"/>
    <w:rsid w:val="00621940"/>
    <w:rsid w:val="00621B8F"/>
    <w:rsid w:val="006224B9"/>
    <w:rsid w:val="00622641"/>
    <w:rsid w:val="006226F7"/>
    <w:rsid w:val="006227F4"/>
    <w:rsid w:val="00622965"/>
    <w:rsid w:val="00622ACE"/>
    <w:rsid w:val="00622BEF"/>
    <w:rsid w:val="00622F6B"/>
    <w:rsid w:val="0062359D"/>
    <w:rsid w:val="006236D1"/>
    <w:rsid w:val="0062393C"/>
    <w:rsid w:val="00623C5D"/>
    <w:rsid w:val="006242FD"/>
    <w:rsid w:val="0062492F"/>
    <w:rsid w:val="00624A3F"/>
    <w:rsid w:val="00624ABF"/>
    <w:rsid w:val="00626272"/>
    <w:rsid w:val="006268F5"/>
    <w:rsid w:val="00626B42"/>
    <w:rsid w:val="006276D4"/>
    <w:rsid w:val="00627DA7"/>
    <w:rsid w:val="00627EAD"/>
    <w:rsid w:val="00627ED4"/>
    <w:rsid w:val="00630349"/>
    <w:rsid w:val="0063099B"/>
    <w:rsid w:val="00630DB5"/>
    <w:rsid w:val="00631579"/>
    <w:rsid w:val="00631747"/>
    <w:rsid w:val="00631FB0"/>
    <w:rsid w:val="006325FB"/>
    <w:rsid w:val="00632919"/>
    <w:rsid w:val="00632D6C"/>
    <w:rsid w:val="00633191"/>
    <w:rsid w:val="00633BC5"/>
    <w:rsid w:val="00633CDD"/>
    <w:rsid w:val="00633E41"/>
    <w:rsid w:val="00633F98"/>
    <w:rsid w:val="006348A3"/>
    <w:rsid w:val="00634E92"/>
    <w:rsid w:val="00635627"/>
    <w:rsid w:val="006356B2"/>
    <w:rsid w:val="00636388"/>
    <w:rsid w:val="00637113"/>
    <w:rsid w:val="0063734D"/>
    <w:rsid w:val="00637740"/>
    <w:rsid w:val="00640145"/>
    <w:rsid w:val="00640A1C"/>
    <w:rsid w:val="00640C58"/>
    <w:rsid w:val="006412E6"/>
    <w:rsid w:val="006417D5"/>
    <w:rsid w:val="0064194D"/>
    <w:rsid w:val="00641CFE"/>
    <w:rsid w:val="00642126"/>
    <w:rsid w:val="006423AE"/>
    <w:rsid w:val="006426C3"/>
    <w:rsid w:val="0064282B"/>
    <w:rsid w:val="00642D9E"/>
    <w:rsid w:val="006432DB"/>
    <w:rsid w:val="00643301"/>
    <w:rsid w:val="0064364C"/>
    <w:rsid w:val="0064404F"/>
    <w:rsid w:val="00644099"/>
    <w:rsid w:val="00644139"/>
    <w:rsid w:val="006441E4"/>
    <w:rsid w:val="006445AB"/>
    <w:rsid w:val="00644EEF"/>
    <w:rsid w:val="00645479"/>
    <w:rsid w:val="006459A4"/>
    <w:rsid w:val="00645FA3"/>
    <w:rsid w:val="00646109"/>
    <w:rsid w:val="00646B00"/>
    <w:rsid w:val="00647516"/>
    <w:rsid w:val="00647ED9"/>
    <w:rsid w:val="00650038"/>
    <w:rsid w:val="006501D2"/>
    <w:rsid w:val="0065059F"/>
    <w:rsid w:val="00650658"/>
    <w:rsid w:val="00650DE4"/>
    <w:rsid w:val="0065124F"/>
    <w:rsid w:val="006512D7"/>
    <w:rsid w:val="00651485"/>
    <w:rsid w:val="00651A88"/>
    <w:rsid w:val="00651C2D"/>
    <w:rsid w:val="00651C6A"/>
    <w:rsid w:val="00651CBA"/>
    <w:rsid w:val="00652626"/>
    <w:rsid w:val="006528BB"/>
    <w:rsid w:val="00652A9A"/>
    <w:rsid w:val="00652F9E"/>
    <w:rsid w:val="00653859"/>
    <w:rsid w:val="00653928"/>
    <w:rsid w:val="00653FCA"/>
    <w:rsid w:val="006548E2"/>
    <w:rsid w:val="00655160"/>
    <w:rsid w:val="0065517D"/>
    <w:rsid w:val="00655187"/>
    <w:rsid w:val="00655D5B"/>
    <w:rsid w:val="00656263"/>
    <w:rsid w:val="0065667C"/>
    <w:rsid w:val="00656F5A"/>
    <w:rsid w:val="00657330"/>
    <w:rsid w:val="006573A9"/>
    <w:rsid w:val="006574AB"/>
    <w:rsid w:val="00661FEB"/>
    <w:rsid w:val="0066298C"/>
    <w:rsid w:val="00662E43"/>
    <w:rsid w:val="006631DA"/>
    <w:rsid w:val="00663AC0"/>
    <w:rsid w:val="0066458B"/>
    <w:rsid w:val="00664676"/>
    <w:rsid w:val="006647E0"/>
    <w:rsid w:val="006649A9"/>
    <w:rsid w:val="00664A4E"/>
    <w:rsid w:val="00664D9C"/>
    <w:rsid w:val="0066533E"/>
    <w:rsid w:val="00665FED"/>
    <w:rsid w:val="00666266"/>
    <w:rsid w:val="00666886"/>
    <w:rsid w:val="00666C4F"/>
    <w:rsid w:val="00666D71"/>
    <w:rsid w:val="00667017"/>
    <w:rsid w:val="00667743"/>
    <w:rsid w:val="00667958"/>
    <w:rsid w:val="00667B4E"/>
    <w:rsid w:val="00670281"/>
    <w:rsid w:val="0067062E"/>
    <w:rsid w:val="00670D89"/>
    <w:rsid w:val="00670E0D"/>
    <w:rsid w:val="00670E15"/>
    <w:rsid w:val="00671267"/>
    <w:rsid w:val="006714A2"/>
    <w:rsid w:val="0067193F"/>
    <w:rsid w:val="00671FA3"/>
    <w:rsid w:val="00671FB1"/>
    <w:rsid w:val="006721D3"/>
    <w:rsid w:val="006724AC"/>
    <w:rsid w:val="006726F9"/>
    <w:rsid w:val="00672B9E"/>
    <w:rsid w:val="00672E36"/>
    <w:rsid w:val="00672E98"/>
    <w:rsid w:val="00672F7D"/>
    <w:rsid w:val="0067332B"/>
    <w:rsid w:val="00673AA0"/>
    <w:rsid w:val="00674437"/>
    <w:rsid w:val="00674526"/>
    <w:rsid w:val="00674E74"/>
    <w:rsid w:val="00675218"/>
    <w:rsid w:val="0067623A"/>
    <w:rsid w:val="006764B3"/>
    <w:rsid w:val="0068050C"/>
    <w:rsid w:val="00680F7F"/>
    <w:rsid w:val="00681333"/>
    <w:rsid w:val="00681EA7"/>
    <w:rsid w:val="00681FCD"/>
    <w:rsid w:val="00682128"/>
    <w:rsid w:val="006825B1"/>
    <w:rsid w:val="00683059"/>
    <w:rsid w:val="006832CD"/>
    <w:rsid w:val="00683A2E"/>
    <w:rsid w:val="00684096"/>
    <w:rsid w:val="006848F0"/>
    <w:rsid w:val="00684AE3"/>
    <w:rsid w:val="00685DAC"/>
    <w:rsid w:val="00686331"/>
    <w:rsid w:val="0068640F"/>
    <w:rsid w:val="00686436"/>
    <w:rsid w:val="00686585"/>
    <w:rsid w:val="0068729E"/>
    <w:rsid w:val="00687578"/>
    <w:rsid w:val="00687C1B"/>
    <w:rsid w:val="00687D54"/>
    <w:rsid w:val="006901D0"/>
    <w:rsid w:val="006908E6"/>
    <w:rsid w:val="00690CDD"/>
    <w:rsid w:val="00690F4E"/>
    <w:rsid w:val="006914B8"/>
    <w:rsid w:val="006915D0"/>
    <w:rsid w:val="006924D9"/>
    <w:rsid w:val="006924FB"/>
    <w:rsid w:val="00692939"/>
    <w:rsid w:val="0069294F"/>
    <w:rsid w:val="00692F8F"/>
    <w:rsid w:val="006930FA"/>
    <w:rsid w:val="006936BB"/>
    <w:rsid w:val="00693AC6"/>
    <w:rsid w:val="00694310"/>
    <w:rsid w:val="00694BBA"/>
    <w:rsid w:val="00694E24"/>
    <w:rsid w:val="00695B64"/>
    <w:rsid w:val="0069624B"/>
    <w:rsid w:val="0069659B"/>
    <w:rsid w:val="00696A52"/>
    <w:rsid w:val="00696ADF"/>
    <w:rsid w:val="00696E0B"/>
    <w:rsid w:val="0069712C"/>
    <w:rsid w:val="0069715F"/>
    <w:rsid w:val="006A01F5"/>
    <w:rsid w:val="006A02FE"/>
    <w:rsid w:val="006A0D56"/>
    <w:rsid w:val="006A1734"/>
    <w:rsid w:val="006A1804"/>
    <w:rsid w:val="006A28D4"/>
    <w:rsid w:val="006A2C48"/>
    <w:rsid w:val="006A3797"/>
    <w:rsid w:val="006A3D79"/>
    <w:rsid w:val="006A4223"/>
    <w:rsid w:val="006A43D6"/>
    <w:rsid w:val="006A45A2"/>
    <w:rsid w:val="006A499B"/>
    <w:rsid w:val="006A4B10"/>
    <w:rsid w:val="006A51CE"/>
    <w:rsid w:val="006A542B"/>
    <w:rsid w:val="006A545B"/>
    <w:rsid w:val="006A5773"/>
    <w:rsid w:val="006A5BF3"/>
    <w:rsid w:val="006A6149"/>
    <w:rsid w:val="006A6368"/>
    <w:rsid w:val="006A6591"/>
    <w:rsid w:val="006A6FFF"/>
    <w:rsid w:val="006A7628"/>
    <w:rsid w:val="006A7ED9"/>
    <w:rsid w:val="006B1357"/>
    <w:rsid w:val="006B22CB"/>
    <w:rsid w:val="006B271C"/>
    <w:rsid w:val="006B2848"/>
    <w:rsid w:val="006B2CE5"/>
    <w:rsid w:val="006B2DF6"/>
    <w:rsid w:val="006B2F79"/>
    <w:rsid w:val="006B31AB"/>
    <w:rsid w:val="006B329B"/>
    <w:rsid w:val="006B3610"/>
    <w:rsid w:val="006B3648"/>
    <w:rsid w:val="006B3FC8"/>
    <w:rsid w:val="006B427F"/>
    <w:rsid w:val="006B432C"/>
    <w:rsid w:val="006B462F"/>
    <w:rsid w:val="006B49E7"/>
    <w:rsid w:val="006B4F44"/>
    <w:rsid w:val="006B54A5"/>
    <w:rsid w:val="006B57B0"/>
    <w:rsid w:val="006B599C"/>
    <w:rsid w:val="006B5A6B"/>
    <w:rsid w:val="006B5CA1"/>
    <w:rsid w:val="006B6A0D"/>
    <w:rsid w:val="006B6A54"/>
    <w:rsid w:val="006B7009"/>
    <w:rsid w:val="006B71BA"/>
    <w:rsid w:val="006B78C6"/>
    <w:rsid w:val="006B7E40"/>
    <w:rsid w:val="006C0756"/>
    <w:rsid w:val="006C080C"/>
    <w:rsid w:val="006C0C9E"/>
    <w:rsid w:val="006C12B7"/>
    <w:rsid w:val="006C187F"/>
    <w:rsid w:val="006C194A"/>
    <w:rsid w:val="006C1A48"/>
    <w:rsid w:val="006C20C4"/>
    <w:rsid w:val="006C2AAC"/>
    <w:rsid w:val="006C3855"/>
    <w:rsid w:val="006C38F9"/>
    <w:rsid w:val="006C396C"/>
    <w:rsid w:val="006C3CE8"/>
    <w:rsid w:val="006C408A"/>
    <w:rsid w:val="006C422F"/>
    <w:rsid w:val="006C42B2"/>
    <w:rsid w:val="006C532E"/>
    <w:rsid w:val="006C6326"/>
    <w:rsid w:val="006C6CE9"/>
    <w:rsid w:val="006C7015"/>
    <w:rsid w:val="006C7B97"/>
    <w:rsid w:val="006C7DEF"/>
    <w:rsid w:val="006C7F7B"/>
    <w:rsid w:val="006D0666"/>
    <w:rsid w:val="006D11D9"/>
    <w:rsid w:val="006D18FD"/>
    <w:rsid w:val="006D1EF6"/>
    <w:rsid w:val="006D2118"/>
    <w:rsid w:val="006D264D"/>
    <w:rsid w:val="006D341F"/>
    <w:rsid w:val="006D3ECE"/>
    <w:rsid w:val="006D43FC"/>
    <w:rsid w:val="006D44B3"/>
    <w:rsid w:val="006D4B55"/>
    <w:rsid w:val="006D5449"/>
    <w:rsid w:val="006D58E7"/>
    <w:rsid w:val="006D634A"/>
    <w:rsid w:val="006D6350"/>
    <w:rsid w:val="006D65FD"/>
    <w:rsid w:val="006D6F26"/>
    <w:rsid w:val="006D726F"/>
    <w:rsid w:val="006D7275"/>
    <w:rsid w:val="006D75A8"/>
    <w:rsid w:val="006D7A79"/>
    <w:rsid w:val="006E04CB"/>
    <w:rsid w:val="006E07F0"/>
    <w:rsid w:val="006E0A36"/>
    <w:rsid w:val="006E0C55"/>
    <w:rsid w:val="006E0D70"/>
    <w:rsid w:val="006E1E6A"/>
    <w:rsid w:val="006E29A1"/>
    <w:rsid w:val="006E3295"/>
    <w:rsid w:val="006E34A4"/>
    <w:rsid w:val="006E41E8"/>
    <w:rsid w:val="006E454A"/>
    <w:rsid w:val="006E47DB"/>
    <w:rsid w:val="006E48D9"/>
    <w:rsid w:val="006E49EF"/>
    <w:rsid w:val="006E4FD6"/>
    <w:rsid w:val="006E5C34"/>
    <w:rsid w:val="006E6839"/>
    <w:rsid w:val="006E6DF0"/>
    <w:rsid w:val="006E6E75"/>
    <w:rsid w:val="006E7235"/>
    <w:rsid w:val="006E77B6"/>
    <w:rsid w:val="006E793D"/>
    <w:rsid w:val="006F01AB"/>
    <w:rsid w:val="006F0F8F"/>
    <w:rsid w:val="006F1226"/>
    <w:rsid w:val="006F149C"/>
    <w:rsid w:val="006F176C"/>
    <w:rsid w:val="006F1EAE"/>
    <w:rsid w:val="006F20B3"/>
    <w:rsid w:val="006F212C"/>
    <w:rsid w:val="006F2404"/>
    <w:rsid w:val="006F25A8"/>
    <w:rsid w:val="006F26F8"/>
    <w:rsid w:val="006F29C6"/>
    <w:rsid w:val="006F2EAC"/>
    <w:rsid w:val="006F307C"/>
    <w:rsid w:val="006F3A15"/>
    <w:rsid w:val="006F4146"/>
    <w:rsid w:val="006F456C"/>
    <w:rsid w:val="006F4FA1"/>
    <w:rsid w:val="006F5784"/>
    <w:rsid w:val="006F594C"/>
    <w:rsid w:val="006F5AD0"/>
    <w:rsid w:val="006F63E6"/>
    <w:rsid w:val="006F63FE"/>
    <w:rsid w:val="006F6DD7"/>
    <w:rsid w:val="006F7AFF"/>
    <w:rsid w:val="006F7C9B"/>
    <w:rsid w:val="006F7CF1"/>
    <w:rsid w:val="007001C6"/>
    <w:rsid w:val="0070064D"/>
    <w:rsid w:val="00700A94"/>
    <w:rsid w:val="00700BC5"/>
    <w:rsid w:val="00700F6C"/>
    <w:rsid w:val="00700FA9"/>
    <w:rsid w:val="007017D7"/>
    <w:rsid w:val="00702683"/>
    <w:rsid w:val="00702723"/>
    <w:rsid w:val="00702C36"/>
    <w:rsid w:val="007036CD"/>
    <w:rsid w:val="0070409D"/>
    <w:rsid w:val="007041C9"/>
    <w:rsid w:val="00704605"/>
    <w:rsid w:val="00704ED5"/>
    <w:rsid w:val="007052D6"/>
    <w:rsid w:val="0070569B"/>
    <w:rsid w:val="00705717"/>
    <w:rsid w:val="00706085"/>
    <w:rsid w:val="007062C0"/>
    <w:rsid w:val="0070642B"/>
    <w:rsid w:val="00706CA5"/>
    <w:rsid w:val="00706F13"/>
    <w:rsid w:val="0070711B"/>
    <w:rsid w:val="00707462"/>
    <w:rsid w:val="00707EDF"/>
    <w:rsid w:val="00710C36"/>
    <w:rsid w:val="00710F28"/>
    <w:rsid w:val="00711087"/>
    <w:rsid w:val="00711525"/>
    <w:rsid w:val="0071159B"/>
    <w:rsid w:val="007118B6"/>
    <w:rsid w:val="00712260"/>
    <w:rsid w:val="00712A90"/>
    <w:rsid w:val="00712B56"/>
    <w:rsid w:val="007141F1"/>
    <w:rsid w:val="00714697"/>
    <w:rsid w:val="00716478"/>
    <w:rsid w:val="00716D1D"/>
    <w:rsid w:val="00717C32"/>
    <w:rsid w:val="00720363"/>
    <w:rsid w:val="00720444"/>
    <w:rsid w:val="007204C6"/>
    <w:rsid w:val="00720608"/>
    <w:rsid w:val="00720B26"/>
    <w:rsid w:val="00721700"/>
    <w:rsid w:val="00721AB5"/>
    <w:rsid w:val="00721F18"/>
    <w:rsid w:val="00721F95"/>
    <w:rsid w:val="0072288F"/>
    <w:rsid w:val="00723010"/>
    <w:rsid w:val="00723F1C"/>
    <w:rsid w:val="007242AB"/>
    <w:rsid w:val="00724640"/>
    <w:rsid w:val="0072473F"/>
    <w:rsid w:val="0072505A"/>
    <w:rsid w:val="00725727"/>
    <w:rsid w:val="00725B24"/>
    <w:rsid w:val="00726278"/>
    <w:rsid w:val="00726B9C"/>
    <w:rsid w:val="00726DCC"/>
    <w:rsid w:val="0072783E"/>
    <w:rsid w:val="00727C1B"/>
    <w:rsid w:val="00727F8A"/>
    <w:rsid w:val="007304C7"/>
    <w:rsid w:val="00730D2F"/>
    <w:rsid w:val="007312B5"/>
    <w:rsid w:val="00731340"/>
    <w:rsid w:val="007316C0"/>
    <w:rsid w:val="00731ED9"/>
    <w:rsid w:val="00732132"/>
    <w:rsid w:val="0073282C"/>
    <w:rsid w:val="00732A2B"/>
    <w:rsid w:val="00732B91"/>
    <w:rsid w:val="00732C4E"/>
    <w:rsid w:val="00732E3C"/>
    <w:rsid w:val="00734081"/>
    <w:rsid w:val="00734D03"/>
    <w:rsid w:val="00735536"/>
    <w:rsid w:val="00735552"/>
    <w:rsid w:val="007356F9"/>
    <w:rsid w:val="007359F5"/>
    <w:rsid w:val="00735E30"/>
    <w:rsid w:val="00735F6C"/>
    <w:rsid w:val="007368D9"/>
    <w:rsid w:val="00736B85"/>
    <w:rsid w:val="007370A6"/>
    <w:rsid w:val="00737197"/>
    <w:rsid w:val="0073791A"/>
    <w:rsid w:val="00737A64"/>
    <w:rsid w:val="00737F7A"/>
    <w:rsid w:val="00740407"/>
    <w:rsid w:val="00740948"/>
    <w:rsid w:val="00740D6D"/>
    <w:rsid w:val="00740FA1"/>
    <w:rsid w:val="00741207"/>
    <w:rsid w:val="0074139E"/>
    <w:rsid w:val="00742677"/>
    <w:rsid w:val="0074280D"/>
    <w:rsid w:val="00742A88"/>
    <w:rsid w:val="007435F6"/>
    <w:rsid w:val="00743A4E"/>
    <w:rsid w:val="007440F8"/>
    <w:rsid w:val="007449DF"/>
    <w:rsid w:val="00744EFE"/>
    <w:rsid w:val="00745227"/>
    <w:rsid w:val="007454B1"/>
    <w:rsid w:val="00745A47"/>
    <w:rsid w:val="00745BED"/>
    <w:rsid w:val="00746698"/>
    <w:rsid w:val="007466E9"/>
    <w:rsid w:val="0074715F"/>
    <w:rsid w:val="00747797"/>
    <w:rsid w:val="00747CB5"/>
    <w:rsid w:val="00747D83"/>
    <w:rsid w:val="00750B56"/>
    <w:rsid w:val="00750C81"/>
    <w:rsid w:val="0075108F"/>
    <w:rsid w:val="00751CF5"/>
    <w:rsid w:val="00752327"/>
    <w:rsid w:val="0075256C"/>
    <w:rsid w:val="007526B9"/>
    <w:rsid w:val="00752EE8"/>
    <w:rsid w:val="00753727"/>
    <w:rsid w:val="00753FFB"/>
    <w:rsid w:val="007541B2"/>
    <w:rsid w:val="00754573"/>
    <w:rsid w:val="00754CBA"/>
    <w:rsid w:val="00755119"/>
    <w:rsid w:val="00755A5F"/>
    <w:rsid w:val="00755DAF"/>
    <w:rsid w:val="00755ED8"/>
    <w:rsid w:val="00756A6F"/>
    <w:rsid w:val="00756A7F"/>
    <w:rsid w:val="00756D2E"/>
    <w:rsid w:val="00757395"/>
    <w:rsid w:val="00757596"/>
    <w:rsid w:val="00760807"/>
    <w:rsid w:val="00760ED5"/>
    <w:rsid w:val="00761772"/>
    <w:rsid w:val="0076220D"/>
    <w:rsid w:val="007623E9"/>
    <w:rsid w:val="0076246D"/>
    <w:rsid w:val="0076278C"/>
    <w:rsid w:val="0076281A"/>
    <w:rsid w:val="0076283A"/>
    <w:rsid w:val="007629F3"/>
    <w:rsid w:val="00762D9C"/>
    <w:rsid w:val="007632FE"/>
    <w:rsid w:val="00763660"/>
    <w:rsid w:val="00763D57"/>
    <w:rsid w:val="00763F02"/>
    <w:rsid w:val="00764637"/>
    <w:rsid w:val="007648F8"/>
    <w:rsid w:val="00764B81"/>
    <w:rsid w:val="0076529E"/>
    <w:rsid w:val="00765F99"/>
    <w:rsid w:val="00766565"/>
    <w:rsid w:val="00766BBD"/>
    <w:rsid w:val="00766EFE"/>
    <w:rsid w:val="0076719E"/>
    <w:rsid w:val="007672C3"/>
    <w:rsid w:val="007673B3"/>
    <w:rsid w:val="00767539"/>
    <w:rsid w:val="00767AAC"/>
    <w:rsid w:val="00767EF8"/>
    <w:rsid w:val="00770099"/>
    <w:rsid w:val="0077030C"/>
    <w:rsid w:val="007709C8"/>
    <w:rsid w:val="007709F9"/>
    <w:rsid w:val="00771B9E"/>
    <w:rsid w:val="00772016"/>
    <w:rsid w:val="00772254"/>
    <w:rsid w:val="00772532"/>
    <w:rsid w:val="0077308B"/>
    <w:rsid w:val="00773170"/>
    <w:rsid w:val="007739CB"/>
    <w:rsid w:val="00773CCF"/>
    <w:rsid w:val="00773F55"/>
    <w:rsid w:val="00773FFB"/>
    <w:rsid w:val="0077400C"/>
    <w:rsid w:val="0077461C"/>
    <w:rsid w:val="00774BB2"/>
    <w:rsid w:val="00774C98"/>
    <w:rsid w:val="007751F0"/>
    <w:rsid w:val="007752CF"/>
    <w:rsid w:val="007759A0"/>
    <w:rsid w:val="00775B0C"/>
    <w:rsid w:val="00776032"/>
    <w:rsid w:val="007773B8"/>
    <w:rsid w:val="0077765C"/>
    <w:rsid w:val="007776A6"/>
    <w:rsid w:val="00777B2F"/>
    <w:rsid w:val="00777B99"/>
    <w:rsid w:val="00777C7E"/>
    <w:rsid w:val="00777EAA"/>
    <w:rsid w:val="007804DA"/>
    <w:rsid w:val="00780E7D"/>
    <w:rsid w:val="007817B8"/>
    <w:rsid w:val="00782374"/>
    <w:rsid w:val="0078292E"/>
    <w:rsid w:val="00782C0C"/>
    <w:rsid w:val="00782D0C"/>
    <w:rsid w:val="00782F3B"/>
    <w:rsid w:val="00783382"/>
    <w:rsid w:val="007839B6"/>
    <w:rsid w:val="007842C5"/>
    <w:rsid w:val="00784968"/>
    <w:rsid w:val="007849B5"/>
    <w:rsid w:val="00784BBB"/>
    <w:rsid w:val="00784BFB"/>
    <w:rsid w:val="0078509E"/>
    <w:rsid w:val="007852C9"/>
    <w:rsid w:val="007852FA"/>
    <w:rsid w:val="0078533C"/>
    <w:rsid w:val="00785834"/>
    <w:rsid w:val="00786297"/>
    <w:rsid w:val="007865CD"/>
    <w:rsid w:val="00786DB3"/>
    <w:rsid w:val="00786E8D"/>
    <w:rsid w:val="00786F4A"/>
    <w:rsid w:val="0078747E"/>
    <w:rsid w:val="00787D84"/>
    <w:rsid w:val="00790138"/>
    <w:rsid w:val="007906C2"/>
    <w:rsid w:val="00790874"/>
    <w:rsid w:val="00790B5C"/>
    <w:rsid w:val="00791157"/>
    <w:rsid w:val="00791F4F"/>
    <w:rsid w:val="0079220C"/>
    <w:rsid w:val="00792A35"/>
    <w:rsid w:val="00792E62"/>
    <w:rsid w:val="0079319D"/>
    <w:rsid w:val="00793217"/>
    <w:rsid w:val="00793D8A"/>
    <w:rsid w:val="00794097"/>
    <w:rsid w:val="007942D8"/>
    <w:rsid w:val="00794300"/>
    <w:rsid w:val="00794479"/>
    <w:rsid w:val="00794548"/>
    <w:rsid w:val="00795CB1"/>
    <w:rsid w:val="00795D33"/>
    <w:rsid w:val="00796766"/>
    <w:rsid w:val="00796BE2"/>
    <w:rsid w:val="00797E79"/>
    <w:rsid w:val="007A04E2"/>
    <w:rsid w:val="007A0784"/>
    <w:rsid w:val="007A08D2"/>
    <w:rsid w:val="007A0F07"/>
    <w:rsid w:val="007A136E"/>
    <w:rsid w:val="007A18EF"/>
    <w:rsid w:val="007A1A5C"/>
    <w:rsid w:val="007A1AB7"/>
    <w:rsid w:val="007A1AD2"/>
    <w:rsid w:val="007A1C8B"/>
    <w:rsid w:val="007A1F13"/>
    <w:rsid w:val="007A2B42"/>
    <w:rsid w:val="007A2E89"/>
    <w:rsid w:val="007A3542"/>
    <w:rsid w:val="007A4520"/>
    <w:rsid w:val="007A51E3"/>
    <w:rsid w:val="007A59BF"/>
    <w:rsid w:val="007A6ABE"/>
    <w:rsid w:val="007A719A"/>
    <w:rsid w:val="007A7403"/>
    <w:rsid w:val="007A7CC3"/>
    <w:rsid w:val="007B0383"/>
    <w:rsid w:val="007B064D"/>
    <w:rsid w:val="007B0D56"/>
    <w:rsid w:val="007B109F"/>
    <w:rsid w:val="007B1734"/>
    <w:rsid w:val="007B1A97"/>
    <w:rsid w:val="007B22A2"/>
    <w:rsid w:val="007B25E7"/>
    <w:rsid w:val="007B30ED"/>
    <w:rsid w:val="007B369D"/>
    <w:rsid w:val="007B4017"/>
    <w:rsid w:val="007B4591"/>
    <w:rsid w:val="007B46B9"/>
    <w:rsid w:val="007B4AB7"/>
    <w:rsid w:val="007B4AED"/>
    <w:rsid w:val="007B5084"/>
    <w:rsid w:val="007B67EF"/>
    <w:rsid w:val="007B6933"/>
    <w:rsid w:val="007B6C9D"/>
    <w:rsid w:val="007B7345"/>
    <w:rsid w:val="007C0022"/>
    <w:rsid w:val="007C0318"/>
    <w:rsid w:val="007C03E4"/>
    <w:rsid w:val="007C1698"/>
    <w:rsid w:val="007C1FF6"/>
    <w:rsid w:val="007C2022"/>
    <w:rsid w:val="007C21E6"/>
    <w:rsid w:val="007C2493"/>
    <w:rsid w:val="007C274F"/>
    <w:rsid w:val="007C2B78"/>
    <w:rsid w:val="007C3098"/>
    <w:rsid w:val="007C36D9"/>
    <w:rsid w:val="007C3E9B"/>
    <w:rsid w:val="007C418D"/>
    <w:rsid w:val="007C48F0"/>
    <w:rsid w:val="007C4E97"/>
    <w:rsid w:val="007C5869"/>
    <w:rsid w:val="007C5B0F"/>
    <w:rsid w:val="007C6386"/>
    <w:rsid w:val="007C654A"/>
    <w:rsid w:val="007C6674"/>
    <w:rsid w:val="007C688E"/>
    <w:rsid w:val="007C714C"/>
    <w:rsid w:val="007C733E"/>
    <w:rsid w:val="007C73D4"/>
    <w:rsid w:val="007C7483"/>
    <w:rsid w:val="007C76F8"/>
    <w:rsid w:val="007C78C0"/>
    <w:rsid w:val="007D0DB2"/>
    <w:rsid w:val="007D1057"/>
    <w:rsid w:val="007D1A4A"/>
    <w:rsid w:val="007D1BF1"/>
    <w:rsid w:val="007D1E2A"/>
    <w:rsid w:val="007D20EC"/>
    <w:rsid w:val="007D267D"/>
    <w:rsid w:val="007D2AE6"/>
    <w:rsid w:val="007D2F01"/>
    <w:rsid w:val="007D3229"/>
    <w:rsid w:val="007D3470"/>
    <w:rsid w:val="007D36EA"/>
    <w:rsid w:val="007D3AFF"/>
    <w:rsid w:val="007D440C"/>
    <w:rsid w:val="007D4B43"/>
    <w:rsid w:val="007D4DDB"/>
    <w:rsid w:val="007D508C"/>
    <w:rsid w:val="007D55B4"/>
    <w:rsid w:val="007D5D71"/>
    <w:rsid w:val="007D6026"/>
    <w:rsid w:val="007D65C0"/>
    <w:rsid w:val="007D678E"/>
    <w:rsid w:val="007D67DF"/>
    <w:rsid w:val="007D67E3"/>
    <w:rsid w:val="007D686A"/>
    <w:rsid w:val="007D7050"/>
    <w:rsid w:val="007D75BD"/>
    <w:rsid w:val="007D7617"/>
    <w:rsid w:val="007D784A"/>
    <w:rsid w:val="007D7CC1"/>
    <w:rsid w:val="007E08C3"/>
    <w:rsid w:val="007E09AF"/>
    <w:rsid w:val="007E0B09"/>
    <w:rsid w:val="007E1669"/>
    <w:rsid w:val="007E33E1"/>
    <w:rsid w:val="007E3962"/>
    <w:rsid w:val="007E40CE"/>
    <w:rsid w:val="007E44F4"/>
    <w:rsid w:val="007E481F"/>
    <w:rsid w:val="007E4AE6"/>
    <w:rsid w:val="007E5224"/>
    <w:rsid w:val="007E52C0"/>
    <w:rsid w:val="007E559A"/>
    <w:rsid w:val="007E56F3"/>
    <w:rsid w:val="007E5EC2"/>
    <w:rsid w:val="007E63B0"/>
    <w:rsid w:val="007E7086"/>
    <w:rsid w:val="007E7553"/>
    <w:rsid w:val="007E7555"/>
    <w:rsid w:val="007E7584"/>
    <w:rsid w:val="007E7D75"/>
    <w:rsid w:val="007E7F6B"/>
    <w:rsid w:val="007F0249"/>
    <w:rsid w:val="007F0621"/>
    <w:rsid w:val="007F0DA8"/>
    <w:rsid w:val="007F0F49"/>
    <w:rsid w:val="007F19BD"/>
    <w:rsid w:val="007F20D6"/>
    <w:rsid w:val="007F2520"/>
    <w:rsid w:val="007F28D5"/>
    <w:rsid w:val="007F2ACC"/>
    <w:rsid w:val="007F3CEA"/>
    <w:rsid w:val="007F3F5B"/>
    <w:rsid w:val="007F40CB"/>
    <w:rsid w:val="007F450A"/>
    <w:rsid w:val="007F45B4"/>
    <w:rsid w:val="007F4767"/>
    <w:rsid w:val="007F485C"/>
    <w:rsid w:val="007F5DCC"/>
    <w:rsid w:val="007F67E5"/>
    <w:rsid w:val="007F6EFE"/>
    <w:rsid w:val="007F76AE"/>
    <w:rsid w:val="007F770A"/>
    <w:rsid w:val="007F77B9"/>
    <w:rsid w:val="007F792F"/>
    <w:rsid w:val="007F7938"/>
    <w:rsid w:val="007F7FF1"/>
    <w:rsid w:val="0080036D"/>
    <w:rsid w:val="00801765"/>
    <w:rsid w:val="00801C71"/>
    <w:rsid w:val="008021EF"/>
    <w:rsid w:val="00802459"/>
    <w:rsid w:val="00803487"/>
    <w:rsid w:val="00803640"/>
    <w:rsid w:val="008041C2"/>
    <w:rsid w:val="00804392"/>
    <w:rsid w:val="008043D5"/>
    <w:rsid w:val="008045E1"/>
    <w:rsid w:val="008048BC"/>
    <w:rsid w:val="00804A2F"/>
    <w:rsid w:val="00804FA8"/>
    <w:rsid w:val="008052E6"/>
    <w:rsid w:val="00805A6F"/>
    <w:rsid w:val="00805F9F"/>
    <w:rsid w:val="0080625C"/>
    <w:rsid w:val="008065EF"/>
    <w:rsid w:val="0080664C"/>
    <w:rsid w:val="00806CFB"/>
    <w:rsid w:val="00806FA4"/>
    <w:rsid w:val="00807094"/>
    <w:rsid w:val="00807CEF"/>
    <w:rsid w:val="00807FA2"/>
    <w:rsid w:val="0081033B"/>
    <w:rsid w:val="008104A1"/>
    <w:rsid w:val="00810DCE"/>
    <w:rsid w:val="008111E7"/>
    <w:rsid w:val="0081147F"/>
    <w:rsid w:val="0081190A"/>
    <w:rsid w:val="00811D7A"/>
    <w:rsid w:val="00811FFD"/>
    <w:rsid w:val="00812C0F"/>
    <w:rsid w:val="00812F20"/>
    <w:rsid w:val="00813077"/>
    <w:rsid w:val="00813FB2"/>
    <w:rsid w:val="00814022"/>
    <w:rsid w:val="00814064"/>
    <w:rsid w:val="00814568"/>
    <w:rsid w:val="00814777"/>
    <w:rsid w:val="00814A1A"/>
    <w:rsid w:val="00814B8A"/>
    <w:rsid w:val="0081504B"/>
    <w:rsid w:val="008153B4"/>
    <w:rsid w:val="00815450"/>
    <w:rsid w:val="0081556C"/>
    <w:rsid w:val="00815993"/>
    <w:rsid w:val="008159CB"/>
    <w:rsid w:val="00816348"/>
    <w:rsid w:val="008168C8"/>
    <w:rsid w:val="00816C00"/>
    <w:rsid w:val="00816D97"/>
    <w:rsid w:val="00816F8B"/>
    <w:rsid w:val="0081734F"/>
    <w:rsid w:val="008176BE"/>
    <w:rsid w:val="008176DB"/>
    <w:rsid w:val="00817D4A"/>
    <w:rsid w:val="008203CC"/>
    <w:rsid w:val="00820509"/>
    <w:rsid w:val="00820D2C"/>
    <w:rsid w:val="008214CF"/>
    <w:rsid w:val="00821883"/>
    <w:rsid w:val="00821EAA"/>
    <w:rsid w:val="008221B7"/>
    <w:rsid w:val="00822528"/>
    <w:rsid w:val="00824053"/>
    <w:rsid w:val="008243EC"/>
    <w:rsid w:val="008246C1"/>
    <w:rsid w:val="008247DB"/>
    <w:rsid w:val="00824A68"/>
    <w:rsid w:val="00825247"/>
    <w:rsid w:val="00825278"/>
    <w:rsid w:val="00825A56"/>
    <w:rsid w:val="008263C9"/>
    <w:rsid w:val="00826687"/>
    <w:rsid w:val="00826C5E"/>
    <w:rsid w:val="00826D6F"/>
    <w:rsid w:val="008275A9"/>
    <w:rsid w:val="008277AB"/>
    <w:rsid w:val="00827F39"/>
    <w:rsid w:val="00830481"/>
    <w:rsid w:val="00830656"/>
    <w:rsid w:val="00830A2A"/>
    <w:rsid w:val="00830A71"/>
    <w:rsid w:val="0083154D"/>
    <w:rsid w:val="0083209E"/>
    <w:rsid w:val="0083239E"/>
    <w:rsid w:val="008325DF"/>
    <w:rsid w:val="008327FC"/>
    <w:rsid w:val="00832A9E"/>
    <w:rsid w:val="008336FA"/>
    <w:rsid w:val="0083380D"/>
    <w:rsid w:val="00833A11"/>
    <w:rsid w:val="00834163"/>
    <w:rsid w:val="00834287"/>
    <w:rsid w:val="00834331"/>
    <w:rsid w:val="0083448A"/>
    <w:rsid w:val="0083483C"/>
    <w:rsid w:val="00834BB9"/>
    <w:rsid w:val="008354CF"/>
    <w:rsid w:val="00836882"/>
    <w:rsid w:val="00836DCD"/>
    <w:rsid w:val="00837644"/>
    <w:rsid w:val="0083772D"/>
    <w:rsid w:val="0083795F"/>
    <w:rsid w:val="00840C23"/>
    <w:rsid w:val="0084104B"/>
    <w:rsid w:val="008414D1"/>
    <w:rsid w:val="0084178D"/>
    <w:rsid w:val="008419CD"/>
    <w:rsid w:val="00842083"/>
    <w:rsid w:val="008425EA"/>
    <w:rsid w:val="00842BAC"/>
    <w:rsid w:val="00842CD4"/>
    <w:rsid w:val="00842D3C"/>
    <w:rsid w:val="00842DD2"/>
    <w:rsid w:val="00842EEC"/>
    <w:rsid w:val="00843298"/>
    <w:rsid w:val="00843622"/>
    <w:rsid w:val="00843930"/>
    <w:rsid w:val="00844985"/>
    <w:rsid w:val="00844F45"/>
    <w:rsid w:val="00844FFA"/>
    <w:rsid w:val="00845065"/>
    <w:rsid w:val="00845AA8"/>
    <w:rsid w:val="00845BC4"/>
    <w:rsid w:val="008467C5"/>
    <w:rsid w:val="00846923"/>
    <w:rsid w:val="0084692E"/>
    <w:rsid w:val="00847220"/>
    <w:rsid w:val="00847CCA"/>
    <w:rsid w:val="00847D47"/>
    <w:rsid w:val="00850148"/>
    <w:rsid w:val="00850540"/>
    <w:rsid w:val="00850584"/>
    <w:rsid w:val="0085066F"/>
    <w:rsid w:val="00850CAF"/>
    <w:rsid w:val="00851562"/>
    <w:rsid w:val="00851827"/>
    <w:rsid w:val="00852693"/>
    <w:rsid w:val="0085276F"/>
    <w:rsid w:val="0085296B"/>
    <w:rsid w:val="00853896"/>
    <w:rsid w:val="00853C2A"/>
    <w:rsid w:val="0085400A"/>
    <w:rsid w:val="0085400D"/>
    <w:rsid w:val="008552E2"/>
    <w:rsid w:val="00855B9F"/>
    <w:rsid w:val="00856564"/>
    <w:rsid w:val="0085679C"/>
    <w:rsid w:val="00856C43"/>
    <w:rsid w:val="00856C89"/>
    <w:rsid w:val="00857342"/>
    <w:rsid w:val="00857BEF"/>
    <w:rsid w:val="00857BF6"/>
    <w:rsid w:val="008602EE"/>
    <w:rsid w:val="00860401"/>
    <w:rsid w:val="00860B5C"/>
    <w:rsid w:val="00860C75"/>
    <w:rsid w:val="00861439"/>
    <w:rsid w:val="00861686"/>
    <w:rsid w:val="0086169C"/>
    <w:rsid w:val="0086281F"/>
    <w:rsid w:val="00863178"/>
    <w:rsid w:val="00863371"/>
    <w:rsid w:val="008633AB"/>
    <w:rsid w:val="008634AE"/>
    <w:rsid w:val="00863760"/>
    <w:rsid w:val="0086458D"/>
    <w:rsid w:val="00864D81"/>
    <w:rsid w:val="00864E2D"/>
    <w:rsid w:val="008655F3"/>
    <w:rsid w:val="008657A0"/>
    <w:rsid w:val="00865EF7"/>
    <w:rsid w:val="008661B1"/>
    <w:rsid w:val="00866BA1"/>
    <w:rsid w:val="008675C2"/>
    <w:rsid w:val="0086762A"/>
    <w:rsid w:val="008679F4"/>
    <w:rsid w:val="00867B3F"/>
    <w:rsid w:val="00867D48"/>
    <w:rsid w:val="00870005"/>
    <w:rsid w:val="008705B6"/>
    <w:rsid w:val="00870FA7"/>
    <w:rsid w:val="0087119D"/>
    <w:rsid w:val="00871302"/>
    <w:rsid w:val="0087145F"/>
    <w:rsid w:val="008717D9"/>
    <w:rsid w:val="00871B4D"/>
    <w:rsid w:val="00872888"/>
    <w:rsid w:val="00872B4F"/>
    <w:rsid w:val="008731AA"/>
    <w:rsid w:val="008733BB"/>
    <w:rsid w:val="008733F4"/>
    <w:rsid w:val="00873758"/>
    <w:rsid w:val="0087432E"/>
    <w:rsid w:val="00874D6F"/>
    <w:rsid w:val="00874F2E"/>
    <w:rsid w:val="008758AE"/>
    <w:rsid w:val="008762AA"/>
    <w:rsid w:val="0087673F"/>
    <w:rsid w:val="00876988"/>
    <w:rsid w:val="00876BA9"/>
    <w:rsid w:val="008776A7"/>
    <w:rsid w:val="00877A9D"/>
    <w:rsid w:val="00877E37"/>
    <w:rsid w:val="00880290"/>
    <w:rsid w:val="00881201"/>
    <w:rsid w:val="008812F2"/>
    <w:rsid w:val="0088168D"/>
    <w:rsid w:val="008824F9"/>
    <w:rsid w:val="00882A2E"/>
    <w:rsid w:val="008832A6"/>
    <w:rsid w:val="0088345F"/>
    <w:rsid w:val="008835D6"/>
    <w:rsid w:val="00883646"/>
    <w:rsid w:val="00883897"/>
    <w:rsid w:val="00883F62"/>
    <w:rsid w:val="00883FD8"/>
    <w:rsid w:val="00884191"/>
    <w:rsid w:val="00884594"/>
    <w:rsid w:val="008845EA"/>
    <w:rsid w:val="0088561A"/>
    <w:rsid w:val="00885C7D"/>
    <w:rsid w:val="008864F2"/>
    <w:rsid w:val="008865B8"/>
    <w:rsid w:val="00886C0F"/>
    <w:rsid w:val="00890216"/>
    <w:rsid w:val="00890371"/>
    <w:rsid w:val="00890497"/>
    <w:rsid w:val="00890881"/>
    <w:rsid w:val="00890B87"/>
    <w:rsid w:val="00890CF4"/>
    <w:rsid w:val="00890F82"/>
    <w:rsid w:val="00891083"/>
    <w:rsid w:val="00892198"/>
    <w:rsid w:val="00892EB9"/>
    <w:rsid w:val="00893697"/>
    <w:rsid w:val="008938FE"/>
    <w:rsid w:val="00893F77"/>
    <w:rsid w:val="00894203"/>
    <w:rsid w:val="00894379"/>
    <w:rsid w:val="0089457C"/>
    <w:rsid w:val="00894F58"/>
    <w:rsid w:val="0089554E"/>
    <w:rsid w:val="0089572C"/>
    <w:rsid w:val="008957FC"/>
    <w:rsid w:val="00896683"/>
    <w:rsid w:val="00896970"/>
    <w:rsid w:val="008969CA"/>
    <w:rsid w:val="00896ECC"/>
    <w:rsid w:val="008973BA"/>
    <w:rsid w:val="00897AD3"/>
    <w:rsid w:val="008A0067"/>
    <w:rsid w:val="008A011D"/>
    <w:rsid w:val="008A0332"/>
    <w:rsid w:val="008A0851"/>
    <w:rsid w:val="008A1272"/>
    <w:rsid w:val="008A1B4D"/>
    <w:rsid w:val="008A2296"/>
    <w:rsid w:val="008A270C"/>
    <w:rsid w:val="008A2B37"/>
    <w:rsid w:val="008A2B38"/>
    <w:rsid w:val="008A3248"/>
    <w:rsid w:val="008A3AEF"/>
    <w:rsid w:val="008A3DE4"/>
    <w:rsid w:val="008A4509"/>
    <w:rsid w:val="008A679D"/>
    <w:rsid w:val="008A7BC5"/>
    <w:rsid w:val="008B15C6"/>
    <w:rsid w:val="008B1C5B"/>
    <w:rsid w:val="008B1F6E"/>
    <w:rsid w:val="008B2BF0"/>
    <w:rsid w:val="008B318E"/>
    <w:rsid w:val="008B3D72"/>
    <w:rsid w:val="008B4713"/>
    <w:rsid w:val="008B5EEB"/>
    <w:rsid w:val="008B6492"/>
    <w:rsid w:val="008B6B3B"/>
    <w:rsid w:val="008B6F29"/>
    <w:rsid w:val="008B78C4"/>
    <w:rsid w:val="008B792B"/>
    <w:rsid w:val="008B7AE8"/>
    <w:rsid w:val="008B7EF7"/>
    <w:rsid w:val="008C001C"/>
    <w:rsid w:val="008C0063"/>
    <w:rsid w:val="008C0193"/>
    <w:rsid w:val="008C0505"/>
    <w:rsid w:val="008C0AA6"/>
    <w:rsid w:val="008C0FD5"/>
    <w:rsid w:val="008C136A"/>
    <w:rsid w:val="008C177C"/>
    <w:rsid w:val="008C22DA"/>
    <w:rsid w:val="008C233B"/>
    <w:rsid w:val="008C2670"/>
    <w:rsid w:val="008C2E24"/>
    <w:rsid w:val="008C2F50"/>
    <w:rsid w:val="008C2FC4"/>
    <w:rsid w:val="008C3A75"/>
    <w:rsid w:val="008C3E68"/>
    <w:rsid w:val="008C40AD"/>
    <w:rsid w:val="008C40CC"/>
    <w:rsid w:val="008C437C"/>
    <w:rsid w:val="008C467E"/>
    <w:rsid w:val="008C49A9"/>
    <w:rsid w:val="008C4C24"/>
    <w:rsid w:val="008C51B8"/>
    <w:rsid w:val="008C5777"/>
    <w:rsid w:val="008C5D24"/>
    <w:rsid w:val="008C61AC"/>
    <w:rsid w:val="008C63F0"/>
    <w:rsid w:val="008C6631"/>
    <w:rsid w:val="008C68D7"/>
    <w:rsid w:val="008C6A3D"/>
    <w:rsid w:val="008C72D3"/>
    <w:rsid w:val="008C74AD"/>
    <w:rsid w:val="008D07B6"/>
    <w:rsid w:val="008D093A"/>
    <w:rsid w:val="008D09D8"/>
    <w:rsid w:val="008D0BE5"/>
    <w:rsid w:val="008D1218"/>
    <w:rsid w:val="008D1541"/>
    <w:rsid w:val="008D18D0"/>
    <w:rsid w:val="008D1910"/>
    <w:rsid w:val="008D1E32"/>
    <w:rsid w:val="008D258F"/>
    <w:rsid w:val="008D29E4"/>
    <w:rsid w:val="008D2A15"/>
    <w:rsid w:val="008D2B21"/>
    <w:rsid w:val="008D2EE7"/>
    <w:rsid w:val="008D34D7"/>
    <w:rsid w:val="008D34FA"/>
    <w:rsid w:val="008D35CB"/>
    <w:rsid w:val="008D35F5"/>
    <w:rsid w:val="008D3AFC"/>
    <w:rsid w:val="008D3D3E"/>
    <w:rsid w:val="008D3DCE"/>
    <w:rsid w:val="008D3FE6"/>
    <w:rsid w:val="008D46E8"/>
    <w:rsid w:val="008D5527"/>
    <w:rsid w:val="008D576F"/>
    <w:rsid w:val="008D5AE2"/>
    <w:rsid w:val="008D5C16"/>
    <w:rsid w:val="008D620F"/>
    <w:rsid w:val="008D649A"/>
    <w:rsid w:val="008D6D37"/>
    <w:rsid w:val="008D6DBB"/>
    <w:rsid w:val="008D7888"/>
    <w:rsid w:val="008D78C7"/>
    <w:rsid w:val="008D7973"/>
    <w:rsid w:val="008D7A08"/>
    <w:rsid w:val="008D7B72"/>
    <w:rsid w:val="008D7D97"/>
    <w:rsid w:val="008D7F70"/>
    <w:rsid w:val="008E0106"/>
    <w:rsid w:val="008E01B2"/>
    <w:rsid w:val="008E043A"/>
    <w:rsid w:val="008E0967"/>
    <w:rsid w:val="008E09B8"/>
    <w:rsid w:val="008E0BFD"/>
    <w:rsid w:val="008E1253"/>
    <w:rsid w:val="008E1673"/>
    <w:rsid w:val="008E17FA"/>
    <w:rsid w:val="008E1AD3"/>
    <w:rsid w:val="008E1B2E"/>
    <w:rsid w:val="008E1B64"/>
    <w:rsid w:val="008E1D3C"/>
    <w:rsid w:val="008E20AE"/>
    <w:rsid w:val="008E22B6"/>
    <w:rsid w:val="008E2356"/>
    <w:rsid w:val="008E24EC"/>
    <w:rsid w:val="008E3024"/>
    <w:rsid w:val="008E36B0"/>
    <w:rsid w:val="008E3BC7"/>
    <w:rsid w:val="008E47E4"/>
    <w:rsid w:val="008E5C13"/>
    <w:rsid w:val="008E6074"/>
    <w:rsid w:val="008E6E24"/>
    <w:rsid w:val="008E759D"/>
    <w:rsid w:val="008E769C"/>
    <w:rsid w:val="008F03B0"/>
    <w:rsid w:val="008F04B3"/>
    <w:rsid w:val="008F0AB0"/>
    <w:rsid w:val="008F115F"/>
    <w:rsid w:val="008F1CFE"/>
    <w:rsid w:val="008F2172"/>
    <w:rsid w:val="008F219B"/>
    <w:rsid w:val="008F2499"/>
    <w:rsid w:val="008F2CE4"/>
    <w:rsid w:val="008F332D"/>
    <w:rsid w:val="008F44C5"/>
    <w:rsid w:val="008F48B1"/>
    <w:rsid w:val="008F5849"/>
    <w:rsid w:val="008F585D"/>
    <w:rsid w:val="008F5A89"/>
    <w:rsid w:val="008F5C86"/>
    <w:rsid w:val="008F5F0B"/>
    <w:rsid w:val="008F6B05"/>
    <w:rsid w:val="008F70F4"/>
    <w:rsid w:val="008F7172"/>
    <w:rsid w:val="008F7255"/>
    <w:rsid w:val="008F7BC2"/>
    <w:rsid w:val="00900224"/>
    <w:rsid w:val="00900499"/>
    <w:rsid w:val="0090093E"/>
    <w:rsid w:val="00900F97"/>
    <w:rsid w:val="00901300"/>
    <w:rsid w:val="00901471"/>
    <w:rsid w:val="00901912"/>
    <w:rsid w:val="00901D95"/>
    <w:rsid w:val="00901FF1"/>
    <w:rsid w:val="00902A70"/>
    <w:rsid w:val="0090330B"/>
    <w:rsid w:val="009034CB"/>
    <w:rsid w:val="00903829"/>
    <w:rsid w:val="009039CC"/>
    <w:rsid w:val="00903BF5"/>
    <w:rsid w:val="009043A8"/>
    <w:rsid w:val="0090496F"/>
    <w:rsid w:val="00904D44"/>
    <w:rsid w:val="00904F15"/>
    <w:rsid w:val="00905257"/>
    <w:rsid w:val="0090547A"/>
    <w:rsid w:val="00906133"/>
    <w:rsid w:val="0090673D"/>
    <w:rsid w:val="00906A08"/>
    <w:rsid w:val="00907059"/>
    <w:rsid w:val="00907266"/>
    <w:rsid w:val="0090784C"/>
    <w:rsid w:val="00907916"/>
    <w:rsid w:val="0090794B"/>
    <w:rsid w:val="00907B57"/>
    <w:rsid w:val="00907B85"/>
    <w:rsid w:val="00907DF7"/>
    <w:rsid w:val="00907F17"/>
    <w:rsid w:val="00907F3F"/>
    <w:rsid w:val="00910850"/>
    <w:rsid w:val="00910FE2"/>
    <w:rsid w:val="009110AD"/>
    <w:rsid w:val="009112C6"/>
    <w:rsid w:val="00911428"/>
    <w:rsid w:val="00911BF5"/>
    <w:rsid w:val="009136AD"/>
    <w:rsid w:val="009137C9"/>
    <w:rsid w:val="009138E1"/>
    <w:rsid w:val="0091399E"/>
    <w:rsid w:val="00913A6F"/>
    <w:rsid w:val="00913CF3"/>
    <w:rsid w:val="00913EFA"/>
    <w:rsid w:val="0091463A"/>
    <w:rsid w:val="00914D4A"/>
    <w:rsid w:val="00915279"/>
    <w:rsid w:val="00915795"/>
    <w:rsid w:val="009161A9"/>
    <w:rsid w:val="00916E42"/>
    <w:rsid w:val="00917203"/>
    <w:rsid w:val="0091783D"/>
    <w:rsid w:val="00917BA9"/>
    <w:rsid w:val="00920651"/>
    <w:rsid w:val="00920973"/>
    <w:rsid w:val="00920D03"/>
    <w:rsid w:val="009213A8"/>
    <w:rsid w:val="00921567"/>
    <w:rsid w:val="009216AD"/>
    <w:rsid w:val="009216F4"/>
    <w:rsid w:val="009219A1"/>
    <w:rsid w:val="00922622"/>
    <w:rsid w:val="009228E7"/>
    <w:rsid w:val="00922DA5"/>
    <w:rsid w:val="009230AA"/>
    <w:rsid w:val="00923627"/>
    <w:rsid w:val="00923752"/>
    <w:rsid w:val="0092485D"/>
    <w:rsid w:val="00924B5F"/>
    <w:rsid w:val="00924ECA"/>
    <w:rsid w:val="00925184"/>
    <w:rsid w:val="00925513"/>
    <w:rsid w:val="00925D9A"/>
    <w:rsid w:val="00925DCA"/>
    <w:rsid w:val="00926003"/>
    <w:rsid w:val="00926FC8"/>
    <w:rsid w:val="00927031"/>
    <w:rsid w:val="009270BD"/>
    <w:rsid w:val="00927183"/>
    <w:rsid w:val="0092726D"/>
    <w:rsid w:val="0092765C"/>
    <w:rsid w:val="00927897"/>
    <w:rsid w:val="00927CF6"/>
    <w:rsid w:val="00930782"/>
    <w:rsid w:val="00930B72"/>
    <w:rsid w:val="009313F5"/>
    <w:rsid w:val="00931B72"/>
    <w:rsid w:val="00931DFA"/>
    <w:rsid w:val="00931F6D"/>
    <w:rsid w:val="009320FC"/>
    <w:rsid w:val="009327EF"/>
    <w:rsid w:val="009333E5"/>
    <w:rsid w:val="009335F4"/>
    <w:rsid w:val="009337DE"/>
    <w:rsid w:val="00934258"/>
    <w:rsid w:val="00934304"/>
    <w:rsid w:val="00934BE8"/>
    <w:rsid w:val="00934DD3"/>
    <w:rsid w:val="00935CC7"/>
    <w:rsid w:val="00935D69"/>
    <w:rsid w:val="0093639A"/>
    <w:rsid w:val="009368F3"/>
    <w:rsid w:val="00937015"/>
    <w:rsid w:val="0093743B"/>
    <w:rsid w:val="00937BBA"/>
    <w:rsid w:val="00937D7A"/>
    <w:rsid w:val="00937F0C"/>
    <w:rsid w:val="0094021A"/>
    <w:rsid w:val="0094074F"/>
    <w:rsid w:val="00940E5E"/>
    <w:rsid w:val="009410A5"/>
    <w:rsid w:val="009416C1"/>
    <w:rsid w:val="00941891"/>
    <w:rsid w:val="00941983"/>
    <w:rsid w:val="00942026"/>
    <w:rsid w:val="009421F4"/>
    <w:rsid w:val="00942470"/>
    <w:rsid w:val="009425CA"/>
    <w:rsid w:val="0094279E"/>
    <w:rsid w:val="00942D70"/>
    <w:rsid w:val="00943312"/>
    <w:rsid w:val="0094380E"/>
    <w:rsid w:val="009450FB"/>
    <w:rsid w:val="00946194"/>
    <w:rsid w:val="00946214"/>
    <w:rsid w:val="00946225"/>
    <w:rsid w:val="00946385"/>
    <w:rsid w:val="00946823"/>
    <w:rsid w:val="009468E1"/>
    <w:rsid w:val="00946E52"/>
    <w:rsid w:val="009474DE"/>
    <w:rsid w:val="00947963"/>
    <w:rsid w:val="00947D4C"/>
    <w:rsid w:val="009509CF"/>
    <w:rsid w:val="00950DC2"/>
    <w:rsid w:val="00951105"/>
    <w:rsid w:val="00951120"/>
    <w:rsid w:val="009519B7"/>
    <w:rsid w:val="00951C52"/>
    <w:rsid w:val="00952195"/>
    <w:rsid w:val="00952227"/>
    <w:rsid w:val="0095223D"/>
    <w:rsid w:val="0095280F"/>
    <w:rsid w:val="00953515"/>
    <w:rsid w:val="009540E0"/>
    <w:rsid w:val="0095484E"/>
    <w:rsid w:val="00954992"/>
    <w:rsid w:val="00954A8E"/>
    <w:rsid w:val="00954E09"/>
    <w:rsid w:val="009555D2"/>
    <w:rsid w:val="0095588E"/>
    <w:rsid w:val="00956B39"/>
    <w:rsid w:val="009571BB"/>
    <w:rsid w:val="009577EA"/>
    <w:rsid w:val="00957C8C"/>
    <w:rsid w:val="00957DCF"/>
    <w:rsid w:val="009606C3"/>
    <w:rsid w:val="00960987"/>
    <w:rsid w:val="009609EC"/>
    <w:rsid w:val="00961144"/>
    <w:rsid w:val="009611CE"/>
    <w:rsid w:val="00961A43"/>
    <w:rsid w:val="00961A5C"/>
    <w:rsid w:val="00961E52"/>
    <w:rsid w:val="009623B9"/>
    <w:rsid w:val="009628F3"/>
    <w:rsid w:val="00963CB0"/>
    <w:rsid w:val="00963CDA"/>
    <w:rsid w:val="0096406D"/>
    <w:rsid w:val="00964A6E"/>
    <w:rsid w:val="00964DDF"/>
    <w:rsid w:val="00965790"/>
    <w:rsid w:val="00965B09"/>
    <w:rsid w:val="00965C71"/>
    <w:rsid w:val="00966207"/>
    <w:rsid w:val="00966493"/>
    <w:rsid w:val="0096653D"/>
    <w:rsid w:val="00966D43"/>
    <w:rsid w:val="00966FA5"/>
    <w:rsid w:val="00966FEC"/>
    <w:rsid w:val="00967093"/>
    <w:rsid w:val="009670A4"/>
    <w:rsid w:val="009678EF"/>
    <w:rsid w:val="009678FA"/>
    <w:rsid w:val="00967CC8"/>
    <w:rsid w:val="00967FC9"/>
    <w:rsid w:val="0097019F"/>
    <w:rsid w:val="00970707"/>
    <w:rsid w:val="00970F58"/>
    <w:rsid w:val="009732E0"/>
    <w:rsid w:val="0097466E"/>
    <w:rsid w:val="00974AB9"/>
    <w:rsid w:val="00974D19"/>
    <w:rsid w:val="00975138"/>
    <w:rsid w:val="009751D4"/>
    <w:rsid w:val="0097564A"/>
    <w:rsid w:val="009764FF"/>
    <w:rsid w:val="00976EA2"/>
    <w:rsid w:val="00976FA5"/>
    <w:rsid w:val="00977078"/>
    <w:rsid w:val="009770F4"/>
    <w:rsid w:val="00977223"/>
    <w:rsid w:val="00977403"/>
    <w:rsid w:val="009808AB"/>
    <w:rsid w:val="009810D4"/>
    <w:rsid w:val="009811AE"/>
    <w:rsid w:val="00981209"/>
    <w:rsid w:val="009815D0"/>
    <w:rsid w:val="009818C9"/>
    <w:rsid w:val="009818F2"/>
    <w:rsid w:val="00981B1D"/>
    <w:rsid w:val="0098269A"/>
    <w:rsid w:val="00982E09"/>
    <w:rsid w:val="0098322C"/>
    <w:rsid w:val="00983301"/>
    <w:rsid w:val="00983D80"/>
    <w:rsid w:val="00983DF4"/>
    <w:rsid w:val="0098432D"/>
    <w:rsid w:val="00984E72"/>
    <w:rsid w:val="00985716"/>
    <w:rsid w:val="009862A8"/>
    <w:rsid w:val="00986422"/>
    <w:rsid w:val="0098649B"/>
    <w:rsid w:val="00986DBD"/>
    <w:rsid w:val="00986E21"/>
    <w:rsid w:val="00986E8F"/>
    <w:rsid w:val="00986FE8"/>
    <w:rsid w:val="00987389"/>
    <w:rsid w:val="009874EA"/>
    <w:rsid w:val="009874F2"/>
    <w:rsid w:val="00987BB4"/>
    <w:rsid w:val="00987F5B"/>
    <w:rsid w:val="00990126"/>
    <w:rsid w:val="00990BC6"/>
    <w:rsid w:val="00990C03"/>
    <w:rsid w:val="0099163F"/>
    <w:rsid w:val="00991796"/>
    <w:rsid w:val="00991B62"/>
    <w:rsid w:val="00991EE9"/>
    <w:rsid w:val="00992079"/>
    <w:rsid w:val="00992ABF"/>
    <w:rsid w:val="00992D8F"/>
    <w:rsid w:val="0099351B"/>
    <w:rsid w:val="00993A12"/>
    <w:rsid w:val="00993EC1"/>
    <w:rsid w:val="009942D1"/>
    <w:rsid w:val="00994BAE"/>
    <w:rsid w:val="00995386"/>
    <w:rsid w:val="009957AC"/>
    <w:rsid w:val="00995DB4"/>
    <w:rsid w:val="00996334"/>
    <w:rsid w:val="00996A97"/>
    <w:rsid w:val="00996B88"/>
    <w:rsid w:val="00996D98"/>
    <w:rsid w:val="00996E75"/>
    <w:rsid w:val="009972C6"/>
    <w:rsid w:val="00997931"/>
    <w:rsid w:val="00997D4F"/>
    <w:rsid w:val="009A0AE3"/>
    <w:rsid w:val="009A1353"/>
    <w:rsid w:val="009A1408"/>
    <w:rsid w:val="009A1F46"/>
    <w:rsid w:val="009A1F65"/>
    <w:rsid w:val="009A1FE4"/>
    <w:rsid w:val="009A2368"/>
    <w:rsid w:val="009A2709"/>
    <w:rsid w:val="009A2D81"/>
    <w:rsid w:val="009A345A"/>
    <w:rsid w:val="009A3E37"/>
    <w:rsid w:val="009A4388"/>
    <w:rsid w:val="009A4939"/>
    <w:rsid w:val="009A499D"/>
    <w:rsid w:val="009A49B3"/>
    <w:rsid w:val="009A4E54"/>
    <w:rsid w:val="009A5232"/>
    <w:rsid w:val="009A5675"/>
    <w:rsid w:val="009A591E"/>
    <w:rsid w:val="009A6392"/>
    <w:rsid w:val="009A68BE"/>
    <w:rsid w:val="009A6B86"/>
    <w:rsid w:val="009A72D1"/>
    <w:rsid w:val="009A7382"/>
    <w:rsid w:val="009A739E"/>
    <w:rsid w:val="009A77C0"/>
    <w:rsid w:val="009A7AE1"/>
    <w:rsid w:val="009A7CC1"/>
    <w:rsid w:val="009A7E17"/>
    <w:rsid w:val="009B0882"/>
    <w:rsid w:val="009B0B50"/>
    <w:rsid w:val="009B0CA2"/>
    <w:rsid w:val="009B0D6D"/>
    <w:rsid w:val="009B17A2"/>
    <w:rsid w:val="009B1A02"/>
    <w:rsid w:val="009B23B6"/>
    <w:rsid w:val="009B2FF0"/>
    <w:rsid w:val="009B336D"/>
    <w:rsid w:val="009B38C5"/>
    <w:rsid w:val="009B48B0"/>
    <w:rsid w:val="009B54DF"/>
    <w:rsid w:val="009B564E"/>
    <w:rsid w:val="009B62A9"/>
    <w:rsid w:val="009B67CF"/>
    <w:rsid w:val="009B6B24"/>
    <w:rsid w:val="009B707C"/>
    <w:rsid w:val="009B7619"/>
    <w:rsid w:val="009B7C43"/>
    <w:rsid w:val="009B7ECD"/>
    <w:rsid w:val="009B7FB7"/>
    <w:rsid w:val="009C014F"/>
    <w:rsid w:val="009C0452"/>
    <w:rsid w:val="009C08D3"/>
    <w:rsid w:val="009C0943"/>
    <w:rsid w:val="009C0CF6"/>
    <w:rsid w:val="009C1068"/>
    <w:rsid w:val="009C1231"/>
    <w:rsid w:val="009C12FB"/>
    <w:rsid w:val="009C1357"/>
    <w:rsid w:val="009C24EB"/>
    <w:rsid w:val="009C25DD"/>
    <w:rsid w:val="009C3065"/>
    <w:rsid w:val="009C3675"/>
    <w:rsid w:val="009C36B9"/>
    <w:rsid w:val="009C408B"/>
    <w:rsid w:val="009C478D"/>
    <w:rsid w:val="009C5367"/>
    <w:rsid w:val="009C5EDE"/>
    <w:rsid w:val="009C63B7"/>
    <w:rsid w:val="009C63B9"/>
    <w:rsid w:val="009C6444"/>
    <w:rsid w:val="009C67A7"/>
    <w:rsid w:val="009C68D4"/>
    <w:rsid w:val="009C6BD0"/>
    <w:rsid w:val="009C7691"/>
    <w:rsid w:val="009C7949"/>
    <w:rsid w:val="009D099C"/>
    <w:rsid w:val="009D15D2"/>
    <w:rsid w:val="009D1761"/>
    <w:rsid w:val="009D19B2"/>
    <w:rsid w:val="009D1D3F"/>
    <w:rsid w:val="009D21D1"/>
    <w:rsid w:val="009D2E20"/>
    <w:rsid w:val="009D2FBE"/>
    <w:rsid w:val="009D2FDF"/>
    <w:rsid w:val="009D34B8"/>
    <w:rsid w:val="009D3544"/>
    <w:rsid w:val="009D3825"/>
    <w:rsid w:val="009D3D5F"/>
    <w:rsid w:val="009D3DBE"/>
    <w:rsid w:val="009D3FAA"/>
    <w:rsid w:val="009D40E3"/>
    <w:rsid w:val="009D4408"/>
    <w:rsid w:val="009D48BC"/>
    <w:rsid w:val="009D49F8"/>
    <w:rsid w:val="009D4A39"/>
    <w:rsid w:val="009D4DC1"/>
    <w:rsid w:val="009D500E"/>
    <w:rsid w:val="009D5071"/>
    <w:rsid w:val="009D537C"/>
    <w:rsid w:val="009D5E2C"/>
    <w:rsid w:val="009D6416"/>
    <w:rsid w:val="009E0135"/>
    <w:rsid w:val="009E038C"/>
    <w:rsid w:val="009E0B16"/>
    <w:rsid w:val="009E0BB5"/>
    <w:rsid w:val="009E0C32"/>
    <w:rsid w:val="009E0CD9"/>
    <w:rsid w:val="009E0EAA"/>
    <w:rsid w:val="009E10C1"/>
    <w:rsid w:val="009E138C"/>
    <w:rsid w:val="009E151B"/>
    <w:rsid w:val="009E1F40"/>
    <w:rsid w:val="009E2408"/>
    <w:rsid w:val="009E2693"/>
    <w:rsid w:val="009E28FE"/>
    <w:rsid w:val="009E2BE5"/>
    <w:rsid w:val="009E2F10"/>
    <w:rsid w:val="009E300C"/>
    <w:rsid w:val="009E3086"/>
    <w:rsid w:val="009E349A"/>
    <w:rsid w:val="009E3589"/>
    <w:rsid w:val="009E3933"/>
    <w:rsid w:val="009E3BED"/>
    <w:rsid w:val="009E3C36"/>
    <w:rsid w:val="009E3FB8"/>
    <w:rsid w:val="009E3FC7"/>
    <w:rsid w:val="009E41E5"/>
    <w:rsid w:val="009E4356"/>
    <w:rsid w:val="009E466B"/>
    <w:rsid w:val="009E4982"/>
    <w:rsid w:val="009E4FBC"/>
    <w:rsid w:val="009E5087"/>
    <w:rsid w:val="009E50CF"/>
    <w:rsid w:val="009E5201"/>
    <w:rsid w:val="009E5260"/>
    <w:rsid w:val="009E53AE"/>
    <w:rsid w:val="009E540A"/>
    <w:rsid w:val="009E593E"/>
    <w:rsid w:val="009E7C3A"/>
    <w:rsid w:val="009E7C85"/>
    <w:rsid w:val="009E7CC7"/>
    <w:rsid w:val="009E7E88"/>
    <w:rsid w:val="009F0032"/>
    <w:rsid w:val="009F0B68"/>
    <w:rsid w:val="009F0F9B"/>
    <w:rsid w:val="009F1085"/>
    <w:rsid w:val="009F1994"/>
    <w:rsid w:val="009F1F7D"/>
    <w:rsid w:val="009F357E"/>
    <w:rsid w:val="009F4D5F"/>
    <w:rsid w:val="009F509E"/>
    <w:rsid w:val="009F5B4E"/>
    <w:rsid w:val="009F5BEC"/>
    <w:rsid w:val="009F5C1A"/>
    <w:rsid w:val="009F5C69"/>
    <w:rsid w:val="009F6CEB"/>
    <w:rsid w:val="009F716D"/>
    <w:rsid w:val="009F757F"/>
    <w:rsid w:val="009F76F2"/>
    <w:rsid w:val="00A00EB0"/>
    <w:rsid w:val="00A01091"/>
    <w:rsid w:val="00A01CA9"/>
    <w:rsid w:val="00A01E14"/>
    <w:rsid w:val="00A01E7E"/>
    <w:rsid w:val="00A02052"/>
    <w:rsid w:val="00A024EC"/>
    <w:rsid w:val="00A037C6"/>
    <w:rsid w:val="00A0400F"/>
    <w:rsid w:val="00A04704"/>
    <w:rsid w:val="00A049B6"/>
    <w:rsid w:val="00A04A9D"/>
    <w:rsid w:val="00A055A4"/>
    <w:rsid w:val="00A05949"/>
    <w:rsid w:val="00A05A6A"/>
    <w:rsid w:val="00A0684B"/>
    <w:rsid w:val="00A068DB"/>
    <w:rsid w:val="00A069BA"/>
    <w:rsid w:val="00A06B07"/>
    <w:rsid w:val="00A0704D"/>
    <w:rsid w:val="00A072C3"/>
    <w:rsid w:val="00A0743C"/>
    <w:rsid w:val="00A074C7"/>
    <w:rsid w:val="00A07D27"/>
    <w:rsid w:val="00A10097"/>
    <w:rsid w:val="00A100A6"/>
    <w:rsid w:val="00A101E6"/>
    <w:rsid w:val="00A108CF"/>
    <w:rsid w:val="00A10AA7"/>
    <w:rsid w:val="00A10C74"/>
    <w:rsid w:val="00A114AD"/>
    <w:rsid w:val="00A11603"/>
    <w:rsid w:val="00A1162C"/>
    <w:rsid w:val="00A11996"/>
    <w:rsid w:val="00A12AFF"/>
    <w:rsid w:val="00A12D9C"/>
    <w:rsid w:val="00A13178"/>
    <w:rsid w:val="00A1323A"/>
    <w:rsid w:val="00A13483"/>
    <w:rsid w:val="00A14035"/>
    <w:rsid w:val="00A143A7"/>
    <w:rsid w:val="00A14625"/>
    <w:rsid w:val="00A14741"/>
    <w:rsid w:val="00A14808"/>
    <w:rsid w:val="00A1484D"/>
    <w:rsid w:val="00A14A9F"/>
    <w:rsid w:val="00A15244"/>
    <w:rsid w:val="00A16240"/>
    <w:rsid w:val="00A16F45"/>
    <w:rsid w:val="00A17063"/>
    <w:rsid w:val="00A17672"/>
    <w:rsid w:val="00A17F0B"/>
    <w:rsid w:val="00A207D5"/>
    <w:rsid w:val="00A20A83"/>
    <w:rsid w:val="00A20E8D"/>
    <w:rsid w:val="00A21018"/>
    <w:rsid w:val="00A2179A"/>
    <w:rsid w:val="00A2189B"/>
    <w:rsid w:val="00A21DAC"/>
    <w:rsid w:val="00A220C2"/>
    <w:rsid w:val="00A221DA"/>
    <w:rsid w:val="00A22202"/>
    <w:rsid w:val="00A225DC"/>
    <w:rsid w:val="00A22947"/>
    <w:rsid w:val="00A23211"/>
    <w:rsid w:val="00A23864"/>
    <w:rsid w:val="00A23DCE"/>
    <w:rsid w:val="00A23FFA"/>
    <w:rsid w:val="00A244E5"/>
    <w:rsid w:val="00A24904"/>
    <w:rsid w:val="00A24DBF"/>
    <w:rsid w:val="00A251F6"/>
    <w:rsid w:val="00A25629"/>
    <w:rsid w:val="00A2574C"/>
    <w:rsid w:val="00A25AEB"/>
    <w:rsid w:val="00A25B30"/>
    <w:rsid w:val="00A2603B"/>
    <w:rsid w:val="00A2634A"/>
    <w:rsid w:val="00A2660B"/>
    <w:rsid w:val="00A26DA2"/>
    <w:rsid w:val="00A270C8"/>
    <w:rsid w:val="00A27637"/>
    <w:rsid w:val="00A27CCB"/>
    <w:rsid w:val="00A3004F"/>
    <w:rsid w:val="00A305C4"/>
    <w:rsid w:val="00A30BD5"/>
    <w:rsid w:val="00A30C22"/>
    <w:rsid w:val="00A3175B"/>
    <w:rsid w:val="00A3288B"/>
    <w:rsid w:val="00A32AFF"/>
    <w:rsid w:val="00A3339A"/>
    <w:rsid w:val="00A33860"/>
    <w:rsid w:val="00A3437D"/>
    <w:rsid w:val="00A35700"/>
    <w:rsid w:val="00A35E5F"/>
    <w:rsid w:val="00A35F48"/>
    <w:rsid w:val="00A36399"/>
    <w:rsid w:val="00A366CE"/>
    <w:rsid w:val="00A36A29"/>
    <w:rsid w:val="00A36FAC"/>
    <w:rsid w:val="00A3747E"/>
    <w:rsid w:val="00A3788D"/>
    <w:rsid w:val="00A37D24"/>
    <w:rsid w:val="00A37EC8"/>
    <w:rsid w:val="00A40253"/>
    <w:rsid w:val="00A4059C"/>
    <w:rsid w:val="00A416BC"/>
    <w:rsid w:val="00A4179A"/>
    <w:rsid w:val="00A42D7C"/>
    <w:rsid w:val="00A42EE9"/>
    <w:rsid w:val="00A433E5"/>
    <w:rsid w:val="00A43E7A"/>
    <w:rsid w:val="00A44223"/>
    <w:rsid w:val="00A44743"/>
    <w:rsid w:val="00A44B82"/>
    <w:rsid w:val="00A44E9C"/>
    <w:rsid w:val="00A45669"/>
    <w:rsid w:val="00A464E9"/>
    <w:rsid w:val="00A4671E"/>
    <w:rsid w:val="00A470DA"/>
    <w:rsid w:val="00A470F6"/>
    <w:rsid w:val="00A47130"/>
    <w:rsid w:val="00A47438"/>
    <w:rsid w:val="00A47755"/>
    <w:rsid w:val="00A478D5"/>
    <w:rsid w:val="00A47C6D"/>
    <w:rsid w:val="00A47E71"/>
    <w:rsid w:val="00A47EEB"/>
    <w:rsid w:val="00A47F85"/>
    <w:rsid w:val="00A50412"/>
    <w:rsid w:val="00A509A5"/>
    <w:rsid w:val="00A517D8"/>
    <w:rsid w:val="00A52302"/>
    <w:rsid w:val="00A5286B"/>
    <w:rsid w:val="00A52AA6"/>
    <w:rsid w:val="00A52D23"/>
    <w:rsid w:val="00A5368D"/>
    <w:rsid w:val="00A53E09"/>
    <w:rsid w:val="00A5466C"/>
    <w:rsid w:val="00A5468A"/>
    <w:rsid w:val="00A546AE"/>
    <w:rsid w:val="00A5494C"/>
    <w:rsid w:val="00A54BA0"/>
    <w:rsid w:val="00A551D7"/>
    <w:rsid w:val="00A557B2"/>
    <w:rsid w:val="00A558EE"/>
    <w:rsid w:val="00A55A0E"/>
    <w:rsid w:val="00A55DB3"/>
    <w:rsid w:val="00A5623E"/>
    <w:rsid w:val="00A564B7"/>
    <w:rsid w:val="00A5705C"/>
    <w:rsid w:val="00A57468"/>
    <w:rsid w:val="00A57817"/>
    <w:rsid w:val="00A60332"/>
    <w:rsid w:val="00A608DB"/>
    <w:rsid w:val="00A6128B"/>
    <w:rsid w:val="00A61834"/>
    <w:rsid w:val="00A61CF7"/>
    <w:rsid w:val="00A62301"/>
    <w:rsid w:val="00A623DA"/>
    <w:rsid w:val="00A64010"/>
    <w:rsid w:val="00A6497B"/>
    <w:rsid w:val="00A64B3F"/>
    <w:rsid w:val="00A64F29"/>
    <w:rsid w:val="00A64F81"/>
    <w:rsid w:val="00A65205"/>
    <w:rsid w:val="00A6552E"/>
    <w:rsid w:val="00A65BE6"/>
    <w:rsid w:val="00A66793"/>
    <w:rsid w:val="00A66A26"/>
    <w:rsid w:val="00A66B13"/>
    <w:rsid w:val="00A67A7B"/>
    <w:rsid w:val="00A71753"/>
    <w:rsid w:val="00A719AA"/>
    <w:rsid w:val="00A71AF6"/>
    <w:rsid w:val="00A71F05"/>
    <w:rsid w:val="00A72276"/>
    <w:rsid w:val="00A7240B"/>
    <w:rsid w:val="00A73244"/>
    <w:rsid w:val="00A7326D"/>
    <w:rsid w:val="00A73AAC"/>
    <w:rsid w:val="00A73AAE"/>
    <w:rsid w:val="00A73CEE"/>
    <w:rsid w:val="00A74CF0"/>
    <w:rsid w:val="00A74FDE"/>
    <w:rsid w:val="00A75017"/>
    <w:rsid w:val="00A7566F"/>
    <w:rsid w:val="00A7585F"/>
    <w:rsid w:val="00A75C93"/>
    <w:rsid w:val="00A762F1"/>
    <w:rsid w:val="00A76908"/>
    <w:rsid w:val="00A76E31"/>
    <w:rsid w:val="00A77635"/>
    <w:rsid w:val="00A77F97"/>
    <w:rsid w:val="00A8039D"/>
    <w:rsid w:val="00A8041F"/>
    <w:rsid w:val="00A80A90"/>
    <w:rsid w:val="00A8107A"/>
    <w:rsid w:val="00A81276"/>
    <w:rsid w:val="00A8144F"/>
    <w:rsid w:val="00A821B2"/>
    <w:rsid w:val="00A828DB"/>
    <w:rsid w:val="00A82C80"/>
    <w:rsid w:val="00A82F47"/>
    <w:rsid w:val="00A83A93"/>
    <w:rsid w:val="00A84321"/>
    <w:rsid w:val="00A84734"/>
    <w:rsid w:val="00A84983"/>
    <w:rsid w:val="00A859E7"/>
    <w:rsid w:val="00A866EE"/>
    <w:rsid w:val="00A876A7"/>
    <w:rsid w:val="00A87B56"/>
    <w:rsid w:val="00A90062"/>
    <w:rsid w:val="00A90629"/>
    <w:rsid w:val="00A90936"/>
    <w:rsid w:val="00A90D25"/>
    <w:rsid w:val="00A90D2E"/>
    <w:rsid w:val="00A910E5"/>
    <w:rsid w:val="00A92D31"/>
    <w:rsid w:val="00A930D9"/>
    <w:rsid w:val="00A93334"/>
    <w:rsid w:val="00A938CC"/>
    <w:rsid w:val="00A94244"/>
    <w:rsid w:val="00A9440F"/>
    <w:rsid w:val="00A9524A"/>
    <w:rsid w:val="00A9531E"/>
    <w:rsid w:val="00A96372"/>
    <w:rsid w:val="00A96CF2"/>
    <w:rsid w:val="00A96DD3"/>
    <w:rsid w:val="00AA001F"/>
    <w:rsid w:val="00AA01FB"/>
    <w:rsid w:val="00AA028A"/>
    <w:rsid w:val="00AA075D"/>
    <w:rsid w:val="00AA0C41"/>
    <w:rsid w:val="00AA187B"/>
    <w:rsid w:val="00AA1D7D"/>
    <w:rsid w:val="00AA24CC"/>
    <w:rsid w:val="00AA25B9"/>
    <w:rsid w:val="00AA305C"/>
    <w:rsid w:val="00AA340B"/>
    <w:rsid w:val="00AA3578"/>
    <w:rsid w:val="00AA39A3"/>
    <w:rsid w:val="00AA471D"/>
    <w:rsid w:val="00AA5AD9"/>
    <w:rsid w:val="00AA5E1F"/>
    <w:rsid w:val="00AA60FC"/>
    <w:rsid w:val="00AA6640"/>
    <w:rsid w:val="00AA673A"/>
    <w:rsid w:val="00AA6B6D"/>
    <w:rsid w:val="00AA6C1F"/>
    <w:rsid w:val="00AA7312"/>
    <w:rsid w:val="00AA7376"/>
    <w:rsid w:val="00AA7C49"/>
    <w:rsid w:val="00AB011A"/>
    <w:rsid w:val="00AB0AA5"/>
    <w:rsid w:val="00AB0E04"/>
    <w:rsid w:val="00AB1110"/>
    <w:rsid w:val="00AB211D"/>
    <w:rsid w:val="00AB2B4A"/>
    <w:rsid w:val="00AB2F37"/>
    <w:rsid w:val="00AB360E"/>
    <w:rsid w:val="00AB382D"/>
    <w:rsid w:val="00AB3A6A"/>
    <w:rsid w:val="00AB3BE1"/>
    <w:rsid w:val="00AB5929"/>
    <w:rsid w:val="00AB5A16"/>
    <w:rsid w:val="00AB5BF2"/>
    <w:rsid w:val="00AB5F3D"/>
    <w:rsid w:val="00AB64E3"/>
    <w:rsid w:val="00AB682D"/>
    <w:rsid w:val="00AB687A"/>
    <w:rsid w:val="00AB6A86"/>
    <w:rsid w:val="00AB6F4C"/>
    <w:rsid w:val="00AB7059"/>
    <w:rsid w:val="00AB71DA"/>
    <w:rsid w:val="00AB72D9"/>
    <w:rsid w:val="00AB78F2"/>
    <w:rsid w:val="00AB7E7A"/>
    <w:rsid w:val="00AC0183"/>
    <w:rsid w:val="00AC01E8"/>
    <w:rsid w:val="00AC0295"/>
    <w:rsid w:val="00AC0442"/>
    <w:rsid w:val="00AC0B2B"/>
    <w:rsid w:val="00AC0FD8"/>
    <w:rsid w:val="00AC20E1"/>
    <w:rsid w:val="00AC2709"/>
    <w:rsid w:val="00AC2E38"/>
    <w:rsid w:val="00AC36C8"/>
    <w:rsid w:val="00AC4BBD"/>
    <w:rsid w:val="00AC4CFF"/>
    <w:rsid w:val="00AC4FA1"/>
    <w:rsid w:val="00AC5285"/>
    <w:rsid w:val="00AC575F"/>
    <w:rsid w:val="00AC6107"/>
    <w:rsid w:val="00AC634D"/>
    <w:rsid w:val="00AC6B9C"/>
    <w:rsid w:val="00AC7492"/>
    <w:rsid w:val="00AC75F8"/>
    <w:rsid w:val="00AC76A6"/>
    <w:rsid w:val="00AC7923"/>
    <w:rsid w:val="00AD0221"/>
    <w:rsid w:val="00AD02DC"/>
    <w:rsid w:val="00AD0875"/>
    <w:rsid w:val="00AD0C4C"/>
    <w:rsid w:val="00AD11B1"/>
    <w:rsid w:val="00AD1950"/>
    <w:rsid w:val="00AD1A7F"/>
    <w:rsid w:val="00AD1ADD"/>
    <w:rsid w:val="00AD216F"/>
    <w:rsid w:val="00AD3411"/>
    <w:rsid w:val="00AD391E"/>
    <w:rsid w:val="00AD3C09"/>
    <w:rsid w:val="00AD41D1"/>
    <w:rsid w:val="00AD5485"/>
    <w:rsid w:val="00AD5CA4"/>
    <w:rsid w:val="00AD61E0"/>
    <w:rsid w:val="00AD6768"/>
    <w:rsid w:val="00AD71CC"/>
    <w:rsid w:val="00AD727F"/>
    <w:rsid w:val="00AD7380"/>
    <w:rsid w:val="00AD77DD"/>
    <w:rsid w:val="00AD7DDC"/>
    <w:rsid w:val="00AE0695"/>
    <w:rsid w:val="00AE0D2F"/>
    <w:rsid w:val="00AE0FA2"/>
    <w:rsid w:val="00AE1A8D"/>
    <w:rsid w:val="00AE1ECE"/>
    <w:rsid w:val="00AE1F36"/>
    <w:rsid w:val="00AE24D2"/>
    <w:rsid w:val="00AE275B"/>
    <w:rsid w:val="00AE301B"/>
    <w:rsid w:val="00AE34C8"/>
    <w:rsid w:val="00AE37EF"/>
    <w:rsid w:val="00AE4027"/>
    <w:rsid w:val="00AE47B6"/>
    <w:rsid w:val="00AE49E8"/>
    <w:rsid w:val="00AE4F33"/>
    <w:rsid w:val="00AE4FD5"/>
    <w:rsid w:val="00AE55CB"/>
    <w:rsid w:val="00AE5898"/>
    <w:rsid w:val="00AE5C98"/>
    <w:rsid w:val="00AE6B7D"/>
    <w:rsid w:val="00AE6F1E"/>
    <w:rsid w:val="00AE6F46"/>
    <w:rsid w:val="00AE72D6"/>
    <w:rsid w:val="00AE7509"/>
    <w:rsid w:val="00AE774B"/>
    <w:rsid w:val="00AE7845"/>
    <w:rsid w:val="00AE7A92"/>
    <w:rsid w:val="00AE7D7B"/>
    <w:rsid w:val="00AF0366"/>
    <w:rsid w:val="00AF1099"/>
    <w:rsid w:val="00AF17DE"/>
    <w:rsid w:val="00AF1D79"/>
    <w:rsid w:val="00AF20E2"/>
    <w:rsid w:val="00AF24C6"/>
    <w:rsid w:val="00AF292A"/>
    <w:rsid w:val="00AF2A51"/>
    <w:rsid w:val="00AF321C"/>
    <w:rsid w:val="00AF34B3"/>
    <w:rsid w:val="00AF36C1"/>
    <w:rsid w:val="00AF43FF"/>
    <w:rsid w:val="00AF443C"/>
    <w:rsid w:val="00AF4FCC"/>
    <w:rsid w:val="00AF4FDB"/>
    <w:rsid w:val="00AF518C"/>
    <w:rsid w:val="00AF51C5"/>
    <w:rsid w:val="00AF52D4"/>
    <w:rsid w:val="00AF53D3"/>
    <w:rsid w:val="00AF553C"/>
    <w:rsid w:val="00AF5C63"/>
    <w:rsid w:val="00AF60AC"/>
    <w:rsid w:val="00AF61B7"/>
    <w:rsid w:val="00AF61BD"/>
    <w:rsid w:val="00AF6D92"/>
    <w:rsid w:val="00AF6E2A"/>
    <w:rsid w:val="00AF70A5"/>
    <w:rsid w:val="00AF727D"/>
    <w:rsid w:val="00AF73DF"/>
    <w:rsid w:val="00AF74B7"/>
    <w:rsid w:val="00AF74CB"/>
    <w:rsid w:val="00B0025E"/>
    <w:rsid w:val="00B007BC"/>
    <w:rsid w:val="00B0132C"/>
    <w:rsid w:val="00B013A9"/>
    <w:rsid w:val="00B013D4"/>
    <w:rsid w:val="00B01656"/>
    <w:rsid w:val="00B01A72"/>
    <w:rsid w:val="00B01B16"/>
    <w:rsid w:val="00B020B6"/>
    <w:rsid w:val="00B022D1"/>
    <w:rsid w:val="00B02F25"/>
    <w:rsid w:val="00B03013"/>
    <w:rsid w:val="00B03F05"/>
    <w:rsid w:val="00B03F33"/>
    <w:rsid w:val="00B04010"/>
    <w:rsid w:val="00B047C4"/>
    <w:rsid w:val="00B05624"/>
    <w:rsid w:val="00B0576D"/>
    <w:rsid w:val="00B05820"/>
    <w:rsid w:val="00B05DED"/>
    <w:rsid w:val="00B0672A"/>
    <w:rsid w:val="00B069B7"/>
    <w:rsid w:val="00B06A23"/>
    <w:rsid w:val="00B06B2B"/>
    <w:rsid w:val="00B0704B"/>
    <w:rsid w:val="00B07933"/>
    <w:rsid w:val="00B07D63"/>
    <w:rsid w:val="00B10F34"/>
    <w:rsid w:val="00B114BA"/>
    <w:rsid w:val="00B1152E"/>
    <w:rsid w:val="00B11A1B"/>
    <w:rsid w:val="00B11AD3"/>
    <w:rsid w:val="00B121B2"/>
    <w:rsid w:val="00B12277"/>
    <w:rsid w:val="00B12C6E"/>
    <w:rsid w:val="00B12FE7"/>
    <w:rsid w:val="00B12FFE"/>
    <w:rsid w:val="00B13BC4"/>
    <w:rsid w:val="00B144F2"/>
    <w:rsid w:val="00B14953"/>
    <w:rsid w:val="00B15165"/>
    <w:rsid w:val="00B15778"/>
    <w:rsid w:val="00B157E7"/>
    <w:rsid w:val="00B162C2"/>
    <w:rsid w:val="00B16985"/>
    <w:rsid w:val="00B17385"/>
    <w:rsid w:val="00B1749E"/>
    <w:rsid w:val="00B17B29"/>
    <w:rsid w:val="00B17D59"/>
    <w:rsid w:val="00B2022C"/>
    <w:rsid w:val="00B203B8"/>
    <w:rsid w:val="00B208C0"/>
    <w:rsid w:val="00B209B2"/>
    <w:rsid w:val="00B21257"/>
    <w:rsid w:val="00B218D2"/>
    <w:rsid w:val="00B21AA4"/>
    <w:rsid w:val="00B21DF7"/>
    <w:rsid w:val="00B22671"/>
    <w:rsid w:val="00B228E7"/>
    <w:rsid w:val="00B22A5A"/>
    <w:rsid w:val="00B22BC8"/>
    <w:rsid w:val="00B22D93"/>
    <w:rsid w:val="00B24563"/>
    <w:rsid w:val="00B24741"/>
    <w:rsid w:val="00B24D3A"/>
    <w:rsid w:val="00B25728"/>
    <w:rsid w:val="00B25DE6"/>
    <w:rsid w:val="00B2603C"/>
    <w:rsid w:val="00B26988"/>
    <w:rsid w:val="00B269CC"/>
    <w:rsid w:val="00B26C95"/>
    <w:rsid w:val="00B27216"/>
    <w:rsid w:val="00B2728D"/>
    <w:rsid w:val="00B279E3"/>
    <w:rsid w:val="00B30621"/>
    <w:rsid w:val="00B30785"/>
    <w:rsid w:val="00B30B2F"/>
    <w:rsid w:val="00B30F7C"/>
    <w:rsid w:val="00B310DB"/>
    <w:rsid w:val="00B311A3"/>
    <w:rsid w:val="00B3134D"/>
    <w:rsid w:val="00B3150C"/>
    <w:rsid w:val="00B3201D"/>
    <w:rsid w:val="00B3231E"/>
    <w:rsid w:val="00B326FA"/>
    <w:rsid w:val="00B328E3"/>
    <w:rsid w:val="00B32903"/>
    <w:rsid w:val="00B3382F"/>
    <w:rsid w:val="00B33DD8"/>
    <w:rsid w:val="00B3430C"/>
    <w:rsid w:val="00B34350"/>
    <w:rsid w:val="00B34D62"/>
    <w:rsid w:val="00B34D70"/>
    <w:rsid w:val="00B34E4F"/>
    <w:rsid w:val="00B35AB1"/>
    <w:rsid w:val="00B35C13"/>
    <w:rsid w:val="00B35F71"/>
    <w:rsid w:val="00B362B3"/>
    <w:rsid w:val="00B36347"/>
    <w:rsid w:val="00B36E7B"/>
    <w:rsid w:val="00B373DC"/>
    <w:rsid w:val="00B3758B"/>
    <w:rsid w:val="00B402E8"/>
    <w:rsid w:val="00B413C0"/>
    <w:rsid w:val="00B41557"/>
    <w:rsid w:val="00B41812"/>
    <w:rsid w:val="00B41817"/>
    <w:rsid w:val="00B4197B"/>
    <w:rsid w:val="00B42F51"/>
    <w:rsid w:val="00B43533"/>
    <w:rsid w:val="00B43926"/>
    <w:rsid w:val="00B43BBD"/>
    <w:rsid w:val="00B43D01"/>
    <w:rsid w:val="00B444C5"/>
    <w:rsid w:val="00B44916"/>
    <w:rsid w:val="00B451FD"/>
    <w:rsid w:val="00B452A0"/>
    <w:rsid w:val="00B456EB"/>
    <w:rsid w:val="00B4577E"/>
    <w:rsid w:val="00B45858"/>
    <w:rsid w:val="00B45C74"/>
    <w:rsid w:val="00B46424"/>
    <w:rsid w:val="00B467EF"/>
    <w:rsid w:val="00B468D5"/>
    <w:rsid w:val="00B47882"/>
    <w:rsid w:val="00B47F43"/>
    <w:rsid w:val="00B5060F"/>
    <w:rsid w:val="00B50BF1"/>
    <w:rsid w:val="00B50E3B"/>
    <w:rsid w:val="00B50E87"/>
    <w:rsid w:val="00B5100C"/>
    <w:rsid w:val="00B51668"/>
    <w:rsid w:val="00B516A6"/>
    <w:rsid w:val="00B51DE8"/>
    <w:rsid w:val="00B52E9F"/>
    <w:rsid w:val="00B5338A"/>
    <w:rsid w:val="00B53C82"/>
    <w:rsid w:val="00B53CA6"/>
    <w:rsid w:val="00B5440E"/>
    <w:rsid w:val="00B545C6"/>
    <w:rsid w:val="00B545EC"/>
    <w:rsid w:val="00B54977"/>
    <w:rsid w:val="00B54A74"/>
    <w:rsid w:val="00B54D95"/>
    <w:rsid w:val="00B54E71"/>
    <w:rsid w:val="00B551D8"/>
    <w:rsid w:val="00B553A2"/>
    <w:rsid w:val="00B5550F"/>
    <w:rsid w:val="00B55688"/>
    <w:rsid w:val="00B55F88"/>
    <w:rsid w:val="00B56162"/>
    <w:rsid w:val="00B56981"/>
    <w:rsid w:val="00B56B9A"/>
    <w:rsid w:val="00B56F3C"/>
    <w:rsid w:val="00B57451"/>
    <w:rsid w:val="00B574D4"/>
    <w:rsid w:val="00B576DE"/>
    <w:rsid w:val="00B57797"/>
    <w:rsid w:val="00B5789F"/>
    <w:rsid w:val="00B57E3E"/>
    <w:rsid w:val="00B61FDE"/>
    <w:rsid w:val="00B626A1"/>
    <w:rsid w:val="00B627E9"/>
    <w:rsid w:val="00B63471"/>
    <w:rsid w:val="00B6391B"/>
    <w:rsid w:val="00B63CC5"/>
    <w:rsid w:val="00B63DEB"/>
    <w:rsid w:val="00B64032"/>
    <w:rsid w:val="00B64585"/>
    <w:rsid w:val="00B64B1F"/>
    <w:rsid w:val="00B65002"/>
    <w:rsid w:val="00B65841"/>
    <w:rsid w:val="00B66508"/>
    <w:rsid w:val="00B666D7"/>
    <w:rsid w:val="00B66937"/>
    <w:rsid w:val="00B67273"/>
    <w:rsid w:val="00B67C9B"/>
    <w:rsid w:val="00B67CC6"/>
    <w:rsid w:val="00B702E4"/>
    <w:rsid w:val="00B70519"/>
    <w:rsid w:val="00B709AD"/>
    <w:rsid w:val="00B70E61"/>
    <w:rsid w:val="00B718F3"/>
    <w:rsid w:val="00B71BD3"/>
    <w:rsid w:val="00B72705"/>
    <w:rsid w:val="00B72C4D"/>
    <w:rsid w:val="00B73027"/>
    <w:rsid w:val="00B7342A"/>
    <w:rsid w:val="00B7359E"/>
    <w:rsid w:val="00B7397E"/>
    <w:rsid w:val="00B73A14"/>
    <w:rsid w:val="00B73E96"/>
    <w:rsid w:val="00B74894"/>
    <w:rsid w:val="00B75078"/>
    <w:rsid w:val="00B754CB"/>
    <w:rsid w:val="00B75B11"/>
    <w:rsid w:val="00B75FFD"/>
    <w:rsid w:val="00B7603F"/>
    <w:rsid w:val="00B7671B"/>
    <w:rsid w:val="00B7683E"/>
    <w:rsid w:val="00B7687C"/>
    <w:rsid w:val="00B76898"/>
    <w:rsid w:val="00B77895"/>
    <w:rsid w:val="00B77FAD"/>
    <w:rsid w:val="00B80019"/>
    <w:rsid w:val="00B80352"/>
    <w:rsid w:val="00B807DF"/>
    <w:rsid w:val="00B80AC8"/>
    <w:rsid w:val="00B813E3"/>
    <w:rsid w:val="00B81788"/>
    <w:rsid w:val="00B81F89"/>
    <w:rsid w:val="00B824ED"/>
    <w:rsid w:val="00B82B6C"/>
    <w:rsid w:val="00B82EAC"/>
    <w:rsid w:val="00B83881"/>
    <w:rsid w:val="00B8439D"/>
    <w:rsid w:val="00B847D6"/>
    <w:rsid w:val="00B85AB2"/>
    <w:rsid w:val="00B8636A"/>
    <w:rsid w:val="00B865E2"/>
    <w:rsid w:val="00B86B42"/>
    <w:rsid w:val="00B86D93"/>
    <w:rsid w:val="00B86DE8"/>
    <w:rsid w:val="00B86EA6"/>
    <w:rsid w:val="00B86FAF"/>
    <w:rsid w:val="00B8749C"/>
    <w:rsid w:val="00B87C5D"/>
    <w:rsid w:val="00B904A9"/>
    <w:rsid w:val="00B907CF"/>
    <w:rsid w:val="00B910DF"/>
    <w:rsid w:val="00B91386"/>
    <w:rsid w:val="00B916AA"/>
    <w:rsid w:val="00B91D93"/>
    <w:rsid w:val="00B91F56"/>
    <w:rsid w:val="00B925FD"/>
    <w:rsid w:val="00B92BFF"/>
    <w:rsid w:val="00B92D4C"/>
    <w:rsid w:val="00B9307F"/>
    <w:rsid w:val="00B93157"/>
    <w:rsid w:val="00B94146"/>
    <w:rsid w:val="00B942C7"/>
    <w:rsid w:val="00B94B71"/>
    <w:rsid w:val="00B95CAE"/>
    <w:rsid w:val="00B96625"/>
    <w:rsid w:val="00B967C9"/>
    <w:rsid w:val="00B96B24"/>
    <w:rsid w:val="00B96D73"/>
    <w:rsid w:val="00B96FEB"/>
    <w:rsid w:val="00B97A5F"/>
    <w:rsid w:val="00BA14F3"/>
    <w:rsid w:val="00BA155A"/>
    <w:rsid w:val="00BA1585"/>
    <w:rsid w:val="00BA1609"/>
    <w:rsid w:val="00BA178D"/>
    <w:rsid w:val="00BA19D5"/>
    <w:rsid w:val="00BA1A94"/>
    <w:rsid w:val="00BA1B29"/>
    <w:rsid w:val="00BA2178"/>
    <w:rsid w:val="00BA28FD"/>
    <w:rsid w:val="00BA37ED"/>
    <w:rsid w:val="00BA385E"/>
    <w:rsid w:val="00BA4107"/>
    <w:rsid w:val="00BA42AE"/>
    <w:rsid w:val="00BA4D46"/>
    <w:rsid w:val="00BA5423"/>
    <w:rsid w:val="00BA5E98"/>
    <w:rsid w:val="00BA5E9A"/>
    <w:rsid w:val="00BA5ED1"/>
    <w:rsid w:val="00BA5FFC"/>
    <w:rsid w:val="00BA66FB"/>
    <w:rsid w:val="00BA6B53"/>
    <w:rsid w:val="00BA795D"/>
    <w:rsid w:val="00BB075F"/>
    <w:rsid w:val="00BB0837"/>
    <w:rsid w:val="00BB0A7C"/>
    <w:rsid w:val="00BB0ADB"/>
    <w:rsid w:val="00BB0BD6"/>
    <w:rsid w:val="00BB0E97"/>
    <w:rsid w:val="00BB13F6"/>
    <w:rsid w:val="00BB1F79"/>
    <w:rsid w:val="00BB1FC7"/>
    <w:rsid w:val="00BB2202"/>
    <w:rsid w:val="00BB2320"/>
    <w:rsid w:val="00BB24C5"/>
    <w:rsid w:val="00BB2683"/>
    <w:rsid w:val="00BB2A76"/>
    <w:rsid w:val="00BB3387"/>
    <w:rsid w:val="00BB4562"/>
    <w:rsid w:val="00BB4822"/>
    <w:rsid w:val="00BB4885"/>
    <w:rsid w:val="00BB58C1"/>
    <w:rsid w:val="00BB60E2"/>
    <w:rsid w:val="00BB65C3"/>
    <w:rsid w:val="00BB6E61"/>
    <w:rsid w:val="00BB7561"/>
    <w:rsid w:val="00BB7EA7"/>
    <w:rsid w:val="00BC041B"/>
    <w:rsid w:val="00BC0E6E"/>
    <w:rsid w:val="00BC15B9"/>
    <w:rsid w:val="00BC1D39"/>
    <w:rsid w:val="00BC23B5"/>
    <w:rsid w:val="00BC297D"/>
    <w:rsid w:val="00BC2C34"/>
    <w:rsid w:val="00BC2CB0"/>
    <w:rsid w:val="00BC33D4"/>
    <w:rsid w:val="00BC433B"/>
    <w:rsid w:val="00BC4A74"/>
    <w:rsid w:val="00BC4B0C"/>
    <w:rsid w:val="00BC4C2D"/>
    <w:rsid w:val="00BC50B2"/>
    <w:rsid w:val="00BC5CD8"/>
    <w:rsid w:val="00BC5D00"/>
    <w:rsid w:val="00BC66F0"/>
    <w:rsid w:val="00BC671A"/>
    <w:rsid w:val="00BC724B"/>
    <w:rsid w:val="00BD0227"/>
    <w:rsid w:val="00BD0F16"/>
    <w:rsid w:val="00BD144C"/>
    <w:rsid w:val="00BD1588"/>
    <w:rsid w:val="00BD174D"/>
    <w:rsid w:val="00BD1CF6"/>
    <w:rsid w:val="00BD1FB3"/>
    <w:rsid w:val="00BD30DC"/>
    <w:rsid w:val="00BD3BDC"/>
    <w:rsid w:val="00BD4225"/>
    <w:rsid w:val="00BD4670"/>
    <w:rsid w:val="00BD4935"/>
    <w:rsid w:val="00BD49A6"/>
    <w:rsid w:val="00BD4B06"/>
    <w:rsid w:val="00BD4D44"/>
    <w:rsid w:val="00BD4DC9"/>
    <w:rsid w:val="00BD524E"/>
    <w:rsid w:val="00BD5F37"/>
    <w:rsid w:val="00BD613D"/>
    <w:rsid w:val="00BD686C"/>
    <w:rsid w:val="00BD6B63"/>
    <w:rsid w:val="00BD6CF1"/>
    <w:rsid w:val="00BD6EA0"/>
    <w:rsid w:val="00BD755F"/>
    <w:rsid w:val="00BD7861"/>
    <w:rsid w:val="00BD7EC0"/>
    <w:rsid w:val="00BE01D5"/>
    <w:rsid w:val="00BE0665"/>
    <w:rsid w:val="00BE09A6"/>
    <w:rsid w:val="00BE195A"/>
    <w:rsid w:val="00BE1BDF"/>
    <w:rsid w:val="00BE210F"/>
    <w:rsid w:val="00BE4039"/>
    <w:rsid w:val="00BE46D7"/>
    <w:rsid w:val="00BE47A0"/>
    <w:rsid w:val="00BE5119"/>
    <w:rsid w:val="00BE5331"/>
    <w:rsid w:val="00BE5C10"/>
    <w:rsid w:val="00BE5D0D"/>
    <w:rsid w:val="00BE6C29"/>
    <w:rsid w:val="00BE6F94"/>
    <w:rsid w:val="00BE7213"/>
    <w:rsid w:val="00BE76E7"/>
    <w:rsid w:val="00BE789A"/>
    <w:rsid w:val="00BE7B1E"/>
    <w:rsid w:val="00BE7D4C"/>
    <w:rsid w:val="00BF0117"/>
    <w:rsid w:val="00BF01A8"/>
    <w:rsid w:val="00BF073A"/>
    <w:rsid w:val="00BF0AE4"/>
    <w:rsid w:val="00BF13E3"/>
    <w:rsid w:val="00BF1715"/>
    <w:rsid w:val="00BF2474"/>
    <w:rsid w:val="00BF272D"/>
    <w:rsid w:val="00BF2D61"/>
    <w:rsid w:val="00BF30CB"/>
    <w:rsid w:val="00BF3611"/>
    <w:rsid w:val="00BF4035"/>
    <w:rsid w:val="00BF4105"/>
    <w:rsid w:val="00BF425B"/>
    <w:rsid w:val="00BF449C"/>
    <w:rsid w:val="00BF68DE"/>
    <w:rsid w:val="00BF6A08"/>
    <w:rsid w:val="00BF6A1E"/>
    <w:rsid w:val="00BF6CDF"/>
    <w:rsid w:val="00BF7296"/>
    <w:rsid w:val="00BF7829"/>
    <w:rsid w:val="00BF78F2"/>
    <w:rsid w:val="00C0012C"/>
    <w:rsid w:val="00C00988"/>
    <w:rsid w:val="00C01876"/>
    <w:rsid w:val="00C01DCB"/>
    <w:rsid w:val="00C0241F"/>
    <w:rsid w:val="00C02772"/>
    <w:rsid w:val="00C027E6"/>
    <w:rsid w:val="00C029D0"/>
    <w:rsid w:val="00C02B76"/>
    <w:rsid w:val="00C0363F"/>
    <w:rsid w:val="00C03D94"/>
    <w:rsid w:val="00C04488"/>
    <w:rsid w:val="00C04F15"/>
    <w:rsid w:val="00C054A5"/>
    <w:rsid w:val="00C05557"/>
    <w:rsid w:val="00C057E8"/>
    <w:rsid w:val="00C05E00"/>
    <w:rsid w:val="00C05EE9"/>
    <w:rsid w:val="00C06156"/>
    <w:rsid w:val="00C06343"/>
    <w:rsid w:val="00C068AF"/>
    <w:rsid w:val="00C06959"/>
    <w:rsid w:val="00C06A49"/>
    <w:rsid w:val="00C07057"/>
    <w:rsid w:val="00C07A44"/>
    <w:rsid w:val="00C1003B"/>
    <w:rsid w:val="00C10389"/>
    <w:rsid w:val="00C10400"/>
    <w:rsid w:val="00C1096F"/>
    <w:rsid w:val="00C1132D"/>
    <w:rsid w:val="00C1197D"/>
    <w:rsid w:val="00C1227D"/>
    <w:rsid w:val="00C12CDB"/>
    <w:rsid w:val="00C131BA"/>
    <w:rsid w:val="00C1368A"/>
    <w:rsid w:val="00C1415F"/>
    <w:rsid w:val="00C145CD"/>
    <w:rsid w:val="00C14A70"/>
    <w:rsid w:val="00C15197"/>
    <w:rsid w:val="00C15377"/>
    <w:rsid w:val="00C158B2"/>
    <w:rsid w:val="00C159ED"/>
    <w:rsid w:val="00C15CAE"/>
    <w:rsid w:val="00C1620E"/>
    <w:rsid w:val="00C16C24"/>
    <w:rsid w:val="00C16EBF"/>
    <w:rsid w:val="00C17B05"/>
    <w:rsid w:val="00C20028"/>
    <w:rsid w:val="00C20430"/>
    <w:rsid w:val="00C20C37"/>
    <w:rsid w:val="00C20FD0"/>
    <w:rsid w:val="00C211AB"/>
    <w:rsid w:val="00C215B4"/>
    <w:rsid w:val="00C21716"/>
    <w:rsid w:val="00C21F0B"/>
    <w:rsid w:val="00C223D8"/>
    <w:rsid w:val="00C22468"/>
    <w:rsid w:val="00C225A0"/>
    <w:rsid w:val="00C22673"/>
    <w:rsid w:val="00C23CD3"/>
    <w:rsid w:val="00C23D46"/>
    <w:rsid w:val="00C23E1C"/>
    <w:rsid w:val="00C23E94"/>
    <w:rsid w:val="00C24280"/>
    <w:rsid w:val="00C245F7"/>
    <w:rsid w:val="00C24B1B"/>
    <w:rsid w:val="00C24E3F"/>
    <w:rsid w:val="00C25A6B"/>
    <w:rsid w:val="00C26448"/>
    <w:rsid w:val="00C2675E"/>
    <w:rsid w:val="00C271FB"/>
    <w:rsid w:val="00C27EB5"/>
    <w:rsid w:val="00C30850"/>
    <w:rsid w:val="00C30CCB"/>
    <w:rsid w:val="00C30FFE"/>
    <w:rsid w:val="00C311A1"/>
    <w:rsid w:val="00C314E0"/>
    <w:rsid w:val="00C3164C"/>
    <w:rsid w:val="00C31AA0"/>
    <w:rsid w:val="00C31F13"/>
    <w:rsid w:val="00C32243"/>
    <w:rsid w:val="00C327B2"/>
    <w:rsid w:val="00C32C4B"/>
    <w:rsid w:val="00C32C94"/>
    <w:rsid w:val="00C32CE4"/>
    <w:rsid w:val="00C3315F"/>
    <w:rsid w:val="00C33F26"/>
    <w:rsid w:val="00C33F28"/>
    <w:rsid w:val="00C33F44"/>
    <w:rsid w:val="00C34A3B"/>
    <w:rsid w:val="00C34F1B"/>
    <w:rsid w:val="00C35DBA"/>
    <w:rsid w:val="00C37475"/>
    <w:rsid w:val="00C37EE9"/>
    <w:rsid w:val="00C4047F"/>
    <w:rsid w:val="00C404C6"/>
    <w:rsid w:val="00C40C2E"/>
    <w:rsid w:val="00C41DB2"/>
    <w:rsid w:val="00C42584"/>
    <w:rsid w:val="00C425B5"/>
    <w:rsid w:val="00C42B1C"/>
    <w:rsid w:val="00C4332B"/>
    <w:rsid w:val="00C4366D"/>
    <w:rsid w:val="00C438A6"/>
    <w:rsid w:val="00C43A4A"/>
    <w:rsid w:val="00C44069"/>
    <w:rsid w:val="00C440F6"/>
    <w:rsid w:val="00C44612"/>
    <w:rsid w:val="00C4467D"/>
    <w:rsid w:val="00C452C6"/>
    <w:rsid w:val="00C4532A"/>
    <w:rsid w:val="00C45BE7"/>
    <w:rsid w:val="00C45BF4"/>
    <w:rsid w:val="00C45CB7"/>
    <w:rsid w:val="00C4614B"/>
    <w:rsid w:val="00C46472"/>
    <w:rsid w:val="00C46746"/>
    <w:rsid w:val="00C46841"/>
    <w:rsid w:val="00C468D5"/>
    <w:rsid w:val="00C468E1"/>
    <w:rsid w:val="00C46B79"/>
    <w:rsid w:val="00C46EC2"/>
    <w:rsid w:val="00C474A6"/>
    <w:rsid w:val="00C479C0"/>
    <w:rsid w:val="00C47B1C"/>
    <w:rsid w:val="00C47E46"/>
    <w:rsid w:val="00C47FDA"/>
    <w:rsid w:val="00C501FA"/>
    <w:rsid w:val="00C50C16"/>
    <w:rsid w:val="00C52306"/>
    <w:rsid w:val="00C5263B"/>
    <w:rsid w:val="00C5263C"/>
    <w:rsid w:val="00C52D72"/>
    <w:rsid w:val="00C5301E"/>
    <w:rsid w:val="00C53107"/>
    <w:rsid w:val="00C53A7E"/>
    <w:rsid w:val="00C53BA8"/>
    <w:rsid w:val="00C53DE9"/>
    <w:rsid w:val="00C541A4"/>
    <w:rsid w:val="00C54BC5"/>
    <w:rsid w:val="00C54E6F"/>
    <w:rsid w:val="00C552A9"/>
    <w:rsid w:val="00C557DB"/>
    <w:rsid w:val="00C55F9E"/>
    <w:rsid w:val="00C5690F"/>
    <w:rsid w:val="00C56CA2"/>
    <w:rsid w:val="00C56E80"/>
    <w:rsid w:val="00C56EEC"/>
    <w:rsid w:val="00C570BA"/>
    <w:rsid w:val="00C57BB4"/>
    <w:rsid w:val="00C608E1"/>
    <w:rsid w:val="00C60A2C"/>
    <w:rsid w:val="00C611B4"/>
    <w:rsid w:val="00C61370"/>
    <w:rsid w:val="00C61C54"/>
    <w:rsid w:val="00C62049"/>
    <w:rsid w:val="00C620AE"/>
    <w:rsid w:val="00C6215C"/>
    <w:rsid w:val="00C621A2"/>
    <w:rsid w:val="00C627DD"/>
    <w:rsid w:val="00C628DE"/>
    <w:rsid w:val="00C630A6"/>
    <w:rsid w:val="00C63752"/>
    <w:rsid w:val="00C6441D"/>
    <w:rsid w:val="00C64435"/>
    <w:rsid w:val="00C65C00"/>
    <w:rsid w:val="00C65E9F"/>
    <w:rsid w:val="00C660F9"/>
    <w:rsid w:val="00C66169"/>
    <w:rsid w:val="00C663BB"/>
    <w:rsid w:val="00C663D1"/>
    <w:rsid w:val="00C66544"/>
    <w:rsid w:val="00C66BC2"/>
    <w:rsid w:val="00C66FFA"/>
    <w:rsid w:val="00C670A5"/>
    <w:rsid w:val="00C6750F"/>
    <w:rsid w:val="00C6756D"/>
    <w:rsid w:val="00C67A8F"/>
    <w:rsid w:val="00C67B3E"/>
    <w:rsid w:val="00C7010D"/>
    <w:rsid w:val="00C70484"/>
    <w:rsid w:val="00C705B2"/>
    <w:rsid w:val="00C70B3C"/>
    <w:rsid w:val="00C70D48"/>
    <w:rsid w:val="00C7147E"/>
    <w:rsid w:val="00C729DC"/>
    <w:rsid w:val="00C72ACE"/>
    <w:rsid w:val="00C72C1E"/>
    <w:rsid w:val="00C73287"/>
    <w:rsid w:val="00C73355"/>
    <w:rsid w:val="00C73784"/>
    <w:rsid w:val="00C73C11"/>
    <w:rsid w:val="00C740F7"/>
    <w:rsid w:val="00C74420"/>
    <w:rsid w:val="00C74CCD"/>
    <w:rsid w:val="00C74E53"/>
    <w:rsid w:val="00C756A7"/>
    <w:rsid w:val="00C7590A"/>
    <w:rsid w:val="00C759BD"/>
    <w:rsid w:val="00C75DAA"/>
    <w:rsid w:val="00C75E15"/>
    <w:rsid w:val="00C75FE7"/>
    <w:rsid w:val="00C766EA"/>
    <w:rsid w:val="00C76B4F"/>
    <w:rsid w:val="00C76E79"/>
    <w:rsid w:val="00C76EEC"/>
    <w:rsid w:val="00C76F7C"/>
    <w:rsid w:val="00C77061"/>
    <w:rsid w:val="00C77279"/>
    <w:rsid w:val="00C773EC"/>
    <w:rsid w:val="00C77CAE"/>
    <w:rsid w:val="00C8025D"/>
    <w:rsid w:val="00C80565"/>
    <w:rsid w:val="00C80DE4"/>
    <w:rsid w:val="00C80F0B"/>
    <w:rsid w:val="00C82513"/>
    <w:rsid w:val="00C826B4"/>
    <w:rsid w:val="00C828D4"/>
    <w:rsid w:val="00C829D8"/>
    <w:rsid w:val="00C8305E"/>
    <w:rsid w:val="00C83240"/>
    <w:rsid w:val="00C83251"/>
    <w:rsid w:val="00C83286"/>
    <w:rsid w:val="00C837FC"/>
    <w:rsid w:val="00C83B96"/>
    <w:rsid w:val="00C83BD4"/>
    <w:rsid w:val="00C8411F"/>
    <w:rsid w:val="00C84A5F"/>
    <w:rsid w:val="00C85286"/>
    <w:rsid w:val="00C853DB"/>
    <w:rsid w:val="00C8592A"/>
    <w:rsid w:val="00C85D81"/>
    <w:rsid w:val="00C862D4"/>
    <w:rsid w:val="00C86AFF"/>
    <w:rsid w:val="00C86E86"/>
    <w:rsid w:val="00C8712B"/>
    <w:rsid w:val="00C8757C"/>
    <w:rsid w:val="00C8780C"/>
    <w:rsid w:val="00C87DA8"/>
    <w:rsid w:val="00C903BC"/>
    <w:rsid w:val="00C90420"/>
    <w:rsid w:val="00C906C6"/>
    <w:rsid w:val="00C90B53"/>
    <w:rsid w:val="00C90C6E"/>
    <w:rsid w:val="00C91807"/>
    <w:rsid w:val="00C91CEB"/>
    <w:rsid w:val="00C92556"/>
    <w:rsid w:val="00C92588"/>
    <w:rsid w:val="00C93CC1"/>
    <w:rsid w:val="00C93FEF"/>
    <w:rsid w:val="00C94217"/>
    <w:rsid w:val="00C948B9"/>
    <w:rsid w:val="00C94B42"/>
    <w:rsid w:val="00C9516C"/>
    <w:rsid w:val="00C95495"/>
    <w:rsid w:val="00C95743"/>
    <w:rsid w:val="00C958A9"/>
    <w:rsid w:val="00C9694B"/>
    <w:rsid w:val="00C969BD"/>
    <w:rsid w:val="00C974F7"/>
    <w:rsid w:val="00C97B0D"/>
    <w:rsid w:val="00C97B24"/>
    <w:rsid w:val="00CA0415"/>
    <w:rsid w:val="00CA0CE4"/>
    <w:rsid w:val="00CA0DDC"/>
    <w:rsid w:val="00CA15AA"/>
    <w:rsid w:val="00CA37A8"/>
    <w:rsid w:val="00CA447D"/>
    <w:rsid w:val="00CA44E0"/>
    <w:rsid w:val="00CA45A7"/>
    <w:rsid w:val="00CA5453"/>
    <w:rsid w:val="00CA55E9"/>
    <w:rsid w:val="00CA68CF"/>
    <w:rsid w:val="00CA6A17"/>
    <w:rsid w:val="00CA6CD0"/>
    <w:rsid w:val="00CA70F1"/>
    <w:rsid w:val="00CA71A7"/>
    <w:rsid w:val="00CA7582"/>
    <w:rsid w:val="00CA7DCE"/>
    <w:rsid w:val="00CB0321"/>
    <w:rsid w:val="00CB0A26"/>
    <w:rsid w:val="00CB0B8F"/>
    <w:rsid w:val="00CB1309"/>
    <w:rsid w:val="00CB1D0E"/>
    <w:rsid w:val="00CB1E47"/>
    <w:rsid w:val="00CB2BCD"/>
    <w:rsid w:val="00CB2CD3"/>
    <w:rsid w:val="00CB2DF2"/>
    <w:rsid w:val="00CB3200"/>
    <w:rsid w:val="00CB3C2F"/>
    <w:rsid w:val="00CB3E04"/>
    <w:rsid w:val="00CB3F23"/>
    <w:rsid w:val="00CB48DA"/>
    <w:rsid w:val="00CB4D35"/>
    <w:rsid w:val="00CB4FF1"/>
    <w:rsid w:val="00CB532E"/>
    <w:rsid w:val="00CB5869"/>
    <w:rsid w:val="00CB623D"/>
    <w:rsid w:val="00CB6495"/>
    <w:rsid w:val="00CB65A4"/>
    <w:rsid w:val="00CB723B"/>
    <w:rsid w:val="00CB7367"/>
    <w:rsid w:val="00CB73C5"/>
    <w:rsid w:val="00CB7494"/>
    <w:rsid w:val="00CB7A0C"/>
    <w:rsid w:val="00CB7A84"/>
    <w:rsid w:val="00CB7CB1"/>
    <w:rsid w:val="00CB7FB7"/>
    <w:rsid w:val="00CB7FF2"/>
    <w:rsid w:val="00CC04B2"/>
    <w:rsid w:val="00CC1056"/>
    <w:rsid w:val="00CC31F5"/>
    <w:rsid w:val="00CC32FF"/>
    <w:rsid w:val="00CC36D7"/>
    <w:rsid w:val="00CC3E39"/>
    <w:rsid w:val="00CC4569"/>
    <w:rsid w:val="00CC489F"/>
    <w:rsid w:val="00CC4988"/>
    <w:rsid w:val="00CC50E9"/>
    <w:rsid w:val="00CC5160"/>
    <w:rsid w:val="00CC5231"/>
    <w:rsid w:val="00CC5392"/>
    <w:rsid w:val="00CC55B8"/>
    <w:rsid w:val="00CC58D2"/>
    <w:rsid w:val="00CC5A58"/>
    <w:rsid w:val="00CC5D8D"/>
    <w:rsid w:val="00CC63FC"/>
    <w:rsid w:val="00CC65AA"/>
    <w:rsid w:val="00CD0225"/>
    <w:rsid w:val="00CD08AA"/>
    <w:rsid w:val="00CD09CB"/>
    <w:rsid w:val="00CD0C41"/>
    <w:rsid w:val="00CD0F22"/>
    <w:rsid w:val="00CD1416"/>
    <w:rsid w:val="00CD1997"/>
    <w:rsid w:val="00CD1D9D"/>
    <w:rsid w:val="00CD1DE3"/>
    <w:rsid w:val="00CD1EB3"/>
    <w:rsid w:val="00CD2AC1"/>
    <w:rsid w:val="00CD2B45"/>
    <w:rsid w:val="00CD2E41"/>
    <w:rsid w:val="00CD3179"/>
    <w:rsid w:val="00CD32DE"/>
    <w:rsid w:val="00CD3A5C"/>
    <w:rsid w:val="00CD405E"/>
    <w:rsid w:val="00CD4354"/>
    <w:rsid w:val="00CD4595"/>
    <w:rsid w:val="00CD460A"/>
    <w:rsid w:val="00CD4698"/>
    <w:rsid w:val="00CD486F"/>
    <w:rsid w:val="00CD493F"/>
    <w:rsid w:val="00CD4E84"/>
    <w:rsid w:val="00CD5137"/>
    <w:rsid w:val="00CD5C77"/>
    <w:rsid w:val="00CD6487"/>
    <w:rsid w:val="00CD6644"/>
    <w:rsid w:val="00CD6A34"/>
    <w:rsid w:val="00CD7C63"/>
    <w:rsid w:val="00CE0687"/>
    <w:rsid w:val="00CE0F7B"/>
    <w:rsid w:val="00CE1023"/>
    <w:rsid w:val="00CE10B3"/>
    <w:rsid w:val="00CE135D"/>
    <w:rsid w:val="00CE1702"/>
    <w:rsid w:val="00CE18B0"/>
    <w:rsid w:val="00CE1E97"/>
    <w:rsid w:val="00CE281C"/>
    <w:rsid w:val="00CE2EE9"/>
    <w:rsid w:val="00CE3291"/>
    <w:rsid w:val="00CE36F5"/>
    <w:rsid w:val="00CE401B"/>
    <w:rsid w:val="00CE4387"/>
    <w:rsid w:val="00CE4641"/>
    <w:rsid w:val="00CE4C24"/>
    <w:rsid w:val="00CE5184"/>
    <w:rsid w:val="00CE5A1B"/>
    <w:rsid w:val="00CE655A"/>
    <w:rsid w:val="00CE6632"/>
    <w:rsid w:val="00CE67DC"/>
    <w:rsid w:val="00CE682D"/>
    <w:rsid w:val="00CE69E7"/>
    <w:rsid w:val="00CE6FDC"/>
    <w:rsid w:val="00CE720A"/>
    <w:rsid w:val="00CE72D6"/>
    <w:rsid w:val="00CE74F2"/>
    <w:rsid w:val="00CF008E"/>
    <w:rsid w:val="00CF0A72"/>
    <w:rsid w:val="00CF0A73"/>
    <w:rsid w:val="00CF0C97"/>
    <w:rsid w:val="00CF0F64"/>
    <w:rsid w:val="00CF12F4"/>
    <w:rsid w:val="00CF1FCA"/>
    <w:rsid w:val="00CF206E"/>
    <w:rsid w:val="00CF2A45"/>
    <w:rsid w:val="00CF2AB0"/>
    <w:rsid w:val="00CF2AC9"/>
    <w:rsid w:val="00CF3530"/>
    <w:rsid w:val="00CF3909"/>
    <w:rsid w:val="00CF3A14"/>
    <w:rsid w:val="00CF4270"/>
    <w:rsid w:val="00CF472A"/>
    <w:rsid w:val="00CF49A6"/>
    <w:rsid w:val="00CF4C03"/>
    <w:rsid w:val="00CF4D72"/>
    <w:rsid w:val="00CF4DC5"/>
    <w:rsid w:val="00CF4E18"/>
    <w:rsid w:val="00CF51DB"/>
    <w:rsid w:val="00CF57BE"/>
    <w:rsid w:val="00CF5A70"/>
    <w:rsid w:val="00CF5C7C"/>
    <w:rsid w:val="00CF6088"/>
    <w:rsid w:val="00CF6360"/>
    <w:rsid w:val="00CF6685"/>
    <w:rsid w:val="00CF75A4"/>
    <w:rsid w:val="00CF7679"/>
    <w:rsid w:val="00CF7CE0"/>
    <w:rsid w:val="00D00363"/>
    <w:rsid w:val="00D003FA"/>
    <w:rsid w:val="00D00443"/>
    <w:rsid w:val="00D00CCF"/>
    <w:rsid w:val="00D01DA6"/>
    <w:rsid w:val="00D03D79"/>
    <w:rsid w:val="00D03E4C"/>
    <w:rsid w:val="00D040DA"/>
    <w:rsid w:val="00D0418D"/>
    <w:rsid w:val="00D043DD"/>
    <w:rsid w:val="00D04919"/>
    <w:rsid w:val="00D04F9F"/>
    <w:rsid w:val="00D0557C"/>
    <w:rsid w:val="00D05F87"/>
    <w:rsid w:val="00D06645"/>
    <w:rsid w:val="00D06E77"/>
    <w:rsid w:val="00D06E9D"/>
    <w:rsid w:val="00D0709B"/>
    <w:rsid w:val="00D074D1"/>
    <w:rsid w:val="00D07C7D"/>
    <w:rsid w:val="00D10288"/>
    <w:rsid w:val="00D1073A"/>
    <w:rsid w:val="00D12138"/>
    <w:rsid w:val="00D12380"/>
    <w:rsid w:val="00D13859"/>
    <w:rsid w:val="00D13908"/>
    <w:rsid w:val="00D15085"/>
    <w:rsid w:val="00D155E6"/>
    <w:rsid w:val="00D158BC"/>
    <w:rsid w:val="00D15B28"/>
    <w:rsid w:val="00D160B2"/>
    <w:rsid w:val="00D1621F"/>
    <w:rsid w:val="00D164AB"/>
    <w:rsid w:val="00D16E08"/>
    <w:rsid w:val="00D173CF"/>
    <w:rsid w:val="00D17C62"/>
    <w:rsid w:val="00D17FD4"/>
    <w:rsid w:val="00D205E7"/>
    <w:rsid w:val="00D20988"/>
    <w:rsid w:val="00D20992"/>
    <w:rsid w:val="00D21752"/>
    <w:rsid w:val="00D2189B"/>
    <w:rsid w:val="00D21E14"/>
    <w:rsid w:val="00D21E48"/>
    <w:rsid w:val="00D21F18"/>
    <w:rsid w:val="00D22906"/>
    <w:rsid w:val="00D22DE1"/>
    <w:rsid w:val="00D236F2"/>
    <w:rsid w:val="00D23BA3"/>
    <w:rsid w:val="00D24B6F"/>
    <w:rsid w:val="00D25482"/>
    <w:rsid w:val="00D25E37"/>
    <w:rsid w:val="00D262A4"/>
    <w:rsid w:val="00D26844"/>
    <w:rsid w:val="00D273C7"/>
    <w:rsid w:val="00D27484"/>
    <w:rsid w:val="00D2781A"/>
    <w:rsid w:val="00D27E77"/>
    <w:rsid w:val="00D3040B"/>
    <w:rsid w:val="00D3059D"/>
    <w:rsid w:val="00D30E90"/>
    <w:rsid w:val="00D315F9"/>
    <w:rsid w:val="00D31A1C"/>
    <w:rsid w:val="00D3222F"/>
    <w:rsid w:val="00D32B3C"/>
    <w:rsid w:val="00D331FD"/>
    <w:rsid w:val="00D33381"/>
    <w:rsid w:val="00D340F7"/>
    <w:rsid w:val="00D351BC"/>
    <w:rsid w:val="00D356E2"/>
    <w:rsid w:val="00D358BE"/>
    <w:rsid w:val="00D358F4"/>
    <w:rsid w:val="00D35B85"/>
    <w:rsid w:val="00D35E3D"/>
    <w:rsid w:val="00D35E95"/>
    <w:rsid w:val="00D360D0"/>
    <w:rsid w:val="00D36307"/>
    <w:rsid w:val="00D36485"/>
    <w:rsid w:val="00D365DB"/>
    <w:rsid w:val="00D36999"/>
    <w:rsid w:val="00D4079A"/>
    <w:rsid w:val="00D407A6"/>
    <w:rsid w:val="00D40932"/>
    <w:rsid w:val="00D40B7A"/>
    <w:rsid w:val="00D40BCB"/>
    <w:rsid w:val="00D40DAE"/>
    <w:rsid w:val="00D41D16"/>
    <w:rsid w:val="00D4262C"/>
    <w:rsid w:val="00D43276"/>
    <w:rsid w:val="00D43CFE"/>
    <w:rsid w:val="00D441A1"/>
    <w:rsid w:val="00D444CF"/>
    <w:rsid w:val="00D4462A"/>
    <w:rsid w:val="00D44802"/>
    <w:rsid w:val="00D44AC8"/>
    <w:rsid w:val="00D44BA7"/>
    <w:rsid w:val="00D44F05"/>
    <w:rsid w:val="00D45590"/>
    <w:rsid w:val="00D458A3"/>
    <w:rsid w:val="00D45D48"/>
    <w:rsid w:val="00D460E1"/>
    <w:rsid w:val="00D46291"/>
    <w:rsid w:val="00D464D1"/>
    <w:rsid w:val="00D4659D"/>
    <w:rsid w:val="00D46BF9"/>
    <w:rsid w:val="00D47415"/>
    <w:rsid w:val="00D4741B"/>
    <w:rsid w:val="00D47434"/>
    <w:rsid w:val="00D47770"/>
    <w:rsid w:val="00D47E6C"/>
    <w:rsid w:val="00D50812"/>
    <w:rsid w:val="00D5110A"/>
    <w:rsid w:val="00D51791"/>
    <w:rsid w:val="00D51E1A"/>
    <w:rsid w:val="00D526BC"/>
    <w:rsid w:val="00D52A9F"/>
    <w:rsid w:val="00D53CEF"/>
    <w:rsid w:val="00D5412E"/>
    <w:rsid w:val="00D54555"/>
    <w:rsid w:val="00D54837"/>
    <w:rsid w:val="00D5494B"/>
    <w:rsid w:val="00D54BBD"/>
    <w:rsid w:val="00D54E60"/>
    <w:rsid w:val="00D559A9"/>
    <w:rsid w:val="00D55D46"/>
    <w:rsid w:val="00D55F9F"/>
    <w:rsid w:val="00D561E9"/>
    <w:rsid w:val="00D56970"/>
    <w:rsid w:val="00D56B04"/>
    <w:rsid w:val="00D56D1C"/>
    <w:rsid w:val="00D56EED"/>
    <w:rsid w:val="00D56F0E"/>
    <w:rsid w:val="00D5757E"/>
    <w:rsid w:val="00D60536"/>
    <w:rsid w:val="00D608A1"/>
    <w:rsid w:val="00D61376"/>
    <w:rsid w:val="00D63267"/>
    <w:rsid w:val="00D63280"/>
    <w:rsid w:val="00D63ABA"/>
    <w:rsid w:val="00D63CBF"/>
    <w:rsid w:val="00D63E9F"/>
    <w:rsid w:val="00D63F2F"/>
    <w:rsid w:val="00D64DDE"/>
    <w:rsid w:val="00D6556F"/>
    <w:rsid w:val="00D65A07"/>
    <w:rsid w:val="00D65EA3"/>
    <w:rsid w:val="00D66080"/>
    <w:rsid w:val="00D6629B"/>
    <w:rsid w:val="00D664F0"/>
    <w:rsid w:val="00D66B7A"/>
    <w:rsid w:val="00D66C53"/>
    <w:rsid w:val="00D67DDF"/>
    <w:rsid w:val="00D67FB7"/>
    <w:rsid w:val="00D70A90"/>
    <w:rsid w:val="00D70BDF"/>
    <w:rsid w:val="00D70C2B"/>
    <w:rsid w:val="00D70CC3"/>
    <w:rsid w:val="00D71945"/>
    <w:rsid w:val="00D72EFD"/>
    <w:rsid w:val="00D73BE9"/>
    <w:rsid w:val="00D741C1"/>
    <w:rsid w:val="00D7422D"/>
    <w:rsid w:val="00D74991"/>
    <w:rsid w:val="00D74B2A"/>
    <w:rsid w:val="00D75087"/>
    <w:rsid w:val="00D75C78"/>
    <w:rsid w:val="00D75FEA"/>
    <w:rsid w:val="00D764B6"/>
    <w:rsid w:val="00D76B69"/>
    <w:rsid w:val="00D76C96"/>
    <w:rsid w:val="00D77879"/>
    <w:rsid w:val="00D778C9"/>
    <w:rsid w:val="00D77B86"/>
    <w:rsid w:val="00D77F00"/>
    <w:rsid w:val="00D77F0B"/>
    <w:rsid w:val="00D808CC"/>
    <w:rsid w:val="00D809E8"/>
    <w:rsid w:val="00D810B3"/>
    <w:rsid w:val="00D81384"/>
    <w:rsid w:val="00D82A8A"/>
    <w:rsid w:val="00D82B23"/>
    <w:rsid w:val="00D82DB6"/>
    <w:rsid w:val="00D82F33"/>
    <w:rsid w:val="00D83684"/>
    <w:rsid w:val="00D83A61"/>
    <w:rsid w:val="00D84F2C"/>
    <w:rsid w:val="00D8597D"/>
    <w:rsid w:val="00D86752"/>
    <w:rsid w:val="00D872D4"/>
    <w:rsid w:val="00D873BF"/>
    <w:rsid w:val="00D87A0C"/>
    <w:rsid w:val="00D900AA"/>
    <w:rsid w:val="00D90A09"/>
    <w:rsid w:val="00D90D40"/>
    <w:rsid w:val="00D90EB3"/>
    <w:rsid w:val="00D91D40"/>
    <w:rsid w:val="00D91EA2"/>
    <w:rsid w:val="00D92364"/>
    <w:rsid w:val="00D9242B"/>
    <w:rsid w:val="00D9261E"/>
    <w:rsid w:val="00D9285D"/>
    <w:rsid w:val="00D93091"/>
    <w:rsid w:val="00D936F3"/>
    <w:rsid w:val="00D93D09"/>
    <w:rsid w:val="00D93DDB"/>
    <w:rsid w:val="00D9422D"/>
    <w:rsid w:val="00D94358"/>
    <w:rsid w:val="00D944E2"/>
    <w:rsid w:val="00D94AA7"/>
    <w:rsid w:val="00D963FD"/>
    <w:rsid w:val="00D96465"/>
    <w:rsid w:val="00D96D51"/>
    <w:rsid w:val="00D97038"/>
    <w:rsid w:val="00D971C1"/>
    <w:rsid w:val="00D972CB"/>
    <w:rsid w:val="00D97758"/>
    <w:rsid w:val="00DA0783"/>
    <w:rsid w:val="00DA13DE"/>
    <w:rsid w:val="00DA168A"/>
    <w:rsid w:val="00DA1789"/>
    <w:rsid w:val="00DA22B2"/>
    <w:rsid w:val="00DA2400"/>
    <w:rsid w:val="00DA2779"/>
    <w:rsid w:val="00DA2DC4"/>
    <w:rsid w:val="00DA377E"/>
    <w:rsid w:val="00DA3B48"/>
    <w:rsid w:val="00DA400F"/>
    <w:rsid w:val="00DA4199"/>
    <w:rsid w:val="00DA4271"/>
    <w:rsid w:val="00DA44FC"/>
    <w:rsid w:val="00DA4B83"/>
    <w:rsid w:val="00DA5165"/>
    <w:rsid w:val="00DA64DE"/>
    <w:rsid w:val="00DA6D57"/>
    <w:rsid w:val="00DA7C1A"/>
    <w:rsid w:val="00DA7D93"/>
    <w:rsid w:val="00DA7DA3"/>
    <w:rsid w:val="00DA7DDB"/>
    <w:rsid w:val="00DB00F1"/>
    <w:rsid w:val="00DB06FE"/>
    <w:rsid w:val="00DB072B"/>
    <w:rsid w:val="00DB0847"/>
    <w:rsid w:val="00DB18E4"/>
    <w:rsid w:val="00DB1BB8"/>
    <w:rsid w:val="00DB1BCF"/>
    <w:rsid w:val="00DB2370"/>
    <w:rsid w:val="00DB25EE"/>
    <w:rsid w:val="00DB2955"/>
    <w:rsid w:val="00DB2A35"/>
    <w:rsid w:val="00DB2B32"/>
    <w:rsid w:val="00DB3213"/>
    <w:rsid w:val="00DB344C"/>
    <w:rsid w:val="00DB37A1"/>
    <w:rsid w:val="00DB3E69"/>
    <w:rsid w:val="00DB486C"/>
    <w:rsid w:val="00DB4930"/>
    <w:rsid w:val="00DB4B17"/>
    <w:rsid w:val="00DB4B1F"/>
    <w:rsid w:val="00DB569E"/>
    <w:rsid w:val="00DB56B0"/>
    <w:rsid w:val="00DB6187"/>
    <w:rsid w:val="00DB657A"/>
    <w:rsid w:val="00DB6A1C"/>
    <w:rsid w:val="00DB74D7"/>
    <w:rsid w:val="00DB7516"/>
    <w:rsid w:val="00DC014F"/>
    <w:rsid w:val="00DC01F6"/>
    <w:rsid w:val="00DC02EA"/>
    <w:rsid w:val="00DC06DD"/>
    <w:rsid w:val="00DC086F"/>
    <w:rsid w:val="00DC0E43"/>
    <w:rsid w:val="00DC105E"/>
    <w:rsid w:val="00DC123C"/>
    <w:rsid w:val="00DC1B04"/>
    <w:rsid w:val="00DC1E9B"/>
    <w:rsid w:val="00DC20AA"/>
    <w:rsid w:val="00DC246C"/>
    <w:rsid w:val="00DC2747"/>
    <w:rsid w:val="00DC2C39"/>
    <w:rsid w:val="00DC31F8"/>
    <w:rsid w:val="00DC385B"/>
    <w:rsid w:val="00DC395F"/>
    <w:rsid w:val="00DC3E04"/>
    <w:rsid w:val="00DC4896"/>
    <w:rsid w:val="00DC4A37"/>
    <w:rsid w:val="00DC4AEE"/>
    <w:rsid w:val="00DC4C04"/>
    <w:rsid w:val="00DC4ED7"/>
    <w:rsid w:val="00DC5521"/>
    <w:rsid w:val="00DC5AC8"/>
    <w:rsid w:val="00DC5D55"/>
    <w:rsid w:val="00DC69DB"/>
    <w:rsid w:val="00DC6D8A"/>
    <w:rsid w:val="00DC71AE"/>
    <w:rsid w:val="00DC7252"/>
    <w:rsid w:val="00DC7A10"/>
    <w:rsid w:val="00DD0526"/>
    <w:rsid w:val="00DD0584"/>
    <w:rsid w:val="00DD05DE"/>
    <w:rsid w:val="00DD06BE"/>
    <w:rsid w:val="00DD0771"/>
    <w:rsid w:val="00DD0B8B"/>
    <w:rsid w:val="00DD0F58"/>
    <w:rsid w:val="00DD1279"/>
    <w:rsid w:val="00DD2B0D"/>
    <w:rsid w:val="00DD3071"/>
    <w:rsid w:val="00DD308C"/>
    <w:rsid w:val="00DD30D1"/>
    <w:rsid w:val="00DD3122"/>
    <w:rsid w:val="00DD3138"/>
    <w:rsid w:val="00DD37DA"/>
    <w:rsid w:val="00DD53EC"/>
    <w:rsid w:val="00DD540C"/>
    <w:rsid w:val="00DD689D"/>
    <w:rsid w:val="00DD6D9F"/>
    <w:rsid w:val="00DD7660"/>
    <w:rsid w:val="00DE085C"/>
    <w:rsid w:val="00DE08A9"/>
    <w:rsid w:val="00DE1477"/>
    <w:rsid w:val="00DE20E7"/>
    <w:rsid w:val="00DE23DA"/>
    <w:rsid w:val="00DE2B22"/>
    <w:rsid w:val="00DE2CA4"/>
    <w:rsid w:val="00DE2E44"/>
    <w:rsid w:val="00DE2E82"/>
    <w:rsid w:val="00DE30EF"/>
    <w:rsid w:val="00DE3169"/>
    <w:rsid w:val="00DE3262"/>
    <w:rsid w:val="00DE346F"/>
    <w:rsid w:val="00DE3C5B"/>
    <w:rsid w:val="00DE4353"/>
    <w:rsid w:val="00DE4547"/>
    <w:rsid w:val="00DE469D"/>
    <w:rsid w:val="00DE4842"/>
    <w:rsid w:val="00DE5C65"/>
    <w:rsid w:val="00DE5D9E"/>
    <w:rsid w:val="00DE66E7"/>
    <w:rsid w:val="00DE6DA0"/>
    <w:rsid w:val="00DE7196"/>
    <w:rsid w:val="00DE76C6"/>
    <w:rsid w:val="00DE7BCE"/>
    <w:rsid w:val="00DE7F64"/>
    <w:rsid w:val="00DF108C"/>
    <w:rsid w:val="00DF1655"/>
    <w:rsid w:val="00DF1CE8"/>
    <w:rsid w:val="00DF2D2D"/>
    <w:rsid w:val="00DF3A2C"/>
    <w:rsid w:val="00DF3B96"/>
    <w:rsid w:val="00DF40A1"/>
    <w:rsid w:val="00DF419D"/>
    <w:rsid w:val="00DF424E"/>
    <w:rsid w:val="00DF4517"/>
    <w:rsid w:val="00DF5717"/>
    <w:rsid w:val="00DF581C"/>
    <w:rsid w:val="00DF58D5"/>
    <w:rsid w:val="00DF6FF5"/>
    <w:rsid w:val="00DF7829"/>
    <w:rsid w:val="00DF7ACF"/>
    <w:rsid w:val="00DF7BA5"/>
    <w:rsid w:val="00DF7FE7"/>
    <w:rsid w:val="00E009C0"/>
    <w:rsid w:val="00E00AC3"/>
    <w:rsid w:val="00E00FEA"/>
    <w:rsid w:val="00E01A76"/>
    <w:rsid w:val="00E01E7A"/>
    <w:rsid w:val="00E02259"/>
    <w:rsid w:val="00E02312"/>
    <w:rsid w:val="00E025C9"/>
    <w:rsid w:val="00E02B57"/>
    <w:rsid w:val="00E02CF0"/>
    <w:rsid w:val="00E035F5"/>
    <w:rsid w:val="00E038A2"/>
    <w:rsid w:val="00E03931"/>
    <w:rsid w:val="00E03F70"/>
    <w:rsid w:val="00E04362"/>
    <w:rsid w:val="00E054B1"/>
    <w:rsid w:val="00E057DD"/>
    <w:rsid w:val="00E059FF"/>
    <w:rsid w:val="00E05A0E"/>
    <w:rsid w:val="00E05A45"/>
    <w:rsid w:val="00E067CC"/>
    <w:rsid w:val="00E06B16"/>
    <w:rsid w:val="00E07989"/>
    <w:rsid w:val="00E0799D"/>
    <w:rsid w:val="00E07B4A"/>
    <w:rsid w:val="00E07CFF"/>
    <w:rsid w:val="00E07D86"/>
    <w:rsid w:val="00E07DCA"/>
    <w:rsid w:val="00E10195"/>
    <w:rsid w:val="00E10D8A"/>
    <w:rsid w:val="00E1123A"/>
    <w:rsid w:val="00E11375"/>
    <w:rsid w:val="00E11C20"/>
    <w:rsid w:val="00E11E1E"/>
    <w:rsid w:val="00E120D3"/>
    <w:rsid w:val="00E1294B"/>
    <w:rsid w:val="00E12B87"/>
    <w:rsid w:val="00E1394F"/>
    <w:rsid w:val="00E14F5D"/>
    <w:rsid w:val="00E150CA"/>
    <w:rsid w:val="00E153A9"/>
    <w:rsid w:val="00E15658"/>
    <w:rsid w:val="00E15678"/>
    <w:rsid w:val="00E157F2"/>
    <w:rsid w:val="00E15B4B"/>
    <w:rsid w:val="00E16524"/>
    <w:rsid w:val="00E166EA"/>
    <w:rsid w:val="00E16728"/>
    <w:rsid w:val="00E17A7D"/>
    <w:rsid w:val="00E2008E"/>
    <w:rsid w:val="00E21328"/>
    <w:rsid w:val="00E2164F"/>
    <w:rsid w:val="00E2167F"/>
    <w:rsid w:val="00E217F8"/>
    <w:rsid w:val="00E218A4"/>
    <w:rsid w:val="00E227C4"/>
    <w:rsid w:val="00E227E1"/>
    <w:rsid w:val="00E22D36"/>
    <w:rsid w:val="00E22FE5"/>
    <w:rsid w:val="00E237DC"/>
    <w:rsid w:val="00E243F7"/>
    <w:rsid w:val="00E247DA"/>
    <w:rsid w:val="00E248F4"/>
    <w:rsid w:val="00E24A2F"/>
    <w:rsid w:val="00E24F99"/>
    <w:rsid w:val="00E2526C"/>
    <w:rsid w:val="00E25752"/>
    <w:rsid w:val="00E258A6"/>
    <w:rsid w:val="00E25A36"/>
    <w:rsid w:val="00E25FA6"/>
    <w:rsid w:val="00E26765"/>
    <w:rsid w:val="00E27254"/>
    <w:rsid w:val="00E278A0"/>
    <w:rsid w:val="00E3083B"/>
    <w:rsid w:val="00E308C0"/>
    <w:rsid w:val="00E316C4"/>
    <w:rsid w:val="00E31BB3"/>
    <w:rsid w:val="00E326FF"/>
    <w:rsid w:val="00E32A81"/>
    <w:rsid w:val="00E32BD7"/>
    <w:rsid w:val="00E33E2F"/>
    <w:rsid w:val="00E3424F"/>
    <w:rsid w:val="00E34534"/>
    <w:rsid w:val="00E345FB"/>
    <w:rsid w:val="00E348C2"/>
    <w:rsid w:val="00E34904"/>
    <w:rsid w:val="00E34B33"/>
    <w:rsid w:val="00E3511C"/>
    <w:rsid w:val="00E3560B"/>
    <w:rsid w:val="00E356E7"/>
    <w:rsid w:val="00E35DEB"/>
    <w:rsid w:val="00E362BA"/>
    <w:rsid w:val="00E363A4"/>
    <w:rsid w:val="00E36426"/>
    <w:rsid w:val="00E36C60"/>
    <w:rsid w:val="00E36CC8"/>
    <w:rsid w:val="00E36D1D"/>
    <w:rsid w:val="00E372B2"/>
    <w:rsid w:val="00E37529"/>
    <w:rsid w:val="00E375D1"/>
    <w:rsid w:val="00E375E4"/>
    <w:rsid w:val="00E37864"/>
    <w:rsid w:val="00E37D31"/>
    <w:rsid w:val="00E40598"/>
    <w:rsid w:val="00E40979"/>
    <w:rsid w:val="00E413BC"/>
    <w:rsid w:val="00E413E5"/>
    <w:rsid w:val="00E4160E"/>
    <w:rsid w:val="00E4195E"/>
    <w:rsid w:val="00E41C87"/>
    <w:rsid w:val="00E41DBC"/>
    <w:rsid w:val="00E42F81"/>
    <w:rsid w:val="00E4312F"/>
    <w:rsid w:val="00E4317D"/>
    <w:rsid w:val="00E44CC0"/>
    <w:rsid w:val="00E44D73"/>
    <w:rsid w:val="00E44DDA"/>
    <w:rsid w:val="00E45016"/>
    <w:rsid w:val="00E45694"/>
    <w:rsid w:val="00E45876"/>
    <w:rsid w:val="00E460AA"/>
    <w:rsid w:val="00E46A85"/>
    <w:rsid w:val="00E46ABF"/>
    <w:rsid w:val="00E46F40"/>
    <w:rsid w:val="00E47057"/>
    <w:rsid w:val="00E473AB"/>
    <w:rsid w:val="00E476A2"/>
    <w:rsid w:val="00E47B47"/>
    <w:rsid w:val="00E47CC5"/>
    <w:rsid w:val="00E5059F"/>
    <w:rsid w:val="00E50609"/>
    <w:rsid w:val="00E50CA5"/>
    <w:rsid w:val="00E50E23"/>
    <w:rsid w:val="00E51068"/>
    <w:rsid w:val="00E5110A"/>
    <w:rsid w:val="00E5139E"/>
    <w:rsid w:val="00E51913"/>
    <w:rsid w:val="00E51D83"/>
    <w:rsid w:val="00E526C6"/>
    <w:rsid w:val="00E529F5"/>
    <w:rsid w:val="00E52ADA"/>
    <w:rsid w:val="00E5305A"/>
    <w:rsid w:val="00E530AA"/>
    <w:rsid w:val="00E5359F"/>
    <w:rsid w:val="00E538C6"/>
    <w:rsid w:val="00E54055"/>
    <w:rsid w:val="00E544BA"/>
    <w:rsid w:val="00E54F84"/>
    <w:rsid w:val="00E5510E"/>
    <w:rsid w:val="00E55156"/>
    <w:rsid w:val="00E551C4"/>
    <w:rsid w:val="00E554A8"/>
    <w:rsid w:val="00E5565F"/>
    <w:rsid w:val="00E5626D"/>
    <w:rsid w:val="00E573CD"/>
    <w:rsid w:val="00E578BA"/>
    <w:rsid w:val="00E57B91"/>
    <w:rsid w:val="00E57F45"/>
    <w:rsid w:val="00E601B0"/>
    <w:rsid w:val="00E60297"/>
    <w:rsid w:val="00E60713"/>
    <w:rsid w:val="00E6133F"/>
    <w:rsid w:val="00E615F3"/>
    <w:rsid w:val="00E618E1"/>
    <w:rsid w:val="00E61F9D"/>
    <w:rsid w:val="00E6274C"/>
    <w:rsid w:val="00E627EB"/>
    <w:rsid w:val="00E64E91"/>
    <w:rsid w:val="00E64EC9"/>
    <w:rsid w:val="00E65CF0"/>
    <w:rsid w:val="00E65E5A"/>
    <w:rsid w:val="00E66061"/>
    <w:rsid w:val="00E66D7B"/>
    <w:rsid w:val="00E66EF9"/>
    <w:rsid w:val="00E673BE"/>
    <w:rsid w:val="00E67516"/>
    <w:rsid w:val="00E6779D"/>
    <w:rsid w:val="00E677AF"/>
    <w:rsid w:val="00E67A89"/>
    <w:rsid w:val="00E67FFB"/>
    <w:rsid w:val="00E70016"/>
    <w:rsid w:val="00E7041F"/>
    <w:rsid w:val="00E71112"/>
    <w:rsid w:val="00E7126C"/>
    <w:rsid w:val="00E71C4F"/>
    <w:rsid w:val="00E71F1C"/>
    <w:rsid w:val="00E72625"/>
    <w:rsid w:val="00E74835"/>
    <w:rsid w:val="00E74882"/>
    <w:rsid w:val="00E7495A"/>
    <w:rsid w:val="00E754DD"/>
    <w:rsid w:val="00E75B7D"/>
    <w:rsid w:val="00E75D62"/>
    <w:rsid w:val="00E75FC5"/>
    <w:rsid w:val="00E75FFF"/>
    <w:rsid w:val="00E760F8"/>
    <w:rsid w:val="00E76A67"/>
    <w:rsid w:val="00E77413"/>
    <w:rsid w:val="00E77915"/>
    <w:rsid w:val="00E8102B"/>
    <w:rsid w:val="00E8107B"/>
    <w:rsid w:val="00E812F8"/>
    <w:rsid w:val="00E81357"/>
    <w:rsid w:val="00E8168D"/>
    <w:rsid w:val="00E81886"/>
    <w:rsid w:val="00E818CA"/>
    <w:rsid w:val="00E81D2D"/>
    <w:rsid w:val="00E82AB6"/>
    <w:rsid w:val="00E82B8D"/>
    <w:rsid w:val="00E82BC0"/>
    <w:rsid w:val="00E82F1C"/>
    <w:rsid w:val="00E83083"/>
    <w:rsid w:val="00E833EA"/>
    <w:rsid w:val="00E836B5"/>
    <w:rsid w:val="00E83B29"/>
    <w:rsid w:val="00E83DCD"/>
    <w:rsid w:val="00E840FA"/>
    <w:rsid w:val="00E8411A"/>
    <w:rsid w:val="00E847CC"/>
    <w:rsid w:val="00E85020"/>
    <w:rsid w:val="00E85B66"/>
    <w:rsid w:val="00E85CEC"/>
    <w:rsid w:val="00E8640C"/>
    <w:rsid w:val="00E86B16"/>
    <w:rsid w:val="00E8703E"/>
    <w:rsid w:val="00E9007D"/>
    <w:rsid w:val="00E90A6A"/>
    <w:rsid w:val="00E91A11"/>
    <w:rsid w:val="00E91D2A"/>
    <w:rsid w:val="00E92724"/>
    <w:rsid w:val="00E92B14"/>
    <w:rsid w:val="00E92EB6"/>
    <w:rsid w:val="00E93518"/>
    <w:rsid w:val="00E935FD"/>
    <w:rsid w:val="00E93617"/>
    <w:rsid w:val="00E945B8"/>
    <w:rsid w:val="00E94E17"/>
    <w:rsid w:val="00E95B92"/>
    <w:rsid w:val="00E95C7F"/>
    <w:rsid w:val="00E9667C"/>
    <w:rsid w:val="00E96F87"/>
    <w:rsid w:val="00E9701E"/>
    <w:rsid w:val="00E971C9"/>
    <w:rsid w:val="00E973CE"/>
    <w:rsid w:val="00EA04F8"/>
    <w:rsid w:val="00EA077E"/>
    <w:rsid w:val="00EA0E9C"/>
    <w:rsid w:val="00EA0EF5"/>
    <w:rsid w:val="00EA17F5"/>
    <w:rsid w:val="00EA1A74"/>
    <w:rsid w:val="00EA1F22"/>
    <w:rsid w:val="00EA2B19"/>
    <w:rsid w:val="00EA2D56"/>
    <w:rsid w:val="00EA4746"/>
    <w:rsid w:val="00EA4936"/>
    <w:rsid w:val="00EA494B"/>
    <w:rsid w:val="00EA4CEC"/>
    <w:rsid w:val="00EA5171"/>
    <w:rsid w:val="00EA5B93"/>
    <w:rsid w:val="00EA5C17"/>
    <w:rsid w:val="00EA5C98"/>
    <w:rsid w:val="00EA5CDE"/>
    <w:rsid w:val="00EA5ED5"/>
    <w:rsid w:val="00EA60CA"/>
    <w:rsid w:val="00EA6439"/>
    <w:rsid w:val="00EA71E7"/>
    <w:rsid w:val="00EA791C"/>
    <w:rsid w:val="00EB00F9"/>
    <w:rsid w:val="00EB01BB"/>
    <w:rsid w:val="00EB038E"/>
    <w:rsid w:val="00EB2759"/>
    <w:rsid w:val="00EB2F1A"/>
    <w:rsid w:val="00EB3213"/>
    <w:rsid w:val="00EB3715"/>
    <w:rsid w:val="00EB3B5A"/>
    <w:rsid w:val="00EB3DDC"/>
    <w:rsid w:val="00EB42B5"/>
    <w:rsid w:val="00EB42E6"/>
    <w:rsid w:val="00EB437B"/>
    <w:rsid w:val="00EB457A"/>
    <w:rsid w:val="00EB4B47"/>
    <w:rsid w:val="00EB4DB2"/>
    <w:rsid w:val="00EB4E7F"/>
    <w:rsid w:val="00EB4F67"/>
    <w:rsid w:val="00EB5F8C"/>
    <w:rsid w:val="00EB6276"/>
    <w:rsid w:val="00EB6530"/>
    <w:rsid w:val="00EB657B"/>
    <w:rsid w:val="00EB6764"/>
    <w:rsid w:val="00EB69E4"/>
    <w:rsid w:val="00EB6FFB"/>
    <w:rsid w:val="00EB706C"/>
    <w:rsid w:val="00EB787D"/>
    <w:rsid w:val="00EB791E"/>
    <w:rsid w:val="00EB7DFD"/>
    <w:rsid w:val="00EC00B3"/>
    <w:rsid w:val="00EC00BB"/>
    <w:rsid w:val="00EC0A20"/>
    <w:rsid w:val="00EC0A4F"/>
    <w:rsid w:val="00EC134D"/>
    <w:rsid w:val="00EC1420"/>
    <w:rsid w:val="00EC14EE"/>
    <w:rsid w:val="00EC1571"/>
    <w:rsid w:val="00EC1ACD"/>
    <w:rsid w:val="00EC1F2C"/>
    <w:rsid w:val="00EC2CEF"/>
    <w:rsid w:val="00EC2E87"/>
    <w:rsid w:val="00EC370A"/>
    <w:rsid w:val="00EC3719"/>
    <w:rsid w:val="00EC39DC"/>
    <w:rsid w:val="00EC3B69"/>
    <w:rsid w:val="00EC3B72"/>
    <w:rsid w:val="00EC3BE8"/>
    <w:rsid w:val="00EC48C4"/>
    <w:rsid w:val="00EC4A89"/>
    <w:rsid w:val="00EC55B7"/>
    <w:rsid w:val="00EC57A5"/>
    <w:rsid w:val="00EC5891"/>
    <w:rsid w:val="00EC5DE5"/>
    <w:rsid w:val="00EC609A"/>
    <w:rsid w:val="00EC6635"/>
    <w:rsid w:val="00EC66A0"/>
    <w:rsid w:val="00EC6748"/>
    <w:rsid w:val="00EC6F34"/>
    <w:rsid w:val="00EC73BB"/>
    <w:rsid w:val="00EC7D9A"/>
    <w:rsid w:val="00EC7E48"/>
    <w:rsid w:val="00ED0225"/>
    <w:rsid w:val="00ED0310"/>
    <w:rsid w:val="00ED05CA"/>
    <w:rsid w:val="00ED090B"/>
    <w:rsid w:val="00ED1203"/>
    <w:rsid w:val="00ED19E0"/>
    <w:rsid w:val="00ED1B89"/>
    <w:rsid w:val="00ED210A"/>
    <w:rsid w:val="00ED2503"/>
    <w:rsid w:val="00ED2655"/>
    <w:rsid w:val="00ED2A93"/>
    <w:rsid w:val="00ED2BD4"/>
    <w:rsid w:val="00ED2CDA"/>
    <w:rsid w:val="00ED3370"/>
    <w:rsid w:val="00ED3F32"/>
    <w:rsid w:val="00ED420B"/>
    <w:rsid w:val="00ED44CA"/>
    <w:rsid w:val="00ED4855"/>
    <w:rsid w:val="00ED4AFE"/>
    <w:rsid w:val="00ED510F"/>
    <w:rsid w:val="00ED53BA"/>
    <w:rsid w:val="00ED5DFC"/>
    <w:rsid w:val="00ED6333"/>
    <w:rsid w:val="00ED67A0"/>
    <w:rsid w:val="00ED6F26"/>
    <w:rsid w:val="00ED752C"/>
    <w:rsid w:val="00ED7BB5"/>
    <w:rsid w:val="00EE15A5"/>
    <w:rsid w:val="00EE1B5A"/>
    <w:rsid w:val="00EE1BF4"/>
    <w:rsid w:val="00EE260B"/>
    <w:rsid w:val="00EE29DA"/>
    <w:rsid w:val="00EE3441"/>
    <w:rsid w:val="00EE3468"/>
    <w:rsid w:val="00EE423A"/>
    <w:rsid w:val="00EE45A2"/>
    <w:rsid w:val="00EE4C2F"/>
    <w:rsid w:val="00EE4DCC"/>
    <w:rsid w:val="00EE51E3"/>
    <w:rsid w:val="00EE5312"/>
    <w:rsid w:val="00EE5B3F"/>
    <w:rsid w:val="00EE6261"/>
    <w:rsid w:val="00EE65B7"/>
    <w:rsid w:val="00EE7241"/>
    <w:rsid w:val="00EE7296"/>
    <w:rsid w:val="00EE759A"/>
    <w:rsid w:val="00EE778D"/>
    <w:rsid w:val="00EF02A1"/>
    <w:rsid w:val="00EF04DE"/>
    <w:rsid w:val="00EF066D"/>
    <w:rsid w:val="00EF0A12"/>
    <w:rsid w:val="00EF0A82"/>
    <w:rsid w:val="00EF1082"/>
    <w:rsid w:val="00EF1E89"/>
    <w:rsid w:val="00EF2845"/>
    <w:rsid w:val="00EF2915"/>
    <w:rsid w:val="00EF2D0E"/>
    <w:rsid w:val="00EF2EED"/>
    <w:rsid w:val="00EF336C"/>
    <w:rsid w:val="00EF367C"/>
    <w:rsid w:val="00EF4930"/>
    <w:rsid w:val="00EF49CF"/>
    <w:rsid w:val="00EF59D1"/>
    <w:rsid w:val="00EF5C51"/>
    <w:rsid w:val="00EF5E32"/>
    <w:rsid w:val="00EF5FD8"/>
    <w:rsid w:val="00EF65C6"/>
    <w:rsid w:val="00EF7E44"/>
    <w:rsid w:val="00F004D4"/>
    <w:rsid w:val="00F0117C"/>
    <w:rsid w:val="00F0126E"/>
    <w:rsid w:val="00F014BC"/>
    <w:rsid w:val="00F01EA2"/>
    <w:rsid w:val="00F01EEE"/>
    <w:rsid w:val="00F020C1"/>
    <w:rsid w:val="00F0242C"/>
    <w:rsid w:val="00F02832"/>
    <w:rsid w:val="00F02F0B"/>
    <w:rsid w:val="00F02F52"/>
    <w:rsid w:val="00F036C3"/>
    <w:rsid w:val="00F039AB"/>
    <w:rsid w:val="00F04067"/>
    <w:rsid w:val="00F042A6"/>
    <w:rsid w:val="00F04844"/>
    <w:rsid w:val="00F04FD1"/>
    <w:rsid w:val="00F0591C"/>
    <w:rsid w:val="00F05E73"/>
    <w:rsid w:val="00F063E1"/>
    <w:rsid w:val="00F068A5"/>
    <w:rsid w:val="00F06A59"/>
    <w:rsid w:val="00F06C4A"/>
    <w:rsid w:val="00F07136"/>
    <w:rsid w:val="00F07421"/>
    <w:rsid w:val="00F07956"/>
    <w:rsid w:val="00F105B6"/>
    <w:rsid w:val="00F11CA4"/>
    <w:rsid w:val="00F11E02"/>
    <w:rsid w:val="00F11E1F"/>
    <w:rsid w:val="00F121A7"/>
    <w:rsid w:val="00F121CA"/>
    <w:rsid w:val="00F1227F"/>
    <w:rsid w:val="00F12638"/>
    <w:rsid w:val="00F127C0"/>
    <w:rsid w:val="00F12A84"/>
    <w:rsid w:val="00F12D79"/>
    <w:rsid w:val="00F1395B"/>
    <w:rsid w:val="00F13B3B"/>
    <w:rsid w:val="00F13E83"/>
    <w:rsid w:val="00F13F7F"/>
    <w:rsid w:val="00F14255"/>
    <w:rsid w:val="00F1471E"/>
    <w:rsid w:val="00F14AFC"/>
    <w:rsid w:val="00F14DC2"/>
    <w:rsid w:val="00F150BB"/>
    <w:rsid w:val="00F15103"/>
    <w:rsid w:val="00F15584"/>
    <w:rsid w:val="00F15A92"/>
    <w:rsid w:val="00F15C85"/>
    <w:rsid w:val="00F15D64"/>
    <w:rsid w:val="00F1641A"/>
    <w:rsid w:val="00F164A5"/>
    <w:rsid w:val="00F1696E"/>
    <w:rsid w:val="00F17465"/>
    <w:rsid w:val="00F174ED"/>
    <w:rsid w:val="00F179B1"/>
    <w:rsid w:val="00F17AC9"/>
    <w:rsid w:val="00F17F12"/>
    <w:rsid w:val="00F202F3"/>
    <w:rsid w:val="00F207B2"/>
    <w:rsid w:val="00F20C7F"/>
    <w:rsid w:val="00F210D8"/>
    <w:rsid w:val="00F218AD"/>
    <w:rsid w:val="00F21D19"/>
    <w:rsid w:val="00F22013"/>
    <w:rsid w:val="00F220BD"/>
    <w:rsid w:val="00F22195"/>
    <w:rsid w:val="00F22731"/>
    <w:rsid w:val="00F22925"/>
    <w:rsid w:val="00F22B84"/>
    <w:rsid w:val="00F22C3E"/>
    <w:rsid w:val="00F22C4F"/>
    <w:rsid w:val="00F23274"/>
    <w:rsid w:val="00F23B1B"/>
    <w:rsid w:val="00F23C02"/>
    <w:rsid w:val="00F23D4E"/>
    <w:rsid w:val="00F23DD0"/>
    <w:rsid w:val="00F23FAC"/>
    <w:rsid w:val="00F244CD"/>
    <w:rsid w:val="00F24B23"/>
    <w:rsid w:val="00F24BC3"/>
    <w:rsid w:val="00F252CA"/>
    <w:rsid w:val="00F25A70"/>
    <w:rsid w:val="00F25CE3"/>
    <w:rsid w:val="00F25E5D"/>
    <w:rsid w:val="00F25F2C"/>
    <w:rsid w:val="00F26273"/>
    <w:rsid w:val="00F26D1F"/>
    <w:rsid w:val="00F26D30"/>
    <w:rsid w:val="00F26D65"/>
    <w:rsid w:val="00F275F7"/>
    <w:rsid w:val="00F27EC7"/>
    <w:rsid w:val="00F30063"/>
    <w:rsid w:val="00F306DB"/>
    <w:rsid w:val="00F30E78"/>
    <w:rsid w:val="00F30ED7"/>
    <w:rsid w:val="00F31007"/>
    <w:rsid w:val="00F31088"/>
    <w:rsid w:val="00F31539"/>
    <w:rsid w:val="00F31C71"/>
    <w:rsid w:val="00F31CB5"/>
    <w:rsid w:val="00F31EAE"/>
    <w:rsid w:val="00F32291"/>
    <w:rsid w:val="00F3244F"/>
    <w:rsid w:val="00F3261B"/>
    <w:rsid w:val="00F32E08"/>
    <w:rsid w:val="00F33334"/>
    <w:rsid w:val="00F3366F"/>
    <w:rsid w:val="00F3371C"/>
    <w:rsid w:val="00F33E18"/>
    <w:rsid w:val="00F3408F"/>
    <w:rsid w:val="00F34581"/>
    <w:rsid w:val="00F35122"/>
    <w:rsid w:val="00F35473"/>
    <w:rsid w:val="00F357FF"/>
    <w:rsid w:val="00F35821"/>
    <w:rsid w:val="00F370D9"/>
    <w:rsid w:val="00F37204"/>
    <w:rsid w:val="00F379D7"/>
    <w:rsid w:val="00F37B4C"/>
    <w:rsid w:val="00F401D7"/>
    <w:rsid w:val="00F409D1"/>
    <w:rsid w:val="00F40F9C"/>
    <w:rsid w:val="00F41063"/>
    <w:rsid w:val="00F41884"/>
    <w:rsid w:val="00F4196C"/>
    <w:rsid w:val="00F41A84"/>
    <w:rsid w:val="00F41D6D"/>
    <w:rsid w:val="00F41E4E"/>
    <w:rsid w:val="00F4246A"/>
    <w:rsid w:val="00F42470"/>
    <w:rsid w:val="00F4258B"/>
    <w:rsid w:val="00F42612"/>
    <w:rsid w:val="00F42B58"/>
    <w:rsid w:val="00F42F0D"/>
    <w:rsid w:val="00F43172"/>
    <w:rsid w:val="00F433C8"/>
    <w:rsid w:val="00F433DE"/>
    <w:rsid w:val="00F436D9"/>
    <w:rsid w:val="00F441C8"/>
    <w:rsid w:val="00F44589"/>
    <w:rsid w:val="00F44990"/>
    <w:rsid w:val="00F44BD5"/>
    <w:rsid w:val="00F46C19"/>
    <w:rsid w:val="00F46E2E"/>
    <w:rsid w:val="00F47F74"/>
    <w:rsid w:val="00F5099E"/>
    <w:rsid w:val="00F52824"/>
    <w:rsid w:val="00F5283B"/>
    <w:rsid w:val="00F5347D"/>
    <w:rsid w:val="00F53505"/>
    <w:rsid w:val="00F53A3E"/>
    <w:rsid w:val="00F53FCE"/>
    <w:rsid w:val="00F5400B"/>
    <w:rsid w:val="00F54288"/>
    <w:rsid w:val="00F5432B"/>
    <w:rsid w:val="00F548DB"/>
    <w:rsid w:val="00F54C35"/>
    <w:rsid w:val="00F55292"/>
    <w:rsid w:val="00F55319"/>
    <w:rsid w:val="00F55AE2"/>
    <w:rsid w:val="00F561E2"/>
    <w:rsid w:val="00F564B7"/>
    <w:rsid w:val="00F56EE9"/>
    <w:rsid w:val="00F57274"/>
    <w:rsid w:val="00F57907"/>
    <w:rsid w:val="00F57BF3"/>
    <w:rsid w:val="00F57F91"/>
    <w:rsid w:val="00F60BFE"/>
    <w:rsid w:val="00F628F7"/>
    <w:rsid w:val="00F62A51"/>
    <w:rsid w:val="00F6305C"/>
    <w:rsid w:val="00F634A3"/>
    <w:rsid w:val="00F63648"/>
    <w:rsid w:val="00F636BD"/>
    <w:rsid w:val="00F636CF"/>
    <w:rsid w:val="00F63CB9"/>
    <w:rsid w:val="00F642E1"/>
    <w:rsid w:val="00F644EB"/>
    <w:rsid w:val="00F64ECE"/>
    <w:rsid w:val="00F6512C"/>
    <w:rsid w:val="00F65BCC"/>
    <w:rsid w:val="00F65C36"/>
    <w:rsid w:val="00F65EE3"/>
    <w:rsid w:val="00F66230"/>
    <w:rsid w:val="00F66DF3"/>
    <w:rsid w:val="00F676B7"/>
    <w:rsid w:val="00F6779B"/>
    <w:rsid w:val="00F678D6"/>
    <w:rsid w:val="00F67DA2"/>
    <w:rsid w:val="00F70294"/>
    <w:rsid w:val="00F70C2F"/>
    <w:rsid w:val="00F70F6C"/>
    <w:rsid w:val="00F71015"/>
    <w:rsid w:val="00F7173D"/>
    <w:rsid w:val="00F7191E"/>
    <w:rsid w:val="00F720E3"/>
    <w:rsid w:val="00F7262F"/>
    <w:rsid w:val="00F72DC5"/>
    <w:rsid w:val="00F730E4"/>
    <w:rsid w:val="00F73C16"/>
    <w:rsid w:val="00F741A6"/>
    <w:rsid w:val="00F74612"/>
    <w:rsid w:val="00F74864"/>
    <w:rsid w:val="00F74D32"/>
    <w:rsid w:val="00F74D3A"/>
    <w:rsid w:val="00F74FDE"/>
    <w:rsid w:val="00F7577F"/>
    <w:rsid w:val="00F75A80"/>
    <w:rsid w:val="00F76302"/>
    <w:rsid w:val="00F76424"/>
    <w:rsid w:val="00F766D4"/>
    <w:rsid w:val="00F76868"/>
    <w:rsid w:val="00F76A73"/>
    <w:rsid w:val="00F76F61"/>
    <w:rsid w:val="00F77CA3"/>
    <w:rsid w:val="00F80212"/>
    <w:rsid w:val="00F80D9D"/>
    <w:rsid w:val="00F80DC6"/>
    <w:rsid w:val="00F810C8"/>
    <w:rsid w:val="00F81133"/>
    <w:rsid w:val="00F81391"/>
    <w:rsid w:val="00F81860"/>
    <w:rsid w:val="00F81971"/>
    <w:rsid w:val="00F81D67"/>
    <w:rsid w:val="00F82360"/>
    <w:rsid w:val="00F8280B"/>
    <w:rsid w:val="00F82B6E"/>
    <w:rsid w:val="00F83933"/>
    <w:rsid w:val="00F8393B"/>
    <w:rsid w:val="00F83968"/>
    <w:rsid w:val="00F83A0F"/>
    <w:rsid w:val="00F83B84"/>
    <w:rsid w:val="00F83BD9"/>
    <w:rsid w:val="00F83E8B"/>
    <w:rsid w:val="00F84698"/>
    <w:rsid w:val="00F851E8"/>
    <w:rsid w:val="00F858FE"/>
    <w:rsid w:val="00F85F17"/>
    <w:rsid w:val="00F86268"/>
    <w:rsid w:val="00F86908"/>
    <w:rsid w:val="00F86F76"/>
    <w:rsid w:val="00F87074"/>
    <w:rsid w:val="00F903D7"/>
    <w:rsid w:val="00F907E9"/>
    <w:rsid w:val="00F91DD7"/>
    <w:rsid w:val="00F91FAD"/>
    <w:rsid w:val="00F91FB8"/>
    <w:rsid w:val="00F926B5"/>
    <w:rsid w:val="00F92CB2"/>
    <w:rsid w:val="00F93001"/>
    <w:rsid w:val="00F93203"/>
    <w:rsid w:val="00F93B6D"/>
    <w:rsid w:val="00F9454C"/>
    <w:rsid w:val="00F94CDF"/>
    <w:rsid w:val="00F94D42"/>
    <w:rsid w:val="00F94E0B"/>
    <w:rsid w:val="00F9545E"/>
    <w:rsid w:val="00F95B86"/>
    <w:rsid w:val="00F95C1C"/>
    <w:rsid w:val="00F95E40"/>
    <w:rsid w:val="00F960A3"/>
    <w:rsid w:val="00F96C76"/>
    <w:rsid w:val="00F96CDB"/>
    <w:rsid w:val="00F96D07"/>
    <w:rsid w:val="00F97AA9"/>
    <w:rsid w:val="00F97CD1"/>
    <w:rsid w:val="00FA0741"/>
    <w:rsid w:val="00FA0F23"/>
    <w:rsid w:val="00FA2061"/>
    <w:rsid w:val="00FA2078"/>
    <w:rsid w:val="00FA2EF5"/>
    <w:rsid w:val="00FA3417"/>
    <w:rsid w:val="00FA364F"/>
    <w:rsid w:val="00FA412F"/>
    <w:rsid w:val="00FA48E4"/>
    <w:rsid w:val="00FA4CBF"/>
    <w:rsid w:val="00FA58A2"/>
    <w:rsid w:val="00FA5CB5"/>
    <w:rsid w:val="00FA66E4"/>
    <w:rsid w:val="00FA6DEF"/>
    <w:rsid w:val="00FA6FEE"/>
    <w:rsid w:val="00FA74DE"/>
    <w:rsid w:val="00FA75E6"/>
    <w:rsid w:val="00FA7C3A"/>
    <w:rsid w:val="00FA7E4D"/>
    <w:rsid w:val="00FB013A"/>
    <w:rsid w:val="00FB0A19"/>
    <w:rsid w:val="00FB0D9E"/>
    <w:rsid w:val="00FB1364"/>
    <w:rsid w:val="00FB146C"/>
    <w:rsid w:val="00FB14C4"/>
    <w:rsid w:val="00FB21E8"/>
    <w:rsid w:val="00FB2670"/>
    <w:rsid w:val="00FB310B"/>
    <w:rsid w:val="00FB35CA"/>
    <w:rsid w:val="00FB3ACB"/>
    <w:rsid w:val="00FB3E35"/>
    <w:rsid w:val="00FB4119"/>
    <w:rsid w:val="00FB4508"/>
    <w:rsid w:val="00FB4863"/>
    <w:rsid w:val="00FB489F"/>
    <w:rsid w:val="00FB4979"/>
    <w:rsid w:val="00FB4DF8"/>
    <w:rsid w:val="00FB4E7D"/>
    <w:rsid w:val="00FB518D"/>
    <w:rsid w:val="00FB57B7"/>
    <w:rsid w:val="00FB586D"/>
    <w:rsid w:val="00FB5E50"/>
    <w:rsid w:val="00FB5EA0"/>
    <w:rsid w:val="00FB612E"/>
    <w:rsid w:val="00FB668B"/>
    <w:rsid w:val="00FB673A"/>
    <w:rsid w:val="00FB6C45"/>
    <w:rsid w:val="00FB71C0"/>
    <w:rsid w:val="00FB74BC"/>
    <w:rsid w:val="00FB76B8"/>
    <w:rsid w:val="00FB7762"/>
    <w:rsid w:val="00FB77AA"/>
    <w:rsid w:val="00FB79C2"/>
    <w:rsid w:val="00FB7B6C"/>
    <w:rsid w:val="00FB7FB6"/>
    <w:rsid w:val="00FC07C6"/>
    <w:rsid w:val="00FC0961"/>
    <w:rsid w:val="00FC19CC"/>
    <w:rsid w:val="00FC19FC"/>
    <w:rsid w:val="00FC1B52"/>
    <w:rsid w:val="00FC1C4E"/>
    <w:rsid w:val="00FC1C9C"/>
    <w:rsid w:val="00FC1CBB"/>
    <w:rsid w:val="00FC1EEB"/>
    <w:rsid w:val="00FC2024"/>
    <w:rsid w:val="00FC2330"/>
    <w:rsid w:val="00FC27C8"/>
    <w:rsid w:val="00FC294D"/>
    <w:rsid w:val="00FC2BD3"/>
    <w:rsid w:val="00FC2FC6"/>
    <w:rsid w:val="00FC3E98"/>
    <w:rsid w:val="00FC436C"/>
    <w:rsid w:val="00FC4720"/>
    <w:rsid w:val="00FC48BC"/>
    <w:rsid w:val="00FC4E7B"/>
    <w:rsid w:val="00FC5A27"/>
    <w:rsid w:val="00FC6190"/>
    <w:rsid w:val="00FC707A"/>
    <w:rsid w:val="00FC71ED"/>
    <w:rsid w:val="00FC78FF"/>
    <w:rsid w:val="00FC7A1B"/>
    <w:rsid w:val="00FC7C94"/>
    <w:rsid w:val="00FC7D11"/>
    <w:rsid w:val="00FD0155"/>
    <w:rsid w:val="00FD0508"/>
    <w:rsid w:val="00FD0C76"/>
    <w:rsid w:val="00FD10B1"/>
    <w:rsid w:val="00FD1349"/>
    <w:rsid w:val="00FD1F0E"/>
    <w:rsid w:val="00FD1F47"/>
    <w:rsid w:val="00FD2082"/>
    <w:rsid w:val="00FD2A50"/>
    <w:rsid w:val="00FD2E2B"/>
    <w:rsid w:val="00FD2EB9"/>
    <w:rsid w:val="00FD2FB7"/>
    <w:rsid w:val="00FD35AD"/>
    <w:rsid w:val="00FD39A3"/>
    <w:rsid w:val="00FD3C89"/>
    <w:rsid w:val="00FD3D4E"/>
    <w:rsid w:val="00FD3EBD"/>
    <w:rsid w:val="00FD467A"/>
    <w:rsid w:val="00FD4A77"/>
    <w:rsid w:val="00FD4B5A"/>
    <w:rsid w:val="00FD4B9B"/>
    <w:rsid w:val="00FD4BD8"/>
    <w:rsid w:val="00FD50BC"/>
    <w:rsid w:val="00FD529C"/>
    <w:rsid w:val="00FD6387"/>
    <w:rsid w:val="00FD66A9"/>
    <w:rsid w:val="00FD6710"/>
    <w:rsid w:val="00FD6A26"/>
    <w:rsid w:val="00FD6A4D"/>
    <w:rsid w:val="00FD6C6E"/>
    <w:rsid w:val="00FD74C3"/>
    <w:rsid w:val="00FD7DB3"/>
    <w:rsid w:val="00FE0018"/>
    <w:rsid w:val="00FE0079"/>
    <w:rsid w:val="00FE02CB"/>
    <w:rsid w:val="00FE04ED"/>
    <w:rsid w:val="00FE0522"/>
    <w:rsid w:val="00FE0805"/>
    <w:rsid w:val="00FE0843"/>
    <w:rsid w:val="00FE0D70"/>
    <w:rsid w:val="00FE161E"/>
    <w:rsid w:val="00FE1C86"/>
    <w:rsid w:val="00FE1DF9"/>
    <w:rsid w:val="00FE1E9B"/>
    <w:rsid w:val="00FE1EBB"/>
    <w:rsid w:val="00FE26B3"/>
    <w:rsid w:val="00FE2DAF"/>
    <w:rsid w:val="00FE38E3"/>
    <w:rsid w:val="00FE3DC7"/>
    <w:rsid w:val="00FE44EC"/>
    <w:rsid w:val="00FE4C03"/>
    <w:rsid w:val="00FE513F"/>
    <w:rsid w:val="00FE5F47"/>
    <w:rsid w:val="00FE6B40"/>
    <w:rsid w:val="00FE7730"/>
    <w:rsid w:val="00FE77E2"/>
    <w:rsid w:val="00FE7BA5"/>
    <w:rsid w:val="00FE7D4C"/>
    <w:rsid w:val="00FE7DBB"/>
    <w:rsid w:val="00FE7F99"/>
    <w:rsid w:val="00FE7FBE"/>
    <w:rsid w:val="00FF064A"/>
    <w:rsid w:val="00FF08D2"/>
    <w:rsid w:val="00FF0D57"/>
    <w:rsid w:val="00FF0E7F"/>
    <w:rsid w:val="00FF11E9"/>
    <w:rsid w:val="00FF1BBA"/>
    <w:rsid w:val="00FF223A"/>
    <w:rsid w:val="00FF2513"/>
    <w:rsid w:val="00FF29A1"/>
    <w:rsid w:val="00FF2B3A"/>
    <w:rsid w:val="00FF2D90"/>
    <w:rsid w:val="00FF3D05"/>
    <w:rsid w:val="00FF40F5"/>
    <w:rsid w:val="00FF4168"/>
    <w:rsid w:val="00FF443C"/>
    <w:rsid w:val="00FF4556"/>
    <w:rsid w:val="00FF4713"/>
    <w:rsid w:val="00FF50A5"/>
    <w:rsid w:val="00FF539D"/>
    <w:rsid w:val="00FF551A"/>
    <w:rsid w:val="00FF5C4B"/>
    <w:rsid w:val="00FF5F3A"/>
    <w:rsid w:val="00FF66D7"/>
    <w:rsid w:val="00FF6835"/>
    <w:rsid w:val="00FF69D2"/>
    <w:rsid w:val="00FF7022"/>
    <w:rsid w:val="00FF7441"/>
    <w:rsid w:val="00FF7AE8"/>
    <w:rsid w:val="010108A2"/>
    <w:rsid w:val="01115B19"/>
    <w:rsid w:val="01471583"/>
    <w:rsid w:val="015B3447"/>
    <w:rsid w:val="017140C0"/>
    <w:rsid w:val="017C56B6"/>
    <w:rsid w:val="02006231"/>
    <w:rsid w:val="020B1F13"/>
    <w:rsid w:val="02D22022"/>
    <w:rsid w:val="02F55DF6"/>
    <w:rsid w:val="02F70D3E"/>
    <w:rsid w:val="02FC1BA0"/>
    <w:rsid w:val="02FF72D8"/>
    <w:rsid w:val="034927EB"/>
    <w:rsid w:val="0350044F"/>
    <w:rsid w:val="035D546D"/>
    <w:rsid w:val="039017CF"/>
    <w:rsid w:val="03904A9D"/>
    <w:rsid w:val="03B86720"/>
    <w:rsid w:val="03C926DB"/>
    <w:rsid w:val="03F935FD"/>
    <w:rsid w:val="03FC441E"/>
    <w:rsid w:val="04294F27"/>
    <w:rsid w:val="042C4A18"/>
    <w:rsid w:val="045616B6"/>
    <w:rsid w:val="04583CF4"/>
    <w:rsid w:val="046A5A65"/>
    <w:rsid w:val="048C7921"/>
    <w:rsid w:val="04E655E0"/>
    <w:rsid w:val="04EE59A9"/>
    <w:rsid w:val="05092FAB"/>
    <w:rsid w:val="054160E9"/>
    <w:rsid w:val="05681ABC"/>
    <w:rsid w:val="05737CC1"/>
    <w:rsid w:val="057B4B24"/>
    <w:rsid w:val="059F2213"/>
    <w:rsid w:val="05C040A9"/>
    <w:rsid w:val="0673734F"/>
    <w:rsid w:val="068726C6"/>
    <w:rsid w:val="06D34A32"/>
    <w:rsid w:val="07A53FB5"/>
    <w:rsid w:val="07C958FE"/>
    <w:rsid w:val="07DA5666"/>
    <w:rsid w:val="07E41902"/>
    <w:rsid w:val="08970C2E"/>
    <w:rsid w:val="08BC270E"/>
    <w:rsid w:val="09C36C49"/>
    <w:rsid w:val="0A181A9F"/>
    <w:rsid w:val="0A582F13"/>
    <w:rsid w:val="0A864732"/>
    <w:rsid w:val="0A945367"/>
    <w:rsid w:val="0AB81F16"/>
    <w:rsid w:val="0ABE2A82"/>
    <w:rsid w:val="0B063CCD"/>
    <w:rsid w:val="0B0A5387"/>
    <w:rsid w:val="0B294224"/>
    <w:rsid w:val="0B3915BB"/>
    <w:rsid w:val="0B6D6A42"/>
    <w:rsid w:val="0B755855"/>
    <w:rsid w:val="0BA71792"/>
    <w:rsid w:val="0C45752B"/>
    <w:rsid w:val="0C980002"/>
    <w:rsid w:val="0CB11F5E"/>
    <w:rsid w:val="0CCF5E34"/>
    <w:rsid w:val="0D372B8D"/>
    <w:rsid w:val="0D384C1A"/>
    <w:rsid w:val="0D640E8B"/>
    <w:rsid w:val="0D750301"/>
    <w:rsid w:val="0D790DD7"/>
    <w:rsid w:val="0DA950F7"/>
    <w:rsid w:val="0DDD48B0"/>
    <w:rsid w:val="0E0F5FF6"/>
    <w:rsid w:val="0E430E1B"/>
    <w:rsid w:val="0EA5150D"/>
    <w:rsid w:val="0EB2767E"/>
    <w:rsid w:val="0EDC3879"/>
    <w:rsid w:val="0F655BF2"/>
    <w:rsid w:val="0F721C0F"/>
    <w:rsid w:val="0FAC5229"/>
    <w:rsid w:val="0FB74D5D"/>
    <w:rsid w:val="104067B0"/>
    <w:rsid w:val="1053755C"/>
    <w:rsid w:val="1080708C"/>
    <w:rsid w:val="10DB57FB"/>
    <w:rsid w:val="11174F6F"/>
    <w:rsid w:val="113E04BD"/>
    <w:rsid w:val="1178761E"/>
    <w:rsid w:val="11C87592"/>
    <w:rsid w:val="11CE35B2"/>
    <w:rsid w:val="11E626AA"/>
    <w:rsid w:val="11E94254"/>
    <w:rsid w:val="12172A1C"/>
    <w:rsid w:val="123135DA"/>
    <w:rsid w:val="126B7B11"/>
    <w:rsid w:val="128A12D0"/>
    <w:rsid w:val="128B1CAC"/>
    <w:rsid w:val="13857CA0"/>
    <w:rsid w:val="139660BD"/>
    <w:rsid w:val="139F6C6C"/>
    <w:rsid w:val="140B147A"/>
    <w:rsid w:val="151036A3"/>
    <w:rsid w:val="154C1D3C"/>
    <w:rsid w:val="15965C54"/>
    <w:rsid w:val="15E95427"/>
    <w:rsid w:val="161B3DA2"/>
    <w:rsid w:val="16943038"/>
    <w:rsid w:val="16D94BCD"/>
    <w:rsid w:val="16FB1D7F"/>
    <w:rsid w:val="17077C17"/>
    <w:rsid w:val="17143CD9"/>
    <w:rsid w:val="172C116D"/>
    <w:rsid w:val="174413E9"/>
    <w:rsid w:val="174D3FF6"/>
    <w:rsid w:val="175B56F9"/>
    <w:rsid w:val="17683921"/>
    <w:rsid w:val="1793386C"/>
    <w:rsid w:val="17A21EF3"/>
    <w:rsid w:val="1834470C"/>
    <w:rsid w:val="18356331"/>
    <w:rsid w:val="192865F0"/>
    <w:rsid w:val="192A1F74"/>
    <w:rsid w:val="19720CC7"/>
    <w:rsid w:val="199D3F96"/>
    <w:rsid w:val="1B332B22"/>
    <w:rsid w:val="1BBE2FE1"/>
    <w:rsid w:val="1BD32519"/>
    <w:rsid w:val="1BD955C2"/>
    <w:rsid w:val="1C2F1FC6"/>
    <w:rsid w:val="1C8C010B"/>
    <w:rsid w:val="1CDE7F7E"/>
    <w:rsid w:val="1D240EF8"/>
    <w:rsid w:val="1D3142F6"/>
    <w:rsid w:val="1D9D3974"/>
    <w:rsid w:val="1E3B132F"/>
    <w:rsid w:val="1E91399D"/>
    <w:rsid w:val="1E920554"/>
    <w:rsid w:val="1EA13052"/>
    <w:rsid w:val="1EB64656"/>
    <w:rsid w:val="1EDC6629"/>
    <w:rsid w:val="1F0533F6"/>
    <w:rsid w:val="1F175773"/>
    <w:rsid w:val="1F4749E6"/>
    <w:rsid w:val="1F631D7B"/>
    <w:rsid w:val="1F73035E"/>
    <w:rsid w:val="1F81587B"/>
    <w:rsid w:val="1F8D53E5"/>
    <w:rsid w:val="1F903709"/>
    <w:rsid w:val="1F95570F"/>
    <w:rsid w:val="1FBF3026"/>
    <w:rsid w:val="1FD4457E"/>
    <w:rsid w:val="1FE741BD"/>
    <w:rsid w:val="20A64E60"/>
    <w:rsid w:val="20A75FF1"/>
    <w:rsid w:val="21746050"/>
    <w:rsid w:val="22227DFE"/>
    <w:rsid w:val="222D0510"/>
    <w:rsid w:val="22AE0FC2"/>
    <w:rsid w:val="22E3017A"/>
    <w:rsid w:val="22F73C11"/>
    <w:rsid w:val="234B2981"/>
    <w:rsid w:val="23726F21"/>
    <w:rsid w:val="237C306C"/>
    <w:rsid w:val="23EC3014"/>
    <w:rsid w:val="23EF2461"/>
    <w:rsid w:val="24567079"/>
    <w:rsid w:val="24572E93"/>
    <w:rsid w:val="249F1F3F"/>
    <w:rsid w:val="24A11BC1"/>
    <w:rsid w:val="24DB027D"/>
    <w:rsid w:val="24FE1675"/>
    <w:rsid w:val="24FF0F99"/>
    <w:rsid w:val="25103D6F"/>
    <w:rsid w:val="256E70A7"/>
    <w:rsid w:val="257322B1"/>
    <w:rsid w:val="258F1EB7"/>
    <w:rsid w:val="25A863E1"/>
    <w:rsid w:val="25B441E5"/>
    <w:rsid w:val="25C24825"/>
    <w:rsid w:val="25D61799"/>
    <w:rsid w:val="261D6CEE"/>
    <w:rsid w:val="263B4083"/>
    <w:rsid w:val="266439BB"/>
    <w:rsid w:val="268F1E67"/>
    <w:rsid w:val="269F769C"/>
    <w:rsid w:val="26B3469A"/>
    <w:rsid w:val="26DB1B97"/>
    <w:rsid w:val="26E9637F"/>
    <w:rsid w:val="270A0791"/>
    <w:rsid w:val="275F6CFF"/>
    <w:rsid w:val="27937B9F"/>
    <w:rsid w:val="27B775BB"/>
    <w:rsid w:val="2839295D"/>
    <w:rsid w:val="283C2BCC"/>
    <w:rsid w:val="28476033"/>
    <w:rsid w:val="2848148E"/>
    <w:rsid w:val="288E44DF"/>
    <w:rsid w:val="28CF0C10"/>
    <w:rsid w:val="28E514B5"/>
    <w:rsid w:val="28FE79D5"/>
    <w:rsid w:val="2912471B"/>
    <w:rsid w:val="29A036F5"/>
    <w:rsid w:val="29F55123"/>
    <w:rsid w:val="2ACD5432"/>
    <w:rsid w:val="2AE55EBA"/>
    <w:rsid w:val="2AFE401B"/>
    <w:rsid w:val="2B0527A5"/>
    <w:rsid w:val="2B061187"/>
    <w:rsid w:val="2B106637"/>
    <w:rsid w:val="2B413AC9"/>
    <w:rsid w:val="2B4A3852"/>
    <w:rsid w:val="2B6128D1"/>
    <w:rsid w:val="2B906DBC"/>
    <w:rsid w:val="2B932F0A"/>
    <w:rsid w:val="2C046559"/>
    <w:rsid w:val="2C6150DB"/>
    <w:rsid w:val="2C824F8C"/>
    <w:rsid w:val="2C921093"/>
    <w:rsid w:val="2CE94843"/>
    <w:rsid w:val="2CFB7349"/>
    <w:rsid w:val="2D45693B"/>
    <w:rsid w:val="2D5C69C8"/>
    <w:rsid w:val="2D8A7FEE"/>
    <w:rsid w:val="2D9F631C"/>
    <w:rsid w:val="2DFA4D50"/>
    <w:rsid w:val="2E0A7248"/>
    <w:rsid w:val="2E1A0776"/>
    <w:rsid w:val="2E381555"/>
    <w:rsid w:val="2EB71D37"/>
    <w:rsid w:val="2EBB7D77"/>
    <w:rsid w:val="2ED24013"/>
    <w:rsid w:val="2EF54A75"/>
    <w:rsid w:val="2F1E21E3"/>
    <w:rsid w:val="2F4147A2"/>
    <w:rsid w:val="2F73321B"/>
    <w:rsid w:val="2F8568F6"/>
    <w:rsid w:val="2FD30997"/>
    <w:rsid w:val="30010A05"/>
    <w:rsid w:val="30025A7A"/>
    <w:rsid w:val="3029743D"/>
    <w:rsid w:val="303A113C"/>
    <w:rsid w:val="30486096"/>
    <w:rsid w:val="309513B7"/>
    <w:rsid w:val="30BF083E"/>
    <w:rsid w:val="310F1C03"/>
    <w:rsid w:val="311428A2"/>
    <w:rsid w:val="3134698A"/>
    <w:rsid w:val="315C6797"/>
    <w:rsid w:val="31A96481"/>
    <w:rsid w:val="31B44AFD"/>
    <w:rsid w:val="31E25DFF"/>
    <w:rsid w:val="31FE5DB7"/>
    <w:rsid w:val="323B4021"/>
    <w:rsid w:val="32407B44"/>
    <w:rsid w:val="33081CF7"/>
    <w:rsid w:val="330A5710"/>
    <w:rsid w:val="331D1433"/>
    <w:rsid w:val="33490550"/>
    <w:rsid w:val="34492429"/>
    <w:rsid w:val="34585678"/>
    <w:rsid w:val="347428BD"/>
    <w:rsid w:val="34A44555"/>
    <w:rsid w:val="34F74C58"/>
    <w:rsid w:val="35135A3C"/>
    <w:rsid w:val="357B2C2F"/>
    <w:rsid w:val="35C43E73"/>
    <w:rsid w:val="36002E47"/>
    <w:rsid w:val="363A0487"/>
    <w:rsid w:val="36BC071E"/>
    <w:rsid w:val="36F2438C"/>
    <w:rsid w:val="37081078"/>
    <w:rsid w:val="37275587"/>
    <w:rsid w:val="374A265A"/>
    <w:rsid w:val="37707363"/>
    <w:rsid w:val="3792380E"/>
    <w:rsid w:val="37B76039"/>
    <w:rsid w:val="37D3000E"/>
    <w:rsid w:val="38024801"/>
    <w:rsid w:val="383A69FC"/>
    <w:rsid w:val="384A35EB"/>
    <w:rsid w:val="3860695B"/>
    <w:rsid w:val="389B6743"/>
    <w:rsid w:val="38B5578E"/>
    <w:rsid w:val="38D731D9"/>
    <w:rsid w:val="38DE1037"/>
    <w:rsid w:val="38FA68B7"/>
    <w:rsid w:val="391B3C5F"/>
    <w:rsid w:val="39462087"/>
    <w:rsid w:val="39D04997"/>
    <w:rsid w:val="39D94FF7"/>
    <w:rsid w:val="39DE5B61"/>
    <w:rsid w:val="3A046550"/>
    <w:rsid w:val="3A110AB3"/>
    <w:rsid w:val="3A241691"/>
    <w:rsid w:val="3A8C5E79"/>
    <w:rsid w:val="3ACC4283"/>
    <w:rsid w:val="3B9006F2"/>
    <w:rsid w:val="3C1E372A"/>
    <w:rsid w:val="3C3F2833"/>
    <w:rsid w:val="3C616C4D"/>
    <w:rsid w:val="3C8357F7"/>
    <w:rsid w:val="3C916E4D"/>
    <w:rsid w:val="3D106983"/>
    <w:rsid w:val="3D17152F"/>
    <w:rsid w:val="3D17730C"/>
    <w:rsid w:val="3D56238D"/>
    <w:rsid w:val="3DA245CC"/>
    <w:rsid w:val="3DB81441"/>
    <w:rsid w:val="3DCA50C2"/>
    <w:rsid w:val="3EBB407D"/>
    <w:rsid w:val="3F001BD3"/>
    <w:rsid w:val="3F182E96"/>
    <w:rsid w:val="3F1E52E5"/>
    <w:rsid w:val="3F5A51DB"/>
    <w:rsid w:val="3F670787"/>
    <w:rsid w:val="3F9935ED"/>
    <w:rsid w:val="3FB603A1"/>
    <w:rsid w:val="3FDC52E7"/>
    <w:rsid w:val="4001699C"/>
    <w:rsid w:val="405911C9"/>
    <w:rsid w:val="407159FA"/>
    <w:rsid w:val="40A2088C"/>
    <w:rsid w:val="40B91353"/>
    <w:rsid w:val="40BA393E"/>
    <w:rsid w:val="40EB575A"/>
    <w:rsid w:val="41267322"/>
    <w:rsid w:val="41406A6F"/>
    <w:rsid w:val="41435697"/>
    <w:rsid w:val="416658A9"/>
    <w:rsid w:val="41790595"/>
    <w:rsid w:val="418E0D4F"/>
    <w:rsid w:val="41921343"/>
    <w:rsid w:val="42317043"/>
    <w:rsid w:val="42583361"/>
    <w:rsid w:val="425C1C1B"/>
    <w:rsid w:val="42AA6B5E"/>
    <w:rsid w:val="42EB6EF4"/>
    <w:rsid w:val="431B0335"/>
    <w:rsid w:val="439335E5"/>
    <w:rsid w:val="43933C9C"/>
    <w:rsid w:val="43AB3F7E"/>
    <w:rsid w:val="43B01C36"/>
    <w:rsid w:val="43CD2B65"/>
    <w:rsid w:val="43D138F0"/>
    <w:rsid w:val="43EB4511"/>
    <w:rsid w:val="43FB58B0"/>
    <w:rsid w:val="441D30ED"/>
    <w:rsid w:val="44586D0C"/>
    <w:rsid w:val="447317DD"/>
    <w:rsid w:val="45244F4E"/>
    <w:rsid w:val="45377B53"/>
    <w:rsid w:val="456E389B"/>
    <w:rsid w:val="457325A3"/>
    <w:rsid w:val="45F50DCD"/>
    <w:rsid w:val="460E11D8"/>
    <w:rsid w:val="46384573"/>
    <w:rsid w:val="465F4A93"/>
    <w:rsid w:val="4671363D"/>
    <w:rsid w:val="46714D1D"/>
    <w:rsid w:val="46787D24"/>
    <w:rsid w:val="46EA326B"/>
    <w:rsid w:val="46F439B5"/>
    <w:rsid w:val="471635F1"/>
    <w:rsid w:val="473C27D6"/>
    <w:rsid w:val="47753338"/>
    <w:rsid w:val="477F7A36"/>
    <w:rsid w:val="4786592F"/>
    <w:rsid w:val="47AD02DF"/>
    <w:rsid w:val="47FF5186"/>
    <w:rsid w:val="48003C8A"/>
    <w:rsid w:val="4835447F"/>
    <w:rsid w:val="489B38AA"/>
    <w:rsid w:val="4A4D32ED"/>
    <w:rsid w:val="4A5949AA"/>
    <w:rsid w:val="4A62065E"/>
    <w:rsid w:val="4A837DE3"/>
    <w:rsid w:val="4AD8632C"/>
    <w:rsid w:val="4B214130"/>
    <w:rsid w:val="4B425111"/>
    <w:rsid w:val="4B4C61ED"/>
    <w:rsid w:val="4B991172"/>
    <w:rsid w:val="4BC91642"/>
    <w:rsid w:val="4C467704"/>
    <w:rsid w:val="4CB52B8C"/>
    <w:rsid w:val="4D363345"/>
    <w:rsid w:val="4D7F270B"/>
    <w:rsid w:val="4DA55D1C"/>
    <w:rsid w:val="4DAB267F"/>
    <w:rsid w:val="4DCD5EF0"/>
    <w:rsid w:val="4E272DDA"/>
    <w:rsid w:val="4E3106CB"/>
    <w:rsid w:val="4E4E72E4"/>
    <w:rsid w:val="4E6C64B8"/>
    <w:rsid w:val="4F271630"/>
    <w:rsid w:val="4FB023B8"/>
    <w:rsid w:val="4FD317B8"/>
    <w:rsid w:val="504D208F"/>
    <w:rsid w:val="50A54835"/>
    <w:rsid w:val="50D37BB6"/>
    <w:rsid w:val="50EA3307"/>
    <w:rsid w:val="51046C74"/>
    <w:rsid w:val="511E3C93"/>
    <w:rsid w:val="51627D00"/>
    <w:rsid w:val="51792FF1"/>
    <w:rsid w:val="517E174D"/>
    <w:rsid w:val="519B22D0"/>
    <w:rsid w:val="51D7011F"/>
    <w:rsid w:val="51F743F4"/>
    <w:rsid w:val="52C97201"/>
    <w:rsid w:val="52CC2C1B"/>
    <w:rsid w:val="52DD6F48"/>
    <w:rsid w:val="52E2318D"/>
    <w:rsid w:val="52E25699"/>
    <w:rsid w:val="52F21F55"/>
    <w:rsid w:val="52F64E95"/>
    <w:rsid w:val="5351511C"/>
    <w:rsid w:val="53530C46"/>
    <w:rsid w:val="536D4A0D"/>
    <w:rsid w:val="536F7A4A"/>
    <w:rsid w:val="53C41B44"/>
    <w:rsid w:val="53CF12A1"/>
    <w:rsid w:val="53ED1444"/>
    <w:rsid w:val="53F33A4D"/>
    <w:rsid w:val="54332087"/>
    <w:rsid w:val="544A153F"/>
    <w:rsid w:val="546A01E4"/>
    <w:rsid w:val="547D1642"/>
    <w:rsid w:val="547F2761"/>
    <w:rsid w:val="54A46609"/>
    <w:rsid w:val="5550336B"/>
    <w:rsid w:val="55D43B94"/>
    <w:rsid w:val="55FB4D85"/>
    <w:rsid w:val="565471F0"/>
    <w:rsid w:val="56844843"/>
    <w:rsid w:val="56AE22D0"/>
    <w:rsid w:val="56F37E0E"/>
    <w:rsid w:val="5748197D"/>
    <w:rsid w:val="57776ECD"/>
    <w:rsid w:val="579F1294"/>
    <w:rsid w:val="57CE2F91"/>
    <w:rsid w:val="582C1B5A"/>
    <w:rsid w:val="5856064C"/>
    <w:rsid w:val="58783154"/>
    <w:rsid w:val="58EA3C05"/>
    <w:rsid w:val="58F06F37"/>
    <w:rsid w:val="58F24253"/>
    <w:rsid w:val="590D16B1"/>
    <w:rsid w:val="59373EDD"/>
    <w:rsid w:val="594505DA"/>
    <w:rsid w:val="59AB63FA"/>
    <w:rsid w:val="59C01D8D"/>
    <w:rsid w:val="5A18435A"/>
    <w:rsid w:val="5A987886"/>
    <w:rsid w:val="5A9D6C4B"/>
    <w:rsid w:val="5AD52F41"/>
    <w:rsid w:val="5AD546E2"/>
    <w:rsid w:val="5AFD4FAC"/>
    <w:rsid w:val="5B011832"/>
    <w:rsid w:val="5B024EDE"/>
    <w:rsid w:val="5B112AC0"/>
    <w:rsid w:val="5B7B6968"/>
    <w:rsid w:val="5BB85370"/>
    <w:rsid w:val="5CE96D25"/>
    <w:rsid w:val="5CFA4828"/>
    <w:rsid w:val="5D3A426D"/>
    <w:rsid w:val="5D742E86"/>
    <w:rsid w:val="5D890A34"/>
    <w:rsid w:val="5DCC0941"/>
    <w:rsid w:val="5DCC70DE"/>
    <w:rsid w:val="5DEC31C3"/>
    <w:rsid w:val="5E106EDE"/>
    <w:rsid w:val="5E2D407F"/>
    <w:rsid w:val="5E3435FD"/>
    <w:rsid w:val="5E8156D9"/>
    <w:rsid w:val="5EA32E01"/>
    <w:rsid w:val="5EB4077E"/>
    <w:rsid w:val="5F105C3D"/>
    <w:rsid w:val="5F116F65"/>
    <w:rsid w:val="5F1D0803"/>
    <w:rsid w:val="5F355941"/>
    <w:rsid w:val="5F752D10"/>
    <w:rsid w:val="5FD27D4C"/>
    <w:rsid w:val="600A53A2"/>
    <w:rsid w:val="604A1623"/>
    <w:rsid w:val="605E2FD7"/>
    <w:rsid w:val="60635035"/>
    <w:rsid w:val="60D96B47"/>
    <w:rsid w:val="60EC4C2C"/>
    <w:rsid w:val="613E14C5"/>
    <w:rsid w:val="61455508"/>
    <w:rsid w:val="619B6E87"/>
    <w:rsid w:val="621070F5"/>
    <w:rsid w:val="626F711E"/>
    <w:rsid w:val="62DC4C7B"/>
    <w:rsid w:val="62E24106"/>
    <w:rsid w:val="62E53D07"/>
    <w:rsid w:val="633C3C7A"/>
    <w:rsid w:val="633E3D6B"/>
    <w:rsid w:val="634C68CD"/>
    <w:rsid w:val="63C172B1"/>
    <w:rsid w:val="63FE327F"/>
    <w:rsid w:val="642E1D75"/>
    <w:rsid w:val="64444BF4"/>
    <w:rsid w:val="64670C54"/>
    <w:rsid w:val="64F73115"/>
    <w:rsid w:val="65106CE5"/>
    <w:rsid w:val="654C560D"/>
    <w:rsid w:val="655A444E"/>
    <w:rsid w:val="657F6825"/>
    <w:rsid w:val="65BB59F0"/>
    <w:rsid w:val="65EB618A"/>
    <w:rsid w:val="66236EE6"/>
    <w:rsid w:val="6663564E"/>
    <w:rsid w:val="66664CDC"/>
    <w:rsid w:val="67CA3F01"/>
    <w:rsid w:val="67F86830"/>
    <w:rsid w:val="680208B8"/>
    <w:rsid w:val="684018B1"/>
    <w:rsid w:val="68512754"/>
    <w:rsid w:val="68555600"/>
    <w:rsid w:val="687B4DA7"/>
    <w:rsid w:val="68DD7C16"/>
    <w:rsid w:val="6918370D"/>
    <w:rsid w:val="69FC59E2"/>
    <w:rsid w:val="6A011D55"/>
    <w:rsid w:val="6A1D3904"/>
    <w:rsid w:val="6A974FF7"/>
    <w:rsid w:val="6AF24D3F"/>
    <w:rsid w:val="6B1F2167"/>
    <w:rsid w:val="6B26166F"/>
    <w:rsid w:val="6B802775"/>
    <w:rsid w:val="6B85022C"/>
    <w:rsid w:val="6BA20565"/>
    <w:rsid w:val="6BAB10FE"/>
    <w:rsid w:val="6BC81A0A"/>
    <w:rsid w:val="6BF747B0"/>
    <w:rsid w:val="6C01408D"/>
    <w:rsid w:val="6C9E2BFD"/>
    <w:rsid w:val="6CB44816"/>
    <w:rsid w:val="6D0B0235"/>
    <w:rsid w:val="6D541EEA"/>
    <w:rsid w:val="6D714D54"/>
    <w:rsid w:val="6D855A87"/>
    <w:rsid w:val="6DF754FE"/>
    <w:rsid w:val="6DF95AD9"/>
    <w:rsid w:val="6E3238CA"/>
    <w:rsid w:val="6E360088"/>
    <w:rsid w:val="6E935F8E"/>
    <w:rsid w:val="6F232AAD"/>
    <w:rsid w:val="6F7A7523"/>
    <w:rsid w:val="6F9C1D40"/>
    <w:rsid w:val="6FA50623"/>
    <w:rsid w:val="6FD37B8B"/>
    <w:rsid w:val="6FFE7B86"/>
    <w:rsid w:val="70115745"/>
    <w:rsid w:val="70B0102E"/>
    <w:rsid w:val="70DD5408"/>
    <w:rsid w:val="70E02E52"/>
    <w:rsid w:val="715440AF"/>
    <w:rsid w:val="716302DB"/>
    <w:rsid w:val="716C7040"/>
    <w:rsid w:val="71914FEC"/>
    <w:rsid w:val="71A77F0D"/>
    <w:rsid w:val="7244028E"/>
    <w:rsid w:val="72F67675"/>
    <w:rsid w:val="72FF75F5"/>
    <w:rsid w:val="730B72FF"/>
    <w:rsid w:val="7327134F"/>
    <w:rsid w:val="734D795A"/>
    <w:rsid w:val="73640DF3"/>
    <w:rsid w:val="73682392"/>
    <w:rsid w:val="736A3795"/>
    <w:rsid w:val="73B01CA3"/>
    <w:rsid w:val="74145D78"/>
    <w:rsid w:val="749C50FF"/>
    <w:rsid w:val="74A659CF"/>
    <w:rsid w:val="75062A6D"/>
    <w:rsid w:val="75120949"/>
    <w:rsid w:val="751D1FC3"/>
    <w:rsid w:val="752A2ED6"/>
    <w:rsid w:val="75530B22"/>
    <w:rsid w:val="75684EA7"/>
    <w:rsid w:val="75886C3A"/>
    <w:rsid w:val="7593188F"/>
    <w:rsid w:val="760D2A7F"/>
    <w:rsid w:val="7621166A"/>
    <w:rsid w:val="76343236"/>
    <w:rsid w:val="76487110"/>
    <w:rsid w:val="767253D0"/>
    <w:rsid w:val="76A96C4B"/>
    <w:rsid w:val="76C32B31"/>
    <w:rsid w:val="778837B9"/>
    <w:rsid w:val="77AD4401"/>
    <w:rsid w:val="77C03FA3"/>
    <w:rsid w:val="780C0A4C"/>
    <w:rsid w:val="78751AF1"/>
    <w:rsid w:val="788237D1"/>
    <w:rsid w:val="78961451"/>
    <w:rsid w:val="78A3279B"/>
    <w:rsid w:val="78F61822"/>
    <w:rsid w:val="79147264"/>
    <w:rsid w:val="7945262A"/>
    <w:rsid w:val="7A14531A"/>
    <w:rsid w:val="7A455CB6"/>
    <w:rsid w:val="7A5100CD"/>
    <w:rsid w:val="7A57076C"/>
    <w:rsid w:val="7AA81C03"/>
    <w:rsid w:val="7AAC4A89"/>
    <w:rsid w:val="7AB23202"/>
    <w:rsid w:val="7B0E5ED5"/>
    <w:rsid w:val="7B226FCC"/>
    <w:rsid w:val="7B892FF1"/>
    <w:rsid w:val="7BB411F5"/>
    <w:rsid w:val="7BBE69F5"/>
    <w:rsid w:val="7BC66614"/>
    <w:rsid w:val="7C0C24C5"/>
    <w:rsid w:val="7C115755"/>
    <w:rsid w:val="7C1C4BBB"/>
    <w:rsid w:val="7C6D071B"/>
    <w:rsid w:val="7C7D6A88"/>
    <w:rsid w:val="7D252DA4"/>
    <w:rsid w:val="7D264C49"/>
    <w:rsid w:val="7D2C32F8"/>
    <w:rsid w:val="7D892458"/>
    <w:rsid w:val="7DA513CC"/>
    <w:rsid w:val="7DA73B22"/>
    <w:rsid w:val="7DFC3E3D"/>
    <w:rsid w:val="7E1C0737"/>
    <w:rsid w:val="7E2E1960"/>
    <w:rsid w:val="7E3036EA"/>
    <w:rsid w:val="7E5020A2"/>
    <w:rsid w:val="7EA67AED"/>
    <w:rsid w:val="7EEE09D9"/>
    <w:rsid w:val="7F0D6663"/>
    <w:rsid w:val="7F0E2BFC"/>
    <w:rsid w:val="7F6100C2"/>
    <w:rsid w:val="7F6F0325"/>
    <w:rsid w:val="7F870526"/>
    <w:rsid w:val="7F932247"/>
    <w:rsid w:val="7FAA5A5B"/>
    <w:rsid w:val="7FD7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2"/>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63"/>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64"/>
    <w:autoRedefine/>
    <w:qFormat/>
    <w:uiPriority w:val="0"/>
    <w:pPr>
      <w:autoSpaceDE w:val="0"/>
      <w:autoSpaceDN w:val="0"/>
      <w:adjustRightInd w:val="0"/>
      <w:snapToGrid w:val="0"/>
      <w:spacing w:line="360" w:lineRule="auto"/>
      <w:outlineLvl w:val="3"/>
    </w:pPr>
    <w:rPr>
      <w:rFonts w:ascii="宋体" w:hAnsi="Arial"/>
      <w:color w:val="000000"/>
      <w:kern w:val="0"/>
      <w:szCs w:val="20"/>
    </w:rPr>
  </w:style>
  <w:style w:type="paragraph" w:styleId="6">
    <w:name w:val="heading 5"/>
    <w:basedOn w:val="1"/>
    <w:next w:val="7"/>
    <w:link w:val="65"/>
    <w:autoRedefine/>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paragraph" w:styleId="8">
    <w:name w:val="heading 6"/>
    <w:basedOn w:val="1"/>
    <w:next w:val="7"/>
    <w:link w:val="66"/>
    <w:autoRedefine/>
    <w:qFormat/>
    <w:uiPriority w:val="0"/>
    <w:pPr>
      <w:keepNext/>
      <w:autoSpaceDE w:val="0"/>
      <w:autoSpaceDN w:val="0"/>
      <w:adjustRightInd w:val="0"/>
      <w:snapToGrid w:val="0"/>
      <w:spacing w:before="240" w:after="64" w:line="320" w:lineRule="auto"/>
      <w:outlineLvl w:val="5"/>
    </w:pPr>
    <w:rPr>
      <w:rFonts w:ascii="Arial" w:hAnsi="Arial" w:eastAsia="黑体"/>
      <w:b/>
      <w:color w:val="000000"/>
      <w:kern w:val="0"/>
      <w:sz w:val="24"/>
      <w:szCs w:val="20"/>
    </w:rPr>
  </w:style>
  <w:style w:type="paragraph" w:styleId="9">
    <w:name w:val="heading 7"/>
    <w:basedOn w:val="1"/>
    <w:next w:val="7"/>
    <w:link w:val="67"/>
    <w:autoRedefine/>
    <w:qFormat/>
    <w:uiPriority w:val="0"/>
    <w:pPr>
      <w:keepNext/>
      <w:autoSpaceDE w:val="0"/>
      <w:autoSpaceDN w:val="0"/>
      <w:adjustRightInd w:val="0"/>
      <w:snapToGrid w:val="0"/>
      <w:spacing w:before="240" w:after="64" w:line="320" w:lineRule="auto"/>
      <w:outlineLvl w:val="6"/>
    </w:pPr>
    <w:rPr>
      <w:rFonts w:ascii="宋体"/>
      <w:b/>
      <w:color w:val="000000"/>
      <w:kern w:val="0"/>
      <w:sz w:val="24"/>
      <w:szCs w:val="20"/>
    </w:rPr>
  </w:style>
  <w:style w:type="paragraph" w:styleId="10">
    <w:name w:val="heading 8"/>
    <w:basedOn w:val="1"/>
    <w:next w:val="7"/>
    <w:link w:val="68"/>
    <w:autoRedefine/>
    <w:qFormat/>
    <w:uiPriority w:val="0"/>
    <w:pPr>
      <w:keepNext/>
      <w:autoSpaceDE w:val="0"/>
      <w:autoSpaceDN w:val="0"/>
      <w:adjustRightInd w:val="0"/>
      <w:snapToGrid w:val="0"/>
      <w:spacing w:before="240" w:after="64" w:line="320" w:lineRule="auto"/>
      <w:outlineLvl w:val="7"/>
    </w:pPr>
    <w:rPr>
      <w:rFonts w:ascii="Arial" w:hAnsi="Arial" w:eastAsia="黑体"/>
      <w:color w:val="000000"/>
      <w:kern w:val="0"/>
      <w:sz w:val="24"/>
      <w:szCs w:val="20"/>
    </w:rPr>
  </w:style>
  <w:style w:type="paragraph" w:styleId="11">
    <w:name w:val="heading 9"/>
    <w:basedOn w:val="1"/>
    <w:next w:val="7"/>
    <w:link w:val="69"/>
    <w:autoRedefine/>
    <w:qFormat/>
    <w:uiPriority w:val="0"/>
    <w:pPr>
      <w:keepNext/>
      <w:autoSpaceDE w:val="0"/>
      <w:autoSpaceDN w:val="0"/>
      <w:adjustRightInd w:val="0"/>
      <w:snapToGrid w:val="0"/>
      <w:spacing w:before="240" w:after="64" w:line="320" w:lineRule="auto"/>
      <w:outlineLvl w:val="8"/>
    </w:pPr>
    <w:rPr>
      <w:rFonts w:ascii="Arial" w:hAnsi="Arial" w:eastAsia="黑体"/>
      <w:color w:val="000000"/>
      <w:kern w:val="0"/>
      <w:szCs w:val="2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spacing w:line="460" w:lineRule="exact"/>
      <w:ind w:firstLine="420"/>
    </w:pPr>
    <w:rPr>
      <w:spacing w:val="14"/>
      <w:kern w:val="24"/>
      <w:sz w:val="24"/>
      <w:szCs w:val="20"/>
    </w:rPr>
  </w:style>
  <w:style w:type="paragraph" w:styleId="12">
    <w:name w:val="toc 7"/>
    <w:basedOn w:val="1"/>
    <w:next w:val="1"/>
    <w:autoRedefine/>
    <w:qFormat/>
    <w:uiPriority w:val="0"/>
    <w:pPr>
      <w:ind w:left="1260"/>
      <w:jc w:val="left"/>
    </w:pPr>
    <w:rPr>
      <w:rFonts w:ascii="Century Gothic" w:hAnsi="Century Gothic"/>
      <w:sz w:val="18"/>
      <w:szCs w:val="18"/>
    </w:rPr>
  </w:style>
  <w:style w:type="paragraph" w:styleId="13">
    <w:name w:val="Document Map"/>
    <w:basedOn w:val="1"/>
    <w:link w:val="70"/>
    <w:autoRedefine/>
    <w:qFormat/>
    <w:uiPriority w:val="0"/>
    <w:pPr>
      <w:shd w:val="clear" w:color="auto" w:fill="000080"/>
    </w:pPr>
  </w:style>
  <w:style w:type="paragraph" w:styleId="14">
    <w:name w:val="toa heading"/>
    <w:basedOn w:val="1"/>
    <w:next w:val="1"/>
    <w:autoRedefine/>
    <w:qFormat/>
    <w:uiPriority w:val="0"/>
    <w:pPr>
      <w:spacing w:before="120"/>
    </w:pPr>
    <w:rPr>
      <w:rFonts w:ascii="Arial" w:hAnsi="Arial" w:eastAsia="仿宋_GB2312" w:cs="Arial"/>
      <w:b/>
      <w:bCs/>
      <w:color w:val="000000"/>
      <w:kern w:val="0"/>
      <w:sz w:val="24"/>
      <w:szCs w:val="21"/>
    </w:rPr>
  </w:style>
  <w:style w:type="paragraph" w:styleId="15">
    <w:name w:val="annotation text"/>
    <w:basedOn w:val="1"/>
    <w:link w:val="71"/>
    <w:autoRedefine/>
    <w:qFormat/>
    <w:uiPriority w:val="0"/>
    <w:pPr>
      <w:jc w:val="left"/>
    </w:pPr>
  </w:style>
  <w:style w:type="paragraph" w:styleId="16">
    <w:name w:val="Body Text"/>
    <w:basedOn w:val="1"/>
    <w:next w:val="17"/>
    <w:link w:val="59"/>
    <w:autoRedefine/>
    <w:qFormat/>
    <w:uiPriority w:val="0"/>
    <w:pPr>
      <w:spacing w:line="360" w:lineRule="auto"/>
    </w:pPr>
    <w:rPr>
      <w:rFonts w:ascii="楷体_GB2312" w:eastAsia="楷体_GB2312"/>
      <w:sz w:val="32"/>
      <w:szCs w:val="20"/>
    </w:rPr>
  </w:style>
  <w:style w:type="paragraph" w:styleId="17">
    <w:name w:val="Body Text First Indent"/>
    <w:basedOn w:val="16"/>
    <w:link w:val="60"/>
    <w:autoRedefine/>
    <w:qFormat/>
    <w:uiPriority w:val="0"/>
    <w:pPr>
      <w:ind w:firstLine="420" w:firstLineChars="100"/>
    </w:pPr>
    <w:rPr>
      <w:rFonts w:hAnsi="Calibri"/>
      <w:szCs w:val="24"/>
    </w:rPr>
  </w:style>
  <w:style w:type="paragraph" w:styleId="18">
    <w:name w:val="Body Text Indent"/>
    <w:basedOn w:val="1"/>
    <w:next w:val="19"/>
    <w:link w:val="72"/>
    <w:autoRedefine/>
    <w:qFormat/>
    <w:uiPriority w:val="0"/>
    <w:pPr>
      <w:widowControl/>
      <w:spacing w:line="360" w:lineRule="auto"/>
      <w:ind w:left="980"/>
      <w:jc w:val="left"/>
    </w:pPr>
    <w:rPr>
      <w:kern w:val="0"/>
      <w:szCs w:val="20"/>
    </w:rPr>
  </w:style>
  <w:style w:type="paragraph" w:styleId="19">
    <w:name w:val="envelope return"/>
    <w:basedOn w:val="1"/>
    <w:autoRedefine/>
    <w:qFormat/>
    <w:uiPriority w:val="0"/>
    <w:pPr>
      <w:snapToGrid w:val="0"/>
    </w:pPr>
    <w:rPr>
      <w:rFonts w:ascii="Arial" w:hAnsi="Arial" w:cs="Arial"/>
    </w:rPr>
  </w:style>
  <w:style w:type="paragraph" w:styleId="20">
    <w:name w:val="List Number 3"/>
    <w:basedOn w:val="1"/>
    <w:autoRedefine/>
    <w:qFormat/>
    <w:uiPriority w:val="0"/>
    <w:pPr>
      <w:tabs>
        <w:tab w:val="left" w:pos="1200"/>
      </w:tabs>
      <w:ind w:left="1200" w:hanging="360"/>
    </w:pPr>
    <w:rPr>
      <w:szCs w:val="20"/>
    </w:rPr>
  </w:style>
  <w:style w:type="paragraph" w:styleId="21">
    <w:name w:val="Block Text"/>
    <w:basedOn w:val="1"/>
    <w:autoRedefine/>
    <w:qFormat/>
    <w:uiPriority w:val="99"/>
    <w:pPr>
      <w:spacing w:before="156" w:beforeLines="50" w:after="156" w:afterLines="50"/>
      <w:ind w:left="426" w:right="-11" w:hanging="426" w:hangingChars="203"/>
    </w:pPr>
    <w:rPr>
      <w:rFonts w:eastAsia="楷体_GB2312"/>
    </w:rPr>
  </w:style>
  <w:style w:type="paragraph" w:styleId="22">
    <w:name w:val="toc 5"/>
    <w:basedOn w:val="1"/>
    <w:next w:val="1"/>
    <w:autoRedefine/>
    <w:qFormat/>
    <w:uiPriority w:val="0"/>
    <w:pPr>
      <w:spacing w:line="280" w:lineRule="exact"/>
      <w:jc w:val="right"/>
    </w:pPr>
  </w:style>
  <w:style w:type="paragraph" w:styleId="23">
    <w:name w:val="toc 3"/>
    <w:basedOn w:val="1"/>
    <w:next w:val="1"/>
    <w:autoRedefine/>
    <w:qFormat/>
    <w:uiPriority w:val="39"/>
    <w:pPr>
      <w:ind w:left="420"/>
      <w:jc w:val="left"/>
    </w:pPr>
    <w:rPr>
      <w:rFonts w:ascii="Century Gothic" w:hAnsi="Century Gothic"/>
      <w:i/>
      <w:iCs/>
      <w:sz w:val="20"/>
      <w:szCs w:val="20"/>
    </w:rPr>
  </w:style>
  <w:style w:type="paragraph" w:styleId="24">
    <w:name w:val="Plain Text"/>
    <w:basedOn w:val="1"/>
    <w:next w:val="25"/>
    <w:link w:val="58"/>
    <w:autoRedefine/>
    <w:qFormat/>
    <w:uiPriority w:val="0"/>
    <w:rPr>
      <w:rFonts w:ascii="宋体" w:hAnsi="Courier New"/>
      <w:szCs w:val="20"/>
    </w:rPr>
  </w:style>
  <w:style w:type="paragraph" w:styleId="25">
    <w:name w:val="toc 2"/>
    <w:basedOn w:val="1"/>
    <w:next w:val="1"/>
    <w:autoRedefine/>
    <w:unhideWhenUsed/>
    <w:qFormat/>
    <w:uiPriority w:val="39"/>
    <w:pPr>
      <w:numPr>
        <w:ilvl w:val="5"/>
        <w:numId w:val="1"/>
      </w:numPr>
      <w:ind w:left="420" w:leftChars="200" w:firstLine="0"/>
    </w:pPr>
    <w:rPr>
      <w:rFonts w:ascii="Calibri" w:hAnsi="Calibri"/>
      <w:szCs w:val="22"/>
    </w:rPr>
  </w:style>
  <w:style w:type="paragraph" w:styleId="26">
    <w:name w:val="toc 8"/>
    <w:basedOn w:val="1"/>
    <w:next w:val="1"/>
    <w:autoRedefine/>
    <w:qFormat/>
    <w:uiPriority w:val="0"/>
    <w:pPr>
      <w:ind w:left="1470"/>
      <w:jc w:val="left"/>
    </w:pPr>
    <w:rPr>
      <w:rFonts w:ascii="Century Gothic" w:hAnsi="Century Gothic"/>
      <w:sz w:val="18"/>
      <w:szCs w:val="18"/>
    </w:rPr>
  </w:style>
  <w:style w:type="paragraph" w:styleId="27">
    <w:name w:val="Date"/>
    <w:basedOn w:val="1"/>
    <w:next w:val="1"/>
    <w:link w:val="73"/>
    <w:autoRedefine/>
    <w:qFormat/>
    <w:uiPriority w:val="0"/>
    <w:pPr>
      <w:ind w:left="100" w:leftChars="2500"/>
    </w:pPr>
  </w:style>
  <w:style w:type="paragraph" w:styleId="28">
    <w:name w:val="Body Text Indent 2"/>
    <w:basedOn w:val="1"/>
    <w:link w:val="74"/>
    <w:autoRedefine/>
    <w:qFormat/>
    <w:uiPriority w:val="99"/>
    <w:pPr>
      <w:widowControl/>
      <w:spacing w:line="360" w:lineRule="auto"/>
      <w:ind w:left="784"/>
      <w:jc w:val="left"/>
    </w:pPr>
    <w:rPr>
      <w:kern w:val="0"/>
      <w:szCs w:val="20"/>
    </w:rPr>
  </w:style>
  <w:style w:type="paragraph" w:styleId="29">
    <w:name w:val="Balloon Text"/>
    <w:basedOn w:val="1"/>
    <w:link w:val="75"/>
    <w:autoRedefine/>
    <w:qFormat/>
    <w:uiPriority w:val="99"/>
    <w:rPr>
      <w:sz w:val="18"/>
      <w:szCs w:val="18"/>
    </w:rPr>
  </w:style>
  <w:style w:type="paragraph" w:styleId="30">
    <w:name w:val="footer"/>
    <w:basedOn w:val="1"/>
    <w:link w:val="76"/>
    <w:autoRedefine/>
    <w:qFormat/>
    <w:uiPriority w:val="99"/>
    <w:pPr>
      <w:tabs>
        <w:tab w:val="center" w:pos="4153"/>
        <w:tab w:val="right" w:pos="8306"/>
      </w:tabs>
      <w:snapToGrid w:val="0"/>
      <w:jc w:val="left"/>
    </w:pPr>
    <w:rPr>
      <w:sz w:val="18"/>
      <w:szCs w:val="18"/>
    </w:rPr>
  </w:style>
  <w:style w:type="paragraph" w:styleId="31">
    <w:name w:val="header"/>
    <w:basedOn w:val="1"/>
    <w:link w:val="77"/>
    <w:autoRedefine/>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widowControl/>
      <w:tabs>
        <w:tab w:val="left" w:pos="824"/>
      </w:tabs>
      <w:spacing w:before="156" w:beforeLines="50"/>
      <w:jc w:val="center"/>
    </w:pPr>
    <w:rPr>
      <w:rFonts w:ascii="宋体" w:hAnsi="宋体"/>
      <w:color w:val="FF0000"/>
      <w:kern w:val="0"/>
      <w:szCs w:val="20"/>
    </w:rPr>
  </w:style>
  <w:style w:type="paragraph" w:styleId="33">
    <w:name w:val="toc 4"/>
    <w:basedOn w:val="1"/>
    <w:next w:val="1"/>
    <w:autoRedefine/>
    <w:qFormat/>
    <w:uiPriority w:val="0"/>
    <w:pPr>
      <w:ind w:left="630"/>
      <w:jc w:val="left"/>
    </w:pPr>
    <w:rPr>
      <w:rFonts w:ascii="Century Gothic" w:hAnsi="Century Gothic"/>
      <w:sz w:val="18"/>
      <w:szCs w:val="18"/>
    </w:rPr>
  </w:style>
  <w:style w:type="paragraph" w:styleId="34">
    <w:name w:val="List"/>
    <w:basedOn w:val="1"/>
    <w:autoRedefine/>
    <w:qFormat/>
    <w:uiPriority w:val="0"/>
    <w:pPr>
      <w:ind w:left="200" w:hanging="200" w:hangingChars="200"/>
    </w:pPr>
    <w:rPr>
      <w:sz w:val="28"/>
    </w:rPr>
  </w:style>
  <w:style w:type="paragraph" w:styleId="35">
    <w:name w:val="toc 6"/>
    <w:basedOn w:val="1"/>
    <w:next w:val="1"/>
    <w:autoRedefine/>
    <w:qFormat/>
    <w:uiPriority w:val="0"/>
    <w:pPr>
      <w:ind w:left="1050"/>
      <w:jc w:val="left"/>
    </w:pPr>
    <w:rPr>
      <w:rFonts w:ascii="Century Gothic" w:hAnsi="Century Gothic"/>
      <w:sz w:val="18"/>
      <w:szCs w:val="18"/>
    </w:rPr>
  </w:style>
  <w:style w:type="paragraph" w:styleId="36">
    <w:name w:val="Body Text Indent 3"/>
    <w:basedOn w:val="1"/>
    <w:link w:val="78"/>
    <w:autoRedefine/>
    <w:qFormat/>
    <w:uiPriority w:val="0"/>
    <w:pPr>
      <w:widowControl/>
      <w:spacing w:line="360" w:lineRule="auto"/>
      <w:ind w:left="784"/>
    </w:pPr>
    <w:rPr>
      <w:kern w:val="0"/>
      <w:szCs w:val="20"/>
    </w:rPr>
  </w:style>
  <w:style w:type="paragraph" w:styleId="37">
    <w:name w:val="index 7"/>
    <w:basedOn w:val="1"/>
    <w:next w:val="1"/>
    <w:autoRedefine/>
    <w:qFormat/>
    <w:uiPriority w:val="0"/>
    <w:pPr>
      <w:autoSpaceDE/>
      <w:autoSpaceDN/>
      <w:adjustRightInd/>
      <w:ind w:left="1200" w:leftChars="1200"/>
    </w:pPr>
    <w:rPr>
      <w:color w:val="auto"/>
      <w:kern w:val="2"/>
      <w:szCs w:val="24"/>
    </w:rPr>
  </w:style>
  <w:style w:type="paragraph" w:styleId="38">
    <w:name w:val="toc 9"/>
    <w:basedOn w:val="1"/>
    <w:next w:val="1"/>
    <w:autoRedefine/>
    <w:qFormat/>
    <w:uiPriority w:val="0"/>
    <w:pPr>
      <w:ind w:left="1680"/>
      <w:jc w:val="left"/>
    </w:pPr>
    <w:rPr>
      <w:rFonts w:ascii="Century Gothic" w:hAnsi="Century Gothic"/>
      <w:sz w:val="18"/>
      <w:szCs w:val="18"/>
    </w:rPr>
  </w:style>
  <w:style w:type="paragraph" w:styleId="39">
    <w:name w:val="Body Text 2"/>
    <w:basedOn w:val="1"/>
    <w:link w:val="79"/>
    <w:autoRedefine/>
    <w:qFormat/>
    <w:uiPriority w:val="0"/>
    <w:pPr>
      <w:jc w:val="center"/>
    </w:pPr>
    <w:rPr>
      <w:rFonts w:ascii="宋体" w:hAnsi="宋体"/>
      <w:sz w:val="44"/>
    </w:rPr>
  </w:style>
  <w:style w:type="paragraph" w:styleId="40">
    <w:name w:val="HTML Preformatted"/>
    <w:basedOn w:val="1"/>
    <w:link w:val="80"/>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autoRedefine/>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42">
    <w:name w:val="index 1"/>
    <w:basedOn w:val="1"/>
    <w:next w:val="1"/>
    <w:autoRedefine/>
    <w:qFormat/>
    <w:uiPriority w:val="0"/>
    <w:pPr>
      <w:jc w:val="center"/>
    </w:pPr>
  </w:style>
  <w:style w:type="paragraph" w:styleId="43">
    <w:name w:val="Title"/>
    <w:basedOn w:val="1"/>
    <w:link w:val="81"/>
    <w:autoRedefine/>
    <w:qFormat/>
    <w:uiPriority w:val="0"/>
    <w:pPr>
      <w:spacing w:before="240" w:after="60"/>
      <w:jc w:val="center"/>
      <w:outlineLvl w:val="0"/>
    </w:pPr>
    <w:rPr>
      <w:rFonts w:ascii="Arial" w:hAnsi="Arial"/>
      <w:sz w:val="32"/>
      <w:szCs w:val="32"/>
    </w:rPr>
  </w:style>
  <w:style w:type="paragraph" w:styleId="44">
    <w:name w:val="annotation subject"/>
    <w:basedOn w:val="15"/>
    <w:next w:val="15"/>
    <w:link w:val="82"/>
    <w:autoRedefine/>
    <w:qFormat/>
    <w:uiPriority w:val="0"/>
    <w:rPr>
      <w:b/>
      <w:bCs/>
    </w:rPr>
  </w:style>
  <w:style w:type="paragraph" w:styleId="45">
    <w:name w:val="Body Text First Indent 2"/>
    <w:basedOn w:val="18"/>
    <w:autoRedefine/>
    <w:qFormat/>
    <w:uiPriority w:val="0"/>
    <w:pPr>
      <w:ind w:firstLine="420"/>
    </w:pPr>
    <w:rPr>
      <w:rFonts w:cs="宋体"/>
      <w:szCs w:val="21"/>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22"/>
    <w:rPr>
      <w:b/>
      <w:bCs/>
    </w:rPr>
  </w:style>
  <w:style w:type="character" w:styleId="50">
    <w:name w:val="page number"/>
    <w:autoRedefine/>
    <w:qFormat/>
    <w:uiPriority w:val="0"/>
  </w:style>
  <w:style w:type="character" w:styleId="51">
    <w:name w:val="FollowedHyperlink"/>
    <w:autoRedefine/>
    <w:qFormat/>
    <w:uiPriority w:val="0"/>
    <w:rPr>
      <w:color w:val="4A4A4A"/>
      <w:u w:val="none"/>
    </w:rPr>
  </w:style>
  <w:style w:type="character" w:styleId="52">
    <w:name w:val="Emphasis"/>
    <w:autoRedefine/>
    <w:qFormat/>
    <w:uiPriority w:val="20"/>
    <w:rPr>
      <w:i/>
      <w:iCs/>
    </w:rPr>
  </w:style>
  <w:style w:type="character" w:styleId="53">
    <w:name w:val="line number"/>
    <w:autoRedefine/>
    <w:qFormat/>
    <w:uiPriority w:val="0"/>
  </w:style>
  <w:style w:type="character" w:styleId="54">
    <w:name w:val="Hyperlink"/>
    <w:autoRedefine/>
    <w:qFormat/>
    <w:uiPriority w:val="0"/>
    <w:rPr>
      <w:color w:val="4A4A4A"/>
      <w:u w:val="none"/>
    </w:rPr>
  </w:style>
  <w:style w:type="character" w:styleId="55">
    <w:name w:val="annotation reference"/>
    <w:autoRedefine/>
    <w:qFormat/>
    <w:uiPriority w:val="99"/>
    <w:rPr>
      <w:sz w:val="21"/>
      <w:szCs w:val="21"/>
    </w:rPr>
  </w:style>
  <w:style w:type="character" w:styleId="56">
    <w:name w:val="HTML Sample"/>
    <w:basedOn w:val="48"/>
    <w:autoRedefine/>
    <w:qFormat/>
    <w:uiPriority w:val="0"/>
    <w:rPr>
      <w:rFonts w:ascii="Courier New" w:hAnsi="Courier New"/>
    </w:rPr>
  </w:style>
  <w:style w:type="paragraph" w:customStyle="1" w:styleId="57">
    <w:name w:val="表格文字"/>
    <w:basedOn w:val="24"/>
    <w:next w:val="16"/>
    <w:autoRedefine/>
    <w:qFormat/>
    <w:uiPriority w:val="99"/>
    <w:pPr>
      <w:adjustRightInd w:val="0"/>
      <w:spacing w:line="420" w:lineRule="atLeast"/>
      <w:jc w:val="left"/>
      <w:textAlignment w:val="baseline"/>
    </w:pPr>
    <w:rPr>
      <w:kern w:val="0"/>
    </w:rPr>
  </w:style>
  <w:style w:type="character" w:customStyle="1" w:styleId="58">
    <w:name w:val="纯文本 字符"/>
    <w:link w:val="24"/>
    <w:autoRedefine/>
    <w:qFormat/>
    <w:uiPriority w:val="0"/>
    <w:rPr>
      <w:rFonts w:ascii="宋体" w:hAnsi="Courier New"/>
      <w:kern w:val="2"/>
      <w:sz w:val="21"/>
    </w:rPr>
  </w:style>
  <w:style w:type="character" w:customStyle="1" w:styleId="59">
    <w:name w:val="正文文本 字符"/>
    <w:link w:val="16"/>
    <w:autoRedefine/>
    <w:qFormat/>
    <w:uiPriority w:val="0"/>
    <w:rPr>
      <w:rFonts w:ascii="楷体_GB2312" w:eastAsia="楷体_GB2312"/>
      <w:kern w:val="2"/>
      <w:sz w:val="32"/>
    </w:rPr>
  </w:style>
  <w:style w:type="character" w:customStyle="1" w:styleId="60">
    <w:name w:val="正文文本首行缩进 字符"/>
    <w:link w:val="17"/>
    <w:autoRedefine/>
    <w:qFormat/>
    <w:uiPriority w:val="0"/>
    <w:rPr>
      <w:rFonts w:ascii="楷体_GB2312" w:hAnsi="Calibri" w:eastAsia="楷体_GB2312"/>
      <w:kern w:val="2"/>
      <w:sz w:val="32"/>
      <w:szCs w:val="24"/>
    </w:rPr>
  </w:style>
  <w:style w:type="character" w:customStyle="1" w:styleId="61">
    <w:name w:val="标题 1 字符"/>
    <w:link w:val="2"/>
    <w:autoRedefine/>
    <w:qFormat/>
    <w:uiPriority w:val="0"/>
    <w:rPr>
      <w:b/>
      <w:bCs/>
      <w:kern w:val="44"/>
      <w:sz w:val="44"/>
      <w:szCs w:val="44"/>
    </w:rPr>
  </w:style>
  <w:style w:type="character" w:customStyle="1" w:styleId="62">
    <w:name w:val="标题 2 字符"/>
    <w:link w:val="3"/>
    <w:autoRedefine/>
    <w:qFormat/>
    <w:uiPriority w:val="9"/>
    <w:rPr>
      <w:rFonts w:ascii="Arial" w:hAnsi="Arial" w:eastAsia="黑体"/>
      <w:b/>
      <w:bCs/>
      <w:kern w:val="2"/>
      <w:sz w:val="32"/>
      <w:szCs w:val="32"/>
    </w:rPr>
  </w:style>
  <w:style w:type="character" w:customStyle="1" w:styleId="63">
    <w:name w:val="标题 3 字符"/>
    <w:link w:val="4"/>
    <w:autoRedefine/>
    <w:qFormat/>
    <w:uiPriority w:val="0"/>
    <w:rPr>
      <w:b/>
      <w:bCs/>
      <w:kern w:val="2"/>
      <w:sz w:val="32"/>
      <w:szCs w:val="32"/>
    </w:rPr>
  </w:style>
  <w:style w:type="character" w:customStyle="1" w:styleId="64">
    <w:name w:val="标题 4 字符"/>
    <w:link w:val="5"/>
    <w:autoRedefine/>
    <w:qFormat/>
    <w:uiPriority w:val="0"/>
    <w:rPr>
      <w:rFonts w:ascii="宋体" w:hAnsi="Arial"/>
      <w:snapToGrid/>
      <w:color w:val="000000"/>
      <w:sz w:val="21"/>
    </w:rPr>
  </w:style>
  <w:style w:type="character" w:customStyle="1" w:styleId="65">
    <w:name w:val="标题 5 字符"/>
    <w:link w:val="6"/>
    <w:autoRedefine/>
    <w:qFormat/>
    <w:uiPriority w:val="0"/>
    <w:rPr>
      <w:rFonts w:ascii="宋体"/>
      <w:b/>
      <w:snapToGrid/>
      <w:color w:val="000000"/>
      <w:sz w:val="28"/>
    </w:rPr>
  </w:style>
  <w:style w:type="character" w:customStyle="1" w:styleId="66">
    <w:name w:val="标题 6 字符"/>
    <w:link w:val="8"/>
    <w:autoRedefine/>
    <w:qFormat/>
    <w:uiPriority w:val="0"/>
    <w:rPr>
      <w:rFonts w:ascii="Arial" w:hAnsi="Arial" w:eastAsia="黑体"/>
      <w:b/>
      <w:snapToGrid/>
      <w:color w:val="000000"/>
      <w:sz w:val="24"/>
    </w:rPr>
  </w:style>
  <w:style w:type="character" w:customStyle="1" w:styleId="67">
    <w:name w:val="标题 7 字符"/>
    <w:link w:val="9"/>
    <w:autoRedefine/>
    <w:qFormat/>
    <w:uiPriority w:val="0"/>
    <w:rPr>
      <w:rFonts w:ascii="宋体"/>
      <w:b/>
      <w:snapToGrid/>
      <w:color w:val="000000"/>
      <w:sz w:val="24"/>
    </w:rPr>
  </w:style>
  <w:style w:type="character" w:customStyle="1" w:styleId="68">
    <w:name w:val="标题 8 字符"/>
    <w:link w:val="10"/>
    <w:autoRedefine/>
    <w:qFormat/>
    <w:uiPriority w:val="0"/>
    <w:rPr>
      <w:rFonts w:ascii="Arial" w:hAnsi="Arial" w:eastAsia="黑体"/>
      <w:snapToGrid/>
      <w:color w:val="000000"/>
      <w:sz w:val="24"/>
    </w:rPr>
  </w:style>
  <w:style w:type="character" w:customStyle="1" w:styleId="69">
    <w:name w:val="标题 9 字符"/>
    <w:link w:val="11"/>
    <w:autoRedefine/>
    <w:qFormat/>
    <w:uiPriority w:val="0"/>
    <w:rPr>
      <w:rFonts w:ascii="Arial" w:hAnsi="Arial" w:eastAsia="黑体"/>
      <w:snapToGrid/>
      <w:color w:val="000000"/>
      <w:sz w:val="21"/>
    </w:rPr>
  </w:style>
  <w:style w:type="character" w:customStyle="1" w:styleId="70">
    <w:name w:val="文档结构图 字符"/>
    <w:link w:val="13"/>
    <w:autoRedefine/>
    <w:qFormat/>
    <w:uiPriority w:val="0"/>
    <w:rPr>
      <w:kern w:val="2"/>
      <w:sz w:val="21"/>
      <w:szCs w:val="24"/>
      <w:shd w:val="clear" w:color="auto" w:fill="000080"/>
    </w:rPr>
  </w:style>
  <w:style w:type="character" w:customStyle="1" w:styleId="71">
    <w:name w:val="批注文字 字符"/>
    <w:link w:val="15"/>
    <w:autoRedefine/>
    <w:qFormat/>
    <w:uiPriority w:val="0"/>
    <w:rPr>
      <w:kern w:val="2"/>
      <w:sz w:val="21"/>
      <w:szCs w:val="24"/>
    </w:rPr>
  </w:style>
  <w:style w:type="character" w:customStyle="1" w:styleId="72">
    <w:name w:val="正文文本缩进 字符"/>
    <w:link w:val="18"/>
    <w:autoRedefine/>
    <w:qFormat/>
    <w:uiPriority w:val="0"/>
    <w:rPr>
      <w:sz w:val="21"/>
    </w:rPr>
  </w:style>
  <w:style w:type="character" w:customStyle="1" w:styleId="73">
    <w:name w:val="日期 字符"/>
    <w:link w:val="27"/>
    <w:autoRedefine/>
    <w:qFormat/>
    <w:uiPriority w:val="0"/>
    <w:rPr>
      <w:kern w:val="2"/>
      <w:sz w:val="21"/>
      <w:szCs w:val="24"/>
    </w:rPr>
  </w:style>
  <w:style w:type="character" w:customStyle="1" w:styleId="74">
    <w:name w:val="正文文本缩进 2 字符"/>
    <w:link w:val="28"/>
    <w:autoRedefine/>
    <w:qFormat/>
    <w:uiPriority w:val="99"/>
    <w:rPr>
      <w:sz w:val="21"/>
    </w:rPr>
  </w:style>
  <w:style w:type="character" w:customStyle="1" w:styleId="75">
    <w:name w:val="批注框文本 字符"/>
    <w:link w:val="29"/>
    <w:autoRedefine/>
    <w:qFormat/>
    <w:uiPriority w:val="99"/>
    <w:rPr>
      <w:kern w:val="2"/>
      <w:sz w:val="18"/>
      <w:szCs w:val="18"/>
    </w:rPr>
  </w:style>
  <w:style w:type="character" w:customStyle="1" w:styleId="76">
    <w:name w:val="页脚 字符"/>
    <w:link w:val="30"/>
    <w:autoRedefine/>
    <w:qFormat/>
    <w:uiPriority w:val="99"/>
    <w:rPr>
      <w:kern w:val="2"/>
      <w:sz w:val="18"/>
      <w:szCs w:val="18"/>
    </w:rPr>
  </w:style>
  <w:style w:type="character" w:customStyle="1" w:styleId="77">
    <w:name w:val="页眉 字符"/>
    <w:link w:val="31"/>
    <w:autoRedefine/>
    <w:qFormat/>
    <w:uiPriority w:val="99"/>
    <w:rPr>
      <w:kern w:val="2"/>
      <w:sz w:val="18"/>
      <w:szCs w:val="18"/>
    </w:rPr>
  </w:style>
  <w:style w:type="character" w:customStyle="1" w:styleId="78">
    <w:name w:val="正文文本缩进 3 字符"/>
    <w:link w:val="36"/>
    <w:autoRedefine/>
    <w:qFormat/>
    <w:uiPriority w:val="0"/>
    <w:rPr>
      <w:sz w:val="21"/>
    </w:rPr>
  </w:style>
  <w:style w:type="character" w:customStyle="1" w:styleId="79">
    <w:name w:val="正文文本 2 字符"/>
    <w:link w:val="39"/>
    <w:autoRedefine/>
    <w:qFormat/>
    <w:uiPriority w:val="0"/>
    <w:rPr>
      <w:rFonts w:ascii="宋体" w:hAnsi="宋体"/>
      <w:kern w:val="2"/>
      <w:sz w:val="44"/>
      <w:szCs w:val="24"/>
    </w:rPr>
  </w:style>
  <w:style w:type="character" w:customStyle="1" w:styleId="80">
    <w:name w:val="HTML 预设格式 字符"/>
    <w:link w:val="40"/>
    <w:autoRedefine/>
    <w:qFormat/>
    <w:uiPriority w:val="0"/>
    <w:rPr>
      <w:rFonts w:ascii="宋体" w:hAnsi="宋体" w:cs="宋体"/>
      <w:sz w:val="24"/>
      <w:szCs w:val="24"/>
    </w:rPr>
  </w:style>
  <w:style w:type="character" w:customStyle="1" w:styleId="81">
    <w:name w:val="标题 字符"/>
    <w:link w:val="43"/>
    <w:autoRedefine/>
    <w:qFormat/>
    <w:uiPriority w:val="0"/>
    <w:rPr>
      <w:rFonts w:ascii="Arial" w:hAnsi="Arial" w:cs="Arial"/>
      <w:kern w:val="2"/>
      <w:sz w:val="32"/>
      <w:szCs w:val="32"/>
    </w:rPr>
  </w:style>
  <w:style w:type="character" w:customStyle="1" w:styleId="82">
    <w:name w:val="批注主题 字符"/>
    <w:link w:val="44"/>
    <w:autoRedefine/>
    <w:qFormat/>
    <w:uiPriority w:val="0"/>
    <w:rPr>
      <w:b/>
      <w:bCs/>
      <w:kern w:val="2"/>
      <w:sz w:val="21"/>
      <w:szCs w:val="24"/>
    </w:rPr>
  </w:style>
  <w:style w:type="character" w:customStyle="1" w:styleId="83">
    <w:name w:val="Char Char6"/>
    <w:autoRedefine/>
    <w:qFormat/>
    <w:uiPriority w:val="0"/>
    <w:rPr>
      <w:rFonts w:eastAsia="宋体"/>
      <w:kern w:val="2"/>
      <w:sz w:val="18"/>
      <w:szCs w:val="18"/>
      <w:lang w:val="en-US" w:eastAsia="zh-CN" w:bidi="ar-SA"/>
    </w:rPr>
  </w:style>
  <w:style w:type="character" w:customStyle="1" w:styleId="84">
    <w:name w:val="b titlename wangputoptitle"/>
    <w:autoRedefine/>
    <w:qFormat/>
    <w:uiPriority w:val="0"/>
  </w:style>
  <w:style w:type="character" w:customStyle="1" w:styleId="85">
    <w:name w:val="font01"/>
    <w:autoRedefine/>
    <w:qFormat/>
    <w:uiPriority w:val="0"/>
    <w:rPr>
      <w:rFonts w:ascii="宋体" w:hAnsi="宋体" w:eastAsia="宋体" w:cs="宋体"/>
      <w:color w:val="000000"/>
      <w:sz w:val="20"/>
      <w:szCs w:val="20"/>
      <w:u w:val="none"/>
    </w:rPr>
  </w:style>
  <w:style w:type="character" w:customStyle="1" w:styleId="86">
    <w:name w:val="正文文本缩进 3 Char1"/>
    <w:autoRedefine/>
    <w:semiHidden/>
    <w:qFormat/>
    <w:uiPriority w:val="99"/>
    <w:rPr>
      <w:rFonts w:ascii="Times New Roman" w:hAnsi="Times New Roman"/>
      <w:kern w:val="2"/>
      <w:sz w:val="16"/>
      <w:szCs w:val="16"/>
    </w:rPr>
  </w:style>
  <w:style w:type="character" w:customStyle="1" w:styleId="87">
    <w:name w:val="正文文本 Char1"/>
    <w:autoRedefine/>
    <w:semiHidden/>
    <w:qFormat/>
    <w:uiPriority w:val="99"/>
    <w:rPr>
      <w:rFonts w:ascii="Times New Roman" w:hAnsi="Times New Roman"/>
      <w:kern w:val="2"/>
      <w:sz w:val="21"/>
      <w:szCs w:val="24"/>
    </w:rPr>
  </w:style>
  <w:style w:type="character" w:customStyle="1" w:styleId="88">
    <w:name w:val="纯文本 Char2"/>
    <w:autoRedefine/>
    <w:qFormat/>
    <w:uiPriority w:val="0"/>
    <w:rPr>
      <w:rFonts w:ascii="宋体" w:hAnsi="Courier New" w:eastAsia="宋体"/>
      <w:kern w:val="2"/>
      <w:sz w:val="21"/>
      <w:lang w:val="en-US" w:eastAsia="zh-CN" w:bidi="ar-SA"/>
    </w:rPr>
  </w:style>
  <w:style w:type="character" w:customStyle="1" w:styleId="89">
    <w:name w:val="Char Char5"/>
    <w:autoRedefine/>
    <w:qFormat/>
    <w:uiPriority w:val="0"/>
    <w:rPr>
      <w:rFonts w:ascii="Arial" w:hAnsi="Arial" w:eastAsia="宋体" w:cs="Arial"/>
      <w:kern w:val="2"/>
      <w:sz w:val="32"/>
      <w:szCs w:val="32"/>
      <w:lang w:val="en-US" w:eastAsia="zh-CN" w:bidi="ar-SA"/>
    </w:rPr>
  </w:style>
  <w:style w:type="character" w:customStyle="1" w:styleId="90">
    <w:name w:val="正文文本 Char2"/>
    <w:autoRedefine/>
    <w:semiHidden/>
    <w:qFormat/>
    <w:uiPriority w:val="99"/>
    <w:rPr>
      <w:rFonts w:ascii="Calibri" w:hAnsi="Calibri" w:eastAsia="宋体" w:cs="Times New Roman"/>
      <w:szCs w:val="24"/>
    </w:rPr>
  </w:style>
  <w:style w:type="character" w:customStyle="1" w:styleId="91">
    <w:name w:val="Para head"/>
    <w:autoRedefine/>
    <w:qFormat/>
    <w:uiPriority w:val="0"/>
    <w:rPr>
      <w:rFonts w:ascii="Arial" w:hAnsi="Arial" w:eastAsia="Times New Roman"/>
      <w:sz w:val="20"/>
    </w:rPr>
  </w:style>
  <w:style w:type="character" w:customStyle="1" w:styleId="92">
    <w:name w:val="列表段落 字符"/>
    <w:link w:val="93"/>
    <w:autoRedefine/>
    <w:qFormat/>
    <w:uiPriority w:val="0"/>
    <w:rPr>
      <w:kern w:val="2"/>
      <w:sz w:val="21"/>
      <w:szCs w:val="24"/>
    </w:rPr>
  </w:style>
  <w:style w:type="paragraph" w:styleId="93">
    <w:name w:val="List Paragraph"/>
    <w:basedOn w:val="1"/>
    <w:link w:val="92"/>
    <w:autoRedefine/>
    <w:qFormat/>
    <w:uiPriority w:val="0"/>
    <w:pPr>
      <w:ind w:firstLine="420" w:firstLineChars="200"/>
    </w:pPr>
  </w:style>
  <w:style w:type="character" w:customStyle="1" w:styleId="94">
    <w:name w:val="lineheigh201"/>
    <w:autoRedefine/>
    <w:qFormat/>
    <w:uiPriority w:val="0"/>
  </w:style>
  <w:style w:type="character" w:customStyle="1" w:styleId="95">
    <w:name w:val="样式 宋体 小四"/>
    <w:autoRedefine/>
    <w:qFormat/>
    <w:uiPriority w:val="0"/>
    <w:rPr>
      <w:rFonts w:ascii="宋体" w:hAnsi="宋体"/>
      <w:spacing w:val="6"/>
      <w:sz w:val="24"/>
      <w:szCs w:val="24"/>
    </w:rPr>
  </w:style>
  <w:style w:type="character" w:customStyle="1" w:styleId="96">
    <w:name w:val="标题 Char"/>
    <w:autoRedefine/>
    <w:qFormat/>
    <w:uiPriority w:val="0"/>
    <w:rPr>
      <w:rFonts w:ascii="Cambria" w:hAnsi="Cambria" w:cs="Times New Roman"/>
      <w:b/>
      <w:bCs/>
      <w:kern w:val="2"/>
      <w:sz w:val="32"/>
      <w:szCs w:val="32"/>
    </w:rPr>
  </w:style>
  <w:style w:type="character" w:customStyle="1" w:styleId="97">
    <w:name w:val="font41"/>
    <w:autoRedefine/>
    <w:qFormat/>
    <w:uiPriority w:val="0"/>
    <w:rPr>
      <w:rFonts w:hint="eastAsia" w:ascii="宋体" w:hAnsi="宋体" w:eastAsia="宋体" w:cs="宋体"/>
      <w:color w:val="000000"/>
      <w:sz w:val="22"/>
      <w:szCs w:val="22"/>
      <w:u w:val="none"/>
    </w:rPr>
  </w:style>
  <w:style w:type="character" w:customStyle="1" w:styleId="98">
    <w:name w:val="mark16"/>
    <w:autoRedefine/>
    <w:qFormat/>
    <w:uiPriority w:val="0"/>
  </w:style>
  <w:style w:type="character" w:customStyle="1" w:styleId="99">
    <w:name w:val="标题 2 Char1"/>
    <w:autoRedefine/>
    <w:qFormat/>
    <w:uiPriority w:val="0"/>
    <w:rPr>
      <w:rFonts w:ascii="Arial" w:hAnsi="Arial" w:eastAsia="黑体"/>
      <w:b/>
      <w:bCs/>
      <w:kern w:val="2"/>
      <w:sz w:val="32"/>
      <w:szCs w:val="32"/>
    </w:rPr>
  </w:style>
  <w:style w:type="character" w:customStyle="1" w:styleId="100">
    <w:name w:val="bookmark-item"/>
    <w:autoRedefine/>
    <w:qFormat/>
    <w:uiPriority w:val="0"/>
  </w:style>
  <w:style w:type="character" w:customStyle="1" w:styleId="101">
    <w:name w:val="标题 Char3"/>
    <w:autoRedefine/>
    <w:qFormat/>
    <w:uiPriority w:val="10"/>
    <w:rPr>
      <w:rFonts w:ascii="Cambria" w:hAnsi="Cambria" w:eastAsia="宋体" w:cs="Times New Roman"/>
      <w:b/>
      <w:bCs/>
      <w:sz w:val="32"/>
      <w:szCs w:val="32"/>
    </w:rPr>
  </w:style>
  <w:style w:type="character" w:customStyle="1" w:styleId="102">
    <w:name w:val="批注框文本 Char2"/>
    <w:autoRedefine/>
    <w:semiHidden/>
    <w:qFormat/>
    <w:uiPriority w:val="99"/>
    <w:rPr>
      <w:rFonts w:ascii="Calibri" w:hAnsi="Calibri" w:eastAsia="宋体" w:cs="Times New Roman"/>
      <w:sz w:val="18"/>
      <w:szCs w:val="18"/>
    </w:rPr>
  </w:style>
  <w:style w:type="character" w:customStyle="1" w:styleId="103">
    <w:name w:val="f12"/>
    <w:autoRedefine/>
    <w:qFormat/>
    <w:uiPriority w:val="0"/>
  </w:style>
  <w:style w:type="character" w:customStyle="1" w:styleId="104">
    <w:name w:val="标题 1 Char1"/>
    <w:autoRedefine/>
    <w:qFormat/>
    <w:uiPriority w:val="0"/>
    <w:rPr>
      <w:rFonts w:ascii="Times New Roman" w:hAnsi="Times New Roman" w:eastAsia="宋体" w:cs="Times New Roman"/>
      <w:b/>
      <w:bCs/>
      <w:kern w:val="44"/>
      <w:sz w:val="44"/>
      <w:szCs w:val="44"/>
    </w:rPr>
  </w:style>
  <w:style w:type="character" w:customStyle="1" w:styleId="105">
    <w:name w:val="日期 Char1"/>
    <w:autoRedefine/>
    <w:semiHidden/>
    <w:qFormat/>
    <w:uiPriority w:val="99"/>
    <w:rPr>
      <w:rFonts w:ascii="Calibri" w:hAnsi="Calibri" w:eastAsia="宋体" w:cs="Times New Roman"/>
      <w:szCs w:val="24"/>
    </w:rPr>
  </w:style>
  <w:style w:type="character" w:customStyle="1" w:styleId="106">
    <w:name w:val="apple-converted-space"/>
    <w:autoRedefine/>
    <w:qFormat/>
    <w:uiPriority w:val="0"/>
  </w:style>
  <w:style w:type="character" w:customStyle="1" w:styleId="107">
    <w:name w:val="mark11"/>
    <w:autoRedefine/>
    <w:qFormat/>
    <w:uiPriority w:val="0"/>
  </w:style>
  <w:style w:type="character" w:customStyle="1" w:styleId="108">
    <w:name w:val="样式 样式 四号 首行缩进:  0.74 厘米 行距: 1.5 倍行距 + 宋体 四号 行距: 1.5 倍行距 Char"/>
    <w:link w:val="109"/>
    <w:autoRedefine/>
    <w:qFormat/>
    <w:locked/>
    <w:uiPriority w:val="0"/>
    <w:rPr>
      <w:rFonts w:ascii="宋体" w:hAnsi="宋体"/>
      <w:sz w:val="28"/>
    </w:rPr>
  </w:style>
  <w:style w:type="paragraph" w:customStyle="1" w:styleId="109">
    <w:name w:val="样式 样式 四号 首行缩进:  0.74 厘米 行距: 1.5 倍行距 + 宋体 四号 行距: 1.5 倍行距"/>
    <w:basedOn w:val="1"/>
    <w:link w:val="108"/>
    <w:autoRedefine/>
    <w:qFormat/>
    <w:uiPriority w:val="0"/>
    <w:pPr>
      <w:spacing w:line="360" w:lineRule="auto"/>
      <w:ind w:firstLine="560" w:firstLineChars="200"/>
    </w:pPr>
    <w:rPr>
      <w:rFonts w:ascii="宋体" w:hAnsi="宋体"/>
      <w:kern w:val="0"/>
      <w:sz w:val="28"/>
      <w:szCs w:val="20"/>
    </w:rPr>
  </w:style>
  <w:style w:type="character" w:customStyle="1" w:styleId="110">
    <w:name w:val="批注文字 Char3"/>
    <w:autoRedefine/>
    <w:semiHidden/>
    <w:qFormat/>
    <w:uiPriority w:val="99"/>
    <w:rPr>
      <w:rFonts w:ascii="Calibri" w:hAnsi="Calibri" w:eastAsia="宋体" w:cs="Times New Roman"/>
      <w:szCs w:val="24"/>
    </w:rPr>
  </w:style>
  <w:style w:type="character" w:customStyle="1" w:styleId="111">
    <w:name w:val="apple-style-span"/>
    <w:autoRedefine/>
    <w:qFormat/>
    <w:uiPriority w:val="0"/>
  </w:style>
  <w:style w:type="character" w:customStyle="1" w:styleId="112">
    <w:name w:val="批注文字 Char"/>
    <w:autoRedefine/>
    <w:qFormat/>
    <w:uiPriority w:val="0"/>
    <w:rPr>
      <w:rFonts w:eastAsia="宋体"/>
      <w:kern w:val="2"/>
      <w:sz w:val="21"/>
      <w:szCs w:val="24"/>
      <w:lang w:val="en-US" w:eastAsia="zh-CN" w:bidi="ar-SA"/>
    </w:rPr>
  </w:style>
  <w:style w:type="character" w:customStyle="1" w:styleId="113">
    <w:name w:val="Char Char61"/>
    <w:autoRedefine/>
    <w:qFormat/>
    <w:uiPriority w:val="0"/>
    <w:rPr>
      <w:rFonts w:eastAsia="宋体"/>
      <w:kern w:val="2"/>
      <w:sz w:val="18"/>
      <w:szCs w:val="18"/>
      <w:lang w:val="en-US" w:eastAsia="zh-CN" w:bidi="ar-SA"/>
    </w:rPr>
  </w:style>
  <w:style w:type="character" w:customStyle="1" w:styleId="114">
    <w:name w:val="font31"/>
    <w:autoRedefine/>
    <w:qFormat/>
    <w:uiPriority w:val="0"/>
    <w:rPr>
      <w:rFonts w:hint="default" w:ascii="Arial" w:hAnsi="Arial" w:cs="Arial"/>
      <w:color w:val="000000"/>
      <w:sz w:val="16"/>
      <w:szCs w:val="16"/>
      <w:u w:val="none"/>
    </w:rPr>
  </w:style>
  <w:style w:type="character" w:customStyle="1" w:styleId="115">
    <w:name w:val="批注主题 Char2"/>
    <w:autoRedefine/>
    <w:semiHidden/>
    <w:qFormat/>
    <w:uiPriority w:val="99"/>
    <w:rPr>
      <w:rFonts w:ascii="Calibri" w:hAnsi="Calibri" w:eastAsia="宋体" w:cs="Times New Roman"/>
      <w:b/>
      <w:bCs/>
      <w:szCs w:val="24"/>
    </w:rPr>
  </w:style>
  <w:style w:type="character" w:customStyle="1" w:styleId="116">
    <w:name w:val="第一层条 Char Char"/>
    <w:autoRedefine/>
    <w:qFormat/>
    <w:uiPriority w:val="0"/>
    <w:rPr>
      <w:rFonts w:ascii="Arial" w:hAnsi="Arial" w:eastAsia="黑体"/>
      <w:b/>
      <w:bCs/>
      <w:kern w:val="2"/>
      <w:sz w:val="32"/>
      <w:szCs w:val="32"/>
    </w:rPr>
  </w:style>
  <w:style w:type="character" w:customStyle="1" w:styleId="117">
    <w:name w:val="文档结构图 Char1"/>
    <w:autoRedefine/>
    <w:semiHidden/>
    <w:qFormat/>
    <w:uiPriority w:val="99"/>
    <w:rPr>
      <w:rFonts w:ascii="宋体" w:hAnsi="Calibri" w:eastAsia="宋体" w:cs="Times New Roman"/>
      <w:sz w:val="18"/>
      <w:szCs w:val="18"/>
    </w:rPr>
  </w:style>
  <w:style w:type="character" w:customStyle="1" w:styleId="118">
    <w:name w:val="正文文本缩进 2 Char1"/>
    <w:autoRedefine/>
    <w:semiHidden/>
    <w:qFormat/>
    <w:uiPriority w:val="99"/>
    <w:rPr>
      <w:rFonts w:ascii="Times New Roman" w:hAnsi="Times New Roman"/>
      <w:kern w:val="2"/>
      <w:sz w:val="21"/>
      <w:szCs w:val="24"/>
    </w:rPr>
  </w:style>
  <w:style w:type="character" w:customStyle="1" w:styleId="119">
    <w:name w:val="正文文本缩进 Char1"/>
    <w:autoRedefine/>
    <w:semiHidden/>
    <w:qFormat/>
    <w:uiPriority w:val="99"/>
    <w:rPr>
      <w:rFonts w:ascii="Calibri" w:hAnsi="Calibri" w:eastAsia="宋体" w:cs="Times New Roman"/>
      <w:szCs w:val="24"/>
    </w:rPr>
  </w:style>
  <w:style w:type="character" w:customStyle="1" w:styleId="120">
    <w:name w:val="price5"/>
    <w:autoRedefine/>
    <w:qFormat/>
    <w:uiPriority w:val="0"/>
    <w:rPr>
      <w:rFonts w:hint="default" w:ascii="Arial" w:hAnsi="Arial" w:cs="Arial"/>
      <w:color w:val="CC0000"/>
      <w:sz w:val="18"/>
      <w:szCs w:val="18"/>
    </w:rPr>
  </w:style>
  <w:style w:type="character" w:customStyle="1" w:styleId="121">
    <w:name w:val="Char Char3"/>
    <w:autoRedefine/>
    <w:qFormat/>
    <w:uiPriority w:val="0"/>
    <w:rPr>
      <w:rFonts w:eastAsia="宋体"/>
      <w:b/>
      <w:bCs/>
      <w:kern w:val="2"/>
      <w:sz w:val="32"/>
      <w:szCs w:val="32"/>
      <w:lang w:val="en-US" w:eastAsia="zh-CN" w:bidi="ar-SA"/>
    </w:rPr>
  </w:style>
  <w:style w:type="character" w:customStyle="1" w:styleId="122">
    <w:name w:val="标题 Char2"/>
    <w:autoRedefine/>
    <w:qFormat/>
    <w:uiPriority w:val="0"/>
    <w:rPr>
      <w:rFonts w:ascii="Cambria" w:hAnsi="Cambria" w:cs="Times New Roman"/>
      <w:b/>
      <w:bCs/>
      <w:kern w:val="2"/>
      <w:sz w:val="32"/>
      <w:szCs w:val="32"/>
    </w:rPr>
  </w:style>
  <w:style w:type="character" w:customStyle="1" w:styleId="123">
    <w:name w:val="HTML 预设格式 Char1"/>
    <w:autoRedefine/>
    <w:semiHidden/>
    <w:qFormat/>
    <w:uiPriority w:val="99"/>
    <w:rPr>
      <w:rFonts w:ascii="Courier New" w:hAnsi="Courier New" w:eastAsia="宋体" w:cs="Courier New"/>
      <w:sz w:val="20"/>
      <w:szCs w:val="20"/>
    </w:rPr>
  </w:style>
  <w:style w:type="character" w:customStyle="1" w:styleId="124">
    <w:name w:val="Char Char Char"/>
    <w:autoRedefine/>
    <w:qFormat/>
    <w:uiPriority w:val="0"/>
    <w:rPr>
      <w:rFonts w:ascii="宋体" w:hAnsi="Courier New" w:eastAsia="宋体"/>
      <w:kern w:val="2"/>
      <w:sz w:val="21"/>
      <w:lang w:val="en-US" w:eastAsia="zh-CN" w:bidi="ar-SA"/>
    </w:rPr>
  </w:style>
  <w:style w:type="character" w:customStyle="1" w:styleId="125">
    <w:name w:val="font21"/>
    <w:basedOn w:val="48"/>
    <w:autoRedefine/>
    <w:qFormat/>
    <w:uiPriority w:val="0"/>
    <w:rPr>
      <w:rFonts w:hint="eastAsia" w:ascii="宋体" w:hAnsi="宋体" w:eastAsia="宋体" w:cs="宋体"/>
      <w:color w:val="000000"/>
      <w:sz w:val="24"/>
      <w:szCs w:val="24"/>
      <w:u w:val="none"/>
    </w:rPr>
  </w:style>
  <w:style w:type="character" w:customStyle="1" w:styleId="126">
    <w:name w:val="hang1"/>
    <w:autoRedefine/>
    <w:qFormat/>
    <w:uiPriority w:val="0"/>
  </w:style>
  <w:style w:type="character" w:customStyle="1" w:styleId="127">
    <w:name w:val="Footer1 Char"/>
    <w:autoRedefine/>
    <w:qFormat/>
    <w:uiPriority w:val="0"/>
    <w:rPr>
      <w:rFonts w:eastAsia="宋体"/>
      <w:kern w:val="2"/>
      <w:sz w:val="18"/>
      <w:szCs w:val="18"/>
      <w:lang w:val="en-US" w:eastAsia="zh-CN" w:bidi="ar-SA"/>
    </w:rPr>
  </w:style>
  <w:style w:type="character" w:customStyle="1" w:styleId="128">
    <w:name w:val="批注主题 Char1"/>
    <w:autoRedefine/>
    <w:qFormat/>
    <w:uiPriority w:val="0"/>
    <w:rPr>
      <w:b/>
      <w:bCs/>
      <w:kern w:val="2"/>
      <w:sz w:val="21"/>
      <w:szCs w:val="24"/>
    </w:rPr>
  </w:style>
  <w:style w:type="character" w:customStyle="1" w:styleId="129">
    <w:name w:val="页脚 Char1"/>
    <w:autoRedefine/>
    <w:qFormat/>
    <w:uiPriority w:val="0"/>
    <w:rPr>
      <w:rFonts w:ascii="Times New Roman" w:hAnsi="Times New Roman" w:eastAsia="宋体" w:cs="Times New Roman"/>
      <w:sz w:val="18"/>
      <w:szCs w:val="18"/>
    </w:rPr>
  </w:style>
  <w:style w:type="character" w:customStyle="1" w:styleId="130">
    <w:name w:val="style661"/>
    <w:autoRedefine/>
    <w:qFormat/>
    <w:uiPriority w:val="0"/>
    <w:rPr>
      <w:color w:val="000000"/>
      <w:sz w:val="18"/>
      <w:szCs w:val="18"/>
    </w:rPr>
  </w:style>
  <w:style w:type="character" w:customStyle="1" w:styleId="131">
    <w:name w:val="Char Char311"/>
    <w:autoRedefine/>
    <w:qFormat/>
    <w:uiPriority w:val="0"/>
    <w:rPr>
      <w:rFonts w:ascii="宋体" w:hAnsi="Courier New" w:eastAsia="宋体"/>
      <w:kern w:val="2"/>
      <w:sz w:val="21"/>
      <w:lang w:val="en-US" w:eastAsia="zh-CN" w:bidi="ar-SA"/>
    </w:rPr>
  </w:style>
  <w:style w:type="character" w:customStyle="1" w:styleId="132">
    <w:name w:val="content1"/>
    <w:autoRedefine/>
    <w:qFormat/>
    <w:uiPriority w:val="0"/>
    <w:rPr>
      <w:rFonts w:hint="default" w:ascii="ˎ̥" w:hAnsi="ˎ̥"/>
      <w:color w:val="000000"/>
      <w:sz w:val="22"/>
      <w:szCs w:val="22"/>
      <w:u w:val="none"/>
    </w:rPr>
  </w:style>
  <w:style w:type="character" w:customStyle="1" w:styleId="133">
    <w:name w:val="金保标题2 Char"/>
    <w:link w:val="134"/>
    <w:autoRedefine/>
    <w:qFormat/>
    <w:uiPriority w:val="0"/>
    <w:rPr>
      <w:rFonts w:eastAsia="黑体"/>
      <w:b/>
      <w:bCs/>
      <w:kern w:val="2"/>
      <w:sz w:val="28"/>
      <w:szCs w:val="28"/>
    </w:rPr>
  </w:style>
  <w:style w:type="paragraph" w:customStyle="1" w:styleId="134">
    <w:name w:val="金保标题2"/>
    <w:basedOn w:val="3"/>
    <w:next w:val="1"/>
    <w:link w:val="133"/>
    <w:autoRedefine/>
    <w:qFormat/>
    <w:uiPriority w:val="0"/>
    <w:pPr>
      <w:tabs>
        <w:tab w:val="left" w:pos="576"/>
      </w:tabs>
      <w:spacing w:line="360" w:lineRule="auto"/>
      <w:ind w:left="576" w:hanging="576"/>
    </w:pPr>
    <w:rPr>
      <w:rFonts w:ascii="Times New Roman" w:hAnsi="Times New Roman"/>
      <w:sz w:val="28"/>
      <w:szCs w:val="28"/>
    </w:rPr>
  </w:style>
  <w:style w:type="character" w:customStyle="1" w:styleId="135">
    <w:name w:val="date2"/>
    <w:autoRedefine/>
    <w:qFormat/>
    <w:uiPriority w:val="0"/>
    <w:rPr>
      <w:rFonts w:hint="default" w:ascii="Arial" w:hAnsi="Arial" w:cs="Arial"/>
      <w:sz w:val="13"/>
      <w:szCs w:val="13"/>
    </w:rPr>
  </w:style>
  <w:style w:type="character" w:customStyle="1" w:styleId="136">
    <w:name w:val="Char Char51"/>
    <w:autoRedefine/>
    <w:qFormat/>
    <w:uiPriority w:val="0"/>
    <w:rPr>
      <w:rFonts w:ascii="Arial" w:hAnsi="Arial" w:eastAsia="宋体" w:cs="Arial"/>
      <w:kern w:val="2"/>
      <w:sz w:val="32"/>
      <w:szCs w:val="32"/>
      <w:lang w:val="en-US" w:eastAsia="zh-CN" w:bidi="ar-SA"/>
    </w:rPr>
  </w:style>
  <w:style w:type="character" w:customStyle="1" w:styleId="137">
    <w:name w:val="12blk1"/>
    <w:autoRedefine/>
    <w:qFormat/>
    <w:uiPriority w:val="0"/>
    <w:rPr>
      <w:rFonts w:hint="default" w:ascii="_x000B__x000C_" w:hAnsi="_x000B__x000C_"/>
      <w:color w:val="000000"/>
      <w:sz w:val="24"/>
      <w:szCs w:val="24"/>
      <w:u w:val="none"/>
    </w:rPr>
  </w:style>
  <w:style w:type="character" w:customStyle="1" w:styleId="138">
    <w:name w:val="Header Char"/>
    <w:autoRedefine/>
    <w:qFormat/>
    <w:locked/>
    <w:uiPriority w:val="0"/>
    <w:rPr>
      <w:rFonts w:ascii="Times New Roman" w:hAnsi="Times New Roman" w:eastAsia="宋体" w:cs="Times New Roman"/>
      <w:sz w:val="18"/>
      <w:szCs w:val="18"/>
    </w:rPr>
  </w:style>
  <w:style w:type="character" w:customStyle="1" w:styleId="139">
    <w:name w:val="font11"/>
    <w:autoRedefine/>
    <w:qFormat/>
    <w:uiPriority w:val="0"/>
    <w:rPr>
      <w:rFonts w:hint="default" w:ascii="Times New Roman" w:hAnsi="Times New Roman" w:cs="Times New Roman"/>
      <w:color w:val="000000"/>
      <w:sz w:val="24"/>
      <w:szCs w:val="24"/>
      <w:u w:val="none"/>
    </w:rPr>
  </w:style>
  <w:style w:type="character" w:customStyle="1" w:styleId="140">
    <w:name w:val="批注文字 Char2"/>
    <w:autoRedefine/>
    <w:qFormat/>
    <w:uiPriority w:val="0"/>
    <w:rPr>
      <w:kern w:val="2"/>
      <w:sz w:val="21"/>
      <w:szCs w:val="24"/>
    </w:rPr>
  </w:style>
  <w:style w:type="character" w:customStyle="1" w:styleId="141">
    <w:name w:val="Plain Text Char"/>
    <w:autoRedefine/>
    <w:qFormat/>
    <w:locked/>
    <w:uiPriority w:val="0"/>
    <w:rPr>
      <w:rFonts w:ascii="Calibri" w:hAnsi="Courier New" w:eastAsia="宋体" w:cs="Courier New"/>
      <w:sz w:val="21"/>
      <w:szCs w:val="21"/>
    </w:rPr>
  </w:style>
  <w:style w:type="character" w:customStyle="1" w:styleId="142">
    <w:name w:val="font3"/>
    <w:autoRedefine/>
    <w:qFormat/>
    <w:uiPriority w:val="0"/>
  </w:style>
  <w:style w:type="character" w:customStyle="1" w:styleId="143">
    <w:name w:val="正文文本缩进 3 Char2"/>
    <w:autoRedefine/>
    <w:semiHidden/>
    <w:qFormat/>
    <w:uiPriority w:val="99"/>
    <w:rPr>
      <w:rFonts w:ascii="Calibri" w:hAnsi="Calibri" w:eastAsia="宋体" w:cs="Times New Roman"/>
      <w:sz w:val="16"/>
      <w:szCs w:val="16"/>
    </w:rPr>
  </w:style>
  <w:style w:type="character" w:customStyle="1" w:styleId="144">
    <w:name w:val="Char Char31"/>
    <w:autoRedefine/>
    <w:qFormat/>
    <w:uiPriority w:val="0"/>
    <w:rPr>
      <w:rFonts w:eastAsia="宋体"/>
      <w:b/>
      <w:bCs/>
      <w:kern w:val="2"/>
      <w:sz w:val="32"/>
      <w:szCs w:val="32"/>
      <w:lang w:val="en-US" w:eastAsia="zh-CN" w:bidi="ar-SA"/>
    </w:rPr>
  </w:style>
  <w:style w:type="character" w:customStyle="1" w:styleId="145">
    <w:name w:val="style551"/>
    <w:autoRedefine/>
    <w:qFormat/>
    <w:uiPriority w:val="0"/>
    <w:rPr>
      <w:rFonts w:hint="default" w:ascii="Arial" w:hAnsi="Arial" w:cs="Arial"/>
      <w:color w:val="333333"/>
      <w:sz w:val="24"/>
      <w:szCs w:val="24"/>
    </w:rPr>
  </w:style>
  <w:style w:type="character" w:customStyle="1" w:styleId="146">
    <w:name w:val="submark16"/>
    <w:autoRedefine/>
    <w:qFormat/>
    <w:uiPriority w:val="0"/>
  </w:style>
  <w:style w:type="character" w:customStyle="1" w:styleId="147">
    <w:name w:val="headline-content"/>
    <w:autoRedefine/>
    <w:qFormat/>
    <w:uiPriority w:val="0"/>
  </w:style>
  <w:style w:type="character" w:customStyle="1" w:styleId="148">
    <w:name w:val="正文文本缩进 2 Char2"/>
    <w:autoRedefine/>
    <w:semiHidden/>
    <w:qFormat/>
    <w:uiPriority w:val="99"/>
    <w:rPr>
      <w:rFonts w:ascii="Calibri" w:hAnsi="Calibri" w:eastAsia="宋体" w:cs="Times New Roman"/>
      <w:szCs w:val="24"/>
    </w:rPr>
  </w:style>
  <w:style w:type="character" w:customStyle="1" w:styleId="149">
    <w:name w:val="批注框文本 Char1"/>
    <w:autoRedefine/>
    <w:semiHidden/>
    <w:qFormat/>
    <w:uiPriority w:val="99"/>
    <w:rPr>
      <w:rFonts w:ascii="Times New Roman" w:hAnsi="Times New Roman" w:eastAsia="宋体" w:cs="Times New Roman"/>
      <w:sz w:val="18"/>
      <w:szCs w:val="18"/>
    </w:rPr>
  </w:style>
  <w:style w:type="character" w:customStyle="1" w:styleId="150">
    <w:name w:val="unnamed51"/>
    <w:autoRedefine/>
    <w:qFormat/>
    <w:uiPriority w:val="0"/>
    <w:rPr>
      <w:sz w:val="22"/>
      <w:szCs w:val="22"/>
    </w:rPr>
  </w:style>
  <w:style w:type="character" w:customStyle="1" w:styleId="151">
    <w:name w:val="段 Char Char"/>
    <w:link w:val="152"/>
    <w:autoRedefine/>
    <w:qFormat/>
    <w:uiPriority w:val="0"/>
    <w:rPr>
      <w:rFonts w:ascii="宋体"/>
      <w:lang w:val="en-US" w:eastAsia="zh-CN" w:bidi="ar-SA"/>
    </w:rPr>
  </w:style>
  <w:style w:type="paragraph" w:customStyle="1" w:styleId="152">
    <w:name w:val="段"/>
    <w:link w:val="15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153">
    <w:name w:val="正文文本 2 Char1"/>
    <w:autoRedefine/>
    <w:semiHidden/>
    <w:qFormat/>
    <w:uiPriority w:val="99"/>
    <w:rPr>
      <w:rFonts w:ascii="Calibri" w:hAnsi="Calibri" w:eastAsia="宋体" w:cs="Times New Roman"/>
      <w:szCs w:val="24"/>
    </w:rPr>
  </w:style>
  <w:style w:type="character" w:customStyle="1" w:styleId="154">
    <w:name w:val="无间隔 Char"/>
    <w:link w:val="155"/>
    <w:autoRedefine/>
    <w:qFormat/>
    <w:uiPriority w:val="0"/>
    <w:rPr>
      <w:sz w:val="22"/>
      <w:lang w:val="en-US" w:eastAsia="zh-CN" w:bidi="ar-SA"/>
    </w:rPr>
  </w:style>
  <w:style w:type="paragraph" w:customStyle="1" w:styleId="155">
    <w:name w:val="无间隔1"/>
    <w:link w:val="154"/>
    <w:autoRedefine/>
    <w:qFormat/>
    <w:uiPriority w:val="0"/>
    <w:rPr>
      <w:rFonts w:ascii="Times New Roman" w:hAnsi="Times New Roman" w:eastAsia="宋体" w:cs="Times New Roman"/>
      <w:sz w:val="22"/>
      <w:lang w:val="en-US" w:eastAsia="zh-CN" w:bidi="ar-SA"/>
    </w:rPr>
  </w:style>
  <w:style w:type="character" w:customStyle="1" w:styleId="156">
    <w:name w:val="style211"/>
    <w:autoRedefine/>
    <w:qFormat/>
    <w:uiPriority w:val="0"/>
    <w:rPr>
      <w:b/>
      <w:bCs/>
      <w:color w:val="F49000"/>
      <w:sz w:val="18"/>
      <w:szCs w:val="18"/>
    </w:rPr>
  </w:style>
  <w:style w:type="character" w:customStyle="1" w:styleId="157">
    <w:name w:val="Body Text Indent Char1"/>
    <w:autoRedefine/>
    <w:qFormat/>
    <w:locked/>
    <w:uiPriority w:val="0"/>
    <w:rPr>
      <w:rFonts w:ascii="Times New Roman" w:hAnsi="Times New Roman" w:eastAsia="宋体" w:cs="Times New Roman"/>
      <w:kern w:val="0"/>
      <w:sz w:val="20"/>
      <w:szCs w:val="20"/>
    </w:rPr>
  </w:style>
  <w:style w:type="character" w:customStyle="1" w:styleId="158">
    <w:name w:val="wj1"/>
    <w:autoRedefine/>
    <w:qFormat/>
    <w:uiPriority w:val="0"/>
    <w:rPr>
      <w:color w:val="000000"/>
      <w:sz w:val="18"/>
      <w:szCs w:val="18"/>
      <w:u w:val="none"/>
    </w:rPr>
  </w:style>
  <w:style w:type="character" w:customStyle="1" w:styleId="159">
    <w:name w:val="large1"/>
    <w:autoRedefine/>
    <w:qFormat/>
    <w:uiPriority w:val="0"/>
    <w:rPr>
      <w:rFonts w:hint="eastAsia" w:ascii="宋体" w:hAnsi="宋体" w:eastAsia="宋体"/>
      <w:sz w:val="21"/>
      <w:szCs w:val="21"/>
    </w:rPr>
  </w:style>
  <w:style w:type="paragraph" w:customStyle="1" w:styleId="160">
    <w:name w:val="纯文本1"/>
    <w:basedOn w:val="161"/>
    <w:autoRedefine/>
    <w:qFormat/>
    <w:uiPriority w:val="0"/>
    <w:pPr>
      <w:widowControl/>
      <w:jc w:val="left"/>
    </w:pPr>
    <w:rPr>
      <w:rFonts w:hAnsi="Courier New"/>
    </w:rPr>
  </w:style>
  <w:style w:type="paragraph" w:customStyle="1" w:styleId="161">
    <w:name w:val="正文11"/>
    <w:autoRedefine/>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62">
    <w:name w:val="xl13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3">
    <w:name w:val="Char Char Char Char Char Char Char Char Char1 Char"/>
    <w:basedOn w:val="1"/>
    <w:autoRedefine/>
    <w:qFormat/>
    <w:uiPriority w:val="0"/>
    <w:rPr>
      <w:rFonts w:ascii="仿宋_GB2312" w:eastAsia="仿宋_GB2312"/>
      <w:b/>
      <w:sz w:val="32"/>
      <w:szCs w:val="32"/>
    </w:rPr>
  </w:style>
  <w:style w:type="paragraph" w:customStyle="1" w:styleId="164">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lang w:eastAsia="en-US"/>
    </w:rPr>
  </w:style>
  <w:style w:type="paragraph" w:customStyle="1" w:styleId="165">
    <w:name w:val="p16"/>
    <w:basedOn w:val="1"/>
    <w:autoRedefine/>
    <w:qFormat/>
    <w:uiPriority w:val="0"/>
    <w:pPr>
      <w:widowControl/>
    </w:pPr>
    <w:rPr>
      <w:rFonts w:ascii="宋体" w:hAnsi="宋体" w:cs="宋体"/>
      <w:kern w:val="0"/>
      <w:szCs w:val="21"/>
    </w:rPr>
  </w:style>
  <w:style w:type="paragraph" w:customStyle="1" w:styleId="166">
    <w:name w:val="Char Char Char Char Char Char Char Char Char1 Char11"/>
    <w:basedOn w:val="1"/>
    <w:autoRedefine/>
    <w:qFormat/>
    <w:uiPriority w:val="0"/>
    <w:rPr>
      <w:rFonts w:ascii="仿宋_GB2312" w:eastAsia="仿宋_GB2312"/>
      <w:b/>
      <w:sz w:val="32"/>
      <w:szCs w:val="32"/>
    </w:rPr>
  </w:style>
  <w:style w:type="paragraph" w:customStyle="1" w:styleId="167">
    <w:name w:val="Char1 Char Char Char Char Char Char"/>
    <w:basedOn w:val="1"/>
    <w:autoRedefine/>
    <w:qFormat/>
    <w:uiPriority w:val="0"/>
    <w:rPr>
      <w:rFonts w:ascii="Tahoma" w:hAnsi="Tahoma"/>
      <w:sz w:val="24"/>
      <w:szCs w:val="20"/>
    </w:rPr>
  </w:style>
  <w:style w:type="paragraph" w:customStyle="1" w:styleId="16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0"/>
      <w:szCs w:val="20"/>
      <w:lang w:eastAsia="en-US"/>
    </w:rPr>
  </w:style>
  <w:style w:type="paragraph" w:customStyle="1" w:styleId="169">
    <w:name w:val="TableTextLeft"/>
    <w:autoRedefine/>
    <w:qFormat/>
    <w:uiPriority w:val="0"/>
    <w:rPr>
      <w:rFonts w:ascii="Century Gothic" w:hAnsi="Century Gothic" w:eastAsia="宋体" w:cs="Times New Roman"/>
      <w:szCs w:val="18"/>
      <w:lang w:val="en-US" w:eastAsia="en-US" w:bidi="ar-SA"/>
    </w:rPr>
  </w:style>
  <w:style w:type="paragraph" w:customStyle="1" w:styleId="170">
    <w:name w:val="mod_selection1"/>
    <w:basedOn w:val="1"/>
    <w:autoRedefine/>
    <w:qFormat/>
    <w:uiPriority w:val="0"/>
    <w:pPr>
      <w:widowControl/>
      <w:ind w:left="75"/>
      <w:jc w:val="left"/>
    </w:pPr>
    <w:rPr>
      <w:rFonts w:ascii="Arial" w:hAnsi="Arial" w:cs="Arial"/>
      <w:b/>
      <w:bCs/>
      <w:kern w:val="0"/>
      <w:sz w:val="20"/>
      <w:szCs w:val="20"/>
    </w:rPr>
  </w:style>
  <w:style w:type="paragraph" w:customStyle="1" w:styleId="171">
    <w:name w:val="Char1 Char Char Char Char Char Char1"/>
    <w:basedOn w:val="1"/>
    <w:autoRedefine/>
    <w:qFormat/>
    <w:uiPriority w:val="0"/>
    <w:rPr>
      <w:rFonts w:ascii="Tahoma" w:hAnsi="Tahoma"/>
      <w:sz w:val="24"/>
      <w:szCs w:val="20"/>
    </w:rPr>
  </w:style>
  <w:style w:type="paragraph" w:customStyle="1" w:styleId="172">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73">
    <w:name w:val="Char Char Char Char1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标题6"/>
    <w:basedOn w:val="1"/>
    <w:next w:val="2"/>
    <w:autoRedefine/>
    <w:qFormat/>
    <w:uiPriority w:val="0"/>
    <w:pPr>
      <w:widowControl/>
      <w:snapToGrid w:val="0"/>
      <w:spacing w:beforeLines="50" w:afterLines="50" w:line="520" w:lineRule="atLeast"/>
      <w:ind w:firstLine="200" w:firstLineChars="200"/>
    </w:pPr>
    <w:rPr>
      <w:rFonts w:cs="Arial"/>
      <w:b/>
      <w:sz w:val="24"/>
    </w:rPr>
  </w:style>
  <w:style w:type="paragraph" w:customStyle="1" w:styleId="17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77">
    <w:name w:val="Char Char8 Char Char Char Char Char Char"/>
    <w:basedOn w:val="1"/>
    <w:autoRedefine/>
    <w:qFormat/>
    <w:uiPriority w:val="0"/>
    <w:rPr>
      <w:rFonts w:ascii="仿宋_GB2312" w:eastAsia="仿宋_GB2312"/>
      <w:b/>
      <w:sz w:val="32"/>
      <w:szCs w:val="32"/>
    </w:rPr>
  </w:style>
  <w:style w:type="paragraph" w:customStyle="1" w:styleId="178">
    <w:name w:val="a2"/>
    <w:basedOn w:val="1"/>
    <w:autoRedefine/>
    <w:qFormat/>
    <w:uiPriority w:val="0"/>
    <w:pPr>
      <w:widowControl/>
      <w:spacing w:after="150"/>
      <w:jc w:val="left"/>
    </w:pPr>
    <w:rPr>
      <w:rFonts w:ascii="宋体" w:hAnsi="宋体" w:cs="宋体"/>
      <w:kern w:val="0"/>
      <w:sz w:val="24"/>
    </w:rPr>
  </w:style>
  <w:style w:type="paragraph" w:customStyle="1" w:styleId="179">
    <w:name w:val="xl137"/>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80">
    <w:name w:val="af17cgridlangnp1033langf"/>
    <w:autoRedefine/>
    <w:qFormat/>
    <w:uiPriority w:val="0"/>
    <w:pPr>
      <w:widowControl w:val="0"/>
      <w:numPr>
        <w:ilvl w:val="2"/>
        <w:numId w:val="1"/>
      </w:numPr>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1">
    <w:name w:val="Char Char8 Char Char Char Char Char Char11"/>
    <w:basedOn w:val="1"/>
    <w:autoRedefine/>
    <w:qFormat/>
    <w:uiPriority w:val="0"/>
    <w:rPr>
      <w:rFonts w:ascii="仿宋_GB2312" w:eastAsia="仿宋_GB2312"/>
      <w:b/>
      <w:sz w:val="32"/>
      <w:szCs w:val="32"/>
    </w:rPr>
  </w:style>
  <w:style w:type="paragraph" w:customStyle="1" w:styleId="182">
    <w:name w:val="金保首页2"/>
    <w:basedOn w:val="1"/>
    <w:next w:val="1"/>
    <w:autoRedefine/>
    <w:qFormat/>
    <w:uiPriority w:val="0"/>
    <w:pPr>
      <w:jc w:val="center"/>
    </w:pPr>
    <w:rPr>
      <w:rFonts w:ascii="Tahoma" w:hAnsi="Tahoma" w:eastAsia="黑体"/>
      <w:b/>
      <w:bCs/>
      <w:sz w:val="72"/>
      <w:szCs w:val="72"/>
    </w:rPr>
  </w:style>
  <w:style w:type="paragraph" w:customStyle="1" w:styleId="183">
    <w:name w:val="Char3"/>
    <w:basedOn w:val="1"/>
    <w:autoRedefine/>
    <w:qFormat/>
    <w:uiPriority w:val="0"/>
  </w:style>
  <w:style w:type="paragraph" w:customStyle="1" w:styleId="184">
    <w:name w:val="网新正文文本"/>
    <w:autoRedefine/>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185">
    <w:name w:val="Default"/>
    <w:autoRedefine/>
    <w:qFormat/>
    <w:uiPriority w:val="0"/>
    <w:pPr>
      <w:widowControl w:val="0"/>
      <w:autoSpaceDE w:val="0"/>
      <w:autoSpaceDN w:val="0"/>
      <w:adjustRightInd w:val="0"/>
    </w:pPr>
    <w:rPr>
      <w:rFonts w:ascii="新宋体" w:hAnsi="新宋体" w:eastAsia="宋体" w:cs="新宋体"/>
      <w:color w:val="000000"/>
      <w:sz w:val="24"/>
      <w:szCs w:val="24"/>
      <w:lang w:val="en-US" w:eastAsia="zh-CN" w:bidi="ar-SA"/>
    </w:rPr>
  </w:style>
  <w:style w:type="paragraph" w:customStyle="1" w:styleId="186">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Cs w:val="21"/>
      <w:lang w:eastAsia="en-US"/>
    </w:rPr>
  </w:style>
  <w:style w:type="paragraph" w:customStyle="1" w:styleId="188">
    <w:name w:val="1"/>
    <w:basedOn w:val="1"/>
    <w:autoRedefine/>
    <w:qFormat/>
    <w:uiPriority w:val="0"/>
    <w:rPr>
      <w:rFonts w:ascii="Tahoma" w:hAnsi="Tahoma"/>
      <w:sz w:val="24"/>
      <w:szCs w:val="20"/>
    </w:rPr>
  </w:style>
  <w:style w:type="paragraph" w:customStyle="1" w:styleId="189">
    <w:name w:val="列出段落1"/>
    <w:basedOn w:val="1"/>
    <w:autoRedefine/>
    <w:qFormat/>
    <w:uiPriority w:val="0"/>
    <w:pPr>
      <w:widowControl/>
      <w:ind w:firstLine="420" w:firstLineChars="200"/>
    </w:pPr>
    <w:rPr>
      <w:rFonts w:ascii="Calibri" w:hAnsi="Calibri"/>
      <w:szCs w:val="22"/>
    </w:rPr>
  </w:style>
  <w:style w:type="paragraph" w:customStyle="1" w:styleId="190">
    <w:name w:val="Char1 Char Char Char"/>
    <w:basedOn w:val="1"/>
    <w:autoRedefine/>
    <w:qFormat/>
    <w:uiPriority w:val="0"/>
    <w:rPr>
      <w:rFonts w:ascii="Tahoma" w:hAnsi="Tahoma"/>
      <w:sz w:val="24"/>
      <w:szCs w:val="20"/>
    </w:rPr>
  </w:style>
  <w:style w:type="paragraph" w:customStyle="1" w:styleId="191">
    <w:name w:val="ZTE标题6"/>
    <w:basedOn w:val="1"/>
    <w:autoRedefine/>
    <w:qFormat/>
    <w:uiPriority w:val="0"/>
    <w:pPr>
      <w:tabs>
        <w:tab w:val="left" w:pos="1276"/>
      </w:tabs>
      <w:ind w:left="2520" w:hanging="420"/>
    </w:pPr>
    <w:rPr>
      <w:szCs w:val="20"/>
    </w:rPr>
  </w:style>
  <w:style w:type="paragraph" w:customStyle="1" w:styleId="192">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93">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194">
    <w:name w:val="_Style 19"/>
    <w:basedOn w:val="1"/>
    <w:autoRedefine/>
    <w:qFormat/>
    <w:uiPriority w:val="0"/>
    <w:rPr>
      <w:rFonts w:ascii="仿宋_GB2312" w:hAnsi="宋体" w:eastAsia="仿宋_GB2312" w:cs="宋体"/>
      <w:b/>
      <w:bCs/>
      <w:color w:val="000000"/>
      <w:kern w:val="0"/>
      <w:szCs w:val="21"/>
    </w:rPr>
  </w:style>
  <w:style w:type="paragraph" w:customStyle="1" w:styleId="195">
    <w:name w:val="Char Char1 Char Char Char Char Char Char Char Char Char Char Char Char Char Char"/>
    <w:basedOn w:val="1"/>
    <w:autoRedefine/>
    <w:qFormat/>
    <w:uiPriority w:val="0"/>
    <w:pPr>
      <w:widowControl/>
      <w:spacing w:after="160" w:line="240" w:lineRule="exact"/>
      <w:jc w:val="left"/>
    </w:pPr>
    <w:rPr>
      <w:szCs w:val="20"/>
    </w:rPr>
  </w:style>
  <w:style w:type="paragraph" w:customStyle="1" w:styleId="196">
    <w:name w:val="Char Char4"/>
    <w:basedOn w:val="1"/>
    <w:autoRedefine/>
    <w:qFormat/>
    <w:uiPriority w:val="0"/>
    <w:rPr>
      <w:szCs w:val="20"/>
    </w:rPr>
  </w:style>
  <w:style w:type="paragraph" w:customStyle="1" w:styleId="197">
    <w:name w:val="Body New New New New New New New New New New New New New New New New New New New New New New New New New New New"/>
    <w:basedOn w:val="1"/>
    <w:autoRedefine/>
    <w:qFormat/>
    <w:uiPriority w:val="0"/>
    <w:pPr>
      <w:tabs>
        <w:tab w:val="left" w:pos="9255"/>
      </w:tabs>
      <w:spacing w:before="80" w:after="80" w:line="288" w:lineRule="auto"/>
      <w:ind w:left="1259"/>
    </w:pPr>
    <w:rPr>
      <w:szCs w:val="21"/>
    </w:rPr>
  </w:style>
  <w:style w:type="paragraph" w:customStyle="1" w:styleId="198">
    <w:name w:val="Char Char Char Char Char Char Char"/>
    <w:basedOn w:val="1"/>
    <w:autoRedefine/>
    <w:qFormat/>
    <w:uiPriority w:val="0"/>
    <w:pPr>
      <w:numPr>
        <w:ilvl w:val="1"/>
        <w:numId w:val="1"/>
      </w:numPr>
      <w:tabs>
        <w:tab w:val="left" w:pos="432"/>
      </w:tabs>
      <w:ind w:left="432" w:hanging="432"/>
    </w:pPr>
    <w:rPr>
      <w:rFonts w:ascii="Calibri" w:hAnsi="Calibri"/>
      <w:szCs w:val="22"/>
    </w:rPr>
  </w:style>
  <w:style w:type="paragraph" w:customStyle="1" w:styleId="199">
    <w:name w:val="xl143"/>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200">
    <w:name w:val="xl123"/>
    <w:basedOn w:val="1"/>
    <w:autoRedefine/>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01">
    <w:name w:val="Char Char8"/>
    <w:basedOn w:val="1"/>
    <w:autoRedefine/>
    <w:qFormat/>
    <w:uiPriority w:val="0"/>
    <w:rPr>
      <w:rFonts w:ascii="仿宋_GB2312" w:eastAsia="仿宋_GB2312"/>
      <w:b/>
      <w:sz w:val="32"/>
      <w:szCs w:val="32"/>
    </w:rPr>
  </w:style>
  <w:style w:type="paragraph" w:customStyle="1" w:styleId="202">
    <w:name w:val="msolistparagraph"/>
    <w:basedOn w:val="1"/>
    <w:autoRedefine/>
    <w:qFormat/>
    <w:uiPriority w:val="0"/>
    <w:pPr>
      <w:ind w:firstLine="420" w:firstLineChars="200"/>
    </w:pPr>
  </w:style>
  <w:style w:type="paragraph" w:customStyle="1" w:styleId="203">
    <w:name w:val="Indent a)"/>
    <w:basedOn w:val="1"/>
    <w:autoRedefine/>
    <w:qFormat/>
    <w:uiPriority w:val="0"/>
    <w:pPr>
      <w:widowControl/>
      <w:tabs>
        <w:tab w:val="left" w:pos="1843"/>
        <w:tab w:val="right" w:pos="9072"/>
      </w:tabs>
      <w:suppressAutoHyphens/>
      <w:spacing w:line="360" w:lineRule="auto"/>
      <w:ind w:right="-21" w:rightChars="-10" w:firstLine="420" w:firstLineChars="200"/>
    </w:pPr>
    <w:rPr>
      <w:rFonts w:ascii="宋体" w:hAnsi="宋体"/>
      <w:color w:val="000000"/>
      <w:szCs w:val="20"/>
    </w:rPr>
  </w:style>
  <w:style w:type="paragraph" w:customStyle="1" w:styleId="204">
    <w:name w:val="Char2"/>
    <w:basedOn w:val="1"/>
    <w:autoRedefine/>
    <w:qFormat/>
    <w:uiPriority w:val="0"/>
    <w:rPr>
      <w:rFonts w:ascii="仿宋_GB2312" w:hAnsi="宋体" w:eastAsia="仿宋_GB2312" w:cs="宋体"/>
      <w:bCs/>
      <w:color w:val="000000"/>
      <w:kern w:val="0"/>
      <w:sz w:val="32"/>
      <w:szCs w:val="32"/>
    </w:rPr>
  </w:style>
  <w:style w:type="paragraph" w:customStyle="1" w:styleId="205">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lang w:eastAsia="en-US"/>
    </w:rPr>
  </w:style>
  <w:style w:type="paragraph" w:customStyle="1" w:styleId="207">
    <w:name w:val="font5"/>
    <w:basedOn w:val="1"/>
    <w:autoRedefine/>
    <w:qFormat/>
    <w:uiPriority w:val="0"/>
    <w:pPr>
      <w:widowControl/>
      <w:spacing w:before="100" w:beforeAutospacing="1" w:after="100" w:afterAutospacing="1"/>
      <w:jc w:val="left"/>
    </w:pPr>
    <w:rPr>
      <w:rFonts w:hint="eastAsia" w:ascii="宋体" w:hAnsi="宋体" w:cs="Courier New"/>
      <w:kern w:val="0"/>
      <w:sz w:val="18"/>
      <w:szCs w:val="18"/>
      <w:lang w:eastAsia="en-US"/>
    </w:rPr>
  </w:style>
  <w:style w:type="paragraph" w:customStyle="1" w:styleId="208">
    <w:name w:val="Char211"/>
    <w:basedOn w:val="1"/>
    <w:autoRedefine/>
    <w:qFormat/>
    <w:uiPriority w:val="0"/>
    <w:rPr>
      <w:rFonts w:ascii="仿宋_GB2312" w:eastAsia="仿宋_GB2312"/>
      <w:b/>
      <w:sz w:val="32"/>
      <w:szCs w:val="32"/>
    </w:rPr>
  </w:style>
  <w:style w:type="paragraph" w:customStyle="1" w:styleId="209">
    <w:name w:val="Char Char9"/>
    <w:basedOn w:val="1"/>
    <w:autoRedefine/>
    <w:qFormat/>
    <w:uiPriority w:val="0"/>
    <w:rPr>
      <w:rFonts w:ascii="宋体" w:hAnsi="宋体" w:cs="宋体"/>
      <w:b/>
      <w:bCs/>
      <w:color w:val="000000"/>
      <w:sz w:val="22"/>
      <w:szCs w:val="22"/>
    </w:rPr>
  </w:style>
  <w:style w:type="paragraph" w:customStyle="1" w:styleId="210">
    <w:name w:val="样式1"/>
    <w:basedOn w:val="1"/>
    <w:autoRedefine/>
    <w:qFormat/>
    <w:uiPriority w:val="0"/>
    <w:pPr>
      <w:spacing w:before="120" w:after="120" w:line="300" w:lineRule="auto"/>
    </w:pPr>
    <w:rPr>
      <w:rFonts w:ascii="宋体" w:hAnsi="宋体"/>
      <w:b/>
      <w:sz w:val="24"/>
      <w:szCs w:val="20"/>
    </w:rPr>
  </w:style>
  <w:style w:type="paragraph" w:customStyle="1" w:styleId="211">
    <w:name w:val="Char Char Char11"/>
    <w:basedOn w:val="1"/>
    <w:autoRedefine/>
    <w:qFormat/>
    <w:uiPriority w:val="0"/>
    <w:rPr>
      <w:rFonts w:ascii="Tahoma" w:hAnsi="Tahoma"/>
      <w:sz w:val="24"/>
      <w:szCs w:val="20"/>
    </w:rPr>
  </w:style>
  <w:style w:type="paragraph" w:customStyle="1" w:styleId="212">
    <w:name w:val="p15"/>
    <w:basedOn w:val="1"/>
    <w:autoRedefine/>
    <w:qFormat/>
    <w:uiPriority w:val="0"/>
    <w:pPr>
      <w:widowControl/>
      <w:ind w:firstLine="420"/>
    </w:pPr>
    <w:rPr>
      <w:kern w:val="0"/>
      <w:szCs w:val="21"/>
    </w:rPr>
  </w:style>
  <w:style w:type="paragraph" w:customStyle="1" w:styleId="213">
    <w:name w:val="Table Text Char"/>
    <w:autoRedefine/>
    <w:qFormat/>
    <w:uiPriority w:val="0"/>
    <w:pPr>
      <w:snapToGrid w:val="0"/>
      <w:spacing w:before="80" w:after="80"/>
    </w:pPr>
    <w:rPr>
      <w:rFonts w:ascii="Arial" w:hAnsi="Arial" w:eastAsia="宋体" w:cs="Arial"/>
      <w:sz w:val="18"/>
      <w:szCs w:val="18"/>
      <w:lang w:val="en-US" w:eastAsia="zh-CN" w:bidi="ar-SA"/>
    </w:rPr>
  </w:style>
  <w:style w:type="paragraph" w:customStyle="1" w:styleId="214">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Cs w:val="21"/>
      <w:lang w:eastAsia="en-US"/>
    </w:rPr>
  </w:style>
  <w:style w:type="paragraph" w:customStyle="1" w:styleId="215">
    <w:name w:val="_Style 1"/>
    <w:basedOn w:val="1"/>
    <w:autoRedefine/>
    <w:qFormat/>
    <w:uiPriority w:val="34"/>
    <w:pPr>
      <w:ind w:firstLine="420" w:firstLineChars="200"/>
    </w:pPr>
    <w:rPr>
      <w:szCs w:val="20"/>
    </w:rPr>
  </w:style>
  <w:style w:type="paragraph" w:customStyle="1" w:styleId="2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7">
    <w:name w:val="List Paragraph1"/>
    <w:basedOn w:val="1"/>
    <w:autoRedefine/>
    <w:qFormat/>
    <w:uiPriority w:val="0"/>
    <w:pPr>
      <w:ind w:firstLine="420" w:firstLineChars="200"/>
    </w:pPr>
    <w:rPr>
      <w:szCs w:val="20"/>
    </w:rPr>
  </w:style>
  <w:style w:type="paragraph" w:customStyle="1" w:styleId="218">
    <w:name w:val="Char Char1"/>
    <w:basedOn w:val="1"/>
    <w:autoRedefine/>
    <w:qFormat/>
    <w:uiPriority w:val="0"/>
    <w:rPr>
      <w:rFonts w:ascii="Calibri" w:hAnsi="Calibri"/>
    </w:rPr>
  </w:style>
  <w:style w:type="paragraph" w:customStyle="1" w:styleId="219">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font8"/>
    <w:basedOn w:val="1"/>
    <w:autoRedefine/>
    <w:qFormat/>
    <w:uiPriority w:val="0"/>
    <w:pPr>
      <w:widowControl/>
      <w:spacing w:before="100" w:beforeAutospacing="1" w:after="100" w:afterAutospacing="1"/>
      <w:jc w:val="left"/>
    </w:pPr>
    <w:rPr>
      <w:rFonts w:eastAsia="Arial Unicode MS"/>
      <w:kern w:val="0"/>
      <w:sz w:val="24"/>
      <w:lang w:eastAsia="en-US"/>
    </w:rPr>
  </w:style>
  <w:style w:type="paragraph" w:customStyle="1" w:styleId="221">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14"/>
      <w:szCs w:val="14"/>
      <w:lang w:eastAsia="en-US"/>
    </w:rPr>
  </w:style>
  <w:style w:type="paragraph" w:customStyle="1" w:styleId="222">
    <w:name w:val="技术正文"/>
    <w:basedOn w:val="1"/>
    <w:autoRedefine/>
    <w:qFormat/>
    <w:uiPriority w:val="0"/>
    <w:pPr>
      <w:numPr>
        <w:ilvl w:val="0"/>
        <w:numId w:val="2"/>
      </w:numPr>
      <w:snapToGrid w:val="0"/>
      <w:spacing w:line="360" w:lineRule="auto"/>
      <w:jc w:val="left"/>
    </w:pPr>
    <w:rPr>
      <w:rFonts w:ascii="宋体" w:hAnsi="宋体"/>
      <w:color w:val="000000"/>
      <w:sz w:val="24"/>
    </w:rPr>
  </w:style>
  <w:style w:type="paragraph" w:customStyle="1" w:styleId="223">
    <w:name w:val="表格11"/>
    <w:basedOn w:val="1"/>
    <w:autoRedefine/>
    <w:qFormat/>
    <w:uiPriority w:val="0"/>
    <w:pPr>
      <w:widowControl/>
      <w:jc w:val="left"/>
    </w:pPr>
    <w:rPr>
      <w:rFonts w:ascii="宋体" w:hAnsi="宋体" w:cs="宋体"/>
      <w:b/>
      <w:kern w:val="0"/>
      <w:szCs w:val="21"/>
    </w:rPr>
  </w:style>
  <w:style w:type="paragraph" w:customStyle="1" w:styleId="224">
    <w:name w:val="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5">
    <w:name w:val="保留正文"/>
    <w:basedOn w:val="16"/>
    <w:autoRedefine/>
    <w:qFormat/>
    <w:uiPriority w:val="0"/>
    <w:pPr>
      <w:keepNext/>
      <w:spacing w:after="160" w:line="240" w:lineRule="auto"/>
    </w:pPr>
    <w:rPr>
      <w:rFonts w:ascii="Times New Roman" w:eastAsia="宋体"/>
      <w:sz w:val="21"/>
      <w:szCs w:val="24"/>
    </w:rPr>
  </w:style>
  <w:style w:type="paragraph" w:customStyle="1" w:styleId="226">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2"/>
      <w:szCs w:val="22"/>
    </w:rPr>
  </w:style>
  <w:style w:type="paragraph" w:customStyle="1" w:styleId="227">
    <w:name w:val="Char Char Char Char Char Char Char Char Char Char"/>
    <w:basedOn w:val="13"/>
    <w:autoRedefine/>
    <w:qFormat/>
    <w:uiPriority w:val="0"/>
  </w:style>
  <w:style w:type="paragraph" w:customStyle="1" w:styleId="228">
    <w:name w:val="xl136"/>
    <w:basedOn w:val="1"/>
    <w:autoRedefine/>
    <w:qFormat/>
    <w:uiPriority w:val="0"/>
    <w:pPr>
      <w:widowControl/>
      <w:spacing w:before="100" w:beforeAutospacing="1" w:after="100" w:afterAutospacing="1"/>
      <w:jc w:val="center"/>
      <w:textAlignment w:val="bottom"/>
    </w:pPr>
    <w:rPr>
      <w:rFonts w:ascii="宋体" w:hAnsi="宋体" w:cs="宋体"/>
      <w:kern w:val="0"/>
      <w:sz w:val="24"/>
    </w:rPr>
  </w:style>
  <w:style w:type="paragraph" w:customStyle="1" w:styleId="229">
    <w:name w:val="font7"/>
    <w:basedOn w:val="1"/>
    <w:autoRedefine/>
    <w:qFormat/>
    <w:uiPriority w:val="0"/>
    <w:pPr>
      <w:widowControl/>
      <w:spacing w:before="100" w:beforeAutospacing="1" w:after="100" w:afterAutospacing="1"/>
      <w:jc w:val="left"/>
    </w:pPr>
    <w:rPr>
      <w:rFonts w:hint="eastAsia" w:ascii="宋体" w:hAnsi="宋体" w:cs="Courier New"/>
      <w:kern w:val="0"/>
      <w:szCs w:val="21"/>
      <w:lang w:eastAsia="en-US"/>
    </w:rPr>
  </w:style>
  <w:style w:type="paragraph" w:customStyle="1" w:styleId="230">
    <w:name w:val="Table Text"/>
    <w:basedOn w:val="1"/>
    <w:autoRedefine/>
    <w:qFormat/>
    <w:uiPriority w:val="0"/>
    <w:rPr>
      <w:sz w:val="18"/>
    </w:rPr>
  </w:style>
  <w:style w:type="paragraph" w:customStyle="1" w:styleId="231">
    <w:name w:val="彩色底纹 - 着色 31"/>
    <w:basedOn w:val="1"/>
    <w:autoRedefine/>
    <w:qFormat/>
    <w:uiPriority w:val="0"/>
    <w:pPr>
      <w:widowControl/>
      <w:spacing w:after="200" w:line="276" w:lineRule="auto"/>
      <w:ind w:left="720"/>
      <w:contextualSpacing/>
      <w:jc w:val="left"/>
    </w:pPr>
    <w:rPr>
      <w:rFonts w:ascii="Calibri" w:hAnsi="Calibri"/>
      <w:sz w:val="22"/>
      <w:szCs w:val="22"/>
    </w:rPr>
  </w:style>
  <w:style w:type="paragraph" w:customStyle="1" w:styleId="232">
    <w:name w:val="Char Char Char Char Char Char Char Char Char Char Char Char Char1"/>
    <w:basedOn w:val="1"/>
    <w:autoRedefine/>
    <w:qFormat/>
    <w:uiPriority w:val="0"/>
    <w:pPr>
      <w:widowControl/>
      <w:tabs>
        <w:tab w:val="left" w:pos="1785"/>
      </w:tabs>
      <w:spacing w:after="160" w:line="240" w:lineRule="exact"/>
      <w:jc w:val="left"/>
    </w:pPr>
    <w:rPr>
      <w:rFonts w:ascii="Verdana" w:hAnsi="Verdana"/>
      <w:kern w:val="0"/>
      <w:sz w:val="20"/>
      <w:szCs w:val="20"/>
      <w:lang w:eastAsia="en-US"/>
    </w:rPr>
  </w:style>
  <w:style w:type="paragraph" w:customStyle="1" w:styleId="233">
    <w:name w:val="菲页1"/>
    <w:basedOn w:val="3"/>
    <w:autoRedefine/>
    <w:qFormat/>
    <w:uiPriority w:val="0"/>
    <w:pPr>
      <w:widowControl/>
      <w:jc w:val="center"/>
    </w:pPr>
    <w:rPr>
      <w:rFonts w:ascii="黑体" w:hAnsi="宋体"/>
      <w:b w:val="0"/>
      <w:bCs w:val="0"/>
      <w:color w:val="000000"/>
      <w:kern w:val="0"/>
      <w:sz w:val="52"/>
      <w:szCs w:val="24"/>
    </w:rPr>
  </w:style>
  <w:style w:type="paragraph" w:customStyle="1" w:styleId="234">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5">
    <w:name w:val="标题3 New New New New New New New New New New New New"/>
    <w:basedOn w:val="1"/>
    <w:autoRedefine/>
    <w:qFormat/>
    <w:uiPriority w:val="0"/>
    <w:pPr>
      <w:keepNext/>
      <w:tabs>
        <w:tab w:val="left" w:pos="1247"/>
      </w:tabs>
      <w:spacing w:before="240" w:after="120"/>
      <w:ind w:left="1260" w:hanging="420"/>
      <w:outlineLvl w:val="2"/>
    </w:pPr>
    <w:rPr>
      <w:rFonts w:ascii="Arial" w:hAnsi="Arial"/>
      <w:b/>
      <w:bCs/>
      <w:szCs w:val="20"/>
      <w:lang w:val="pt-BR"/>
    </w:rPr>
  </w:style>
  <w:style w:type="paragraph" w:customStyle="1" w:styleId="236">
    <w:name w:val="Char Char8 Char Char Char Char Char Char1"/>
    <w:basedOn w:val="1"/>
    <w:autoRedefine/>
    <w:qFormat/>
    <w:uiPriority w:val="0"/>
    <w:rPr>
      <w:rFonts w:ascii="仿宋_GB2312" w:hAnsi="Calibri" w:eastAsia="仿宋_GB2312"/>
      <w:b/>
      <w:sz w:val="32"/>
      <w:szCs w:val="32"/>
    </w:rPr>
  </w:style>
  <w:style w:type="paragraph" w:customStyle="1" w:styleId="237">
    <w:name w:val="_Style 22"/>
    <w:basedOn w:val="1"/>
    <w:autoRedefine/>
    <w:qFormat/>
    <w:uiPriority w:val="0"/>
    <w:rPr>
      <w:szCs w:val="20"/>
    </w:rPr>
  </w:style>
  <w:style w:type="paragraph" w:customStyle="1" w:styleId="238">
    <w:name w:val="Char Char1 Char Char Char Char1 Char Char Char"/>
    <w:basedOn w:val="1"/>
    <w:autoRedefine/>
    <w:qFormat/>
    <w:uiPriority w:val="0"/>
    <w:pPr>
      <w:adjustRightInd w:val="0"/>
      <w:spacing w:line="360" w:lineRule="atLeast"/>
      <w:textAlignment w:val="baseline"/>
    </w:pPr>
    <w:rPr>
      <w:rFonts w:ascii="Tahoma" w:hAnsi="Tahoma"/>
      <w:sz w:val="24"/>
      <w:szCs w:val="20"/>
    </w:rPr>
  </w:style>
  <w:style w:type="paragraph" w:customStyle="1" w:styleId="239">
    <w:name w:val="font0"/>
    <w:basedOn w:val="1"/>
    <w:autoRedefine/>
    <w:qFormat/>
    <w:uiPriority w:val="0"/>
    <w:pPr>
      <w:widowControl/>
      <w:spacing w:before="100" w:beforeAutospacing="1" w:after="100" w:afterAutospacing="1"/>
      <w:jc w:val="left"/>
    </w:pPr>
    <w:rPr>
      <w:rFonts w:hint="eastAsia" w:ascii="宋体" w:hAnsi="宋体" w:cs="Courier New"/>
      <w:kern w:val="0"/>
      <w:sz w:val="24"/>
      <w:lang w:eastAsia="en-US"/>
    </w:rPr>
  </w:style>
  <w:style w:type="paragraph" w:customStyle="1" w:styleId="240">
    <w:name w:val="目录"/>
    <w:basedOn w:val="1"/>
    <w:autoRedefine/>
    <w:qFormat/>
    <w:uiPriority w:val="0"/>
    <w:pPr>
      <w:widowControl/>
      <w:jc w:val="center"/>
    </w:pPr>
    <w:rPr>
      <w:rFonts w:hint="eastAsia" w:ascii="宋体"/>
      <w:b/>
      <w:kern w:val="0"/>
      <w:sz w:val="36"/>
      <w:szCs w:val="20"/>
    </w:rPr>
  </w:style>
  <w:style w:type="paragraph" w:customStyle="1" w:styleId="241">
    <w:name w:val="表格标题"/>
    <w:basedOn w:val="1"/>
    <w:autoRedefine/>
    <w:qFormat/>
    <w:uiPriority w:val="0"/>
    <w:pPr>
      <w:jc w:val="center"/>
    </w:pPr>
    <w:rPr>
      <w:b/>
    </w:rPr>
  </w:style>
  <w:style w:type="paragraph" w:customStyle="1" w:styleId="242">
    <w:name w:val="标题2"/>
    <w:basedOn w:val="3"/>
    <w:autoRedefine/>
    <w:qFormat/>
    <w:uiPriority w:val="0"/>
    <w:pPr>
      <w:numPr>
        <w:ilvl w:val="1"/>
        <w:numId w:val="3"/>
      </w:numPr>
      <w:spacing w:before="0" w:after="0" w:line="580" w:lineRule="exact"/>
      <w:ind w:firstLine="0"/>
      <w:jc w:val="left"/>
    </w:pPr>
    <w:rPr>
      <w:rFonts w:ascii="Cambria" w:hAnsi="Cambria" w:eastAsia="仿宋_GB2312"/>
    </w:rPr>
  </w:style>
  <w:style w:type="paragraph" w:customStyle="1" w:styleId="243">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4">
    <w:name w:val="Char Char Char Char1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5">
    <w:name w:val="样式 正文首行缩进 + 首行缩进:  1 字符"/>
    <w:basedOn w:val="1"/>
    <w:next w:val="224"/>
    <w:autoRedefine/>
    <w:qFormat/>
    <w:uiPriority w:val="0"/>
    <w:pPr>
      <w:spacing w:line="360" w:lineRule="auto"/>
      <w:ind w:firstLine="200" w:firstLineChars="200"/>
    </w:pPr>
    <w:rPr>
      <w:rFonts w:cs="宋体"/>
      <w:sz w:val="24"/>
      <w:szCs w:val="20"/>
    </w:rPr>
  </w:style>
  <w:style w:type="paragraph" w:customStyle="1" w:styleId="246">
    <w:name w:val="菲页(卷)"/>
    <w:basedOn w:val="2"/>
    <w:next w:val="247"/>
    <w:autoRedefine/>
    <w:qFormat/>
    <w:uiPriority w:val="0"/>
    <w:pPr>
      <w:keepLines w:val="0"/>
      <w:widowControl/>
      <w:tabs>
        <w:tab w:val="left" w:pos="814"/>
      </w:tabs>
      <w:spacing w:before="0" w:after="0" w:line="240" w:lineRule="auto"/>
      <w:ind w:left="814" w:hanging="360"/>
      <w:jc w:val="center"/>
      <w:outlineLvl w:val="1"/>
    </w:pPr>
    <w:rPr>
      <w:rFonts w:ascii="黑体" w:eastAsia="黑体"/>
      <w:b w:val="0"/>
      <w:bCs w:val="0"/>
      <w:kern w:val="0"/>
      <w:sz w:val="52"/>
      <w:szCs w:val="20"/>
    </w:rPr>
  </w:style>
  <w:style w:type="paragraph" w:customStyle="1" w:styleId="247">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8">
    <w:name w:val="封面"/>
    <w:basedOn w:val="1"/>
    <w:autoRedefine/>
    <w:qFormat/>
    <w:uiPriority w:val="0"/>
    <w:pPr>
      <w:adjustRightInd w:val="0"/>
      <w:spacing w:line="360" w:lineRule="atLeast"/>
      <w:jc w:val="right"/>
      <w:textAlignment w:val="baseline"/>
    </w:pPr>
    <w:rPr>
      <w:rFonts w:ascii="Symbol" w:hAnsi="Symbol"/>
      <w:kern w:val="0"/>
      <w:szCs w:val="20"/>
    </w:rPr>
  </w:style>
  <w:style w:type="paragraph" w:customStyle="1" w:styleId="249">
    <w:name w:val="Proposals body"/>
    <w:basedOn w:val="1"/>
    <w:next w:val="1"/>
    <w:autoRedefine/>
    <w:qFormat/>
    <w:uiPriority w:val="0"/>
    <w:pPr>
      <w:widowControl/>
      <w:snapToGrid w:val="0"/>
      <w:spacing w:line="360" w:lineRule="auto"/>
      <w:jc w:val="left"/>
    </w:pPr>
    <w:rPr>
      <w:rFonts w:ascii="宋体"/>
      <w:color w:val="000000"/>
      <w:szCs w:val="20"/>
    </w:rPr>
  </w:style>
  <w:style w:type="paragraph" w:customStyle="1" w:styleId="250">
    <w:name w:val="p0"/>
    <w:basedOn w:val="1"/>
    <w:autoRedefine/>
    <w:qFormat/>
    <w:uiPriority w:val="0"/>
    <w:pPr>
      <w:widowControl/>
    </w:pPr>
    <w:rPr>
      <w:rFonts w:cs="宋体"/>
      <w:kern w:val="0"/>
      <w:szCs w:val="21"/>
    </w:rPr>
  </w:style>
  <w:style w:type="paragraph" w:customStyle="1" w:styleId="251">
    <w:name w:val="正文段"/>
    <w:basedOn w:val="1"/>
    <w:autoRedefine/>
    <w:qFormat/>
    <w:uiPriority w:val="0"/>
    <w:pPr>
      <w:widowControl/>
      <w:snapToGrid w:val="0"/>
      <w:ind w:firstLine="200" w:firstLineChars="200"/>
    </w:pPr>
    <w:rPr>
      <w:kern w:val="0"/>
      <w:sz w:val="24"/>
      <w:szCs w:val="20"/>
    </w:rPr>
  </w:style>
  <w:style w:type="paragraph" w:customStyle="1" w:styleId="252">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3">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4">
    <w:name w:val="列出段落2"/>
    <w:basedOn w:val="1"/>
    <w:autoRedefine/>
    <w:qFormat/>
    <w:uiPriority w:val="0"/>
    <w:pPr>
      <w:widowControl/>
      <w:ind w:firstLine="420" w:firstLineChars="200"/>
    </w:pPr>
    <w:rPr>
      <w:rFonts w:ascii="Calibri" w:hAnsi="Calibri"/>
      <w:szCs w:val="22"/>
    </w:rPr>
  </w:style>
  <w:style w:type="paragraph" w:customStyle="1" w:styleId="255">
    <w:name w:val="a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6">
    <w:name w:val="无间隔2"/>
    <w:autoRedefine/>
    <w:qFormat/>
    <w:uiPriority w:val="0"/>
    <w:rPr>
      <w:rFonts w:ascii="Calibri" w:hAnsi="Calibri" w:eastAsia="宋体" w:cs="Times New Roman"/>
      <w:kern w:val="2"/>
      <w:sz w:val="22"/>
      <w:szCs w:val="22"/>
      <w:lang w:val="en-US" w:eastAsia="zh-CN" w:bidi="ar-SA"/>
    </w:rPr>
  </w:style>
  <w:style w:type="paragraph" w:customStyle="1" w:styleId="257">
    <w:name w:val="Char Char1 Char Char Char Char Char Char Char Char Char Char"/>
    <w:basedOn w:val="1"/>
    <w:autoRedefine/>
    <w:qFormat/>
    <w:uiPriority w:val="0"/>
    <w:rPr>
      <w:rFonts w:ascii="Tahoma" w:hAnsi="Tahoma"/>
      <w:sz w:val="24"/>
      <w:szCs w:val="20"/>
    </w:rPr>
  </w:style>
  <w:style w:type="paragraph" w:customStyle="1" w:styleId="258">
    <w:name w:val="Char Char1 Char Char Char Char1 Char Char Char1"/>
    <w:basedOn w:val="1"/>
    <w:autoRedefine/>
    <w:qFormat/>
    <w:uiPriority w:val="0"/>
    <w:pPr>
      <w:adjustRightInd w:val="0"/>
      <w:spacing w:line="360" w:lineRule="atLeast"/>
      <w:textAlignment w:val="baseline"/>
    </w:pPr>
    <w:rPr>
      <w:rFonts w:ascii="Tahoma" w:hAnsi="Tahoma"/>
      <w:sz w:val="24"/>
      <w:szCs w:val="20"/>
    </w:rPr>
  </w:style>
  <w:style w:type="paragraph" w:customStyle="1" w:styleId="259">
    <w:name w:val="正文缩进 New"/>
    <w:basedOn w:val="1"/>
    <w:autoRedefine/>
    <w:qFormat/>
    <w:uiPriority w:val="0"/>
    <w:pPr>
      <w:ind w:left="1440"/>
    </w:pPr>
    <w:rPr>
      <w:rFonts w:ascii="Arial" w:hAnsi="Arial" w:cs="Arial"/>
      <w:spacing w:val="-5"/>
      <w:szCs w:val="20"/>
    </w:rPr>
  </w:style>
  <w:style w:type="paragraph" w:customStyle="1" w:styleId="260">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1">
    <w:name w:val="说正文文字"/>
    <w:basedOn w:val="16"/>
    <w:autoRedefine/>
    <w:qFormat/>
    <w:uiPriority w:val="0"/>
    <w:pPr>
      <w:widowControl/>
      <w:ind w:left="320" w:leftChars="200" w:firstLine="460" w:firstLineChars="200"/>
    </w:pPr>
    <w:rPr>
      <w:rFonts w:ascii="宋体" w:hAnsi="宋体" w:eastAsia="宋体"/>
      <w:spacing w:val="-5"/>
      <w:kern w:val="0"/>
      <w:sz w:val="24"/>
      <w:szCs w:val="24"/>
    </w:rPr>
  </w:style>
  <w:style w:type="paragraph" w:customStyle="1" w:styleId="262">
    <w:name w:val="列表内容"/>
    <w:basedOn w:val="1"/>
    <w:next w:val="1"/>
    <w:autoRedefine/>
    <w:qFormat/>
    <w:uiPriority w:val="0"/>
    <w:pPr>
      <w:widowControl/>
      <w:tabs>
        <w:tab w:val="left" w:pos="840"/>
      </w:tabs>
      <w:ind w:left="840" w:hanging="840"/>
      <w:jc w:val="left"/>
    </w:pPr>
    <w:rPr>
      <w:kern w:val="0"/>
      <w:sz w:val="18"/>
    </w:rPr>
  </w:style>
  <w:style w:type="paragraph" w:customStyle="1" w:styleId="263">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18"/>
      <w:szCs w:val="18"/>
    </w:rPr>
  </w:style>
  <w:style w:type="paragraph" w:customStyle="1" w:styleId="264">
    <w:name w:val="msotocheading"/>
    <w:basedOn w:val="2"/>
    <w:next w:val="1"/>
    <w:autoRedefine/>
    <w:qFormat/>
    <w:uiPriority w:val="0"/>
    <w:pPr>
      <w:widowControl/>
      <w:tabs>
        <w:tab w:val="left" w:pos="3024"/>
      </w:tabs>
      <w:spacing w:before="480" w:after="0" w:line="276" w:lineRule="auto"/>
      <w:ind w:left="3024" w:hanging="144"/>
      <w:jc w:val="left"/>
      <w:outlineLvl w:val="9"/>
    </w:pPr>
    <w:rPr>
      <w:rFonts w:ascii="Century Gothic" w:hAnsi="Century Gothic" w:eastAsia="幼圆"/>
      <w:color w:val="6E9400"/>
      <w:kern w:val="0"/>
      <w:sz w:val="28"/>
      <w:szCs w:val="28"/>
    </w:rPr>
  </w:style>
  <w:style w:type="paragraph" w:customStyle="1" w:styleId="265">
    <w:name w:val="SANGFOR_6_正文"/>
    <w:basedOn w:val="1"/>
    <w:autoRedefine/>
    <w:qFormat/>
    <w:uiPriority w:val="0"/>
    <w:pPr>
      <w:spacing w:line="360" w:lineRule="auto"/>
      <w:ind w:firstLine="200" w:firstLineChars="200"/>
    </w:pPr>
  </w:style>
  <w:style w:type="paragraph" w:customStyle="1" w:styleId="266">
    <w:name w:val="Char1 Char Char Char1"/>
    <w:basedOn w:val="1"/>
    <w:autoRedefine/>
    <w:qFormat/>
    <w:uiPriority w:val="0"/>
    <w:rPr>
      <w:rFonts w:ascii="Tahoma" w:hAnsi="Tahoma"/>
      <w:sz w:val="24"/>
      <w:szCs w:val="20"/>
    </w:rPr>
  </w:style>
  <w:style w:type="paragraph" w:customStyle="1" w:styleId="267">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kern w:val="0"/>
      <w:sz w:val="28"/>
      <w:szCs w:val="20"/>
    </w:rPr>
  </w:style>
  <w:style w:type="paragraph" w:customStyle="1" w:styleId="268">
    <w:name w:val="表内文字"/>
    <w:basedOn w:val="1"/>
    <w:autoRedefine/>
    <w:qFormat/>
    <w:uiPriority w:val="0"/>
    <w:pPr>
      <w:spacing w:line="500" w:lineRule="atLeast"/>
      <w:jc w:val="center"/>
    </w:pPr>
    <w:rPr>
      <w:rFonts w:ascii="Arial" w:hAnsi="Arial" w:eastAsia="楷体_GB2312"/>
      <w:sz w:val="28"/>
      <w:szCs w:val="20"/>
    </w:rPr>
  </w:style>
  <w:style w:type="paragraph" w:customStyle="1" w:styleId="269">
    <w:name w:val="_Style 13"/>
    <w:basedOn w:val="1"/>
    <w:autoRedefine/>
    <w:qFormat/>
    <w:uiPriority w:val="0"/>
    <w:rPr>
      <w:rFonts w:ascii="仿宋_GB2312" w:hAnsi="宋体" w:eastAsia="仿宋_GB2312" w:cs="宋体"/>
      <w:b/>
      <w:bCs/>
      <w:color w:val="000000"/>
      <w:kern w:val="0"/>
      <w:szCs w:val="21"/>
    </w:rPr>
  </w:style>
  <w:style w:type="paragraph" w:customStyle="1" w:styleId="270">
    <w:name w:val="font6"/>
    <w:basedOn w:val="1"/>
    <w:autoRedefine/>
    <w:qFormat/>
    <w:uiPriority w:val="0"/>
    <w:pPr>
      <w:widowControl/>
      <w:spacing w:before="100" w:beforeAutospacing="1" w:after="100" w:afterAutospacing="1"/>
      <w:jc w:val="left"/>
    </w:pPr>
    <w:rPr>
      <w:rFonts w:eastAsia="Arial Unicode MS"/>
      <w:kern w:val="0"/>
      <w:szCs w:val="21"/>
      <w:lang w:eastAsia="en-US"/>
    </w:rPr>
  </w:style>
  <w:style w:type="paragraph" w:customStyle="1" w:styleId="271">
    <w:name w:val="Char Char7 Char1"/>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272">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4">
    <w:name w:val="xl142"/>
    <w:basedOn w:val="1"/>
    <w:autoRedefine/>
    <w:qFormat/>
    <w:uiPriority w:val="0"/>
    <w:pPr>
      <w:widowControl/>
      <w:spacing w:before="100" w:beforeAutospacing="1" w:after="100" w:afterAutospacing="1"/>
      <w:jc w:val="center"/>
    </w:pPr>
    <w:rPr>
      <w:rFonts w:ascii="宋体" w:hAnsi="宋体" w:cs="宋体"/>
      <w:kern w:val="0"/>
      <w:sz w:val="32"/>
      <w:szCs w:val="32"/>
    </w:rPr>
  </w:style>
  <w:style w:type="paragraph" w:customStyle="1" w:styleId="275">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6">
    <w:name w:val="Char Char1 Char Char Char Char Char Char"/>
    <w:basedOn w:val="1"/>
    <w:autoRedefine/>
    <w:qFormat/>
    <w:uiPriority w:val="0"/>
    <w:pPr>
      <w:widowControl/>
      <w:jc w:val="left"/>
    </w:pPr>
    <w:rPr>
      <w:rFonts w:ascii="Verdana" w:hAnsi="Verdana" w:eastAsia="仿宋_GB2312"/>
      <w:kern w:val="0"/>
      <w:sz w:val="28"/>
      <w:szCs w:val="20"/>
      <w:lang w:eastAsia="en-US"/>
    </w:rPr>
  </w:style>
  <w:style w:type="paragraph" w:customStyle="1" w:styleId="27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 w:val="24"/>
      <w:lang w:eastAsia="en-US"/>
    </w:rPr>
  </w:style>
  <w:style w:type="paragraph" w:customStyle="1" w:styleId="278">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16"/>
      <w:szCs w:val="16"/>
      <w:lang w:eastAsia="en-US"/>
    </w:rPr>
  </w:style>
  <w:style w:type="paragraph" w:customStyle="1" w:styleId="279">
    <w:name w:val="_Style 23"/>
    <w:basedOn w:val="1"/>
    <w:autoRedefine/>
    <w:qFormat/>
    <w:uiPriority w:val="0"/>
  </w:style>
  <w:style w:type="paragraph" w:customStyle="1" w:styleId="280">
    <w:name w:val="Char Char811"/>
    <w:basedOn w:val="1"/>
    <w:autoRedefine/>
    <w:qFormat/>
    <w:uiPriority w:val="0"/>
    <w:rPr>
      <w:rFonts w:ascii="仿宋_GB2312" w:eastAsia="仿宋_GB2312"/>
      <w:b/>
      <w:sz w:val="32"/>
      <w:szCs w:val="32"/>
    </w:rPr>
  </w:style>
  <w:style w:type="paragraph" w:customStyle="1" w:styleId="281">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Char Char Char Char Char Char Char1"/>
    <w:basedOn w:val="1"/>
    <w:autoRedefine/>
    <w:qFormat/>
    <w:uiPriority w:val="0"/>
    <w:rPr>
      <w:rFonts w:ascii="仿宋_GB2312" w:hAnsi="Calibri" w:eastAsia="仿宋_GB2312"/>
      <w:b/>
      <w:sz w:val="32"/>
      <w:szCs w:val="32"/>
    </w:rPr>
  </w:style>
  <w:style w:type="paragraph" w:customStyle="1" w:styleId="283">
    <w:name w:val="表格格式"/>
    <w:autoRedefine/>
    <w:qFormat/>
    <w:uiPriority w:val="0"/>
    <w:pPr>
      <w:adjustRightInd w:val="0"/>
      <w:snapToGrid w:val="0"/>
      <w:spacing w:line="360" w:lineRule="auto"/>
    </w:pPr>
    <w:rPr>
      <w:rFonts w:ascii="Arial" w:hAnsi="Arial" w:eastAsia="宋体" w:cs="Times New Roman"/>
      <w:b/>
      <w:kern w:val="2"/>
      <w:sz w:val="24"/>
      <w:szCs w:val="24"/>
      <w:lang w:val="en-US" w:eastAsia="zh-CN" w:bidi="ar-SA"/>
    </w:rPr>
  </w:style>
  <w:style w:type="paragraph" w:customStyle="1" w:styleId="284">
    <w:name w:val="px12l140"/>
    <w:basedOn w:val="1"/>
    <w:autoRedefine/>
    <w:qFormat/>
    <w:uiPriority w:val="0"/>
    <w:pPr>
      <w:widowControl/>
      <w:spacing w:before="100" w:beforeAutospacing="1" w:after="100" w:afterAutospacing="1" w:line="336" w:lineRule="auto"/>
      <w:jc w:val="left"/>
    </w:pPr>
    <w:rPr>
      <w:rFonts w:ascii="_x000B__x000C_" w:hAnsi="_x000B__x000C_"/>
      <w:kern w:val="0"/>
      <w:sz w:val="20"/>
      <w:szCs w:val="20"/>
    </w:rPr>
  </w:style>
  <w:style w:type="paragraph" w:customStyle="1" w:styleId="285">
    <w:name w:val="xl14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286">
    <w:name w:val="Char Char Char Char Char Char Char Char Char Char1"/>
    <w:basedOn w:val="13"/>
    <w:autoRedefine/>
    <w:qFormat/>
    <w:uiPriority w:val="0"/>
    <w:rPr>
      <w:rFonts w:ascii="Calibri" w:hAnsi="Calibri"/>
    </w:rPr>
  </w:style>
  <w:style w:type="paragraph" w:customStyle="1" w:styleId="287">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14"/>
      <w:szCs w:val="14"/>
      <w:lang w:eastAsia="en-US"/>
    </w:rPr>
  </w:style>
  <w:style w:type="paragraph" w:customStyle="1" w:styleId="28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89">
    <w:name w:val="表格内文字"/>
    <w:basedOn w:val="1"/>
    <w:autoRedefine/>
    <w:qFormat/>
    <w:uiPriority w:val="0"/>
    <w:pPr>
      <w:keepLines/>
      <w:framePr w:hSpace="181" w:wrap="around" w:vAnchor="text" w:hAnchor="margin" w:y="222"/>
      <w:widowControl/>
      <w:spacing w:before="40" w:after="40"/>
      <w:jc w:val="left"/>
    </w:pPr>
    <w:rPr>
      <w:sz w:val="18"/>
      <w:szCs w:val="18"/>
    </w:rPr>
  </w:style>
  <w:style w:type="paragraph" w:customStyle="1" w:styleId="290">
    <w:name w:val="Char Char5 Char"/>
    <w:basedOn w:val="13"/>
    <w:autoRedefine/>
    <w:qFormat/>
    <w:uiPriority w:val="0"/>
    <w:rPr>
      <w:rFonts w:ascii="Tahoma" w:hAnsi="Tahoma"/>
      <w:sz w:val="24"/>
    </w:rPr>
  </w:style>
  <w:style w:type="paragraph" w:customStyle="1" w:styleId="291">
    <w:name w:val="Char Char Char Char1"/>
    <w:basedOn w:val="1"/>
    <w:autoRedefine/>
    <w:qFormat/>
    <w:uiPriority w:val="0"/>
    <w:rPr>
      <w:rFonts w:ascii="仿宋_GB2312" w:hAnsi="宋体" w:eastAsia="仿宋_GB2312" w:cs="宋体"/>
      <w:b/>
      <w:bCs/>
      <w:color w:val="000000"/>
      <w:kern w:val="0"/>
      <w:szCs w:val="21"/>
    </w:rPr>
  </w:style>
  <w:style w:type="paragraph" w:customStyle="1" w:styleId="292">
    <w:name w:val="ZTE标题4 New"/>
    <w:basedOn w:val="1"/>
    <w:autoRedefine/>
    <w:qFormat/>
    <w:uiPriority w:val="0"/>
    <w:pPr>
      <w:keepNext/>
      <w:tabs>
        <w:tab w:val="left" w:pos="1276"/>
      </w:tabs>
      <w:spacing w:before="200" w:after="120"/>
      <w:ind w:left="1680" w:hanging="420"/>
      <w:outlineLvl w:val="3"/>
    </w:pPr>
    <w:rPr>
      <w:rFonts w:ascii="Arial" w:hAnsi="Arial"/>
      <w:b/>
      <w:szCs w:val="21"/>
      <w:lang w:val="pt-BR" w:eastAsia="en-US"/>
    </w:rPr>
  </w:style>
  <w:style w:type="paragraph" w:customStyle="1" w:styleId="293">
    <w:name w:val="_Style 10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Char Char11"/>
    <w:basedOn w:val="1"/>
    <w:autoRedefine/>
    <w:qFormat/>
    <w:uiPriority w:val="0"/>
  </w:style>
  <w:style w:type="paragraph" w:customStyle="1" w:styleId="295">
    <w:name w:val="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9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Courier New"/>
      <w:kern w:val="0"/>
      <w:sz w:val="24"/>
      <w:lang w:eastAsia="en-US"/>
    </w:rPr>
  </w:style>
  <w:style w:type="paragraph" w:customStyle="1" w:styleId="297">
    <w:name w:val="Char Char Char Char Char Char Char Char Char1 Char1"/>
    <w:basedOn w:val="1"/>
    <w:autoRedefine/>
    <w:qFormat/>
    <w:uiPriority w:val="0"/>
    <w:rPr>
      <w:rFonts w:ascii="仿宋_GB2312" w:hAnsi="Calibri" w:eastAsia="仿宋_GB2312"/>
      <w:b/>
      <w:sz w:val="32"/>
      <w:szCs w:val="32"/>
    </w:rPr>
  </w:style>
  <w:style w:type="paragraph" w:customStyle="1" w:styleId="298">
    <w:name w:val="菲页2"/>
    <w:basedOn w:val="4"/>
    <w:autoRedefine/>
    <w:qFormat/>
    <w:uiPriority w:val="0"/>
    <w:pPr>
      <w:widowControl/>
      <w:tabs>
        <w:tab w:val="left" w:pos="814"/>
      </w:tabs>
      <w:spacing w:before="120" w:after="120" w:line="360" w:lineRule="auto"/>
      <w:ind w:left="814" w:hanging="360"/>
      <w:jc w:val="center"/>
    </w:pPr>
    <w:rPr>
      <w:rFonts w:ascii="黑体" w:hAnsi="宋体" w:eastAsia="黑体"/>
      <w:b w:val="0"/>
      <w:bCs w:val="0"/>
      <w:kern w:val="0"/>
      <w:sz w:val="44"/>
      <w:szCs w:val="20"/>
    </w:rPr>
  </w:style>
  <w:style w:type="paragraph" w:customStyle="1" w:styleId="29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ourier New"/>
      <w:kern w:val="0"/>
      <w:szCs w:val="21"/>
      <w:lang w:eastAsia="en-US"/>
    </w:rPr>
  </w:style>
  <w:style w:type="paragraph" w:customStyle="1" w:styleId="301">
    <w:name w:val="列出段落21"/>
    <w:basedOn w:val="1"/>
    <w:autoRedefine/>
    <w:qFormat/>
    <w:uiPriority w:val="0"/>
    <w:pPr>
      <w:widowControl/>
      <w:ind w:firstLine="420" w:firstLineChars="200"/>
    </w:pPr>
    <w:rPr>
      <w:rFonts w:ascii="Calibri" w:hAnsi="Calibri"/>
      <w:szCs w:val="22"/>
    </w:rPr>
  </w:style>
  <w:style w:type="paragraph" w:customStyle="1" w:styleId="302">
    <w:name w:val="Char21"/>
    <w:basedOn w:val="1"/>
    <w:autoRedefine/>
    <w:qFormat/>
    <w:uiPriority w:val="0"/>
    <w:rPr>
      <w:rFonts w:ascii="仿宋_GB2312" w:hAnsi="宋体" w:eastAsia="仿宋_GB2312" w:cs="宋体"/>
      <w:bCs/>
      <w:color w:val="000000"/>
      <w:kern w:val="0"/>
      <w:sz w:val="32"/>
      <w:szCs w:val="32"/>
    </w:rPr>
  </w:style>
  <w:style w:type="paragraph" w:customStyle="1" w:styleId="303">
    <w:name w:val="Char Char Char Char Char Char Char Char Char Char Char Char Char"/>
    <w:basedOn w:val="1"/>
    <w:autoRedefine/>
    <w:qFormat/>
    <w:uiPriority w:val="0"/>
    <w:rPr>
      <w:rFonts w:ascii="Tahoma" w:hAnsi="Tahoma"/>
      <w:sz w:val="24"/>
      <w:szCs w:val="20"/>
    </w:rPr>
  </w:style>
  <w:style w:type="paragraph" w:customStyle="1" w:styleId="304">
    <w:name w:val="Char Char81"/>
    <w:basedOn w:val="1"/>
    <w:autoRedefine/>
    <w:qFormat/>
    <w:uiPriority w:val="0"/>
    <w:rPr>
      <w:rFonts w:ascii="仿宋_GB2312" w:hAnsi="Calibri" w:eastAsia="仿宋_GB2312"/>
      <w:b/>
      <w:sz w:val="32"/>
      <w:szCs w:val="32"/>
    </w:rPr>
  </w:style>
  <w:style w:type="paragraph" w:customStyle="1" w:styleId="305">
    <w:name w:val="Char111"/>
    <w:basedOn w:val="1"/>
    <w:autoRedefine/>
    <w:qFormat/>
    <w:uiPriority w:val="0"/>
    <w:rPr>
      <w:rFonts w:ascii="Tahoma" w:hAnsi="Tahoma"/>
      <w:sz w:val="24"/>
      <w:szCs w:val="20"/>
    </w:rPr>
  </w:style>
  <w:style w:type="paragraph" w:customStyle="1" w:styleId="306">
    <w:name w:val="Char Char91"/>
    <w:basedOn w:val="1"/>
    <w:autoRedefine/>
    <w:qFormat/>
    <w:uiPriority w:val="0"/>
    <w:rPr>
      <w:rFonts w:ascii="宋体" w:hAnsi="宋体" w:cs="宋体"/>
      <w:b/>
      <w:bCs/>
      <w:color w:val="000000"/>
      <w:sz w:val="22"/>
      <w:szCs w:val="22"/>
    </w:rPr>
  </w:style>
  <w:style w:type="paragraph" w:customStyle="1" w:styleId="307">
    <w:name w:val="Char Char5 Char1"/>
    <w:basedOn w:val="13"/>
    <w:autoRedefine/>
    <w:qFormat/>
    <w:uiPriority w:val="0"/>
    <w:rPr>
      <w:rFonts w:ascii="Tahoma" w:hAnsi="Tahoma"/>
      <w:sz w:val="24"/>
    </w:rPr>
  </w:style>
  <w:style w:type="paragraph" w:customStyle="1" w:styleId="308">
    <w:name w:val="Body Text(ch)"/>
    <w:basedOn w:val="1"/>
    <w:next w:val="16"/>
    <w:autoRedefine/>
    <w:qFormat/>
    <w:uiPriority w:val="0"/>
    <w:pPr>
      <w:spacing w:line="500" w:lineRule="exact"/>
      <w:jc w:val="center"/>
    </w:pPr>
  </w:style>
  <w:style w:type="paragraph" w:customStyle="1" w:styleId="309">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0">
    <w:name w:val="xl1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1">
    <w:name w:val="金保标题1"/>
    <w:basedOn w:val="2"/>
    <w:next w:val="1"/>
    <w:autoRedefine/>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312">
    <w:name w:val="Char1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3">
    <w:name w:val="正文－恩普"/>
    <w:basedOn w:val="7"/>
    <w:autoRedefine/>
    <w:qFormat/>
    <w:uiPriority w:val="0"/>
    <w:pPr>
      <w:spacing w:line="360" w:lineRule="auto"/>
      <w:ind w:firstLine="200" w:firstLineChars="200"/>
    </w:pPr>
    <w:rPr>
      <w:rFonts w:ascii="Calibri" w:hAnsi="Calibri"/>
      <w:spacing w:val="0"/>
      <w:kern w:val="2"/>
      <w:sz w:val="21"/>
      <w:szCs w:val="24"/>
    </w:rPr>
  </w:style>
  <w:style w:type="paragraph" w:customStyle="1" w:styleId="314">
    <w:name w:val="Char1 Char Char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5">
    <w:name w:val="Char Char Char1"/>
    <w:basedOn w:val="1"/>
    <w:autoRedefine/>
    <w:qFormat/>
    <w:uiPriority w:val="0"/>
    <w:rPr>
      <w:rFonts w:ascii="Tahoma" w:hAnsi="Tahoma"/>
      <w:sz w:val="24"/>
      <w:szCs w:val="20"/>
    </w:rPr>
  </w:style>
  <w:style w:type="paragraph" w:customStyle="1" w:styleId="316">
    <w:name w:val="小点说明"/>
    <w:basedOn w:val="1"/>
    <w:autoRedefine/>
    <w:qFormat/>
    <w:uiPriority w:val="0"/>
    <w:pPr>
      <w:adjustRightInd w:val="0"/>
      <w:snapToGrid w:val="0"/>
    </w:pPr>
    <w:rPr>
      <w:rFonts w:ascii="仿宋_GB2312" w:eastAsia="仿宋_GB2312"/>
      <w:color w:val="000000"/>
      <w:szCs w:val="18"/>
    </w:rPr>
  </w:style>
  <w:style w:type="paragraph" w:customStyle="1" w:styleId="317">
    <w:name w:val="*正文"/>
    <w:basedOn w:val="1"/>
    <w:autoRedefine/>
    <w:qFormat/>
    <w:uiPriority w:val="0"/>
    <w:pPr>
      <w:spacing w:line="360" w:lineRule="auto"/>
      <w:ind w:firstLine="200" w:firstLineChars="200"/>
    </w:pPr>
    <w:rPr>
      <w:rFonts w:ascii="宋体" w:hAnsi="宋体"/>
      <w:szCs w:val="20"/>
    </w:rPr>
  </w:style>
  <w:style w:type="paragraph" w:customStyle="1" w:styleId="318">
    <w:name w:val="xl124"/>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319">
    <w:name w:val="xl125"/>
    <w:basedOn w:val="1"/>
    <w:autoRedefine/>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320">
    <w:name w:val="Char1 Char Char Char Char Char Char2"/>
    <w:basedOn w:val="1"/>
    <w:autoRedefine/>
    <w:qFormat/>
    <w:uiPriority w:val="0"/>
    <w:rPr>
      <w:rFonts w:ascii="Tahoma" w:hAnsi="Tahoma"/>
      <w:sz w:val="24"/>
      <w:szCs w:val="20"/>
    </w:rPr>
  </w:style>
  <w:style w:type="paragraph" w:customStyle="1" w:styleId="321">
    <w:name w:val="标题2 New New New New New New New New New New New New New New New New New New New New New New New New New New New New New New New New New"/>
    <w:basedOn w:val="1"/>
    <w:autoRedefine/>
    <w:qFormat/>
    <w:uiPriority w:val="0"/>
    <w:pPr>
      <w:keepNext/>
      <w:tabs>
        <w:tab w:val="left" w:pos="1247"/>
      </w:tabs>
      <w:spacing w:before="240" w:after="160"/>
      <w:ind w:left="840" w:hanging="420"/>
      <w:outlineLvl w:val="1"/>
    </w:pPr>
    <w:rPr>
      <w:rFonts w:ascii="Arial" w:hAnsi="Arial" w:cs="Arial"/>
      <w:b/>
      <w:bCs/>
      <w:spacing w:val="10"/>
      <w:kern w:val="28"/>
      <w:sz w:val="28"/>
      <w:szCs w:val="28"/>
      <w:lang w:eastAsia="en-US"/>
    </w:rPr>
  </w:style>
  <w:style w:type="paragraph" w:customStyle="1" w:styleId="322">
    <w:name w:val="xl141"/>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323">
    <w:name w:val="Char Char7 Char"/>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324">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5">
    <w:name w:val="Table Paragraph"/>
    <w:basedOn w:val="1"/>
    <w:autoRedefine/>
    <w:qFormat/>
    <w:uiPriority w:val="0"/>
    <w:rPr>
      <w:rFonts w:ascii="宋体" w:hAnsi="宋体" w:cs="宋体"/>
      <w:lang w:val="zh-CN" w:bidi="zh-CN"/>
    </w:rPr>
  </w:style>
  <w:style w:type="paragraph" w:customStyle="1" w:styleId="326">
    <w:name w:val="无间隔11"/>
    <w:autoRedefine/>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327">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28">
    <w:name w:val="Char Char Char Char Char Char Char Char Char Char Char Char Char2"/>
    <w:basedOn w:val="1"/>
    <w:autoRedefine/>
    <w:qFormat/>
    <w:uiPriority w:val="0"/>
    <w:pPr>
      <w:widowControl/>
      <w:numPr>
        <w:ilvl w:val="3"/>
        <w:numId w:val="1"/>
      </w:numPr>
      <w:spacing w:after="160" w:line="240" w:lineRule="exact"/>
      <w:ind w:left="0" w:firstLine="0"/>
      <w:jc w:val="left"/>
    </w:pPr>
    <w:rPr>
      <w:rFonts w:ascii="Verdana" w:hAnsi="Verdana"/>
      <w:kern w:val="0"/>
      <w:sz w:val="20"/>
      <w:szCs w:val="20"/>
      <w:lang w:eastAsia="en-US"/>
    </w:rPr>
  </w:style>
  <w:style w:type="paragraph" w:customStyle="1" w:styleId="329">
    <w:name w:val="_Style 9"/>
    <w:basedOn w:val="1"/>
    <w:autoRedefine/>
    <w:qFormat/>
    <w:uiPriority w:val="0"/>
  </w:style>
  <w:style w:type="paragraph" w:customStyle="1" w:styleId="330">
    <w:name w:val="Char Char7 Char2"/>
    <w:basedOn w:val="1"/>
    <w:autoRedefine/>
    <w:qFormat/>
    <w:uiPriority w:val="0"/>
    <w:pPr>
      <w:tabs>
        <w:tab w:val="left" w:pos="425"/>
      </w:tabs>
      <w:ind w:left="420" w:leftChars="200" w:firstLine="270" w:firstLineChars="150"/>
    </w:pPr>
    <w:rPr>
      <w:rFonts w:ascii="宋体" w:hAnsi="宋体" w:cs="Arial"/>
      <w:color w:val="5E5E5E"/>
      <w:kern w:val="0"/>
      <w:szCs w:val="21"/>
    </w:rPr>
  </w:style>
  <w:style w:type="paragraph" w:customStyle="1" w:styleId="331">
    <w:name w:val="Char Char"/>
    <w:basedOn w:val="1"/>
    <w:autoRedefine/>
    <w:qFormat/>
    <w:uiPriority w:val="0"/>
    <w:rPr>
      <w:rFonts w:ascii="仿宋_GB2312" w:eastAsia="仿宋_GB2312"/>
      <w:b/>
      <w:sz w:val="32"/>
      <w:szCs w:val="32"/>
    </w:rPr>
  </w:style>
  <w:style w:type="paragraph" w:customStyle="1" w:styleId="332">
    <w:name w:val="Char41"/>
    <w:basedOn w:val="1"/>
    <w:autoRedefine/>
    <w:qFormat/>
    <w:uiPriority w:val="0"/>
    <w:rPr>
      <w:rFonts w:ascii="仿宋_GB2312" w:eastAsia="仿宋_GB2312"/>
      <w:b/>
      <w:sz w:val="32"/>
      <w:szCs w:val="32"/>
    </w:rPr>
  </w:style>
  <w:style w:type="paragraph" w:customStyle="1" w:styleId="333">
    <w:name w:val="Char4"/>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34">
    <w:name w:val="Char Char Char Char Char Char Char2"/>
    <w:basedOn w:val="1"/>
    <w:autoRedefine/>
    <w:qFormat/>
    <w:uiPriority w:val="0"/>
    <w:rPr>
      <w:rFonts w:ascii="仿宋_GB2312" w:eastAsia="仿宋_GB2312"/>
      <w:b/>
      <w:sz w:val="32"/>
      <w:szCs w:val="32"/>
    </w:rPr>
  </w:style>
  <w:style w:type="paragraph" w:customStyle="1" w:styleId="335">
    <w:name w:val="[Normal]"/>
    <w:autoRedefine/>
    <w:qFormat/>
    <w:uiPriority w:val="0"/>
    <w:rPr>
      <w:rFonts w:ascii="宋体" w:hAnsi="宋体" w:eastAsia="宋体" w:cs="Times New Roman"/>
      <w:sz w:val="24"/>
      <w:szCs w:val="22"/>
      <w:lang w:val="zh-CN" w:eastAsia="zh-CN" w:bidi="ar-SA"/>
    </w:rPr>
  </w:style>
  <w:style w:type="table" w:customStyle="1" w:styleId="336">
    <w:name w:val="网格型3"/>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7">
    <w:name w:val="网格型4"/>
    <w:basedOn w:val="4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1"/>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9">
    <w:name w:val="网格型2"/>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0">
    <w:name w:val="网格型5"/>
    <w:basedOn w:val="46"/>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1">
    <w:name w:val="网格型6"/>
    <w:basedOn w:val="46"/>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2">
    <w:name w:val="_Style 338"/>
    <w:autoRedefine/>
    <w:unhideWhenUsed/>
    <w:qFormat/>
    <w:uiPriority w:val="99"/>
    <w:rPr>
      <w:color w:val="605E5C"/>
      <w:shd w:val="clear" w:color="auto" w:fill="E1DFDD"/>
    </w:rPr>
  </w:style>
  <w:style w:type="paragraph" w:customStyle="1" w:styleId="343">
    <w:name w:val="_Style 339"/>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344">
    <w:name w:val="**正文 Char"/>
    <w:link w:val="345"/>
    <w:autoRedefine/>
    <w:qFormat/>
    <w:uiPriority w:val="0"/>
    <w:rPr>
      <w:sz w:val="24"/>
      <w:szCs w:val="24"/>
    </w:rPr>
  </w:style>
  <w:style w:type="paragraph" w:customStyle="1" w:styleId="345">
    <w:name w:val="**正文"/>
    <w:basedOn w:val="1"/>
    <w:link w:val="344"/>
    <w:autoRedefine/>
    <w:qFormat/>
    <w:uiPriority w:val="0"/>
    <w:pPr>
      <w:spacing w:before="50" w:beforeLines="50" w:line="480" w:lineRule="exact"/>
      <w:ind w:firstLine="200" w:firstLineChars="200"/>
      <w:jc w:val="left"/>
    </w:pPr>
    <w:rPr>
      <w:kern w:val="0"/>
      <w:sz w:val="24"/>
    </w:rPr>
  </w:style>
  <w:style w:type="paragraph" w:customStyle="1" w:styleId="346">
    <w:name w:val="a 正文"/>
    <w:basedOn w:val="1"/>
    <w:autoRedefine/>
    <w:qFormat/>
    <w:uiPriority w:val="0"/>
    <w:pPr>
      <w:ind w:firstLine="480"/>
    </w:pPr>
    <w:rPr>
      <w:rFonts w:ascii="黑体" w:hAnsi="黑体" w:cs="Calibri"/>
    </w:rPr>
  </w:style>
  <w:style w:type="paragraph" w:customStyle="1" w:styleId="347">
    <w:name w:val="_Style 346"/>
    <w:basedOn w:val="18"/>
    <w:next w:val="1"/>
    <w:autoRedefine/>
    <w:qFormat/>
    <w:uiPriority w:val="0"/>
    <w:pPr>
      <w:ind w:firstLine="420"/>
    </w:pPr>
    <w:rPr>
      <w:rFonts w:cs="宋体"/>
      <w:szCs w:val="21"/>
    </w:rPr>
  </w:style>
  <w:style w:type="paragraph" w:customStyle="1" w:styleId="348">
    <w:name w:val="my正文"/>
    <w:autoRedefine/>
    <w:qFormat/>
    <w:uiPriority w:val="99"/>
    <w:pPr>
      <w:widowControl w:val="0"/>
      <w:ind w:firstLine="480" w:firstLineChars="200"/>
      <w:jc w:val="both"/>
    </w:pPr>
    <w:rPr>
      <w:rFonts w:ascii="仿宋_GB2312" w:hAnsi="仿宋_GB2312" w:eastAsia="仿宋_GB2312" w:cs="Times New Roman"/>
      <w:sz w:val="32"/>
      <w:szCs w:val="24"/>
      <w:lang w:val="en-US" w:eastAsia="zh-CN" w:bidi="ar-SA"/>
    </w:rPr>
  </w:style>
  <w:style w:type="paragraph" w:customStyle="1" w:styleId="34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50">
    <w:name w:val="正文 A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351">
    <w:name w:val="列表段落1"/>
    <w:basedOn w:val="1"/>
    <w:autoRedefine/>
    <w:qFormat/>
    <w:uiPriority w:val="0"/>
    <w:pPr>
      <w:ind w:firstLine="420" w:firstLineChars="200"/>
    </w:pPr>
    <w:rPr>
      <w:rFonts w:ascii="Calibri" w:hAnsi="Calibri"/>
      <w:szCs w:val="22"/>
    </w:rPr>
  </w:style>
  <w:style w:type="paragraph" w:customStyle="1" w:styleId="352">
    <w:name w:val="Fließtext"/>
    <w:basedOn w:val="1"/>
    <w:autoRedefine/>
    <w:qFormat/>
    <w:uiPriority w:val="0"/>
    <w:pPr>
      <w:overflowPunct w:val="0"/>
      <w:autoSpaceDE w:val="0"/>
      <w:autoSpaceDN w:val="0"/>
      <w:adjustRightInd w:val="0"/>
      <w:textAlignment w:val="baseline"/>
    </w:pPr>
    <w:rPr>
      <w:rFonts w:ascii="楷体" w:hAnsi="楷体" w:eastAsia="等线" w:cs="楷体"/>
      <w:kern w:val="28"/>
      <w:szCs w:val="20"/>
    </w:rPr>
  </w:style>
  <w:style w:type="character" w:customStyle="1" w:styleId="353">
    <w:name w:val="纯文本 Char"/>
    <w:autoRedefine/>
    <w:qFormat/>
    <w:locked/>
    <w:uiPriority w:val="0"/>
    <w:rPr>
      <w:rFonts w:ascii="宋体" w:hAnsi="Courier New"/>
      <w:kern w:val="2"/>
      <w:sz w:val="21"/>
    </w:rPr>
  </w:style>
  <w:style w:type="character" w:customStyle="1" w:styleId="354">
    <w:name w:val="15"/>
    <w:autoRedefine/>
    <w:qFormat/>
    <w:uiPriority w:val="0"/>
    <w:rPr>
      <w:rFonts w:hint="default" w:ascii="Times New Roman" w:hAnsi="Times New Roman" w:cs="Times New Roman"/>
    </w:rPr>
  </w:style>
  <w:style w:type="paragraph" w:customStyle="1" w:styleId="355">
    <w:name w:val="首行缩进"/>
    <w:basedOn w:val="1"/>
    <w:autoRedefine/>
    <w:qFormat/>
    <w:uiPriority w:val="0"/>
    <w:pPr>
      <w:spacing w:line="360" w:lineRule="auto"/>
      <w:ind w:firstLine="480" w:firstLineChars="200"/>
      <w:jc w:val="left"/>
    </w:pPr>
    <w:rPr>
      <w:rFonts w:ascii="宋体" w:hAnsi="宋体"/>
      <w:sz w:val="24"/>
      <w:szCs w:val="22"/>
    </w:rPr>
  </w:style>
  <w:style w:type="paragraph" w:customStyle="1" w:styleId="356">
    <w:name w:val="附录表标题"/>
    <w:next w:val="1"/>
    <w:autoRedefine/>
    <w:qFormat/>
    <w:uiPriority w:val="0"/>
    <w:pPr>
      <w:jc w:val="center"/>
      <w:textAlignment w:val="baseline"/>
    </w:pPr>
    <w:rPr>
      <w:rFonts w:ascii="黑体" w:hAnsi="Times New Roman" w:eastAsia="黑体" w:cs="Times New Roman"/>
      <w:kern w:val="21"/>
      <w:sz w:val="21"/>
      <w:szCs w:val="22"/>
      <w:lang w:val="en-US" w:eastAsia="zh-CN" w:bidi="ar-SA"/>
    </w:rPr>
  </w:style>
  <w:style w:type="character" w:customStyle="1" w:styleId="357">
    <w:name w:val="16"/>
    <w:basedOn w:val="48"/>
    <w:autoRedefine/>
    <w:qFormat/>
    <w:uiPriority w:val="0"/>
    <w:rPr>
      <w:rFonts w:hint="default" w:ascii="Calibri" w:hAnsi="Calibri" w:eastAsia="宋体" w:cs="Times New Roman"/>
      <w:lang w:val="en-US" w:eastAsia="zh-CN" w:bidi="ar"/>
    </w:rPr>
  </w:style>
  <w:style w:type="paragraph" w:customStyle="1" w:styleId="358">
    <w:name w:val="Body Text First Indent 2"/>
    <w:basedOn w:val="1"/>
    <w:autoRedefine/>
    <w:qFormat/>
    <w:uiPriority w:val="0"/>
    <w:pPr>
      <w:adjustRightInd w:val="0"/>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97A-AB56-4C1A-AB7A-3CDF64E7F0A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6657</Words>
  <Characters>37947</Characters>
  <Lines>316</Lines>
  <Paragraphs>89</Paragraphs>
  <TotalTime>2</TotalTime>
  <ScaleCrop>false</ScaleCrop>
  <LinksUpToDate>false</LinksUpToDate>
  <CharactersWithSpaces>44515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2021-09-10T07:22:00Z</dcterms:created>
  <dc:creator>微软用户</dc:creator>
  <cp:lastModifiedBy>A陈维文</cp:lastModifiedBy>
  <cp:lastPrinted>2024-05-09T00:54:00Z</cp:lastPrinted>
  <dcterms:modified xsi:type="dcterms:W3CDTF">2024-05-16T05:59:20Z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993CCE0B0E0E4FFD886CB8292ACC090E</vt:lpwstr>
  </property>
</Properties>
</file>