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65E62">
      <w:pPr>
        <w:overflowPunct/>
        <w:bidi w:val="0"/>
        <w:jc w:val="center"/>
        <w:outlineLvl w:val="9"/>
        <w:rPr>
          <w:rFonts w:ascii="黑体" w:hAnsi="宋体" w:eastAsia="黑体" w:cs="宋体"/>
          <w:b/>
          <w:color w:val="000000" w:themeColor="text1"/>
          <w:kern w:val="0"/>
          <w:sz w:val="15"/>
          <w:szCs w:val="15"/>
          <w:highlight w:val="none"/>
          <w14:textFill>
            <w14:solidFill>
              <w14:schemeClr w14:val="tx1"/>
            </w14:solidFill>
          </w14:textFill>
        </w:rPr>
      </w:pPr>
    </w:p>
    <w:p w14:paraId="36AA9620">
      <w:pPr>
        <w:overflowPunct/>
        <w:bidi w:val="0"/>
        <w:jc w:val="center"/>
        <w:outlineLvl w:val="9"/>
        <w:rPr>
          <w:rFonts w:hint="eastAsia" w:ascii="微软雅黑" w:hAnsi="微软雅黑" w:eastAsia="微软雅黑" w:cs="微软雅黑"/>
          <w:b w:val="0"/>
          <w:bCs/>
          <w:color w:val="000000" w:themeColor="text1"/>
          <w:spacing w:val="-6"/>
          <w:sz w:val="60"/>
          <w:szCs w:val="60"/>
          <w:highlight w:val="none"/>
          <w:lang w:eastAsia="zh-CN"/>
          <w14:textFill>
            <w14:solidFill>
              <w14:schemeClr w14:val="tx1"/>
            </w14:solidFill>
          </w14:textFill>
        </w:rPr>
      </w:pPr>
    </w:p>
    <w:p w14:paraId="04C00465">
      <w:pPr>
        <w:overflowPunct/>
        <w:bidi w:val="0"/>
        <w:jc w:val="center"/>
        <w:outlineLvl w:val="9"/>
        <w:rPr>
          <w:rFonts w:ascii="黑体" w:eastAsia="黑体"/>
          <w:b/>
          <w:bCs/>
          <w:color w:val="000000" w:themeColor="text1"/>
          <w:sz w:val="100"/>
          <w:szCs w:val="100"/>
          <w:highlight w:val="none"/>
          <w14:textFill>
            <w14:solidFill>
              <w14:schemeClr w14:val="tx1"/>
            </w14:solidFill>
          </w14:textFill>
        </w:rPr>
      </w:pPr>
      <w:r>
        <w:rPr>
          <w:rFonts w:hint="eastAsia" w:ascii="微软雅黑" w:hAnsi="微软雅黑" w:eastAsia="微软雅黑" w:cs="微软雅黑"/>
          <w:b w:val="0"/>
          <w:bCs/>
          <w:color w:val="000000" w:themeColor="text1"/>
          <w:spacing w:val="-6"/>
          <w:sz w:val="60"/>
          <w:szCs w:val="60"/>
          <w:highlight w:val="none"/>
          <w:lang w:eastAsia="zh-CN"/>
          <w14:textFill>
            <w14:solidFill>
              <w14:schemeClr w14:val="tx1"/>
            </w14:solidFill>
          </w14:textFill>
        </w:rPr>
        <w:t>2025年珲春市中小学护眼灯采购</w:t>
      </w:r>
    </w:p>
    <w:p w14:paraId="6359D3A8">
      <w:pPr>
        <w:overflowPunct/>
        <w:bidi w:val="0"/>
        <w:jc w:val="center"/>
        <w:outlineLvl w:val="9"/>
        <w:rPr>
          <w:rFonts w:ascii="黑体" w:eastAsia="黑体"/>
          <w:b/>
          <w:bCs/>
          <w:color w:val="000000" w:themeColor="text1"/>
          <w:sz w:val="100"/>
          <w:szCs w:val="100"/>
          <w:highlight w:val="none"/>
          <w14:textFill>
            <w14:solidFill>
              <w14:schemeClr w14:val="tx1"/>
            </w14:solidFill>
          </w14:textFill>
        </w:rPr>
      </w:pPr>
    </w:p>
    <w:p w14:paraId="298C79B9">
      <w:pPr>
        <w:overflowPunct/>
        <w:bidi w:val="0"/>
        <w:jc w:val="center"/>
        <w:outlineLvl w:val="9"/>
        <w:rPr>
          <w:rFonts w:ascii="黑体" w:eastAsia="黑体"/>
          <w:b/>
          <w:bCs/>
          <w:color w:val="000000" w:themeColor="text1"/>
          <w:sz w:val="100"/>
          <w:szCs w:val="100"/>
          <w:highlight w:val="none"/>
          <w14:textFill>
            <w14:solidFill>
              <w14:schemeClr w14:val="tx1"/>
            </w14:solidFill>
          </w14:textFill>
        </w:rPr>
      </w:pPr>
    </w:p>
    <w:p w14:paraId="2FB6FE23">
      <w:pPr>
        <w:overflowPunct/>
        <w:bidi w:val="0"/>
        <w:jc w:val="center"/>
        <w:outlineLvl w:val="9"/>
        <w:rPr>
          <w:rFonts w:ascii="黑体" w:eastAsia="黑体"/>
          <w:b/>
          <w:bCs/>
          <w:color w:val="000000" w:themeColor="text1"/>
          <w:sz w:val="96"/>
          <w:szCs w:val="96"/>
          <w:highlight w:val="none"/>
          <w14:textFill>
            <w14:solidFill>
              <w14:schemeClr w14:val="tx1"/>
            </w14:solidFill>
          </w14:textFill>
        </w:rPr>
      </w:pPr>
      <w:bookmarkStart w:id="0" w:name="_Toc10358"/>
      <w:r>
        <w:rPr>
          <w:rFonts w:hint="eastAsia" w:ascii="方正小标宋简体" w:hAnsi="方正小标宋简体" w:eastAsia="方正小标宋简体" w:cs="方正小标宋简体"/>
          <w:b w:val="0"/>
          <w:bCs w:val="0"/>
          <w:color w:val="000000" w:themeColor="text1"/>
          <w:sz w:val="96"/>
          <w:szCs w:val="96"/>
          <w:highlight w:val="none"/>
          <w14:textFill>
            <w14:solidFill>
              <w14:schemeClr w14:val="tx1"/>
            </w14:solidFill>
          </w14:textFill>
        </w:rPr>
        <w:t>竞争性磋商文件</w:t>
      </w:r>
      <w:bookmarkEnd w:id="0"/>
    </w:p>
    <w:p w14:paraId="0A0FC067">
      <w:pPr>
        <w:overflowPunct/>
        <w:bidi w:val="0"/>
        <w:adjustRightInd w:val="0"/>
        <w:spacing w:line="360" w:lineRule="auto"/>
        <w:jc w:val="center"/>
        <w:outlineLvl w:val="9"/>
        <w:rPr>
          <w:rFonts w:ascii="黑体" w:hAnsi="宋体" w:eastAsia="黑体" w:cs="宋体"/>
          <w:b/>
          <w:color w:val="000000" w:themeColor="text1"/>
          <w:sz w:val="32"/>
          <w:szCs w:val="32"/>
          <w:highlight w:val="none"/>
          <w14:textFill>
            <w14:solidFill>
              <w14:schemeClr w14:val="tx1"/>
            </w14:solidFill>
          </w14:textFill>
        </w:rPr>
      </w:pPr>
    </w:p>
    <w:p w14:paraId="6E66CBF0">
      <w:pPr>
        <w:overflowPunct/>
        <w:bidi w:val="0"/>
        <w:spacing w:afterLines="100" w:line="480" w:lineRule="auto"/>
        <w:jc w:val="center"/>
        <w:outlineLvl w:val="9"/>
        <w:rPr>
          <w:rFonts w:hint="eastAsia" w:ascii="黑体" w:hAnsi="宋体" w:eastAsia="黑体"/>
          <w:b/>
          <w:color w:val="000000" w:themeColor="text1"/>
          <w:sz w:val="32"/>
          <w:szCs w:val="32"/>
          <w:highlight w:val="none"/>
          <w:lang w:val="zh-CN" w:eastAsia="zh-CN"/>
          <w14:textFill>
            <w14:solidFill>
              <w14:schemeClr w14:val="tx1"/>
            </w14:solidFill>
          </w14:textFill>
        </w:rPr>
      </w:pPr>
      <w:bookmarkStart w:id="1" w:name="_Toc19276"/>
      <w:r>
        <w:rPr>
          <w:rFonts w:hint="eastAsia" w:ascii="黑体" w:hAnsi="宋体" w:eastAsia="黑体"/>
          <w:b/>
          <w:color w:val="000000" w:themeColor="text1"/>
          <w:sz w:val="32"/>
          <w:szCs w:val="32"/>
          <w:highlight w:val="none"/>
          <w:lang w:val="zh-CN" w:eastAsia="zh-CN"/>
          <w14:textFill>
            <w14:solidFill>
              <w14:schemeClr w14:val="tx1"/>
            </w14:solidFill>
          </w14:textFill>
        </w:rPr>
        <w:t>项目编号：</w:t>
      </w:r>
      <w:bookmarkEnd w:id="1"/>
      <w:r>
        <w:rPr>
          <w:rFonts w:hint="eastAsia" w:ascii="黑体" w:hAnsi="宋体" w:eastAsia="黑体"/>
          <w:b/>
          <w:color w:val="000000" w:themeColor="text1"/>
          <w:sz w:val="32"/>
          <w:szCs w:val="32"/>
          <w:highlight w:val="none"/>
          <w:lang w:val="zh-CN" w:eastAsia="zh-CN"/>
          <w14:textFill>
            <w14:solidFill>
              <w14:schemeClr w14:val="tx1"/>
            </w14:solidFill>
          </w14:textFill>
        </w:rPr>
        <w:t>JLTY-2025011</w:t>
      </w:r>
    </w:p>
    <w:p w14:paraId="09409490">
      <w:pPr>
        <w:overflowPunct/>
        <w:bidi w:val="0"/>
        <w:adjustRightInd w:val="0"/>
        <w:spacing w:line="360" w:lineRule="auto"/>
        <w:jc w:val="center"/>
        <w:outlineLvl w:val="9"/>
        <w:rPr>
          <w:rFonts w:hint="default" w:ascii="黑体" w:hAnsi="宋体" w:eastAsia="黑体" w:cs="宋体"/>
          <w:b/>
          <w:color w:val="000000" w:themeColor="text1"/>
          <w:sz w:val="32"/>
          <w:szCs w:val="32"/>
          <w:highlight w:val="none"/>
          <w:lang w:val="en-US" w:eastAsia="zh-CN"/>
          <w14:textFill>
            <w14:solidFill>
              <w14:schemeClr w14:val="tx1"/>
            </w14:solidFill>
          </w14:textFill>
        </w:rPr>
      </w:pPr>
    </w:p>
    <w:p w14:paraId="29862B53">
      <w:pPr>
        <w:overflowPunct/>
        <w:bidi w:val="0"/>
        <w:adjustRightInd w:val="0"/>
        <w:spacing w:line="360" w:lineRule="auto"/>
        <w:outlineLvl w:val="9"/>
        <w:rPr>
          <w:rFonts w:ascii="黑体" w:hAnsi="宋体" w:eastAsia="黑体" w:cs="宋体"/>
          <w:b/>
          <w:color w:val="000000" w:themeColor="text1"/>
          <w:sz w:val="24"/>
          <w:highlight w:val="none"/>
          <w:lang w:val="zh-CN"/>
          <w14:textFill>
            <w14:solidFill>
              <w14:schemeClr w14:val="tx1"/>
            </w14:solidFill>
          </w14:textFill>
        </w:rPr>
      </w:pPr>
    </w:p>
    <w:p w14:paraId="4E32F4E8">
      <w:pPr>
        <w:overflowPunct/>
        <w:bidi w:val="0"/>
        <w:adjustRightInd w:val="0"/>
        <w:spacing w:line="360" w:lineRule="auto"/>
        <w:outlineLvl w:val="9"/>
        <w:rPr>
          <w:rFonts w:ascii="黑体" w:hAnsi="宋体" w:eastAsia="黑体" w:cs="宋体"/>
          <w:b/>
          <w:color w:val="000000" w:themeColor="text1"/>
          <w:sz w:val="24"/>
          <w:highlight w:val="none"/>
          <w:lang w:val="zh-CN"/>
          <w14:textFill>
            <w14:solidFill>
              <w14:schemeClr w14:val="tx1"/>
            </w14:solidFill>
          </w14:textFill>
        </w:rPr>
      </w:pPr>
    </w:p>
    <w:p w14:paraId="17478B01">
      <w:pPr>
        <w:overflowPunct/>
        <w:bidi w:val="0"/>
        <w:adjustRightInd w:val="0"/>
        <w:spacing w:line="360" w:lineRule="auto"/>
        <w:outlineLvl w:val="9"/>
        <w:rPr>
          <w:rFonts w:ascii="黑体" w:hAnsi="宋体" w:eastAsia="黑体" w:cs="宋体"/>
          <w:b/>
          <w:color w:val="000000" w:themeColor="text1"/>
          <w:sz w:val="24"/>
          <w:highlight w:val="none"/>
          <w:lang w:val="zh-CN"/>
          <w14:textFill>
            <w14:solidFill>
              <w14:schemeClr w14:val="tx1"/>
            </w14:solidFill>
          </w14:textFill>
        </w:rPr>
      </w:pPr>
    </w:p>
    <w:p w14:paraId="2FFD77E0">
      <w:pPr>
        <w:overflowPunct/>
        <w:bidi w:val="0"/>
        <w:adjustRightInd w:val="0"/>
        <w:spacing w:line="360" w:lineRule="auto"/>
        <w:outlineLvl w:val="9"/>
        <w:rPr>
          <w:rFonts w:ascii="黑体" w:hAnsi="宋体" w:eastAsia="黑体" w:cs="宋体"/>
          <w:b/>
          <w:color w:val="000000" w:themeColor="text1"/>
          <w:sz w:val="24"/>
          <w:highlight w:val="none"/>
          <w:lang w:val="zh-CN"/>
          <w14:textFill>
            <w14:solidFill>
              <w14:schemeClr w14:val="tx1"/>
            </w14:solidFill>
          </w14:textFill>
        </w:rPr>
      </w:pPr>
    </w:p>
    <w:p w14:paraId="21D7ABA8">
      <w:pPr>
        <w:overflowPunct/>
        <w:bidi w:val="0"/>
        <w:adjustRightInd w:val="0"/>
        <w:spacing w:line="360" w:lineRule="auto"/>
        <w:outlineLvl w:val="9"/>
        <w:rPr>
          <w:rFonts w:ascii="黑体" w:hAnsi="宋体" w:eastAsia="黑体" w:cs="宋体"/>
          <w:b/>
          <w:color w:val="000000" w:themeColor="text1"/>
          <w:sz w:val="24"/>
          <w:highlight w:val="none"/>
          <w:lang w:val="zh-CN"/>
          <w14:textFill>
            <w14:solidFill>
              <w14:schemeClr w14:val="tx1"/>
            </w14:solidFill>
          </w14:textFill>
        </w:rPr>
      </w:pPr>
    </w:p>
    <w:p w14:paraId="08F2F4DC">
      <w:pPr>
        <w:overflowPunct/>
        <w:bidi w:val="0"/>
        <w:adjustRightInd w:val="0"/>
        <w:spacing w:line="360" w:lineRule="auto"/>
        <w:outlineLvl w:val="9"/>
        <w:rPr>
          <w:rFonts w:ascii="黑体" w:hAnsi="宋体" w:eastAsia="黑体" w:cs="宋体"/>
          <w:b/>
          <w:color w:val="000000" w:themeColor="text1"/>
          <w:sz w:val="24"/>
          <w:highlight w:val="none"/>
          <w:lang w:val="zh-CN"/>
          <w14:textFill>
            <w14:solidFill>
              <w14:schemeClr w14:val="tx1"/>
            </w14:solidFill>
          </w14:textFill>
        </w:rPr>
      </w:pPr>
    </w:p>
    <w:p w14:paraId="63FA3210">
      <w:pPr>
        <w:overflowPunct/>
        <w:bidi w:val="0"/>
        <w:spacing w:afterLines="100" w:line="480" w:lineRule="auto"/>
        <w:jc w:val="center"/>
        <w:outlineLvl w:val="9"/>
        <w:rPr>
          <w:rFonts w:hint="default" w:ascii="黑体" w:hAnsi="宋体" w:eastAsia="黑体"/>
          <w:b/>
          <w:color w:val="000000" w:themeColor="text1"/>
          <w:sz w:val="32"/>
          <w:szCs w:val="32"/>
          <w:highlight w:val="none"/>
          <w:lang w:val="en-US" w:eastAsia="zh-CN"/>
          <w14:textFill>
            <w14:solidFill>
              <w14:schemeClr w14:val="tx1"/>
            </w14:solidFill>
          </w14:textFill>
        </w:rPr>
      </w:pPr>
      <w:bookmarkStart w:id="2" w:name="_Toc29332"/>
      <w:r>
        <w:rPr>
          <w:rFonts w:hint="eastAsia" w:ascii="黑体" w:hAnsi="宋体" w:eastAsia="黑体"/>
          <w:b/>
          <w:color w:val="000000" w:themeColor="text1"/>
          <w:sz w:val="32"/>
          <w:szCs w:val="32"/>
          <w:highlight w:val="none"/>
          <w14:textFill>
            <w14:solidFill>
              <w14:schemeClr w14:val="tx1"/>
            </w14:solidFill>
          </w14:textFill>
        </w:rPr>
        <w:t>采   购   人</w:t>
      </w:r>
      <w:r>
        <w:rPr>
          <w:rFonts w:hint="eastAsia" w:ascii="黑体" w:hAnsi="宋体" w:eastAsia="黑体"/>
          <w:b/>
          <w:color w:val="000000" w:themeColor="text1"/>
          <w:sz w:val="32"/>
          <w:szCs w:val="32"/>
          <w:highlight w:val="none"/>
          <w:lang w:eastAsia="zh-CN"/>
          <w14:textFill>
            <w14:solidFill>
              <w14:schemeClr w14:val="tx1"/>
            </w14:solidFill>
          </w14:textFill>
        </w:rPr>
        <w:t>：</w:t>
      </w:r>
      <w:r>
        <w:rPr>
          <w:rFonts w:hint="eastAsia" w:ascii="黑体" w:hAnsi="宋体" w:eastAsia="黑体"/>
          <w:b/>
          <w:color w:val="000000" w:themeColor="text1"/>
          <w:sz w:val="32"/>
          <w:szCs w:val="32"/>
          <w:highlight w:val="none"/>
          <w:lang w:val="en-US" w:eastAsia="zh-CN"/>
          <w14:textFill>
            <w14:solidFill>
              <w14:schemeClr w14:val="tx1"/>
            </w14:solidFill>
          </w14:textFill>
        </w:rPr>
        <w:t>珲春市教育技术装备中心</w:t>
      </w:r>
      <w:bookmarkEnd w:id="2"/>
    </w:p>
    <w:p w14:paraId="4FB07E3E">
      <w:pPr>
        <w:overflowPunct/>
        <w:bidi w:val="0"/>
        <w:spacing w:afterLines="100" w:line="480" w:lineRule="auto"/>
        <w:jc w:val="center"/>
        <w:outlineLvl w:val="9"/>
        <w:rPr>
          <w:rFonts w:hint="default" w:ascii="黑体" w:hAnsi="宋体" w:eastAsia="黑体"/>
          <w:b/>
          <w:color w:val="000000" w:themeColor="text1"/>
          <w:sz w:val="32"/>
          <w:szCs w:val="32"/>
          <w:highlight w:val="none"/>
          <w:lang w:val="en-US" w:eastAsia="zh-CN"/>
          <w14:textFill>
            <w14:solidFill>
              <w14:schemeClr w14:val="tx1"/>
            </w14:solidFill>
          </w14:textFill>
        </w:rPr>
      </w:pPr>
      <w:bookmarkStart w:id="3" w:name="_Toc10641"/>
      <w:r>
        <w:rPr>
          <w:rFonts w:hint="eastAsia" w:ascii="黑体" w:hAnsi="宋体" w:eastAsia="黑体"/>
          <w:b/>
          <w:color w:val="000000" w:themeColor="text1"/>
          <w:sz w:val="32"/>
          <w:szCs w:val="32"/>
          <w:highlight w:val="none"/>
          <w:lang w:val="en-US" w:eastAsia="zh-CN"/>
          <w14:textFill>
            <w14:solidFill>
              <w14:schemeClr w14:val="tx1"/>
            </w14:solidFill>
          </w14:textFill>
        </w:rPr>
        <w:t>采购代理机构：吉林省天一工程管理有限公司</w:t>
      </w:r>
      <w:bookmarkEnd w:id="3"/>
    </w:p>
    <w:p w14:paraId="5EE89CCD">
      <w:pPr>
        <w:overflowPunct/>
        <w:bidi w:val="0"/>
        <w:spacing w:afterLines="100" w:line="480" w:lineRule="auto"/>
        <w:jc w:val="center"/>
        <w:outlineLvl w:val="9"/>
        <w:rPr>
          <w:rFonts w:hint="eastAsia" w:ascii="黑体" w:hAnsi="宋体" w:eastAsia="黑体"/>
          <w:b/>
          <w:color w:val="000000" w:themeColor="text1"/>
          <w:sz w:val="32"/>
          <w:szCs w:val="32"/>
          <w:highlight w:val="none"/>
          <w:lang w:val="en-US" w:eastAsia="zh-CN"/>
          <w14:textFill>
            <w14:solidFill>
              <w14:schemeClr w14:val="tx1"/>
            </w14:solidFill>
          </w14:textFill>
        </w:rPr>
      </w:pPr>
      <w:bookmarkStart w:id="4" w:name="_Toc10637"/>
      <w:r>
        <w:rPr>
          <w:rFonts w:hint="eastAsia" w:ascii="黑体" w:hAnsi="宋体" w:eastAsia="黑体"/>
          <w:b/>
          <w:color w:val="000000" w:themeColor="text1"/>
          <w:sz w:val="32"/>
          <w:szCs w:val="32"/>
          <w:highlight w:val="none"/>
          <w:lang w:val="en-US" w:eastAsia="zh-CN"/>
          <w14:textFill>
            <w14:solidFill>
              <w14:schemeClr w14:val="tx1"/>
            </w14:solidFill>
          </w14:textFill>
        </w:rPr>
        <w:t>日期：</w:t>
      </w:r>
      <w:r>
        <w:rPr>
          <w:rFonts w:hint="eastAsia" w:ascii="黑体" w:hAnsi="宋体" w:eastAsia="黑体"/>
          <w:b/>
          <w:bCs/>
          <w:color w:val="000000" w:themeColor="text1"/>
          <w:sz w:val="32"/>
          <w:szCs w:val="32"/>
          <w:highlight w:val="none"/>
          <w14:textFill>
            <w14:solidFill>
              <w14:schemeClr w14:val="tx1"/>
            </w14:solidFill>
          </w14:textFill>
        </w:rPr>
        <w:t>二</w:t>
      </w:r>
      <w:r>
        <w:rPr>
          <w:rFonts w:hint="eastAsia" w:ascii="黑体" w:hAnsi="黑体" w:eastAsia="黑体" w:cs="黑体"/>
          <w:b/>
          <w:bCs/>
          <w:color w:val="000000" w:themeColor="text1"/>
          <w:sz w:val="32"/>
          <w:szCs w:val="32"/>
          <w:highlight w:val="none"/>
          <w14:textFill>
            <w14:solidFill>
              <w14:schemeClr w14:val="tx1"/>
            </w14:solidFill>
          </w14:textFill>
        </w:rPr>
        <w:t>〇</w:t>
      </w:r>
      <w:r>
        <w:rPr>
          <w:rFonts w:hint="eastAsia" w:ascii="黑体" w:hAnsi="宋体" w:eastAsia="黑体"/>
          <w:b/>
          <w:bCs/>
          <w:color w:val="000000" w:themeColor="text1"/>
          <w:sz w:val="32"/>
          <w:szCs w:val="32"/>
          <w:highlight w:val="none"/>
          <w14:textFill>
            <w14:solidFill>
              <w14:schemeClr w14:val="tx1"/>
            </w14:solidFill>
          </w14:textFill>
        </w:rPr>
        <w:t>二</w:t>
      </w:r>
      <w:r>
        <w:rPr>
          <w:rFonts w:hint="eastAsia" w:ascii="黑体" w:hAnsi="宋体" w:eastAsia="黑体"/>
          <w:b/>
          <w:bCs/>
          <w:color w:val="000000" w:themeColor="text1"/>
          <w:sz w:val="32"/>
          <w:szCs w:val="32"/>
          <w:highlight w:val="none"/>
          <w:lang w:eastAsia="zh-CN"/>
          <w14:textFill>
            <w14:solidFill>
              <w14:schemeClr w14:val="tx1"/>
            </w14:solidFill>
          </w14:textFill>
        </w:rPr>
        <w:t>五</w:t>
      </w:r>
      <w:r>
        <w:rPr>
          <w:rFonts w:hint="eastAsia" w:ascii="黑体" w:hAnsi="宋体" w:eastAsia="黑体"/>
          <w:b/>
          <w:bCs/>
          <w:color w:val="000000" w:themeColor="text1"/>
          <w:sz w:val="32"/>
          <w:szCs w:val="32"/>
          <w:highlight w:val="none"/>
          <w14:textFill>
            <w14:solidFill>
              <w14:schemeClr w14:val="tx1"/>
            </w14:solidFill>
          </w14:textFill>
        </w:rPr>
        <w:t>年</w:t>
      </w:r>
      <w:r>
        <w:rPr>
          <w:rFonts w:hint="eastAsia" w:ascii="黑体" w:hAnsi="宋体" w:eastAsia="黑体"/>
          <w:b/>
          <w:bCs/>
          <w:color w:val="000000" w:themeColor="text1"/>
          <w:sz w:val="32"/>
          <w:szCs w:val="32"/>
          <w:highlight w:val="none"/>
          <w:lang w:val="en-US" w:eastAsia="zh-CN"/>
          <w14:textFill>
            <w14:solidFill>
              <w14:schemeClr w14:val="tx1"/>
            </w14:solidFill>
          </w14:textFill>
        </w:rPr>
        <w:t>三</w:t>
      </w:r>
      <w:r>
        <w:rPr>
          <w:rFonts w:hint="eastAsia" w:ascii="黑体" w:hAnsi="宋体" w:eastAsia="黑体"/>
          <w:b/>
          <w:bCs/>
          <w:color w:val="000000" w:themeColor="text1"/>
          <w:sz w:val="32"/>
          <w:szCs w:val="32"/>
          <w:highlight w:val="none"/>
          <w14:textFill>
            <w14:solidFill>
              <w14:schemeClr w14:val="tx1"/>
            </w14:solidFill>
          </w14:textFill>
        </w:rPr>
        <w:t>月</w:t>
      </w:r>
      <w:bookmarkEnd w:id="4"/>
    </w:p>
    <w:p w14:paraId="32987204">
      <w:pPr>
        <w:overflowPunct/>
        <w:bidi w:val="0"/>
        <w:spacing w:afterLines="100" w:line="480" w:lineRule="auto"/>
        <w:jc w:val="center"/>
        <w:outlineLvl w:val="9"/>
        <w:rPr>
          <w:rFonts w:hint="eastAsia" w:ascii="黑体" w:hAnsi="宋体" w:eastAsia="黑体"/>
          <w:b/>
          <w:color w:val="000000" w:themeColor="text1"/>
          <w:sz w:val="24"/>
          <w:szCs w:val="24"/>
          <w:highlight w:val="none"/>
          <w:lang w:val="en-US" w:eastAsia="zh-CN"/>
          <w14:textFill>
            <w14:solidFill>
              <w14:schemeClr w14:val="tx1"/>
            </w14:solidFill>
          </w14:textFill>
        </w:rPr>
        <w:sectPr>
          <w:headerReference r:id="rId5" w:type="first"/>
          <w:footerReference r:id="rId7" w:type="first"/>
          <w:headerReference r:id="rId3" w:type="default"/>
          <w:headerReference r:id="rId4" w:type="even"/>
          <w:footerReference r:id="rId6" w:type="even"/>
          <w:pgSz w:w="11906" w:h="16838"/>
          <w:pgMar w:top="1191" w:right="1191" w:bottom="1191" w:left="1191" w:header="851" w:footer="992" w:gutter="0"/>
          <w:pgBorders>
            <w:top w:val="none" w:sz="0" w:space="0"/>
            <w:left w:val="none" w:sz="0" w:space="0"/>
            <w:bottom w:val="none" w:sz="0" w:space="0"/>
            <w:right w:val="none" w:sz="0" w:space="0"/>
          </w:pgBorders>
          <w:pgNumType w:start="0"/>
          <w:cols w:space="720" w:num="1"/>
          <w:titlePg/>
          <w:docGrid w:linePitch="312" w:charSpace="0"/>
        </w:sectPr>
      </w:pPr>
    </w:p>
    <w:p w14:paraId="6F1E5E38">
      <w:pPr>
        <w:overflowPunct/>
        <w:bidi w:val="0"/>
        <w:jc w:val="center"/>
        <w:outlineLvl w:val="9"/>
        <w:rPr>
          <w:rFonts w:hint="eastAsia"/>
          <w:b/>
          <w:bCs/>
          <w:color w:val="000000" w:themeColor="text1"/>
          <w:sz w:val="36"/>
          <w:szCs w:val="44"/>
          <w:highlight w:val="none"/>
          <w:lang w:eastAsia="zh-CN"/>
          <w14:textFill>
            <w14:solidFill>
              <w14:schemeClr w14:val="tx1"/>
            </w14:solidFill>
          </w14:textFill>
        </w:rPr>
      </w:pPr>
      <w:r>
        <w:rPr>
          <w:rFonts w:hint="eastAsia"/>
          <w:b/>
          <w:bCs/>
          <w:color w:val="000000" w:themeColor="text1"/>
          <w:sz w:val="36"/>
          <w:szCs w:val="44"/>
          <w:highlight w:val="none"/>
          <w:lang w:eastAsia="zh-CN"/>
          <w14:textFill>
            <w14:solidFill>
              <w14:schemeClr w14:val="tx1"/>
            </w14:solidFill>
          </w14:textFill>
        </w:rPr>
        <w:t>目</w:t>
      </w:r>
      <w:r>
        <w:rPr>
          <w:rFonts w:hint="eastAsia"/>
          <w:b/>
          <w:bCs/>
          <w:color w:val="000000" w:themeColor="text1"/>
          <w:sz w:val="36"/>
          <w:szCs w:val="44"/>
          <w:highlight w:val="none"/>
          <w:lang w:val="en-US" w:eastAsia="zh-CN"/>
          <w14:textFill>
            <w14:solidFill>
              <w14:schemeClr w14:val="tx1"/>
            </w14:solidFill>
          </w14:textFill>
        </w:rPr>
        <w:t xml:space="preserve">  </w:t>
      </w:r>
      <w:r>
        <w:rPr>
          <w:rFonts w:hint="eastAsia"/>
          <w:b/>
          <w:bCs/>
          <w:color w:val="000000" w:themeColor="text1"/>
          <w:sz w:val="36"/>
          <w:szCs w:val="44"/>
          <w:highlight w:val="none"/>
          <w:lang w:eastAsia="zh-CN"/>
          <w14:textFill>
            <w14:solidFill>
              <w14:schemeClr w14:val="tx1"/>
            </w14:solidFill>
          </w14:textFill>
        </w:rPr>
        <w:t>录</w:t>
      </w:r>
    </w:p>
    <w:p w14:paraId="09C724D9">
      <w:pPr>
        <w:overflowPunct/>
        <w:bidi w:val="0"/>
        <w:jc w:val="center"/>
        <w:outlineLvl w:val="9"/>
        <w:rPr>
          <w:rFonts w:hint="eastAsia"/>
          <w:b/>
          <w:bCs/>
          <w:color w:val="000000" w:themeColor="text1"/>
          <w:sz w:val="36"/>
          <w:szCs w:val="44"/>
          <w:highlight w:val="none"/>
          <w:lang w:eastAsia="zh-CN"/>
          <w14:textFill>
            <w14:solidFill>
              <w14:schemeClr w14:val="tx1"/>
            </w14:solidFill>
          </w14:textFill>
        </w:rPr>
      </w:pPr>
    </w:p>
    <w:p w14:paraId="0822E308">
      <w:pPr>
        <w:pStyle w:val="27"/>
        <w:tabs>
          <w:tab w:val="right" w:leader="dot" w:pos="9638"/>
          <w:tab w:val="clear" w:pos="8296"/>
        </w:tabs>
        <w:spacing w:line="480" w:lineRule="auto"/>
        <w:rPr>
          <w:rFonts w:hint="eastAsia" w:ascii="宋体" w:hAnsi="宋体" w:eastAsia="宋体" w:cs="宋体"/>
        </w:rPr>
      </w:pPr>
      <w:r>
        <w:rPr>
          <w:rFonts w:hint="eastAsia" w:ascii="宋体" w:hAnsi="宋体" w:eastAsia="宋体" w:cs="宋体"/>
          <w:color w:val="000000" w:themeColor="text1"/>
          <w:sz w:val="48"/>
          <w:szCs w:val="48"/>
          <w:highlight w:val="none"/>
          <w14:textFill>
            <w14:solidFill>
              <w14:schemeClr w14:val="tx1"/>
            </w14:solidFill>
          </w14:textFill>
        </w:rPr>
        <w:fldChar w:fldCharType="begin"/>
      </w:r>
      <w:r>
        <w:rPr>
          <w:rFonts w:hint="eastAsia" w:ascii="宋体" w:hAnsi="宋体" w:eastAsia="宋体" w:cs="宋体"/>
          <w:color w:val="000000" w:themeColor="text1"/>
          <w:sz w:val="48"/>
          <w:szCs w:val="48"/>
          <w:highlight w:val="none"/>
          <w14:textFill>
            <w14:solidFill>
              <w14:schemeClr w14:val="tx1"/>
            </w14:solidFill>
          </w14:textFill>
        </w:rPr>
        <w:instrText xml:space="preserve">TOC \o "1-1" \h \u </w:instrText>
      </w:r>
      <w:r>
        <w:rPr>
          <w:rFonts w:hint="eastAsia" w:ascii="宋体" w:hAnsi="宋体" w:eastAsia="宋体" w:cs="宋体"/>
          <w:color w:val="000000" w:themeColor="text1"/>
          <w:sz w:val="48"/>
          <w:szCs w:val="48"/>
          <w:highlight w:val="none"/>
          <w14:textFill>
            <w14:solidFill>
              <w14:schemeClr w14:val="tx1"/>
            </w14:solidFill>
          </w14:textFill>
        </w:rPr>
        <w:fldChar w:fldCharType="separate"/>
      </w:r>
      <w:r>
        <w:rPr>
          <w:rFonts w:hint="eastAsia" w:ascii="宋体" w:hAnsi="宋体" w:eastAsia="宋体" w:cs="宋体"/>
          <w:color w:val="000000" w:themeColor="text1"/>
          <w:szCs w:val="48"/>
          <w:highlight w:val="none"/>
          <w14:textFill>
            <w14:solidFill>
              <w14:schemeClr w14:val="tx1"/>
            </w14:solidFill>
          </w14:textFill>
        </w:rPr>
        <w:fldChar w:fldCharType="begin"/>
      </w:r>
      <w:r>
        <w:rPr>
          <w:rFonts w:hint="eastAsia" w:ascii="宋体" w:hAnsi="宋体" w:eastAsia="宋体" w:cs="宋体"/>
          <w:szCs w:val="48"/>
          <w:highlight w:val="none"/>
        </w:rPr>
        <w:instrText xml:space="preserve"> HYPERLINK \l _Toc17280 </w:instrText>
      </w:r>
      <w:r>
        <w:rPr>
          <w:rFonts w:hint="eastAsia" w:ascii="宋体" w:hAnsi="宋体" w:eastAsia="宋体" w:cs="宋体"/>
          <w:szCs w:val="48"/>
          <w:highlight w:val="none"/>
        </w:rPr>
        <w:fldChar w:fldCharType="separate"/>
      </w:r>
      <w:r>
        <w:rPr>
          <w:rFonts w:hint="eastAsia" w:ascii="宋体" w:hAnsi="宋体" w:eastAsia="宋体" w:cs="宋体"/>
          <w:bCs/>
          <w:szCs w:val="40"/>
          <w:highlight w:val="none"/>
          <w:lang w:eastAsia="zh-CN"/>
        </w:rPr>
        <w:t>竞争性磋商</w:t>
      </w:r>
      <w:r>
        <w:rPr>
          <w:rFonts w:hint="eastAsia" w:ascii="宋体" w:hAnsi="宋体" w:eastAsia="宋体" w:cs="宋体"/>
          <w:bCs/>
          <w:szCs w:val="40"/>
          <w:highlight w:val="none"/>
        </w:rPr>
        <w:t>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_Toc17280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000000" w:themeColor="text1"/>
          <w:szCs w:val="48"/>
          <w:highlight w:val="none"/>
          <w14:textFill>
            <w14:solidFill>
              <w14:schemeClr w14:val="tx1"/>
            </w14:solidFill>
          </w14:textFill>
        </w:rPr>
        <w:fldChar w:fldCharType="end"/>
      </w:r>
    </w:p>
    <w:p w14:paraId="3CD2EA19">
      <w:pPr>
        <w:pStyle w:val="27"/>
        <w:tabs>
          <w:tab w:val="right" w:leader="dot" w:pos="9638"/>
          <w:tab w:val="clear" w:pos="8296"/>
        </w:tabs>
        <w:spacing w:line="480" w:lineRule="auto"/>
        <w:rPr>
          <w:rFonts w:hint="eastAsia" w:ascii="宋体" w:hAnsi="宋体" w:eastAsia="宋体" w:cs="宋体"/>
        </w:rPr>
      </w:pPr>
      <w:r>
        <w:rPr>
          <w:rFonts w:hint="eastAsia" w:ascii="宋体" w:hAnsi="宋体" w:eastAsia="宋体" w:cs="宋体"/>
          <w:color w:val="000000" w:themeColor="text1"/>
          <w:szCs w:val="48"/>
          <w:highlight w:val="none"/>
          <w14:textFill>
            <w14:solidFill>
              <w14:schemeClr w14:val="tx1"/>
            </w14:solidFill>
          </w14:textFill>
        </w:rPr>
        <w:fldChar w:fldCharType="begin"/>
      </w:r>
      <w:r>
        <w:rPr>
          <w:rFonts w:hint="eastAsia" w:ascii="宋体" w:hAnsi="宋体" w:eastAsia="宋体" w:cs="宋体"/>
          <w:szCs w:val="48"/>
          <w:highlight w:val="none"/>
        </w:rPr>
        <w:instrText xml:space="preserve"> HYPERLINK \l _Toc18381 </w:instrText>
      </w:r>
      <w:r>
        <w:rPr>
          <w:rFonts w:hint="eastAsia" w:ascii="宋体" w:hAnsi="宋体" w:eastAsia="宋体" w:cs="宋体"/>
          <w:szCs w:val="48"/>
          <w:highlight w:val="none"/>
        </w:rPr>
        <w:fldChar w:fldCharType="separate"/>
      </w:r>
      <w:r>
        <w:rPr>
          <w:rFonts w:hint="eastAsia" w:ascii="宋体" w:hAnsi="宋体" w:eastAsia="宋体" w:cs="宋体"/>
          <w:bCs/>
          <w:szCs w:val="36"/>
          <w:highlight w:val="none"/>
          <w:lang w:val="en-US" w:eastAsia="zh-CN"/>
        </w:rPr>
        <w:t>第一章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_Toc18381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color w:val="000000" w:themeColor="text1"/>
          <w:szCs w:val="48"/>
          <w:highlight w:val="none"/>
          <w14:textFill>
            <w14:solidFill>
              <w14:schemeClr w14:val="tx1"/>
            </w14:solidFill>
          </w14:textFill>
        </w:rPr>
        <w:fldChar w:fldCharType="end"/>
      </w:r>
    </w:p>
    <w:p w14:paraId="4A696B28">
      <w:pPr>
        <w:pStyle w:val="27"/>
        <w:tabs>
          <w:tab w:val="right" w:leader="dot" w:pos="9638"/>
          <w:tab w:val="clear" w:pos="8296"/>
        </w:tabs>
        <w:spacing w:line="480" w:lineRule="auto"/>
        <w:rPr>
          <w:rFonts w:hint="eastAsia" w:ascii="宋体" w:hAnsi="宋体" w:eastAsia="宋体" w:cs="宋体"/>
        </w:rPr>
      </w:pPr>
      <w:r>
        <w:rPr>
          <w:rFonts w:hint="eastAsia" w:ascii="宋体" w:hAnsi="宋体" w:eastAsia="宋体" w:cs="宋体"/>
          <w:color w:val="000000" w:themeColor="text1"/>
          <w:szCs w:val="48"/>
          <w:highlight w:val="none"/>
          <w14:textFill>
            <w14:solidFill>
              <w14:schemeClr w14:val="tx1"/>
            </w14:solidFill>
          </w14:textFill>
        </w:rPr>
        <w:fldChar w:fldCharType="begin"/>
      </w:r>
      <w:r>
        <w:rPr>
          <w:rFonts w:hint="eastAsia" w:ascii="宋体" w:hAnsi="宋体" w:eastAsia="宋体" w:cs="宋体"/>
          <w:szCs w:val="48"/>
          <w:highlight w:val="none"/>
        </w:rPr>
        <w:instrText xml:space="preserve"> HYPERLINK \l _Toc7816 </w:instrText>
      </w:r>
      <w:r>
        <w:rPr>
          <w:rFonts w:hint="eastAsia" w:ascii="宋体" w:hAnsi="宋体" w:eastAsia="宋体" w:cs="宋体"/>
          <w:szCs w:val="48"/>
          <w:highlight w:val="none"/>
        </w:rPr>
        <w:fldChar w:fldCharType="separate"/>
      </w:r>
      <w:r>
        <w:rPr>
          <w:rFonts w:hint="eastAsia" w:ascii="宋体" w:hAnsi="宋体" w:eastAsia="宋体" w:cs="宋体"/>
          <w:bCs/>
          <w:szCs w:val="36"/>
          <w:highlight w:val="none"/>
          <w:lang w:eastAsia="zh-CN"/>
        </w:rPr>
        <w:t>第二章</w:t>
      </w:r>
      <w:r>
        <w:rPr>
          <w:rFonts w:hint="eastAsia" w:ascii="宋体" w:hAnsi="宋体" w:eastAsia="宋体" w:cs="宋体"/>
          <w:bCs/>
          <w:szCs w:val="36"/>
          <w:highlight w:val="none"/>
          <w:lang w:val="en-US" w:eastAsia="zh-CN"/>
        </w:rPr>
        <w:t xml:space="preserve"> 评审办法（综合评分法）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_Toc7816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color w:val="000000" w:themeColor="text1"/>
          <w:szCs w:val="48"/>
          <w:highlight w:val="none"/>
          <w14:textFill>
            <w14:solidFill>
              <w14:schemeClr w14:val="tx1"/>
            </w14:solidFill>
          </w14:textFill>
        </w:rPr>
        <w:fldChar w:fldCharType="end"/>
      </w:r>
    </w:p>
    <w:p w14:paraId="23CB7F15">
      <w:pPr>
        <w:pStyle w:val="27"/>
        <w:tabs>
          <w:tab w:val="right" w:leader="dot" w:pos="9638"/>
          <w:tab w:val="clear" w:pos="8296"/>
        </w:tabs>
        <w:spacing w:line="480" w:lineRule="auto"/>
        <w:rPr>
          <w:rFonts w:hint="eastAsia" w:ascii="宋体" w:hAnsi="宋体" w:eastAsia="宋体" w:cs="宋体"/>
        </w:rPr>
      </w:pPr>
      <w:r>
        <w:rPr>
          <w:rFonts w:hint="eastAsia" w:ascii="宋体" w:hAnsi="宋体" w:eastAsia="宋体" w:cs="宋体"/>
          <w:color w:val="000000" w:themeColor="text1"/>
          <w:szCs w:val="48"/>
          <w:highlight w:val="none"/>
          <w14:textFill>
            <w14:solidFill>
              <w14:schemeClr w14:val="tx1"/>
            </w14:solidFill>
          </w14:textFill>
        </w:rPr>
        <w:fldChar w:fldCharType="begin"/>
      </w:r>
      <w:r>
        <w:rPr>
          <w:rFonts w:hint="eastAsia" w:ascii="宋体" w:hAnsi="宋体" w:eastAsia="宋体" w:cs="宋体"/>
          <w:szCs w:val="48"/>
          <w:highlight w:val="none"/>
        </w:rPr>
        <w:instrText xml:space="preserve"> HYPERLINK \l _Toc25189 </w:instrText>
      </w:r>
      <w:r>
        <w:rPr>
          <w:rFonts w:hint="eastAsia" w:ascii="宋体" w:hAnsi="宋体" w:eastAsia="宋体" w:cs="宋体"/>
          <w:szCs w:val="48"/>
          <w:highlight w:val="none"/>
        </w:rPr>
        <w:fldChar w:fldCharType="separate"/>
      </w:r>
      <w:r>
        <w:rPr>
          <w:rFonts w:hint="eastAsia" w:ascii="宋体" w:hAnsi="宋体" w:eastAsia="宋体" w:cs="宋体"/>
          <w:bCs/>
          <w:szCs w:val="36"/>
          <w:highlight w:val="none"/>
          <w:lang w:val="en-US" w:eastAsia="zh-CN"/>
        </w:rPr>
        <w:t>第三章 合同条款及格式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_Toc25189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color w:val="000000" w:themeColor="text1"/>
          <w:szCs w:val="48"/>
          <w:highlight w:val="none"/>
          <w14:textFill>
            <w14:solidFill>
              <w14:schemeClr w14:val="tx1"/>
            </w14:solidFill>
          </w14:textFill>
        </w:rPr>
        <w:fldChar w:fldCharType="end"/>
      </w:r>
    </w:p>
    <w:p w14:paraId="0E02A988">
      <w:pPr>
        <w:pStyle w:val="27"/>
        <w:tabs>
          <w:tab w:val="right" w:leader="dot" w:pos="9638"/>
          <w:tab w:val="clear" w:pos="8296"/>
        </w:tabs>
        <w:spacing w:line="480" w:lineRule="auto"/>
        <w:rPr>
          <w:rFonts w:hint="eastAsia" w:ascii="宋体" w:hAnsi="宋体" w:eastAsia="宋体" w:cs="宋体"/>
        </w:rPr>
      </w:pPr>
      <w:r>
        <w:rPr>
          <w:rFonts w:hint="eastAsia" w:ascii="宋体" w:hAnsi="宋体" w:eastAsia="宋体" w:cs="宋体"/>
          <w:color w:val="000000" w:themeColor="text1"/>
          <w:szCs w:val="48"/>
          <w:highlight w:val="none"/>
          <w14:textFill>
            <w14:solidFill>
              <w14:schemeClr w14:val="tx1"/>
            </w14:solidFill>
          </w14:textFill>
        </w:rPr>
        <w:fldChar w:fldCharType="begin"/>
      </w:r>
      <w:r>
        <w:rPr>
          <w:rFonts w:hint="eastAsia" w:ascii="宋体" w:hAnsi="宋体" w:eastAsia="宋体" w:cs="宋体"/>
          <w:szCs w:val="48"/>
          <w:highlight w:val="none"/>
        </w:rPr>
        <w:instrText xml:space="preserve"> HYPERLINK \l _Toc9679 </w:instrText>
      </w:r>
      <w:r>
        <w:rPr>
          <w:rFonts w:hint="eastAsia" w:ascii="宋体" w:hAnsi="宋体" w:eastAsia="宋体" w:cs="宋体"/>
          <w:szCs w:val="48"/>
          <w:highlight w:val="none"/>
        </w:rPr>
        <w:fldChar w:fldCharType="separate"/>
      </w:r>
      <w:r>
        <w:rPr>
          <w:rFonts w:hint="eastAsia" w:ascii="宋体" w:hAnsi="宋体" w:eastAsia="宋体" w:cs="宋体"/>
          <w:bCs/>
          <w:szCs w:val="36"/>
          <w:highlight w:val="none"/>
          <w:lang w:val="en-US" w:eastAsia="zh-CN"/>
        </w:rPr>
        <w:t>第四章 采购需求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_Toc9679 \h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color w:val="000000" w:themeColor="text1"/>
          <w:szCs w:val="48"/>
          <w:highlight w:val="none"/>
          <w14:textFill>
            <w14:solidFill>
              <w14:schemeClr w14:val="tx1"/>
            </w14:solidFill>
          </w14:textFill>
        </w:rPr>
        <w:fldChar w:fldCharType="end"/>
      </w:r>
    </w:p>
    <w:p w14:paraId="0C77F5D4">
      <w:pPr>
        <w:pStyle w:val="27"/>
        <w:tabs>
          <w:tab w:val="right" w:leader="dot" w:pos="9638"/>
          <w:tab w:val="clear" w:pos="8296"/>
        </w:tabs>
        <w:spacing w:line="480" w:lineRule="auto"/>
        <w:rPr>
          <w:rFonts w:hint="eastAsia" w:ascii="宋体" w:hAnsi="宋体" w:eastAsia="宋体" w:cs="宋体"/>
        </w:rPr>
      </w:pPr>
      <w:r>
        <w:rPr>
          <w:rFonts w:hint="eastAsia" w:ascii="宋体" w:hAnsi="宋体" w:eastAsia="宋体" w:cs="宋体"/>
          <w:color w:val="000000" w:themeColor="text1"/>
          <w:szCs w:val="48"/>
          <w:highlight w:val="none"/>
          <w14:textFill>
            <w14:solidFill>
              <w14:schemeClr w14:val="tx1"/>
            </w14:solidFill>
          </w14:textFill>
        </w:rPr>
        <w:fldChar w:fldCharType="begin"/>
      </w:r>
      <w:r>
        <w:rPr>
          <w:rFonts w:hint="eastAsia" w:ascii="宋体" w:hAnsi="宋体" w:eastAsia="宋体" w:cs="宋体"/>
          <w:szCs w:val="48"/>
          <w:highlight w:val="none"/>
        </w:rPr>
        <w:instrText xml:space="preserve"> HYPERLINK \l _Toc14594 </w:instrText>
      </w:r>
      <w:r>
        <w:rPr>
          <w:rFonts w:hint="eastAsia" w:ascii="宋体" w:hAnsi="宋体" w:eastAsia="宋体" w:cs="宋体"/>
          <w:szCs w:val="48"/>
          <w:highlight w:val="none"/>
        </w:rPr>
        <w:fldChar w:fldCharType="separate"/>
      </w:r>
      <w:r>
        <w:rPr>
          <w:rFonts w:hint="eastAsia" w:ascii="宋体" w:hAnsi="宋体" w:eastAsia="宋体" w:cs="宋体"/>
          <w:bCs/>
          <w:szCs w:val="40"/>
          <w:highlight w:val="none"/>
          <w:lang w:eastAsia="zh-CN"/>
        </w:rPr>
        <w:t>第五章</w:t>
      </w:r>
      <w:r>
        <w:rPr>
          <w:rFonts w:hint="eastAsia" w:ascii="宋体" w:hAnsi="宋体" w:eastAsia="宋体" w:cs="宋体"/>
          <w:bCs/>
          <w:szCs w:val="40"/>
          <w:highlight w:val="none"/>
          <w:lang w:val="en-US" w:eastAsia="zh-CN"/>
        </w:rPr>
        <w:t xml:space="preserve"> </w:t>
      </w:r>
      <w:r>
        <w:rPr>
          <w:rFonts w:hint="eastAsia" w:ascii="宋体" w:hAnsi="宋体" w:eastAsia="宋体" w:cs="宋体"/>
          <w:bCs/>
          <w:szCs w:val="40"/>
          <w:highlight w:val="none"/>
        </w:rPr>
        <w:t>响应文件格式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_Toc14594 \h </w:instrText>
      </w:r>
      <w:r>
        <w:rPr>
          <w:rFonts w:hint="eastAsia" w:ascii="宋体" w:hAnsi="宋体" w:eastAsia="宋体" w:cs="宋体"/>
        </w:rPr>
        <w:fldChar w:fldCharType="separate"/>
      </w:r>
      <w:r>
        <w:rPr>
          <w:rFonts w:hint="eastAsia" w:ascii="宋体" w:hAnsi="宋体" w:eastAsia="宋体" w:cs="宋体"/>
        </w:rPr>
        <w:t>40</w:t>
      </w:r>
      <w:r>
        <w:rPr>
          <w:rFonts w:hint="eastAsia" w:ascii="宋体" w:hAnsi="宋体" w:eastAsia="宋体" w:cs="宋体"/>
        </w:rPr>
        <w:fldChar w:fldCharType="end"/>
      </w:r>
      <w:r>
        <w:rPr>
          <w:rFonts w:hint="eastAsia" w:ascii="宋体" w:hAnsi="宋体" w:eastAsia="宋体" w:cs="宋体"/>
          <w:color w:val="000000" w:themeColor="text1"/>
          <w:szCs w:val="48"/>
          <w:highlight w:val="none"/>
          <w14:textFill>
            <w14:solidFill>
              <w14:schemeClr w14:val="tx1"/>
            </w14:solidFill>
          </w14:textFill>
        </w:rPr>
        <w:fldChar w:fldCharType="end"/>
      </w:r>
    </w:p>
    <w:p w14:paraId="68BCB2D3">
      <w:pPr>
        <w:overflowPunct/>
        <w:bidi w:val="0"/>
        <w:spacing w:line="480" w:lineRule="auto"/>
        <w:jc w:val="center"/>
        <w:outlineLvl w:val="9"/>
        <w:rPr>
          <w:rFonts w:ascii="宋体" w:hAnsi="宋体"/>
          <w:color w:val="000000" w:themeColor="text1"/>
          <w:sz w:val="48"/>
          <w:szCs w:val="48"/>
          <w:highlight w:val="none"/>
          <w14:textFill>
            <w14:solidFill>
              <w14:schemeClr w14:val="tx1"/>
            </w14:solidFill>
          </w14:textFill>
        </w:rPr>
      </w:pPr>
      <w:r>
        <w:rPr>
          <w:rFonts w:hint="eastAsia" w:ascii="宋体" w:hAnsi="宋体" w:eastAsia="宋体" w:cs="宋体"/>
          <w:color w:val="000000" w:themeColor="text1"/>
          <w:szCs w:val="48"/>
          <w:highlight w:val="none"/>
          <w14:textFill>
            <w14:solidFill>
              <w14:schemeClr w14:val="tx1"/>
            </w14:solidFill>
          </w14:textFill>
        </w:rPr>
        <w:fldChar w:fldCharType="end"/>
      </w:r>
    </w:p>
    <w:p w14:paraId="260E454D">
      <w:pPr>
        <w:overflowPunct/>
        <w:bidi w:val="0"/>
        <w:jc w:val="center"/>
        <w:outlineLvl w:val="9"/>
        <w:rPr>
          <w:rFonts w:ascii="宋体" w:hAnsi="宋体"/>
          <w:color w:val="000000" w:themeColor="text1"/>
          <w:sz w:val="48"/>
          <w:szCs w:val="48"/>
          <w:highlight w:val="none"/>
          <w14:textFill>
            <w14:solidFill>
              <w14:schemeClr w14:val="tx1"/>
            </w14:solidFill>
          </w14:textFill>
        </w:rPr>
      </w:pPr>
    </w:p>
    <w:p w14:paraId="7C5333A0">
      <w:pPr>
        <w:overflowPunct/>
        <w:bidi w:val="0"/>
        <w:jc w:val="center"/>
        <w:outlineLvl w:val="9"/>
        <w:rPr>
          <w:rFonts w:ascii="宋体" w:hAnsi="宋体"/>
          <w:color w:val="000000" w:themeColor="text1"/>
          <w:sz w:val="48"/>
          <w:szCs w:val="48"/>
          <w:highlight w:val="none"/>
          <w14:textFill>
            <w14:solidFill>
              <w14:schemeClr w14:val="tx1"/>
            </w14:solidFill>
          </w14:textFill>
        </w:rPr>
      </w:pPr>
    </w:p>
    <w:p w14:paraId="3DD55898">
      <w:pPr>
        <w:overflowPunct/>
        <w:bidi w:val="0"/>
        <w:jc w:val="center"/>
        <w:outlineLvl w:val="9"/>
        <w:rPr>
          <w:rFonts w:ascii="宋体" w:hAnsi="宋体"/>
          <w:color w:val="000000" w:themeColor="text1"/>
          <w:sz w:val="48"/>
          <w:szCs w:val="48"/>
          <w:highlight w:val="none"/>
          <w14:textFill>
            <w14:solidFill>
              <w14:schemeClr w14:val="tx1"/>
            </w14:solidFill>
          </w14:textFill>
        </w:rPr>
      </w:pPr>
    </w:p>
    <w:p w14:paraId="11909DE5">
      <w:pPr>
        <w:overflowPunct/>
        <w:bidi w:val="0"/>
        <w:jc w:val="center"/>
        <w:outlineLvl w:val="9"/>
        <w:rPr>
          <w:rFonts w:ascii="宋体" w:hAnsi="宋体"/>
          <w:color w:val="000000" w:themeColor="text1"/>
          <w:sz w:val="48"/>
          <w:szCs w:val="48"/>
          <w:highlight w:val="none"/>
          <w14:textFill>
            <w14:solidFill>
              <w14:schemeClr w14:val="tx1"/>
            </w14:solidFill>
          </w14:textFill>
        </w:rPr>
      </w:pPr>
    </w:p>
    <w:p w14:paraId="62D7FD95">
      <w:pPr>
        <w:overflowPunct/>
        <w:bidi w:val="0"/>
        <w:jc w:val="center"/>
        <w:outlineLvl w:val="9"/>
        <w:rPr>
          <w:rFonts w:ascii="宋体" w:hAnsi="宋体"/>
          <w:color w:val="000000" w:themeColor="text1"/>
          <w:sz w:val="48"/>
          <w:szCs w:val="48"/>
          <w:highlight w:val="none"/>
          <w14:textFill>
            <w14:solidFill>
              <w14:schemeClr w14:val="tx1"/>
            </w14:solidFill>
          </w14:textFill>
        </w:rPr>
      </w:pPr>
    </w:p>
    <w:p w14:paraId="5A013923">
      <w:pPr>
        <w:overflowPunct/>
        <w:bidi w:val="0"/>
        <w:jc w:val="center"/>
        <w:outlineLvl w:val="9"/>
        <w:rPr>
          <w:rFonts w:ascii="宋体" w:hAnsi="宋体"/>
          <w:color w:val="000000" w:themeColor="text1"/>
          <w:sz w:val="48"/>
          <w:szCs w:val="48"/>
          <w:highlight w:val="none"/>
          <w14:textFill>
            <w14:solidFill>
              <w14:schemeClr w14:val="tx1"/>
            </w14:solidFill>
          </w14:textFill>
        </w:rPr>
      </w:pPr>
    </w:p>
    <w:p w14:paraId="065E16DD">
      <w:pPr>
        <w:overflowPunct/>
        <w:bidi w:val="0"/>
        <w:jc w:val="center"/>
        <w:outlineLvl w:val="9"/>
        <w:rPr>
          <w:rFonts w:ascii="宋体" w:hAnsi="宋体"/>
          <w:color w:val="000000" w:themeColor="text1"/>
          <w:sz w:val="48"/>
          <w:szCs w:val="48"/>
          <w:highlight w:val="none"/>
          <w14:textFill>
            <w14:solidFill>
              <w14:schemeClr w14:val="tx1"/>
            </w14:solidFill>
          </w14:textFill>
        </w:rPr>
      </w:pPr>
    </w:p>
    <w:p w14:paraId="24C0887F">
      <w:pPr>
        <w:overflowPunct/>
        <w:bidi w:val="0"/>
        <w:jc w:val="center"/>
        <w:outlineLvl w:val="9"/>
        <w:rPr>
          <w:rFonts w:ascii="宋体" w:hAnsi="宋体"/>
          <w:color w:val="000000" w:themeColor="text1"/>
          <w:sz w:val="48"/>
          <w:szCs w:val="48"/>
          <w:highlight w:val="none"/>
          <w14:textFill>
            <w14:solidFill>
              <w14:schemeClr w14:val="tx1"/>
            </w14:solidFill>
          </w14:textFill>
        </w:rPr>
      </w:pPr>
    </w:p>
    <w:p w14:paraId="22567865">
      <w:pPr>
        <w:overflowPunct/>
        <w:bidi w:val="0"/>
        <w:jc w:val="center"/>
        <w:outlineLvl w:val="9"/>
        <w:rPr>
          <w:rFonts w:ascii="宋体" w:hAnsi="宋体"/>
          <w:color w:val="000000" w:themeColor="text1"/>
          <w:sz w:val="48"/>
          <w:szCs w:val="48"/>
          <w:highlight w:val="none"/>
          <w14:textFill>
            <w14:solidFill>
              <w14:schemeClr w14:val="tx1"/>
            </w14:solidFill>
          </w14:textFill>
        </w:rPr>
      </w:pPr>
    </w:p>
    <w:p w14:paraId="247E4E8E">
      <w:pPr>
        <w:overflowPunct/>
        <w:bidi w:val="0"/>
        <w:jc w:val="center"/>
        <w:outlineLvl w:val="9"/>
        <w:rPr>
          <w:rFonts w:ascii="宋体" w:hAnsi="宋体"/>
          <w:color w:val="000000" w:themeColor="text1"/>
          <w:sz w:val="48"/>
          <w:szCs w:val="48"/>
          <w:highlight w:val="none"/>
          <w14:textFill>
            <w14:solidFill>
              <w14:schemeClr w14:val="tx1"/>
            </w14:solidFill>
          </w14:textFill>
        </w:rPr>
      </w:pPr>
    </w:p>
    <w:p w14:paraId="4B12AC96">
      <w:pPr>
        <w:overflowPunct/>
        <w:bidi w:val="0"/>
        <w:jc w:val="center"/>
        <w:outlineLvl w:val="9"/>
        <w:rPr>
          <w:rFonts w:ascii="宋体" w:hAnsi="宋体"/>
          <w:color w:val="000000" w:themeColor="text1"/>
          <w:sz w:val="48"/>
          <w:szCs w:val="48"/>
          <w:highlight w:val="none"/>
          <w14:textFill>
            <w14:solidFill>
              <w14:schemeClr w14:val="tx1"/>
            </w14:solidFill>
          </w14:textFill>
        </w:rPr>
      </w:pPr>
    </w:p>
    <w:p w14:paraId="0F04717A">
      <w:pPr>
        <w:overflowPunct/>
        <w:bidi w:val="0"/>
        <w:spacing w:line="400" w:lineRule="exact"/>
        <w:jc w:val="center"/>
        <w:outlineLvl w:val="9"/>
        <w:rPr>
          <w:rFonts w:hint="eastAsia" w:ascii="宋体" w:hAnsi="宋体" w:eastAsia="宋体" w:cs="宋体"/>
          <w:b/>
          <w:bCs/>
          <w:color w:val="000000" w:themeColor="text1"/>
          <w:sz w:val="36"/>
          <w:szCs w:val="36"/>
          <w:highlight w:val="none"/>
          <w:lang w:val="en-US" w:eastAsia="zh-CN"/>
          <w14:textFill>
            <w14:solidFill>
              <w14:schemeClr w14:val="tx1"/>
            </w14:solidFill>
          </w14:textFill>
        </w:rPr>
        <w:sectPr>
          <w:footerReference r:id="rId8" w:type="default"/>
          <w:pgSz w:w="11906" w:h="16838"/>
          <w:pgMar w:top="1134" w:right="1134" w:bottom="1134" w:left="1134" w:header="851" w:footer="851" w:gutter="0"/>
          <w:pgBorders>
            <w:top w:val="none" w:sz="0" w:space="0"/>
            <w:left w:val="none" w:sz="0" w:space="0"/>
            <w:bottom w:val="none" w:sz="0" w:space="0"/>
            <w:right w:val="none" w:sz="0" w:space="0"/>
          </w:pgBorders>
          <w:pgNumType w:fmt="decimal" w:start="1"/>
          <w:cols w:space="720" w:num="1"/>
          <w:docGrid w:linePitch="312" w:charSpace="0"/>
        </w:sectPr>
      </w:pPr>
      <w:bookmarkStart w:id="5" w:name="_Toc15493"/>
    </w:p>
    <w:p w14:paraId="2929422C">
      <w:pPr>
        <w:pStyle w:val="47"/>
        <w:overflowPunct/>
        <w:bidi w:val="0"/>
        <w:outlineLvl w:val="9"/>
        <w:rPr>
          <w:rFonts w:hint="eastAsia"/>
          <w:color w:val="000000" w:themeColor="text1"/>
          <w:highlight w:val="none"/>
          <w:lang w:val="en-US" w:eastAsia="zh-CN"/>
          <w14:textFill>
            <w14:solidFill>
              <w14:schemeClr w14:val="tx1"/>
            </w14:solidFill>
          </w14:textFill>
        </w:rPr>
      </w:pPr>
    </w:p>
    <w:bookmarkEnd w:id="5"/>
    <w:p w14:paraId="2977867F">
      <w:pPr>
        <w:numPr>
          <w:ilvl w:val="0"/>
          <w:numId w:val="0"/>
        </w:numPr>
        <w:overflowPunct/>
        <w:bidi w:val="0"/>
        <w:ind w:left="402" w:leftChars="0"/>
        <w:jc w:val="center"/>
        <w:outlineLvl w:val="9"/>
        <w:rPr>
          <w:rFonts w:hint="eastAsia"/>
          <w:b/>
          <w:bCs/>
          <w:color w:val="000000" w:themeColor="text1"/>
          <w:sz w:val="32"/>
          <w:szCs w:val="40"/>
          <w:highlight w:val="none"/>
          <w:lang w:val="en-US" w:eastAsia="zh-CN"/>
          <w14:textFill>
            <w14:solidFill>
              <w14:schemeClr w14:val="tx1"/>
            </w14:solidFill>
          </w14:textFill>
        </w:rPr>
      </w:pPr>
      <w:bookmarkStart w:id="6" w:name="_Toc30832"/>
      <w:r>
        <w:rPr>
          <w:rFonts w:hint="eastAsia"/>
          <w:b/>
          <w:bCs/>
          <w:color w:val="000000" w:themeColor="text1"/>
          <w:sz w:val="32"/>
          <w:szCs w:val="40"/>
          <w:highlight w:val="none"/>
          <w:lang w:val="en-US" w:eastAsia="zh-CN"/>
          <w14:textFill>
            <w14:solidFill>
              <w14:schemeClr w14:val="tx1"/>
            </w14:solidFill>
          </w14:textFill>
        </w:rPr>
        <w:t>2025年珲春市中小学护眼灯采购</w:t>
      </w:r>
    </w:p>
    <w:p w14:paraId="2B984EE1">
      <w:pPr>
        <w:keepNext w:val="0"/>
        <w:keepLines w:val="0"/>
        <w:pageBreakBefore w:val="0"/>
        <w:widowControl w:val="0"/>
        <w:numPr>
          <w:ilvl w:val="0"/>
          <w:numId w:val="0"/>
        </w:numPr>
        <w:kinsoku/>
        <w:wordWrap/>
        <w:overflowPunct/>
        <w:topLinePunct w:val="0"/>
        <w:autoSpaceDE/>
        <w:autoSpaceDN/>
        <w:bidi w:val="0"/>
        <w:adjustRightInd/>
        <w:snapToGrid/>
        <w:ind w:left="403" w:leftChars="0"/>
        <w:jc w:val="center"/>
        <w:textAlignment w:val="auto"/>
        <w:outlineLvl w:val="0"/>
        <w:rPr>
          <w:rFonts w:hint="eastAsia"/>
          <w:b/>
          <w:bCs/>
          <w:color w:val="000000" w:themeColor="text1"/>
          <w:sz w:val="32"/>
          <w:szCs w:val="40"/>
          <w:highlight w:val="none"/>
          <w14:textFill>
            <w14:solidFill>
              <w14:schemeClr w14:val="tx1"/>
            </w14:solidFill>
          </w14:textFill>
        </w:rPr>
      </w:pPr>
      <w:bookmarkStart w:id="7" w:name="_Toc17280"/>
      <w:r>
        <w:rPr>
          <w:rFonts w:hint="eastAsia"/>
          <w:b/>
          <w:bCs/>
          <w:color w:val="000000" w:themeColor="text1"/>
          <w:sz w:val="32"/>
          <w:szCs w:val="40"/>
          <w:highlight w:val="none"/>
          <w:lang w:eastAsia="zh-CN"/>
          <w14:textFill>
            <w14:solidFill>
              <w14:schemeClr w14:val="tx1"/>
            </w14:solidFill>
          </w14:textFill>
        </w:rPr>
        <w:t>竞争性磋商</w:t>
      </w:r>
      <w:r>
        <w:rPr>
          <w:rFonts w:hint="eastAsia"/>
          <w:b/>
          <w:bCs/>
          <w:color w:val="000000" w:themeColor="text1"/>
          <w:sz w:val="32"/>
          <w:szCs w:val="40"/>
          <w:highlight w:val="none"/>
          <w14:textFill>
            <w14:solidFill>
              <w14:schemeClr w14:val="tx1"/>
            </w14:solidFill>
          </w14:textFill>
        </w:rPr>
        <w:t>公告</w:t>
      </w:r>
      <w:bookmarkEnd w:id="6"/>
      <w:bookmarkEnd w:id="7"/>
    </w:p>
    <w:p w14:paraId="54FA870D">
      <w:pPr>
        <w:pStyle w:val="16"/>
        <w:overflowPunct/>
        <w:bidi w:val="0"/>
        <w:jc w:val="center"/>
        <w:outlineLvl w:val="9"/>
        <w:rPr>
          <w:rFonts w:hint="eastAsia" w:ascii="宋体" w:hAnsi="宋体" w:eastAsia="宋体" w:cs="宋体"/>
          <w:b/>
          <w:bCs w:val="0"/>
          <w:color w:val="000000" w:themeColor="text1"/>
          <w:sz w:val="28"/>
          <w:szCs w:val="28"/>
          <w:highlight w:val="none"/>
          <w:lang w:val="zh-CN"/>
          <w14:textFill>
            <w14:solidFill>
              <w14:schemeClr w14:val="tx1"/>
            </w14:solidFill>
          </w14:textFill>
        </w:rPr>
      </w:pPr>
    </w:p>
    <w:p w14:paraId="712923E9">
      <w:pPr>
        <w:widowControl w:val="0"/>
        <w:pBdr>
          <w:top w:val="single" w:color="auto" w:sz="4" w:space="1"/>
          <w:left w:val="single" w:color="auto" w:sz="4" w:space="4"/>
          <w:bottom w:val="single" w:color="auto" w:sz="4" w:space="1"/>
          <w:right w:val="single" w:color="auto" w:sz="4" w:space="4"/>
        </w:pBdr>
        <w:overflowPunct/>
        <w:bidi w:val="0"/>
        <w:spacing w:line="460" w:lineRule="exact"/>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项目概况</w:t>
      </w:r>
    </w:p>
    <w:p w14:paraId="21C3A95C">
      <w:pPr>
        <w:widowControl w:val="0"/>
        <w:pBdr>
          <w:top w:val="single" w:color="auto" w:sz="4" w:space="1"/>
          <w:left w:val="single" w:color="auto" w:sz="4" w:space="4"/>
          <w:bottom w:val="single" w:color="auto" w:sz="4" w:space="1"/>
          <w:right w:val="single" w:color="auto" w:sz="4" w:space="4"/>
        </w:pBdr>
        <w:wordWrap w:val="0"/>
        <w:overflowPunct/>
        <w:bidi w:val="0"/>
        <w:spacing w:line="360" w:lineRule="exact"/>
        <w:ind w:firstLine="480" w:firstLineChars="200"/>
        <w:outlineLvl w:val="9"/>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lang w:val="en-US" w:eastAsia="zh-CN"/>
          <w14:textFill>
            <w14:solidFill>
              <w14:schemeClr w14:val="tx1"/>
            </w14:solidFill>
          </w14:textFill>
        </w:rPr>
        <w:t>2025年珲春市中小学护眼灯采购</w:t>
      </w:r>
      <w:r>
        <w:rPr>
          <w:rFonts w:hint="eastAsia" w:ascii="宋体" w:hAnsi="宋体" w:eastAsia="宋体" w:cs="宋体"/>
          <w:color w:val="000000" w:themeColor="text1"/>
          <w:sz w:val="24"/>
          <w:highlight w:val="none"/>
          <w14:textFill>
            <w14:solidFill>
              <w14:schemeClr w14:val="tx1"/>
            </w14:solidFill>
          </w14:textFill>
        </w:rPr>
        <w:t>的潜在供应商应在</w:t>
      </w:r>
      <w:r>
        <w:rPr>
          <w:rFonts w:hint="eastAsia" w:ascii="宋体" w:hAnsi="宋体" w:eastAsia="宋体" w:cs="宋体"/>
          <w:color w:val="000000" w:themeColor="text1"/>
          <w:sz w:val="24"/>
          <w:highlight w:val="none"/>
          <w:u w:val="single"/>
          <w:lang w:val="zh-CN" w:eastAsia="zh-CN"/>
          <w14:textFill>
            <w14:solidFill>
              <w14:schemeClr w14:val="tx1"/>
            </w14:solidFill>
          </w14:textFill>
        </w:rPr>
        <w:t>政府采购云平台（网址：http:// www.zcygov.cn）</w:t>
      </w:r>
      <w:r>
        <w:rPr>
          <w:rFonts w:hint="eastAsia" w:ascii="宋体" w:hAnsi="宋体" w:eastAsia="宋体" w:cs="宋体"/>
          <w:color w:val="000000" w:themeColor="text1"/>
          <w:sz w:val="24"/>
          <w:highlight w:val="none"/>
          <w14:textFill>
            <w14:solidFill>
              <w14:schemeClr w14:val="tx1"/>
            </w14:solidFill>
          </w14:textFill>
        </w:rPr>
        <w:t>获取采购文件，并于</w:t>
      </w:r>
      <w:r>
        <w:rPr>
          <w:rFonts w:hint="eastAsia" w:ascii="宋体" w:hAnsi="宋体" w:cs="宋体"/>
          <w:color w:val="000000" w:themeColor="text1"/>
          <w:sz w:val="24"/>
          <w:highlight w:val="none"/>
          <w:u w:val="single"/>
          <w:lang w:val="en-US" w:eastAsia="zh-CN"/>
          <w14:textFill>
            <w14:solidFill>
              <w14:schemeClr w14:val="tx1"/>
            </w14:solidFill>
          </w14:textFill>
        </w:rPr>
        <w:t>2025</w:t>
      </w:r>
      <w:r>
        <w:rPr>
          <w:rFonts w:hint="eastAsia" w:ascii="宋体" w:hAnsi="宋体" w:cs="宋体"/>
          <w:color w:val="000000" w:themeColor="text1"/>
          <w:sz w:val="24"/>
          <w:highlight w:val="none"/>
          <w:u w:val="single"/>
          <w:lang w:val="zh-CN"/>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cs="宋体"/>
          <w:color w:val="000000" w:themeColor="text1"/>
          <w:sz w:val="24"/>
          <w:highlight w:val="none"/>
          <w:u w:val="single"/>
          <w:lang w:val="zh-CN"/>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24</w:t>
      </w:r>
      <w:r>
        <w:rPr>
          <w:rFonts w:hint="eastAsia" w:ascii="宋体" w:hAnsi="宋体" w:cs="宋体"/>
          <w:color w:val="000000" w:themeColor="text1"/>
          <w:sz w:val="24"/>
          <w:highlight w:val="none"/>
          <w:u w:val="single"/>
          <w:lang w:val="zh-CN"/>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cs="宋体"/>
          <w:color w:val="000000" w:themeColor="text1"/>
          <w:sz w:val="24"/>
          <w:highlight w:val="none"/>
          <w:u w:val="single"/>
          <w:lang w:val="zh-CN"/>
          <w14:textFill>
            <w14:solidFill>
              <w14:schemeClr w14:val="tx1"/>
            </w14:solidFill>
          </w14:textFill>
        </w:rPr>
        <w:t>时</w:t>
      </w:r>
      <w:r>
        <w:rPr>
          <w:rFonts w:hint="eastAsia" w:ascii="宋体" w:hAnsi="宋体" w:cs="宋体"/>
          <w:color w:val="000000" w:themeColor="text1"/>
          <w:sz w:val="24"/>
          <w:highlight w:val="none"/>
          <w:u w:val="single"/>
          <w:lang w:val="en-US" w:eastAsia="zh-CN"/>
          <w14:textFill>
            <w14:solidFill>
              <w14:schemeClr w14:val="tx1"/>
            </w14:solidFill>
          </w14:textFill>
        </w:rPr>
        <w:t>30</w:t>
      </w:r>
      <w:r>
        <w:rPr>
          <w:rFonts w:hint="eastAsia" w:ascii="宋体" w:hAnsi="宋体" w:cs="宋体"/>
          <w:color w:val="000000" w:themeColor="text1"/>
          <w:sz w:val="24"/>
          <w:highlight w:val="none"/>
          <w:u w:val="single"/>
          <w:lang w:val="zh-CN"/>
          <w14:textFill>
            <w14:solidFill>
              <w14:schemeClr w14:val="tx1"/>
            </w14:solidFill>
          </w14:textFill>
        </w:rPr>
        <w:t>分</w:t>
      </w:r>
      <w:r>
        <w:rPr>
          <w:rFonts w:hint="eastAsia" w:ascii="宋体" w:hAnsi="宋体" w:eastAsia="宋体" w:cs="宋体"/>
          <w:color w:val="000000" w:themeColor="text1"/>
          <w:sz w:val="24"/>
          <w:highlight w:val="none"/>
          <w:u w:val="single"/>
          <w:lang w:val="zh-CN"/>
          <w14:textFill>
            <w14:solidFill>
              <w14:schemeClr w14:val="tx1"/>
            </w14:solidFill>
          </w14:textFill>
        </w:rPr>
        <w:t>（北</w:t>
      </w:r>
      <w:r>
        <w:rPr>
          <w:rFonts w:hint="eastAsia" w:ascii="宋体" w:hAnsi="宋体" w:eastAsia="宋体" w:cs="宋体"/>
          <w:color w:val="000000" w:themeColor="text1"/>
          <w:sz w:val="24"/>
          <w:highlight w:val="none"/>
          <w:u w:val="single"/>
          <w14:textFill>
            <w14:solidFill>
              <w14:schemeClr w14:val="tx1"/>
            </w14:solidFill>
          </w14:textFill>
        </w:rPr>
        <w:t>京时间）前递交响应文件</w:t>
      </w:r>
    </w:p>
    <w:p w14:paraId="2D584520">
      <w:pPr>
        <w:widowControl w:val="0"/>
        <w:overflowPunct/>
        <w:autoSpaceDE w:val="0"/>
        <w:autoSpaceDN w:val="0"/>
        <w:bidi w:val="0"/>
        <w:adjustRightInd w:val="0"/>
        <w:spacing w:line="460" w:lineRule="exact"/>
        <w:outlineLvl w:val="9"/>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一、项目基本情况</w:t>
      </w:r>
    </w:p>
    <w:p w14:paraId="078D8A21">
      <w:pPr>
        <w:widowControl w:val="0"/>
        <w:overflowPunct/>
        <w:autoSpaceDE w:val="0"/>
        <w:autoSpaceDN w:val="0"/>
        <w:bidi w:val="0"/>
        <w:adjustRightInd w:val="0"/>
        <w:spacing w:line="460" w:lineRule="exact"/>
        <w:ind w:firstLine="480" w:firstLineChars="200"/>
        <w:outlineLvl w:val="9"/>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项目编号：</w:t>
      </w:r>
      <w:r>
        <w:rPr>
          <w:rFonts w:hint="eastAsia" w:ascii="宋体" w:hAnsi="宋体" w:cs="宋体"/>
          <w:bCs/>
          <w:color w:val="000000" w:themeColor="text1"/>
          <w:sz w:val="24"/>
          <w:highlight w:val="none"/>
          <w:lang w:val="en-US" w:eastAsia="zh-CN"/>
          <w14:textFill>
            <w14:solidFill>
              <w14:schemeClr w14:val="tx1"/>
            </w14:solidFill>
          </w14:textFill>
        </w:rPr>
        <w:t>JLTY-2025011</w:t>
      </w:r>
      <w:r>
        <w:rPr>
          <w:rFonts w:hint="eastAsia" w:ascii="宋体" w:hAnsi="宋体" w:eastAsia="宋体" w:cs="宋体"/>
          <w:bCs/>
          <w:color w:val="000000" w:themeColor="text1"/>
          <w:sz w:val="24"/>
          <w:highlight w:val="none"/>
          <w:lang w:val="zh-CN" w:eastAsia="zh-CN"/>
          <w14:textFill>
            <w14:solidFill>
              <w14:schemeClr w14:val="tx1"/>
            </w14:solidFill>
          </w14:textFill>
        </w:rPr>
        <w:t>；</w:t>
      </w:r>
      <w:r>
        <w:rPr>
          <w:rFonts w:hint="eastAsia" w:ascii="宋体" w:hAnsi="宋体" w:cs="宋体"/>
          <w:bCs/>
          <w:color w:val="000000" w:themeColor="text1"/>
          <w:sz w:val="24"/>
          <w:highlight w:val="none"/>
          <w:lang w:val="zh-CN" w:eastAsia="zh-CN"/>
          <w14:textFill>
            <w14:solidFill>
              <w14:schemeClr w14:val="tx1"/>
            </w14:solidFill>
          </w14:textFill>
        </w:rPr>
        <w:t>采购计划编号：采购计划</w:t>
      </w:r>
      <w:r>
        <w:rPr>
          <w:rFonts w:hint="eastAsia" w:ascii="宋体" w:hAnsi="宋体" w:cs="宋体"/>
          <w:bCs/>
          <w:color w:val="000000" w:themeColor="text1"/>
          <w:sz w:val="24"/>
          <w:highlight w:val="none"/>
          <w:lang w:val="en-US" w:eastAsia="zh-CN"/>
          <w14:textFill>
            <w14:solidFill>
              <w14:schemeClr w14:val="tx1"/>
            </w14:solidFill>
          </w14:textFill>
        </w:rPr>
        <w:t>-[2025]-00014号；</w:t>
      </w:r>
    </w:p>
    <w:p w14:paraId="66128951">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项目名称：</w:t>
      </w:r>
      <w:r>
        <w:rPr>
          <w:rFonts w:hint="eastAsia" w:ascii="宋体" w:hAnsi="宋体" w:cs="宋体"/>
          <w:bCs/>
          <w:color w:val="000000" w:themeColor="text1"/>
          <w:sz w:val="24"/>
          <w:highlight w:val="none"/>
          <w:lang w:val="en-US" w:eastAsia="zh-CN"/>
          <w14:textFill>
            <w14:solidFill>
              <w14:schemeClr w14:val="tx1"/>
            </w14:solidFill>
          </w14:textFill>
        </w:rPr>
        <w:t>2025年珲春市中小学护眼灯采购</w:t>
      </w:r>
      <w:r>
        <w:rPr>
          <w:rFonts w:hint="eastAsia" w:ascii="宋体" w:hAnsi="宋体" w:eastAsia="宋体" w:cs="宋体"/>
          <w:bCs/>
          <w:color w:val="000000" w:themeColor="text1"/>
          <w:sz w:val="24"/>
          <w:highlight w:val="none"/>
          <w:lang w:val="en-US" w:eastAsia="zh-CN"/>
          <w14:textFill>
            <w14:solidFill>
              <w14:schemeClr w14:val="tx1"/>
            </w14:solidFill>
          </w14:textFill>
        </w:rPr>
        <w:t>；</w:t>
      </w:r>
    </w:p>
    <w:p w14:paraId="6EB1B17F">
      <w:pPr>
        <w:widowControl w:val="0"/>
        <w:overflowPunct/>
        <w:autoSpaceDE w:val="0"/>
        <w:autoSpaceDN w:val="0"/>
        <w:bidi w:val="0"/>
        <w:adjustRightInd w:val="0"/>
        <w:spacing w:line="460" w:lineRule="exact"/>
        <w:ind w:firstLine="480" w:firstLineChars="200"/>
        <w:outlineLvl w:val="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采购方式：竞争性磋商；</w:t>
      </w:r>
    </w:p>
    <w:p w14:paraId="346691D0">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预算金额：</w:t>
      </w:r>
      <w:r>
        <w:rPr>
          <w:rFonts w:hint="eastAsia" w:ascii="宋体" w:hAnsi="宋体" w:cs="宋体"/>
          <w:color w:val="000000" w:themeColor="text1"/>
          <w:sz w:val="24"/>
          <w:highlight w:val="none"/>
          <w14:textFill>
            <w14:solidFill>
              <w14:schemeClr w14:val="tx1"/>
            </w14:solidFill>
          </w14:textFill>
        </w:rPr>
        <w:t>人民币</w:t>
      </w:r>
      <w:r>
        <w:rPr>
          <w:rFonts w:hint="eastAsia" w:ascii="宋体" w:hAnsi="宋体" w:cs="宋体"/>
          <w:color w:val="000000" w:themeColor="text1"/>
          <w:sz w:val="24"/>
          <w:highlight w:val="none"/>
          <w:lang w:eastAsia="zh-CN"/>
          <w14:textFill>
            <w14:solidFill>
              <w14:schemeClr w14:val="tx1"/>
            </w14:solidFill>
          </w14:textFill>
        </w:rPr>
        <w:t>1153000.00</w:t>
      </w:r>
      <w:r>
        <w:rPr>
          <w:rFonts w:hint="eastAsia" w:ascii="宋体" w:hAnsi="宋体" w:cs="宋体"/>
          <w:color w:val="000000" w:themeColor="text1"/>
          <w:sz w:val="24"/>
          <w:highlight w:val="none"/>
          <w14:textFill>
            <w14:solidFill>
              <w14:schemeClr w14:val="tx1"/>
            </w14:solidFill>
          </w14:textFill>
        </w:rPr>
        <w:t>元</w:t>
      </w:r>
      <w:r>
        <w:rPr>
          <w:rFonts w:hint="eastAsia" w:ascii="宋体" w:hAnsi="宋体" w:eastAsia="宋体" w:cs="宋体"/>
          <w:color w:val="000000" w:themeColor="text1"/>
          <w:sz w:val="24"/>
          <w:highlight w:val="none"/>
          <w14:textFill>
            <w14:solidFill>
              <w14:schemeClr w14:val="tx1"/>
            </w14:solidFill>
          </w14:textFill>
        </w:rPr>
        <w:t>；</w:t>
      </w:r>
    </w:p>
    <w:p w14:paraId="75B38CF2">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最高限价：</w:t>
      </w:r>
      <w:r>
        <w:rPr>
          <w:rFonts w:hint="eastAsia" w:ascii="宋体" w:hAnsi="宋体" w:cs="宋体"/>
          <w:color w:val="000000" w:themeColor="text1"/>
          <w:sz w:val="24"/>
          <w:highlight w:val="none"/>
          <w14:textFill>
            <w14:solidFill>
              <w14:schemeClr w14:val="tx1"/>
            </w14:solidFill>
          </w14:textFill>
        </w:rPr>
        <w:t>人民币</w:t>
      </w:r>
      <w:r>
        <w:rPr>
          <w:rFonts w:hint="eastAsia" w:ascii="宋体" w:hAnsi="宋体" w:cs="宋体"/>
          <w:color w:val="000000" w:themeColor="text1"/>
          <w:sz w:val="24"/>
          <w:highlight w:val="none"/>
          <w:lang w:eastAsia="zh-CN"/>
          <w14:textFill>
            <w14:solidFill>
              <w14:schemeClr w14:val="tx1"/>
            </w14:solidFill>
          </w14:textFill>
        </w:rPr>
        <w:t>1153000.00</w:t>
      </w:r>
      <w:r>
        <w:rPr>
          <w:rFonts w:hint="eastAsia" w:ascii="宋体" w:hAnsi="宋体" w:cs="宋体"/>
          <w:color w:val="000000" w:themeColor="text1"/>
          <w:sz w:val="24"/>
          <w:highlight w:val="none"/>
          <w14:textFill>
            <w14:solidFill>
              <w14:schemeClr w14:val="tx1"/>
            </w14:solidFill>
          </w14:textFill>
        </w:rPr>
        <w:t>元</w:t>
      </w:r>
      <w:r>
        <w:rPr>
          <w:rFonts w:hint="eastAsia" w:ascii="宋体" w:hAnsi="宋体" w:eastAsia="宋体" w:cs="宋体"/>
          <w:bCs/>
          <w:color w:val="000000" w:themeColor="text1"/>
          <w:sz w:val="24"/>
          <w:highlight w:val="none"/>
          <w14:textFill>
            <w14:solidFill>
              <w14:schemeClr w14:val="tx1"/>
            </w14:solidFill>
          </w14:textFill>
        </w:rPr>
        <w:t>；</w:t>
      </w:r>
    </w:p>
    <w:p w14:paraId="08C08417">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采购需求：</w:t>
      </w:r>
    </w:p>
    <w:p w14:paraId="09A9A5C4">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（1）标的名称：</w:t>
      </w:r>
      <w:r>
        <w:rPr>
          <w:rFonts w:hint="eastAsia" w:ascii="宋体" w:hAnsi="宋体" w:cs="宋体"/>
          <w:bCs/>
          <w:color w:val="000000" w:themeColor="text1"/>
          <w:sz w:val="24"/>
          <w:highlight w:val="none"/>
          <w:lang w:val="en-US" w:eastAsia="zh-CN"/>
          <w14:textFill>
            <w14:solidFill>
              <w14:schemeClr w14:val="tx1"/>
            </w14:solidFill>
          </w14:textFill>
        </w:rPr>
        <w:t>2025年珲春市中小学护眼灯采购</w:t>
      </w:r>
      <w:r>
        <w:rPr>
          <w:rFonts w:hint="eastAsia" w:ascii="宋体" w:hAnsi="宋体" w:eastAsia="宋体" w:cs="宋体"/>
          <w:bCs/>
          <w:color w:val="000000" w:themeColor="text1"/>
          <w:sz w:val="24"/>
          <w:highlight w:val="none"/>
          <w14:textFill>
            <w14:solidFill>
              <w14:schemeClr w14:val="tx1"/>
            </w14:solidFill>
          </w14:textFill>
        </w:rPr>
        <w:t>；</w:t>
      </w:r>
    </w:p>
    <w:p w14:paraId="4C7E737F">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（2）数量：1</w:t>
      </w:r>
      <w:r>
        <w:rPr>
          <w:rFonts w:hint="eastAsia" w:ascii="宋体" w:hAnsi="宋体" w:cs="宋体"/>
          <w:bCs/>
          <w:color w:val="000000" w:themeColor="text1"/>
          <w:sz w:val="24"/>
          <w:highlight w:val="none"/>
          <w:lang w:eastAsia="zh-CN"/>
          <w14:textFill>
            <w14:solidFill>
              <w14:schemeClr w14:val="tx1"/>
            </w14:solidFill>
          </w14:textFill>
        </w:rPr>
        <w:t>批</w:t>
      </w:r>
      <w:r>
        <w:rPr>
          <w:rFonts w:hint="eastAsia" w:ascii="宋体" w:hAnsi="宋体" w:eastAsia="宋体" w:cs="宋体"/>
          <w:bCs/>
          <w:color w:val="000000" w:themeColor="text1"/>
          <w:sz w:val="24"/>
          <w:highlight w:val="none"/>
          <w14:textFill>
            <w14:solidFill>
              <w14:schemeClr w14:val="tx1"/>
            </w14:solidFill>
          </w14:textFill>
        </w:rPr>
        <w:t>；</w:t>
      </w:r>
    </w:p>
    <w:p w14:paraId="796BF512">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（3）简要技术需求：</w:t>
      </w:r>
      <w:r>
        <w:rPr>
          <w:rFonts w:hint="eastAsia" w:ascii="宋体" w:hAnsi="宋体" w:eastAsia="宋体" w:cs="宋体"/>
          <w:bCs/>
          <w:color w:val="000000" w:themeColor="text1"/>
          <w:sz w:val="24"/>
          <w:highlight w:val="none"/>
          <w:lang w:eastAsia="zh-CN"/>
          <w14:textFill>
            <w14:solidFill>
              <w14:schemeClr w14:val="tx1"/>
            </w14:solidFill>
          </w14:textFill>
        </w:rPr>
        <w:t>详细参数详见磋商文件</w:t>
      </w:r>
      <w:r>
        <w:rPr>
          <w:rFonts w:hint="eastAsia" w:ascii="宋体" w:hAnsi="宋体" w:cs="宋体"/>
          <w:bCs/>
          <w:color w:val="000000" w:themeColor="text1"/>
          <w:sz w:val="24"/>
          <w:highlight w:val="none"/>
          <w:lang w:eastAsia="zh-CN"/>
          <w14:textFill>
            <w14:solidFill>
              <w14:schemeClr w14:val="tx1"/>
            </w14:solidFill>
          </w14:textFill>
        </w:rPr>
        <w:t>；</w:t>
      </w:r>
    </w:p>
    <w:p w14:paraId="3C71C98E">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（4）供货地点：珲春市教育技术装备中心指定学校；</w:t>
      </w:r>
    </w:p>
    <w:p w14:paraId="755E9248">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（5）质量标准：符合现行国家、行业、地方或者其他相关标准的合格要求；</w:t>
      </w:r>
    </w:p>
    <w:p w14:paraId="32807DA4">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6</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合同履行期限：</w:t>
      </w:r>
      <w:r>
        <w:rPr>
          <w:rFonts w:hint="eastAsia" w:ascii="宋体" w:hAnsi="宋体" w:cs="宋体"/>
          <w:bCs/>
          <w:color w:val="000000" w:themeColor="text1"/>
          <w:sz w:val="24"/>
          <w:highlight w:val="none"/>
          <w:lang w:eastAsia="zh-CN"/>
          <w14:textFill>
            <w14:solidFill>
              <w14:schemeClr w14:val="tx1"/>
            </w14:solidFill>
          </w14:textFill>
        </w:rPr>
        <w:t>自合同签订之日起</w:t>
      </w:r>
      <w:r>
        <w:rPr>
          <w:rFonts w:hint="eastAsia" w:ascii="宋体" w:hAnsi="宋体" w:cs="宋体"/>
          <w:bCs/>
          <w:color w:val="000000" w:themeColor="text1"/>
          <w:sz w:val="24"/>
          <w:highlight w:val="none"/>
          <w:lang w:val="en-US" w:eastAsia="zh-CN"/>
          <w14:textFill>
            <w14:solidFill>
              <w14:schemeClr w14:val="tx1"/>
            </w14:solidFill>
          </w14:textFill>
        </w:rPr>
        <w:t>45</w:t>
      </w:r>
      <w:r>
        <w:rPr>
          <w:rFonts w:hint="eastAsia" w:ascii="宋体" w:hAnsi="宋体" w:cs="宋体"/>
          <w:bCs/>
          <w:color w:val="000000" w:themeColor="text1"/>
          <w:sz w:val="24"/>
          <w:highlight w:val="none"/>
          <w:lang w:eastAsia="zh-CN"/>
          <w14:textFill>
            <w14:solidFill>
              <w14:schemeClr w14:val="tx1"/>
            </w14:solidFill>
          </w14:textFill>
        </w:rPr>
        <w:t>日内安装调试完毕交付使用并验收合格（具体时间以实际合同为准）</w:t>
      </w:r>
      <w:r>
        <w:rPr>
          <w:rFonts w:hint="eastAsia" w:ascii="宋体" w:hAnsi="宋体" w:cs="宋体"/>
          <w:bCs/>
          <w:color w:val="000000" w:themeColor="text1"/>
          <w:sz w:val="24"/>
          <w:highlight w:val="none"/>
          <w14:textFill>
            <w14:solidFill>
              <w14:schemeClr w14:val="tx1"/>
            </w14:solidFill>
          </w14:textFill>
        </w:rPr>
        <w:t>；</w:t>
      </w:r>
    </w:p>
    <w:p w14:paraId="69F00AC8">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本项目不接受联合体投标。</w:t>
      </w:r>
    </w:p>
    <w:p w14:paraId="32135016">
      <w:pPr>
        <w:widowControl w:val="0"/>
        <w:overflowPunct/>
        <w:autoSpaceDE w:val="0"/>
        <w:autoSpaceDN w:val="0"/>
        <w:bidi w:val="0"/>
        <w:adjustRightInd w:val="0"/>
        <w:spacing w:line="460" w:lineRule="exact"/>
        <w:outlineLvl w:val="9"/>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二、</w:t>
      </w:r>
      <w:r>
        <w:rPr>
          <w:rFonts w:hint="eastAsia" w:ascii="宋体" w:hAnsi="宋体" w:eastAsia="宋体" w:cs="宋体"/>
          <w:b/>
          <w:color w:val="000000" w:themeColor="text1"/>
          <w:sz w:val="24"/>
          <w:highlight w:val="none"/>
          <w:lang w:val="en-US" w:eastAsia="zh-CN"/>
          <w14:textFill>
            <w14:solidFill>
              <w14:schemeClr w14:val="tx1"/>
            </w14:solidFill>
          </w14:textFill>
        </w:rPr>
        <w:t>申请人的资格要求：</w:t>
      </w:r>
    </w:p>
    <w:p w14:paraId="2673B8EC">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1. 满足《中华人民共和国政府采购法》第二十二条规定；</w:t>
      </w:r>
    </w:p>
    <w:p w14:paraId="1D949549">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2. 落实政府采购政策需满足的资格：本项目不专门面向中小企业采购；</w:t>
      </w:r>
    </w:p>
    <w:p w14:paraId="106364FB">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 本项目的特定资格要求：</w:t>
      </w:r>
    </w:p>
    <w:p w14:paraId="49812A5C">
      <w:pPr>
        <w:overflowPunct/>
        <w:bidi w:val="0"/>
        <w:spacing w:line="440" w:lineRule="exact"/>
        <w:ind w:firstLine="480" w:firstLineChars="200"/>
        <w:jc w:val="left"/>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sz w:val="24"/>
          <w:highlight w:val="none"/>
        </w:rPr>
        <w:t>3.1本次招标要求供应商须具有独立承担民事责任的能力，具有有效的营业执照，供应商应具有履行合同所必须的设备和专业能力。</w:t>
      </w:r>
    </w:p>
    <w:p w14:paraId="17CEA292">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3.2供应商参加采购活动应当提交反映其财务状况、依法缴纳税收和社保保障资金情况的资格条件承诺函。</w:t>
      </w:r>
    </w:p>
    <w:p w14:paraId="07018DA3">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3.3信誉要求：</w:t>
      </w:r>
    </w:p>
    <w:p w14:paraId="541D99A3">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（1）供应商参加政府采购活动近3年内（2022年至今）在经营活动中没有重大违法记录。</w:t>
      </w:r>
    </w:p>
    <w:p w14:paraId="1A3FB724">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（2）拒绝列入政府取消投标资格记录期间的企业或个人投标。</w:t>
      </w:r>
    </w:p>
    <w:p w14:paraId="6C1CB2F9">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（3）未被列入“信用中国”网站(www.creditchina.gov.cn)、失信被执行人、企业经营异常名录、重大税收违法失信主体；</w:t>
      </w:r>
    </w:p>
    <w:p w14:paraId="643CFBF5">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（4）未被工商行政管理机关在全国企业信用信息公示系统中列入严重违法失信企业名单；</w:t>
      </w:r>
    </w:p>
    <w:p w14:paraId="3AD58987">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（5）未被列入“中国政府采购网”(www.ccgp.gov.cn)政府采购严重违法失信行为记录名单的供应商；</w:t>
      </w:r>
    </w:p>
    <w:p w14:paraId="766F0259">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（6）“中国裁判文书网”（wenshu.court.gov.cn/）查询企业及法定代表人无行贿犯罪记录证明。</w:t>
      </w:r>
    </w:p>
    <w:p w14:paraId="6D4B73FA">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3.4采购人存在利害关系可能影响招标公正性的法人、其他组织或者个人，不得参加投标；具有投资参股关系的关联企业，或具有直接管理和被管理关系的母子公司，或同一母子公司的子公司，或法定代表人为同一人的两个及两个以上法人不得同时对同一标段投标；单位负责人同一人或者存在控股、管理关系的不同单位，不得参加同一合同项下的政府采购活动。除单一来源采购项目外，为采购项目提供整体设计、规范预算编制的供应商，不得再参加该采购项目的其他采购活动；</w:t>
      </w:r>
    </w:p>
    <w:p w14:paraId="1FF9AE9E">
      <w:pPr>
        <w:widowControl w:val="0"/>
        <w:overflowPunct/>
        <w:autoSpaceDE w:val="0"/>
        <w:autoSpaceDN w:val="0"/>
        <w:bidi w:val="0"/>
        <w:adjustRightInd w:val="0"/>
        <w:spacing w:line="460" w:lineRule="exact"/>
        <w:outlineLvl w:val="9"/>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三、获取</w:t>
      </w:r>
      <w:r>
        <w:rPr>
          <w:rFonts w:hint="eastAsia" w:ascii="宋体" w:hAnsi="宋体" w:eastAsia="宋体" w:cs="宋体"/>
          <w:b/>
          <w:color w:val="000000" w:themeColor="text1"/>
          <w:sz w:val="24"/>
          <w:highlight w:val="none"/>
          <w:lang w:val="en-US" w:eastAsia="zh-CN"/>
          <w14:textFill>
            <w14:solidFill>
              <w14:schemeClr w14:val="tx1"/>
            </w14:solidFill>
          </w14:textFill>
        </w:rPr>
        <w:t>磋商</w:t>
      </w:r>
      <w:r>
        <w:rPr>
          <w:rFonts w:hint="eastAsia" w:ascii="宋体" w:hAnsi="宋体" w:eastAsia="宋体" w:cs="宋体"/>
          <w:b/>
          <w:color w:val="000000" w:themeColor="text1"/>
          <w:sz w:val="24"/>
          <w:highlight w:val="none"/>
          <w14:textFill>
            <w14:solidFill>
              <w14:schemeClr w14:val="tx1"/>
            </w14:solidFill>
          </w14:textFill>
        </w:rPr>
        <w:t>文件</w:t>
      </w:r>
    </w:p>
    <w:p w14:paraId="2713F112">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时间：</w:t>
      </w:r>
      <w:r>
        <w:rPr>
          <w:rFonts w:hint="eastAsia" w:ascii="宋体" w:hAnsi="宋体" w:cs="宋体"/>
          <w:bCs/>
          <w:color w:val="000000" w:themeColor="text1"/>
          <w:sz w:val="24"/>
          <w:highlight w:val="none"/>
          <w:lang w:val="en-US" w:eastAsia="zh-CN"/>
          <w14:textFill>
            <w14:solidFill>
              <w14:schemeClr w14:val="tx1"/>
            </w14:solidFill>
          </w14:textFill>
        </w:rPr>
        <w:t>2025</w:t>
      </w:r>
      <w:r>
        <w:rPr>
          <w:rFonts w:hint="eastAsia" w:ascii="宋体" w:hAnsi="宋体" w:eastAsia="宋体" w:cs="宋体"/>
          <w:bCs/>
          <w:color w:val="000000" w:themeColor="text1"/>
          <w:sz w:val="24"/>
          <w:highlight w:val="none"/>
          <w14:textFill>
            <w14:solidFill>
              <w14:schemeClr w14:val="tx1"/>
            </w14:solidFill>
          </w14:textFill>
        </w:rPr>
        <w:t>年</w:t>
      </w:r>
      <w:r>
        <w:rPr>
          <w:rFonts w:hint="eastAsia" w:ascii="宋体" w:hAnsi="宋体" w:cs="宋体"/>
          <w:bCs/>
          <w:color w:val="000000" w:themeColor="text1"/>
          <w:sz w:val="24"/>
          <w:highlight w:val="none"/>
          <w:lang w:val="en-US" w:eastAsia="zh-CN"/>
          <w14:textFill>
            <w14:solidFill>
              <w14:schemeClr w14:val="tx1"/>
            </w14:solidFill>
          </w14:textFill>
        </w:rPr>
        <w:t>3</w:t>
      </w:r>
      <w:r>
        <w:rPr>
          <w:rFonts w:hint="eastAsia" w:ascii="宋体" w:hAnsi="宋体" w:eastAsia="宋体" w:cs="宋体"/>
          <w:bCs/>
          <w:color w:val="000000" w:themeColor="text1"/>
          <w:sz w:val="24"/>
          <w:highlight w:val="none"/>
          <w14:textFill>
            <w14:solidFill>
              <w14:schemeClr w14:val="tx1"/>
            </w14:solidFill>
          </w14:textFill>
        </w:rPr>
        <w:t>月</w:t>
      </w:r>
      <w:r>
        <w:rPr>
          <w:rFonts w:hint="eastAsia" w:ascii="宋体" w:hAnsi="宋体" w:cs="宋体"/>
          <w:bCs/>
          <w:color w:val="000000" w:themeColor="text1"/>
          <w:sz w:val="24"/>
          <w:highlight w:val="none"/>
          <w:lang w:val="en-US" w:eastAsia="zh-CN"/>
          <w14:textFill>
            <w14:solidFill>
              <w14:schemeClr w14:val="tx1"/>
            </w14:solidFill>
          </w14:textFill>
        </w:rPr>
        <w:t>11</w:t>
      </w:r>
      <w:r>
        <w:rPr>
          <w:rFonts w:hint="eastAsia" w:ascii="宋体" w:hAnsi="宋体" w:eastAsia="宋体" w:cs="宋体"/>
          <w:bCs/>
          <w:color w:val="000000" w:themeColor="text1"/>
          <w:sz w:val="24"/>
          <w:highlight w:val="none"/>
          <w14:textFill>
            <w14:solidFill>
              <w14:schemeClr w14:val="tx1"/>
            </w14:solidFill>
          </w14:textFill>
        </w:rPr>
        <w:t>日上午0</w:t>
      </w:r>
      <w:r>
        <w:rPr>
          <w:rFonts w:hint="eastAsia" w:ascii="宋体" w:hAnsi="宋体" w:cs="宋体"/>
          <w:bCs/>
          <w:color w:val="000000" w:themeColor="text1"/>
          <w:sz w:val="24"/>
          <w:highlight w:val="none"/>
          <w:lang w:val="en-US" w:eastAsia="zh-CN"/>
          <w14:textFill>
            <w14:solidFill>
              <w14:schemeClr w14:val="tx1"/>
            </w14:solidFill>
          </w14:textFill>
        </w:rPr>
        <w:t>8</w:t>
      </w:r>
      <w:r>
        <w:rPr>
          <w:rFonts w:hint="eastAsia" w:ascii="宋体" w:hAnsi="宋体" w:eastAsia="宋体" w:cs="宋体"/>
          <w:bCs/>
          <w:color w:val="000000" w:themeColor="text1"/>
          <w:sz w:val="24"/>
          <w:highlight w:val="none"/>
          <w14:textFill>
            <w14:solidFill>
              <w14:schemeClr w14:val="tx1"/>
            </w14:solidFill>
          </w14:textFill>
        </w:rPr>
        <w:t>时</w:t>
      </w:r>
      <w:r>
        <w:rPr>
          <w:rFonts w:hint="eastAsia" w:ascii="宋体" w:hAnsi="宋体" w:cs="宋体"/>
          <w:bCs/>
          <w:color w:val="000000" w:themeColor="text1"/>
          <w:sz w:val="24"/>
          <w:highlight w:val="none"/>
          <w:lang w:val="en-US" w:eastAsia="zh-CN"/>
          <w14:textFill>
            <w14:solidFill>
              <w14:schemeClr w14:val="tx1"/>
            </w14:solidFill>
          </w14:textFill>
        </w:rPr>
        <w:t>3</w:t>
      </w:r>
      <w:r>
        <w:rPr>
          <w:rFonts w:hint="eastAsia" w:ascii="宋体" w:hAnsi="宋体" w:eastAsia="宋体" w:cs="宋体"/>
          <w:bCs/>
          <w:color w:val="000000" w:themeColor="text1"/>
          <w:sz w:val="24"/>
          <w:highlight w:val="none"/>
          <w14:textFill>
            <w14:solidFill>
              <w14:schemeClr w14:val="tx1"/>
            </w14:solidFill>
          </w14:textFill>
        </w:rPr>
        <w:t>0分至</w:t>
      </w:r>
      <w:r>
        <w:rPr>
          <w:rFonts w:hint="eastAsia" w:ascii="宋体" w:hAnsi="宋体" w:cs="宋体"/>
          <w:bCs/>
          <w:color w:val="000000" w:themeColor="text1"/>
          <w:sz w:val="24"/>
          <w:highlight w:val="none"/>
          <w:lang w:val="en-US" w:eastAsia="zh-CN"/>
          <w14:textFill>
            <w14:solidFill>
              <w14:schemeClr w14:val="tx1"/>
            </w14:solidFill>
          </w14:textFill>
        </w:rPr>
        <w:t>2025</w:t>
      </w:r>
      <w:r>
        <w:rPr>
          <w:rFonts w:hint="eastAsia" w:ascii="宋体" w:hAnsi="宋体" w:eastAsia="宋体" w:cs="宋体"/>
          <w:bCs/>
          <w:color w:val="000000" w:themeColor="text1"/>
          <w:sz w:val="24"/>
          <w:highlight w:val="none"/>
          <w14:textFill>
            <w14:solidFill>
              <w14:schemeClr w14:val="tx1"/>
            </w14:solidFill>
          </w14:textFill>
        </w:rPr>
        <w:t>年</w:t>
      </w:r>
      <w:r>
        <w:rPr>
          <w:rFonts w:hint="eastAsia" w:ascii="宋体" w:hAnsi="宋体" w:cs="宋体"/>
          <w:bCs/>
          <w:color w:val="000000" w:themeColor="text1"/>
          <w:sz w:val="24"/>
          <w:highlight w:val="none"/>
          <w:lang w:val="en-US" w:eastAsia="zh-CN"/>
          <w14:textFill>
            <w14:solidFill>
              <w14:schemeClr w14:val="tx1"/>
            </w14:solidFill>
          </w14:textFill>
        </w:rPr>
        <w:t>3</w:t>
      </w:r>
      <w:r>
        <w:rPr>
          <w:rFonts w:hint="eastAsia" w:ascii="宋体" w:hAnsi="宋体" w:eastAsia="宋体" w:cs="宋体"/>
          <w:bCs/>
          <w:color w:val="000000" w:themeColor="text1"/>
          <w:sz w:val="24"/>
          <w:highlight w:val="none"/>
          <w14:textFill>
            <w14:solidFill>
              <w14:schemeClr w14:val="tx1"/>
            </w14:solidFill>
          </w14:textFill>
        </w:rPr>
        <w:t>月</w:t>
      </w:r>
      <w:r>
        <w:rPr>
          <w:rFonts w:hint="eastAsia" w:ascii="宋体" w:hAnsi="宋体" w:cs="宋体"/>
          <w:bCs/>
          <w:color w:val="000000" w:themeColor="text1"/>
          <w:sz w:val="24"/>
          <w:highlight w:val="none"/>
          <w:lang w:val="en-US" w:eastAsia="zh-CN"/>
          <w14:textFill>
            <w14:solidFill>
              <w14:schemeClr w14:val="tx1"/>
            </w14:solidFill>
          </w14:textFill>
        </w:rPr>
        <w:t>17</w:t>
      </w:r>
      <w:r>
        <w:rPr>
          <w:rFonts w:hint="eastAsia" w:ascii="宋体" w:hAnsi="宋体" w:eastAsia="宋体" w:cs="宋体"/>
          <w:bCs/>
          <w:color w:val="000000" w:themeColor="text1"/>
          <w:sz w:val="24"/>
          <w:highlight w:val="none"/>
          <w14:textFill>
            <w14:solidFill>
              <w14:schemeClr w14:val="tx1"/>
            </w14:solidFill>
          </w14:textFill>
        </w:rPr>
        <w:t>日下午16时</w:t>
      </w:r>
      <w:r>
        <w:rPr>
          <w:rFonts w:hint="eastAsia" w:ascii="宋体" w:hAnsi="宋体" w:cs="宋体"/>
          <w:bCs/>
          <w:color w:val="000000" w:themeColor="text1"/>
          <w:sz w:val="24"/>
          <w:highlight w:val="none"/>
          <w:lang w:val="en-US" w:eastAsia="zh-CN"/>
          <w14:textFill>
            <w14:solidFill>
              <w14:schemeClr w14:val="tx1"/>
            </w14:solidFill>
          </w14:textFill>
        </w:rPr>
        <w:t>30分</w:t>
      </w:r>
      <w:r>
        <w:rPr>
          <w:rFonts w:hint="eastAsia" w:ascii="宋体" w:hAnsi="宋体" w:eastAsia="宋体" w:cs="宋体"/>
          <w:bCs/>
          <w:color w:val="000000" w:themeColor="text1"/>
          <w:sz w:val="24"/>
          <w:highlight w:val="none"/>
          <w14:textFill>
            <w14:solidFill>
              <w14:schemeClr w14:val="tx1"/>
            </w14:solidFill>
          </w14:textFill>
        </w:rPr>
        <w:t>（北京时间，法定节假日除外）</w:t>
      </w:r>
      <w:r>
        <w:rPr>
          <w:rFonts w:hint="eastAsia" w:ascii="宋体" w:hAnsi="宋体" w:eastAsia="宋体" w:cs="宋体"/>
          <w:bCs/>
          <w:color w:val="000000" w:themeColor="text1"/>
          <w:sz w:val="24"/>
          <w:highlight w:val="none"/>
          <w:lang w:eastAsia="zh-CN"/>
          <w14:textFill>
            <w14:solidFill>
              <w14:schemeClr w14:val="tx1"/>
            </w14:solidFill>
          </w14:textFill>
        </w:rPr>
        <w:t>；</w:t>
      </w:r>
    </w:p>
    <w:p w14:paraId="3AFAB6DE">
      <w:pPr>
        <w:pStyle w:val="110"/>
        <w:keepNext w:val="0"/>
        <w:keepLines w:val="0"/>
        <w:pageBreakBefore w:val="0"/>
        <w:kinsoku/>
        <w:wordWrap w:val="0"/>
        <w:overflowPunct/>
        <w:topLinePunct w:val="0"/>
        <w:bidi w:val="0"/>
        <w:snapToGrid/>
        <w:spacing w:line="400" w:lineRule="exact"/>
        <w:ind w:firstLine="480" w:firstLineChars="200"/>
        <w:textAlignment w:val="auto"/>
        <w:outlineLvl w:val="9"/>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地点：政府采购云平台（网址：http:// www.zcygov.cn）；</w:t>
      </w:r>
    </w:p>
    <w:p w14:paraId="191F6A22">
      <w:pPr>
        <w:keepNext w:val="0"/>
        <w:keepLines w:val="0"/>
        <w:pageBreakBefore w:val="0"/>
        <w:kinsoku/>
        <w:overflowPunct/>
        <w:topLinePunct w:val="0"/>
        <w:bidi w:val="0"/>
        <w:snapToGrid/>
        <w:spacing w:line="400" w:lineRule="exact"/>
        <w:ind w:firstLine="420"/>
        <w:jc w:val="left"/>
        <w:textAlignment w:val="auto"/>
        <w:outlineLvl w:val="9"/>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方式：潜在供应商可自行在“政采云”平台（网址：http：//www.zcygov.cn）下载磋商文件（操作路径：登录“政采云”平台-项目采购-获取采购文件-找到本项目-点击“申请获取采购文件”），其他途径获取的采购文件开标时一律按无效投标处理。申请获取采购文件时需提交以下资料并加盖公章（以下资料须在“政采云”平台“申请获取采购文件”时的附件处提交）：</w:t>
      </w:r>
    </w:p>
    <w:p w14:paraId="4E9EAF91">
      <w:pPr>
        <w:keepNext w:val="0"/>
        <w:keepLines w:val="0"/>
        <w:pageBreakBefore w:val="0"/>
        <w:numPr>
          <w:ilvl w:val="0"/>
          <w:numId w:val="2"/>
        </w:numPr>
        <w:kinsoku/>
        <w:overflowPunct/>
        <w:topLinePunct w:val="0"/>
        <w:bidi w:val="0"/>
        <w:snapToGrid/>
        <w:spacing w:line="400" w:lineRule="exact"/>
        <w:ind w:firstLine="420"/>
        <w:jc w:val="left"/>
        <w:textAlignment w:val="auto"/>
        <w:outlineLvl w:val="9"/>
        <w:rPr>
          <w:rFonts w:hint="eastAsia" w:ascii="宋体" w:hAnsi="宋体" w:eastAsia="宋体" w:cs="宋体"/>
          <w:bCs/>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zh-CN" w:eastAsia="zh-CN" w:bidi="ar-SA"/>
          <w14:textFill>
            <w14:solidFill>
              <w14:schemeClr w14:val="tx1"/>
            </w14:solidFill>
          </w14:textFill>
        </w:rPr>
        <w:t>有效营业执照；</w:t>
      </w:r>
    </w:p>
    <w:p w14:paraId="0C4A23C4">
      <w:pPr>
        <w:keepNext w:val="0"/>
        <w:keepLines w:val="0"/>
        <w:pageBreakBefore w:val="0"/>
        <w:numPr>
          <w:ilvl w:val="0"/>
          <w:numId w:val="2"/>
        </w:numPr>
        <w:kinsoku/>
        <w:overflowPunct/>
        <w:topLinePunct w:val="0"/>
        <w:bidi w:val="0"/>
        <w:snapToGrid/>
        <w:spacing w:line="400" w:lineRule="exact"/>
        <w:ind w:firstLine="420"/>
        <w:jc w:val="left"/>
        <w:textAlignment w:val="auto"/>
        <w:outlineLvl w:val="9"/>
        <w:rPr>
          <w:rFonts w:hint="eastAsia" w:ascii="宋体" w:hAnsi="宋体" w:eastAsia="宋体" w:cs="宋体"/>
          <w:bCs/>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zh-CN" w:eastAsia="zh-CN" w:bidi="ar-SA"/>
          <w14:textFill>
            <w14:solidFill>
              <w14:schemeClr w14:val="tx1"/>
            </w14:solidFill>
          </w14:textFill>
        </w:rPr>
        <w:t>被授权人身份证、法人授权委托书的材料复印件。</w:t>
      </w:r>
    </w:p>
    <w:p w14:paraId="3CEDE89A">
      <w:pPr>
        <w:pStyle w:val="110"/>
        <w:keepNext w:val="0"/>
        <w:keepLines w:val="0"/>
        <w:pageBreakBefore w:val="0"/>
        <w:kinsoku/>
        <w:wordWrap w:val="0"/>
        <w:overflowPunct/>
        <w:topLinePunct w:val="0"/>
        <w:bidi w:val="0"/>
        <w:snapToGrid/>
        <w:spacing w:line="400" w:lineRule="exact"/>
        <w:ind w:firstLine="480" w:firstLineChars="200"/>
        <w:textAlignment w:val="auto"/>
        <w:outlineLvl w:val="9"/>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未进行网上注册并办理CA认证的供应商将无法参与本次招标活动。</w:t>
      </w:r>
    </w:p>
    <w:p w14:paraId="05360205">
      <w:pPr>
        <w:keepNext w:val="0"/>
        <w:keepLines w:val="0"/>
        <w:pageBreakBefore w:val="0"/>
        <w:widowControl w:val="0"/>
        <w:kinsoku/>
        <w:overflowPunct/>
        <w:topLinePunct w:val="0"/>
        <w:autoSpaceDE w:val="0"/>
        <w:autoSpaceDN w:val="0"/>
        <w:bidi w:val="0"/>
        <w:adjustRightInd w:val="0"/>
        <w:snapToGrid/>
        <w:spacing w:line="400" w:lineRule="exact"/>
        <w:ind w:firstLine="480" w:firstLineChars="200"/>
        <w:textAlignment w:val="auto"/>
        <w:outlineLvl w:val="9"/>
        <w:rPr>
          <w:rFonts w:hint="default"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售价：0元。</w:t>
      </w:r>
    </w:p>
    <w:p w14:paraId="670F3E57">
      <w:pPr>
        <w:widowControl w:val="0"/>
        <w:overflowPunct/>
        <w:autoSpaceDE w:val="0"/>
        <w:autoSpaceDN w:val="0"/>
        <w:bidi w:val="0"/>
        <w:adjustRightInd w:val="0"/>
        <w:spacing w:line="360" w:lineRule="exact"/>
        <w:outlineLvl w:val="9"/>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四、</w:t>
      </w:r>
      <w:r>
        <w:rPr>
          <w:rFonts w:hint="eastAsia" w:ascii="宋体" w:hAnsi="宋体" w:eastAsia="宋体" w:cs="宋体"/>
          <w:b/>
          <w:color w:val="000000" w:themeColor="text1"/>
          <w:sz w:val="24"/>
          <w:highlight w:val="none"/>
          <w:lang w:eastAsia="zh-CN"/>
          <w14:textFill>
            <w14:solidFill>
              <w14:schemeClr w14:val="tx1"/>
            </w14:solidFill>
          </w14:textFill>
        </w:rPr>
        <w:t>响应</w:t>
      </w:r>
      <w:r>
        <w:rPr>
          <w:rFonts w:hint="eastAsia" w:ascii="宋体" w:hAnsi="宋体" w:eastAsia="宋体" w:cs="宋体"/>
          <w:b/>
          <w:color w:val="000000" w:themeColor="text1"/>
          <w:sz w:val="24"/>
          <w:highlight w:val="none"/>
          <w14:textFill>
            <w14:solidFill>
              <w14:schemeClr w14:val="tx1"/>
            </w14:solidFill>
          </w14:textFill>
        </w:rPr>
        <w:t>文件提交</w:t>
      </w:r>
    </w:p>
    <w:p w14:paraId="224AD89D">
      <w:pPr>
        <w:widowControl w:val="0"/>
        <w:overflowPunct/>
        <w:autoSpaceDE w:val="0"/>
        <w:autoSpaceDN w:val="0"/>
        <w:bidi w:val="0"/>
        <w:adjustRightInd w:val="0"/>
        <w:spacing w:line="360" w:lineRule="exact"/>
        <w:ind w:firstLine="480" w:firstLineChars="200"/>
        <w:outlineLvl w:val="9"/>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截止时间：</w:t>
      </w:r>
      <w:r>
        <w:rPr>
          <w:rFonts w:hint="eastAsia" w:ascii="宋体" w:hAnsi="宋体" w:cs="宋体"/>
          <w:bCs/>
          <w:color w:val="000000" w:themeColor="text1"/>
          <w:sz w:val="24"/>
          <w:highlight w:val="none"/>
          <w:lang w:eastAsia="zh-CN"/>
          <w14:textFill>
            <w14:solidFill>
              <w14:schemeClr w14:val="tx1"/>
            </w14:solidFill>
          </w14:textFill>
        </w:rPr>
        <w:t>202</w:t>
      </w:r>
      <w:r>
        <w:rPr>
          <w:rFonts w:hint="eastAsia" w:ascii="宋体" w:hAnsi="宋体" w:cs="宋体"/>
          <w:bCs/>
          <w:color w:val="000000" w:themeColor="text1"/>
          <w:sz w:val="24"/>
          <w:highlight w:val="none"/>
          <w:lang w:val="en-US" w:eastAsia="zh-CN"/>
          <w14:textFill>
            <w14:solidFill>
              <w14:schemeClr w14:val="tx1"/>
            </w14:solidFill>
          </w14:textFill>
        </w:rPr>
        <w:t>5</w:t>
      </w:r>
      <w:r>
        <w:rPr>
          <w:rFonts w:hint="eastAsia" w:ascii="宋体" w:hAnsi="宋体" w:cs="宋体"/>
          <w:bCs/>
          <w:color w:val="000000" w:themeColor="text1"/>
          <w:sz w:val="24"/>
          <w:highlight w:val="none"/>
          <w:lang w:eastAsia="zh-CN"/>
          <w14:textFill>
            <w14:solidFill>
              <w14:schemeClr w14:val="tx1"/>
            </w14:solidFill>
          </w14:textFill>
        </w:rPr>
        <w:t>年</w:t>
      </w:r>
      <w:r>
        <w:rPr>
          <w:rFonts w:hint="eastAsia" w:ascii="宋体" w:hAnsi="宋体" w:cs="宋体"/>
          <w:bCs/>
          <w:color w:val="000000" w:themeColor="text1"/>
          <w:sz w:val="24"/>
          <w:highlight w:val="none"/>
          <w:lang w:val="en-US" w:eastAsia="zh-CN"/>
          <w14:textFill>
            <w14:solidFill>
              <w14:schemeClr w14:val="tx1"/>
            </w14:solidFill>
          </w14:textFill>
        </w:rPr>
        <w:t>3</w:t>
      </w:r>
      <w:r>
        <w:rPr>
          <w:rFonts w:hint="eastAsia" w:ascii="宋体" w:hAnsi="宋体" w:cs="宋体"/>
          <w:bCs/>
          <w:color w:val="000000" w:themeColor="text1"/>
          <w:sz w:val="24"/>
          <w:highlight w:val="none"/>
          <w:lang w:eastAsia="zh-CN"/>
          <w14:textFill>
            <w14:solidFill>
              <w14:schemeClr w14:val="tx1"/>
            </w14:solidFill>
          </w14:textFill>
        </w:rPr>
        <w:t>月</w:t>
      </w:r>
      <w:r>
        <w:rPr>
          <w:rFonts w:hint="eastAsia" w:ascii="宋体" w:hAnsi="宋体" w:cs="宋体"/>
          <w:bCs/>
          <w:color w:val="000000" w:themeColor="text1"/>
          <w:sz w:val="24"/>
          <w:highlight w:val="none"/>
          <w:lang w:val="en-US" w:eastAsia="zh-CN"/>
          <w14:textFill>
            <w14:solidFill>
              <w14:schemeClr w14:val="tx1"/>
            </w14:solidFill>
          </w14:textFill>
        </w:rPr>
        <w:t>24</w:t>
      </w:r>
      <w:r>
        <w:rPr>
          <w:rFonts w:hint="eastAsia" w:ascii="宋体" w:hAnsi="宋体" w:cs="宋体"/>
          <w:bCs/>
          <w:color w:val="000000" w:themeColor="text1"/>
          <w:sz w:val="24"/>
          <w:highlight w:val="none"/>
          <w:lang w:eastAsia="zh-CN"/>
          <w14:textFill>
            <w14:solidFill>
              <w14:schemeClr w14:val="tx1"/>
            </w14:solidFill>
          </w14:textFill>
        </w:rPr>
        <w:t>日</w:t>
      </w:r>
      <w:r>
        <w:rPr>
          <w:rFonts w:hint="eastAsia" w:ascii="宋体" w:hAnsi="宋体" w:cs="宋体"/>
          <w:bCs/>
          <w:color w:val="000000" w:themeColor="text1"/>
          <w:sz w:val="24"/>
          <w:highlight w:val="none"/>
          <w:lang w:val="en-US" w:eastAsia="zh-CN"/>
          <w14:textFill>
            <w14:solidFill>
              <w14:schemeClr w14:val="tx1"/>
            </w14:solidFill>
          </w14:textFill>
        </w:rPr>
        <w:t>9</w:t>
      </w:r>
      <w:r>
        <w:rPr>
          <w:rFonts w:hint="eastAsia" w:ascii="宋体" w:hAnsi="宋体" w:cs="宋体"/>
          <w:bCs/>
          <w:color w:val="000000" w:themeColor="text1"/>
          <w:sz w:val="24"/>
          <w:highlight w:val="none"/>
          <w:lang w:eastAsia="zh-CN"/>
          <w14:textFill>
            <w14:solidFill>
              <w14:schemeClr w14:val="tx1"/>
            </w14:solidFill>
          </w14:textFill>
        </w:rPr>
        <w:t>时</w:t>
      </w:r>
      <w:r>
        <w:rPr>
          <w:rFonts w:hint="eastAsia" w:ascii="宋体" w:hAnsi="宋体" w:cs="宋体"/>
          <w:bCs/>
          <w:color w:val="000000" w:themeColor="text1"/>
          <w:sz w:val="24"/>
          <w:highlight w:val="none"/>
          <w:lang w:val="en-US" w:eastAsia="zh-CN"/>
          <w14:textFill>
            <w14:solidFill>
              <w14:schemeClr w14:val="tx1"/>
            </w14:solidFill>
          </w14:textFill>
        </w:rPr>
        <w:t>30</w:t>
      </w:r>
      <w:r>
        <w:rPr>
          <w:rFonts w:hint="eastAsia" w:ascii="宋体" w:hAnsi="宋体" w:cs="宋体"/>
          <w:bCs/>
          <w:color w:val="000000" w:themeColor="text1"/>
          <w:sz w:val="24"/>
          <w:highlight w:val="none"/>
          <w:lang w:eastAsia="zh-CN"/>
          <w14:textFill>
            <w14:solidFill>
              <w14:schemeClr w14:val="tx1"/>
            </w14:solidFill>
          </w14:textFill>
        </w:rPr>
        <w:t>分</w:t>
      </w:r>
      <w:r>
        <w:rPr>
          <w:rFonts w:hint="eastAsia" w:ascii="宋体" w:hAnsi="宋体" w:eastAsia="宋体" w:cs="宋体"/>
          <w:bCs/>
          <w:color w:val="000000" w:themeColor="text1"/>
          <w:sz w:val="24"/>
          <w:highlight w:val="none"/>
          <w14:textFill>
            <w14:solidFill>
              <w14:schemeClr w14:val="tx1"/>
            </w14:solidFill>
          </w14:textFill>
        </w:rPr>
        <w:t>（北京时间）；</w:t>
      </w:r>
    </w:p>
    <w:p w14:paraId="1E50F357">
      <w:pPr>
        <w:widowControl w:val="0"/>
        <w:overflowPunct/>
        <w:autoSpaceDE w:val="0"/>
        <w:autoSpaceDN w:val="0"/>
        <w:bidi w:val="0"/>
        <w:adjustRightInd w:val="0"/>
        <w:spacing w:line="360" w:lineRule="exact"/>
        <w:ind w:firstLine="480" w:firstLineChars="200"/>
        <w:outlineLvl w:val="9"/>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地点：</w:t>
      </w:r>
      <w:r>
        <w:rPr>
          <w:rFonts w:hint="eastAsia" w:ascii="宋体" w:hAnsi="宋体" w:cs="宋体"/>
          <w:bCs/>
          <w:color w:val="000000" w:themeColor="text1"/>
          <w:sz w:val="24"/>
          <w:highlight w:val="none"/>
          <w:lang w:val="zh-CN"/>
          <w14:textFill>
            <w14:solidFill>
              <w14:schemeClr w14:val="tx1"/>
            </w14:solidFill>
          </w14:textFill>
        </w:rPr>
        <w:t>珲春市公共资源管理中心（地址：吉林省珲春市龙源东街1066号，珲春市政务中心4楼）</w:t>
      </w:r>
      <w:r>
        <w:rPr>
          <w:rFonts w:hint="eastAsia" w:ascii="宋体" w:hAnsi="宋体" w:eastAsia="宋体" w:cs="宋体"/>
          <w:bCs/>
          <w:color w:val="000000" w:themeColor="text1"/>
          <w:sz w:val="24"/>
          <w:highlight w:val="none"/>
          <w14:textFill>
            <w14:solidFill>
              <w14:schemeClr w14:val="tx1"/>
            </w14:solidFill>
          </w14:textFill>
        </w:rPr>
        <w:t>。</w:t>
      </w:r>
    </w:p>
    <w:p w14:paraId="250054F8">
      <w:pPr>
        <w:widowControl w:val="0"/>
        <w:overflowPunct/>
        <w:autoSpaceDE w:val="0"/>
        <w:autoSpaceDN w:val="0"/>
        <w:bidi w:val="0"/>
        <w:adjustRightInd w:val="0"/>
        <w:spacing w:line="360" w:lineRule="exact"/>
        <w:outlineLvl w:val="9"/>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五、开启</w:t>
      </w:r>
    </w:p>
    <w:p w14:paraId="3B888E3B">
      <w:pPr>
        <w:widowControl w:val="0"/>
        <w:overflowPunct/>
        <w:autoSpaceDE w:val="0"/>
        <w:autoSpaceDN w:val="0"/>
        <w:bidi w:val="0"/>
        <w:adjustRightInd w:val="0"/>
        <w:spacing w:line="360" w:lineRule="exact"/>
        <w:ind w:firstLine="480" w:firstLineChars="200"/>
        <w:outlineLvl w:val="9"/>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时间：</w:t>
      </w:r>
      <w:r>
        <w:rPr>
          <w:rFonts w:hint="eastAsia" w:ascii="宋体" w:hAnsi="宋体" w:cs="宋体"/>
          <w:bCs/>
          <w:color w:val="000000" w:themeColor="text1"/>
          <w:sz w:val="24"/>
          <w:highlight w:val="none"/>
          <w:lang w:val="en-US" w:eastAsia="zh-CN"/>
          <w14:textFill>
            <w14:solidFill>
              <w14:schemeClr w14:val="tx1"/>
            </w14:solidFill>
          </w14:textFill>
        </w:rPr>
        <w:t>2025</w:t>
      </w:r>
      <w:r>
        <w:rPr>
          <w:rFonts w:hint="eastAsia" w:ascii="宋体" w:hAnsi="宋体" w:cs="宋体"/>
          <w:bCs/>
          <w:color w:val="000000" w:themeColor="text1"/>
          <w:sz w:val="24"/>
          <w:highlight w:val="none"/>
          <w:lang w:eastAsia="zh-CN"/>
          <w14:textFill>
            <w14:solidFill>
              <w14:schemeClr w14:val="tx1"/>
            </w14:solidFill>
          </w14:textFill>
        </w:rPr>
        <w:t>年</w:t>
      </w:r>
      <w:r>
        <w:rPr>
          <w:rFonts w:hint="eastAsia" w:ascii="宋体" w:hAnsi="宋体" w:cs="宋体"/>
          <w:bCs/>
          <w:color w:val="000000" w:themeColor="text1"/>
          <w:sz w:val="24"/>
          <w:highlight w:val="none"/>
          <w:lang w:val="en-US" w:eastAsia="zh-CN"/>
          <w14:textFill>
            <w14:solidFill>
              <w14:schemeClr w14:val="tx1"/>
            </w14:solidFill>
          </w14:textFill>
        </w:rPr>
        <w:t>3</w:t>
      </w:r>
      <w:r>
        <w:rPr>
          <w:rFonts w:hint="eastAsia" w:ascii="宋体" w:hAnsi="宋体" w:cs="宋体"/>
          <w:bCs/>
          <w:color w:val="000000" w:themeColor="text1"/>
          <w:sz w:val="24"/>
          <w:highlight w:val="none"/>
          <w:lang w:eastAsia="zh-CN"/>
          <w14:textFill>
            <w14:solidFill>
              <w14:schemeClr w14:val="tx1"/>
            </w14:solidFill>
          </w14:textFill>
        </w:rPr>
        <w:t>月</w:t>
      </w:r>
      <w:r>
        <w:rPr>
          <w:rFonts w:hint="eastAsia" w:ascii="宋体" w:hAnsi="宋体" w:cs="宋体"/>
          <w:bCs/>
          <w:color w:val="000000" w:themeColor="text1"/>
          <w:sz w:val="24"/>
          <w:highlight w:val="none"/>
          <w:lang w:val="en-US" w:eastAsia="zh-CN"/>
          <w14:textFill>
            <w14:solidFill>
              <w14:schemeClr w14:val="tx1"/>
            </w14:solidFill>
          </w14:textFill>
        </w:rPr>
        <w:t>24</w:t>
      </w:r>
      <w:r>
        <w:rPr>
          <w:rFonts w:hint="eastAsia" w:ascii="宋体" w:hAnsi="宋体" w:cs="宋体"/>
          <w:bCs/>
          <w:color w:val="000000" w:themeColor="text1"/>
          <w:sz w:val="24"/>
          <w:highlight w:val="none"/>
          <w:lang w:eastAsia="zh-CN"/>
          <w14:textFill>
            <w14:solidFill>
              <w14:schemeClr w14:val="tx1"/>
            </w14:solidFill>
          </w14:textFill>
        </w:rPr>
        <w:t>日</w:t>
      </w:r>
      <w:r>
        <w:rPr>
          <w:rFonts w:hint="eastAsia" w:ascii="宋体" w:hAnsi="宋体" w:cs="宋体"/>
          <w:bCs/>
          <w:color w:val="000000" w:themeColor="text1"/>
          <w:sz w:val="24"/>
          <w:highlight w:val="none"/>
          <w:lang w:val="en-US" w:eastAsia="zh-CN"/>
          <w14:textFill>
            <w14:solidFill>
              <w14:schemeClr w14:val="tx1"/>
            </w14:solidFill>
          </w14:textFill>
        </w:rPr>
        <w:t>9</w:t>
      </w:r>
      <w:r>
        <w:rPr>
          <w:rFonts w:hint="eastAsia" w:ascii="宋体" w:hAnsi="宋体" w:cs="宋体"/>
          <w:bCs/>
          <w:color w:val="000000" w:themeColor="text1"/>
          <w:sz w:val="24"/>
          <w:highlight w:val="none"/>
          <w:lang w:eastAsia="zh-CN"/>
          <w14:textFill>
            <w14:solidFill>
              <w14:schemeClr w14:val="tx1"/>
            </w14:solidFill>
          </w14:textFill>
        </w:rPr>
        <w:t>时</w:t>
      </w:r>
      <w:r>
        <w:rPr>
          <w:rFonts w:hint="eastAsia" w:ascii="宋体" w:hAnsi="宋体" w:cs="宋体"/>
          <w:bCs/>
          <w:color w:val="000000" w:themeColor="text1"/>
          <w:sz w:val="24"/>
          <w:highlight w:val="none"/>
          <w:lang w:val="en-US" w:eastAsia="zh-CN"/>
          <w14:textFill>
            <w14:solidFill>
              <w14:schemeClr w14:val="tx1"/>
            </w14:solidFill>
          </w14:textFill>
        </w:rPr>
        <w:t>30</w:t>
      </w:r>
      <w:r>
        <w:rPr>
          <w:rFonts w:hint="eastAsia" w:ascii="宋体" w:hAnsi="宋体" w:cs="宋体"/>
          <w:bCs/>
          <w:color w:val="000000" w:themeColor="text1"/>
          <w:sz w:val="24"/>
          <w:highlight w:val="none"/>
          <w:lang w:eastAsia="zh-CN"/>
          <w14:textFill>
            <w14:solidFill>
              <w14:schemeClr w14:val="tx1"/>
            </w14:solidFill>
          </w14:textFill>
        </w:rPr>
        <w:t>分</w:t>
      </w:r>
      <w:r>
        <w:rPr>
          <w:rFonts w:hint="eastAsia" w:ascii="宋体" w:hAnsi="宋体" w:eastAsia="宋体" w:cs="宋体"/>
          <w:bCs/>
          <w:color w:val="000000" w:themeColor="text1"/>
          <w:sz w:val="24"/>
          <w:highlight w:val="none"/>
          <w14:textFill>
            <w14:solidFill>
              <w14:schemeClr w14:val="tx1"/>
            </w14:solidFill>
          </w14:textFill>
        </w:rPr>
        <w:t>（北京时间）</w:t>
      </w:r>
    </w:p>
    <w:p w14:paraId="66D8435E">
      <w:pPr>
        <w:widowControl w:val="0"/>
        <w:overflowPunct/>
        <w:autoSpaceDE w:val="0"/>
        <w:autoSpaceDN w:val="0"/>
        <w:bidi w:val="0"/>
        <w:adjustRightInd w:val="0"/>
        <w:spacing w:line="360" w:lineRule="exact"/>
        <w:ind w:firstLine="480" w:firstLineChars="200"/>
        <w:outlineLvl w:val="9"/>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地点：</w:t>
      </w:r>
      <w:r>
        <w:rPr>
          <w:rFonts w:hint="eastAsia" w:ascii="宋体" w:hAnsi="宋体" w:cs="宋体"/>
          <w:bCs/>
          <w:color w:val="000000" w:themeColor="text1"/>
          <w:sz w:val="24"/>
          <w:highlight w:val="none"/>
          <w:lang w:val="zh-CN" w:eastAsia="zh-CN"/>
          <w14:textFill>
            <w14:solidFill>
              <w14:schemeClr w14:val="tx1"/>
            </w14:solidFill>
          </w14:textFill>
        </w:rPr>
        <w:t>珲春市公共资源管理中心（地址：吉林省珲春市龙源东街1066号，珲春市政务中心4楼）</w:t>
      </w:r>
      <w:r>
        <w:rPr>
          <w:rFonts w:hint="eastAsia" w:ascii="宋体" w:hAnsi="宋体" w:eastAsia="宋体" w:cs="宋体"/>
          <w:bCs/>
          <w:color w:val="000000" w:themeColor="text1"/>
          <w:sz w:val="24"/>
          <w:highlight w:val="none"/>
          <w:lang w:val="en-US" w:eastAsia="zh-CN"/>
          <w14:textFill>
            <w14:solidFill>
              <w14:schemeClr w14:val="tx1"/>
            </w14:solidFill>
          </w14:textFill>
        </w:rPr>
        <w:t>。</w:t>
      </w:r>
    </w:p>
    <w:p w14:paraId="37F9E12E">
      <w:pPr>
        <w:widowControl w:val="0"/>
        <w:overflowPunct/>
        <w:autoSpaceDE w:val="0"/>
        <w:autoSpaceDN w:val="0"/>
        <w:bidi w:val="0"/>
        <w:adjustRightInd w:val="0"/>
        <w:spacing w:line="460" w:lineRule="exact"/>
        <w:outlineLvl w:val="9"/>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六、公告期限</w:t>
      </w:r>
    </w:p>
    <w:p w14:paraId="5A1BD4BB">
      <w:pPr>
        <w:widowControl w:val="0"/>
        <w:overflowPunct/>
        <w:autoSpaceDE w:val="0"/>
        <w:autoSpaceDN w:val="0"/>
        <w:bidi w:val="0"/>
        <w:adjustRightInd w:val="0"/>
        <w:spacing w:line="460" w:lineRule="exact"/>
        <w:ind w:firstLine="480" w:firstLineChars="200"/>
        <w:outlineLvl w:val="9"/>
        <w:rPr>
          <w:rStyle w:val="114"/>
          <w:rFonts w:ascii="宋体" w:hAnsi="宋体" w:cs="宋体"/>
          <w:bCs/>
          <w:color w:val="000000" w:themeColor="text1"/>
          <w:sz w:val="24"/>
          <w:szCs w:val="24"/>
          <w:highlight w:val="none"/>
          <w14:textFill>
            <w14:solidFill>
              <w14:schemeClr w14:val="tx1"/>
            </w14:solidFill>
          </w14:textFill>
        </w:rPr>
      </w:pPr>
      <w:r>
        <w:rPr>
          <w:rStyle w:val="114"/>
          <w:rFonts w:hint="eastAsia" w:ascii="宋体" w:hAnsi="宋体" w:cs="宋体"/>
          <w:bCs/>
          <w:color w:val="000000" w:themeColor="text1"/>
          <w:sz w:val="24"/>
          <w:szCs w:val="24"/>
          <w:highlight w:val="none"/>
          <w14:textFill>
            <w14:solidFill>
              <w14:schemeClr w14:val="tx1"/>
            </w14:solidFill>
          </w14:textFill>
        </w:rPr>
        <w:t>自本公告发布之日起</w:t>
      </w:r>
      <w:r>
        <w:rPr>
          <w:rStyle w:val="114"/>
          <w:rFonts w:hint="eastAsia" w:ascii="宋体" w:hAnsi="宋体" w:cs="宋体"/>
          <w:bCs/>
          <w:color w:val="000000" w:themeColor="text1"/>
          <w:sz w:val="24"/>
          <w:szCs w:val="24"/>
          <w:highlight w:val="none"/>
          <w:lang w:val="en-US"/>
          <w14:textFill>
            <w14:solidFill>
              <w14:schemeClr w14:val="tx1"/>
            </w14:solidFill>
          </w14:textFill>
        </w:rPr>
        <w:t>5</w:t>
      </w:r>
      <w:r>
        <w:rPr>
          <w:rStyle w:val="114"/>
          <w:rFonts w:hint="eastAsia" w:ascii="宋体" w:hAnsi="宋体" w:cs="宋体"/>
          <w:bCs/>
          <w:color w:val="000000" w:themeColor="text1"/>
          <w:sz w:val="24"/>
          <w:szCs w:val="24"/>
          <w:highlight w:val="none"/>
          <w14:textFill>
            <w14:solidFill>
              <w14:schemeClr w14:val="tx1"/>
            </w14:solidFill>
          </w14:textFill>
        </w:rPr>
        <w:t>个工作日。</w:t>
      </w:r>
    </w:p>
    <w:p w14:paraId="59FFEB49">
      <w:pPr>
        <w:keepNext w:val="0"/>
        <w:keepLines w:val="0"/>
        <w:pageBreakBefore w:val="0"/>
        <w:widowControl w:val="0"/>
        <w:numPr>
          <w:ilvl w:val="0"/>
          <w:numId w:val="3"/>
        </w:numPr>
        <w:kinsoku/>
        <w:overflowPunct/>
        <w:topLinePunct w:val="0"/>
        <w:autoSpaceDE w:val="0"/>
        <w:autoSpaceDN w:val="0"/>
        <w:bidi w:val="0"/>
        <w:adjustRightInd w:val="0"/>
        <w:snapToGrid w:val="0"/>
        <w:spacing w:line="360" w:lineRule="auto"/>
        <w:textAlignment w:val="auto"/>
        <w:outlineLvl w:val="9"/>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其他补充事宜</w:t>
      </w:r>
    </w:p>
    <w:p w14:paraId="2F1F2AB0">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1、逾期送达的或者未送达指定地点的响应文件，采购人、采购代理机构不予受理。</w:t>
      </w:r>
    </w:p>
    <w:p w14:paraId="3C4C1507">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zh-CN"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lang w:val="zh-CN" w:eastAsia="zh-CN"/>
          <w14:textFill>
            <w14:solidFill>
              <w14:schemeClr w14:val="tx1"/>
            </w14:solidFill>
          </w14:textFill>
        </w:rPr>
        <w:t>本项目采用全流程电子化招投标，开标方式为远程开标，供应商须在提交响应文件截止时间前通过政府采购云平台（网址：http://www.zcygov.cn）递交电子响应文件，并按照现场工作人员通知使用CA锁进行响应文件远程解密。</w:t>
      </w:r>
    </w:p>
    <w:p w14:paraId="4A5A76F3">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zh-CN"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3、</w:t>
      </w:r>
      <w:r>
        <w:rPr>
          <w:rFonts w:hint="eastAsia" w:ascii="宋体" w:hAnsi="宋体" w:eastAsia="宋体" w:cs="宋体"/>
          <w:bCs/>
          <w:color w:val="000000" w:themeColor="text1"/>
          <w:sz w:val="24"/>
          <w:highlight w:val="none"/>
          <w:lang w:val="zh-CN" w:eastAsia="zh-CN"/>
          <w14:textFill>
            <w14:solidFill>
              <w14:schemeClr w14:val="tx1"/>
            </w14:solidFill>
          </w14:textFill>
        </w:rPr>
        <w:t>投标操作流程：供应商在政府采购云平台网注册入库成为正式供应商后，在平台上按《政府采购项目电子交易管理操作指南-供应商》进行投标操作。</w:t>
      </w:r>
    </w:p>
    <w:p w14:paraId="6AE7225E">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zh-CN"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lang w:val="zh-CN" w:eastAsia="zh-CN"/>
          <w14:textFill>
            <w14:solidFill>
              <w14:schemeClr w14:val="tx1"/>
            </w14:solidFill>
          </w14:textFill>
        </w:rPr>
        <w:t>数字证书办理及投标技术咨询：</w:t>
      </w:r>
      <w:r>
        <w:rPr>
          <w:rFonts w:hint="eastAsia" w:ascii="宋体" w:hAnsi="宋体" w:eastAsia="宋体" w:cs="宋体"/>
          <w:bCs/>
          <w:color w:val="000000" w:themeColor="text1"/>
          <w:sz w:val="24"/>
          <w:highlight w:val="none"/>
          <w:lang w:val="en-US" w:eastAsia="zh-CN"/>
          <w14:textFill>
            <w14:solidFill>
              <w14:schemeClr w14:val="tx1"/>
            </w14:solidFill>
          </w14:textFill>
        </w:rPr>
        <w:t>供应商</w:t>
      </w:r>
      <w:r>
        <w:rPr>
          <w:rFonts w:hint="eastAsia" w:ascii="宋体" w:hAnsi="宋体" w:eastAsia="宋体" w:cs="宋体"/>
          <w:bCs/>
          <w:color w:val="000000" w:themeColor="text1"/>
          <w:sz w:val="24"/>
          <w:highlight w:val="none"/>
          <w:lang w:val="zh-CN" w:eastAsia="zh-CN"/>
          <w14:textFill>
            <w14:solidFill>
              <w14:schemeClr w14:val="tx1"/>
            </w14:solidFill>
          </w14:textFill>
        </w:rPr>
        <w:t>须办理数字证书方可参加投标。供应商须自行考虑数字证书办理时限，由于供应商自身原因在开标前无法完成办理，后果自负。</w:t>
      </w:r>
    </w:p>
    <w:p w14:paraId="3CA52F9A">
      <w:pPr>
        <w:keepNext w:val="0"/>
        <w:keepLines w:val="0"/>
        <w:pageBreakBefore w:val="0"/>
        <w:widowControl w:val="0"/>
        <w:kinsoku/>
        <w:wordWrap w:val="0"/>
        <w:overflowPunct/>
        <w:topLinePunct w:val="0"/>
        <w:autoSpaceDE w:val="0"/>
        <w:autoSpaceDN w:val="0"/>
        <w:bidi w:val="0"/>
        <w:adjustRightInd w:val="0"/>
        <w:snapToGrid/>
        <w:spacing w:line="460" w:lineRule="exact"/>
        <w:ind w:firstLine="480" w:firstLineChars="200"/>
        <w:textAlignment w:val="auto"/>
        <w:outlineLvl w:val="9"/>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5、</w:t>
      </w:r>
      <w:r>
        <w:rPr>
          <w:rFonts w:hint="eastAsia" w:ascii="宋体" w:hAnsi="宋体" w:eastAsia="宋体" w:cs="宋体"/>
          <w:bCs/>
          <w:color w:val="000000" w:themeColor="text1"/>
          <w:sz w:val="24"/>
          <w:highlight w:val="none"/>
          <w:lang w:eastAsia="zh-CN"/>
          <w14:textFill>
            <w14:solidFill>
              <w14:schemeClr w14:val="tx1"/>
            </w14:solidFill>
          </w14:textFill>
        </w:rPr>
        <w:t>若对项目采购电子交易系统操作有疑问，可登录“政采云”平台（https://www.zcygov.cn/）点击右侧咨询小采，获取采小蜜智能服务管家帮助，或拨打政采云服务热线95763获取热线服务帮助。</w:t>
      </w:r>
    </w:p>
    <w:p w14:paraId="2EEE51D6">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6、因企业CA锁原因未能进行解密的，其投标无效。</w:t>
      </w:r>
    </w:p>
    <w:p w14:paraId="7CA47642">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7、采购项目需要落实的政府采购政策:《政府采购促进中小企业发展管理办法》（财库〔2020〕46号）</w:t>
      </w:r>
      <w:r>
        <w:rPr>
          <w:rFonts w:hint="eastAsia" w:ascii="宋体" w:hAnsi="宋体" w:cs="宋体"/>
          <w:bCs/>
          <w:color w:val="000000" w:themeColor="text1"/>
          <w:sz w:val="24"/>
          <w:highlight w:val="none"/>
          <w:lang w:val="en-US" w:eastAsia="zh-CN"/>
          <w14:textFill>
            <w14:solidFill>
              <w14:schemeClr w14:val="tx1"/>
            </w14:solidFill>
          </w14:textFill>
        </w:rPr>
        <w:t>及《关于进一步加大政府采购支持中小企业力度的通知》(财库〔2022〕19号)</w:t>
      </w:r>
      <w:r>
        <w:rPr>
          <w:rFonts w:hint="eastAsia" w:ascii="宋体" w:hAnsi="宋体" w:eastAsia="宋体" w:cs="宋体"/>
          <w:bCs/>
          <w:color w:val="000000" w:themeColor="text1"/>
          <w:sz w:val="24"/>
          <w:highlight w:val="none"/>
          <w:lang w:val="en-US" w:eastAsia="zh-CN"/>
          <w14:textFill>
            <w14:solidFill>
              <w14:schemeClr w14:val="tx1"/>
            </w14:solidFill>
          </w14:textFill>
        </w:rPr>
        <w:t>、《关于促进残疾人就业政府采购政策的通知》（财库〔2017〕141号）、《关于政府采购支持监狱企业发展有关问题的通知》(财库〔2014〕68号)、《国务院办公厅关于建立政府强制采购节能产品制度的通知》（国办发〔2007〕51号）、《关于调整优化节能产品、环境标志产品政府采购执行机制的通知》（财库〔2019〕9号）等国家最新政策。</w:t>
      </w:r>
    </w:p>
    <w:p w14:paraId="2C3A90D8">
      <w:pPr>
        <w:widowControl w:val="0"/>
        <w:overflowPunct/>
        <w:autoSpaceDE w:val="0"/>
        <w:autoSpaceDN w:val="0"/>
        <w:bidi w:val="0"/>
        <w:adjustRightInd w:val="0"/>
        <w:spacing w:line="460" w:lineRule="exact"/>
        <w:ind w:firstLine="480" w:firstLineChars="200"/>
        <w:outlineLvl w:val="9"/>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8、</w:t>
      </w:r>
      <w:r>
        <w:rPr>
          <w:rFonts w:hint="eastAsia" w:ascii="宋体" w:hAnsi="宋体" w:cs="宋体"/>
          <w:bCs/>
          <w:color w:val="000000" w:themeColor="text1"/>
          <w:sz w:val="24"/>
          <w:highlight w:val="none"/>
          <w:lang w:val="en-US" w:eastAsia="zh-CN"/>
          <w14:textFill>
            <w14:solidFill>
              <w14:schemeClr w14:val="tx1"/>
            </w14:solidFill>
          </w14:textFill>
        </w:rPr>
        <w:t>本次公告</w:t>
      </w:r>
      <w:r>
        <w:rPr>
          <w:rFonts w:hint="eastAsia" w:ascii="宋体" w:hAnsi="宋体" w:eastAsia="宋体" w:cs="宋体"/>
          <w:bCs/>
          <w:color w:val="000000" w:themeColor="text1"/>
          <w:sz w:val="24"/>
          <w:highlight w:val="none"/>
          <w:lang w:val="en-US" w:eastAsia="zh-CN"/>
          <w14:textFill>
            <w14:solidFill>
              <w14:schemeClr w14:val="tx1"/>
            </w14:solidFill>
          </w14:textFill>
        </w:rPr>
        <w:t>在“政采云”平台（http:// www.zcygov.cn），同步推送到吉林省政府采购网（http://www.ccgp-jilin.gov.cn/），并同时在中国政府采购网上发布。</w:t>
      </w:r>
    </w:p>
    <w:p w14:paraId="1A5ACC7F">
      <w:pPr>
        <w:widowControl w:val="0"/>
        <w:overflowPunct/>
        <w:autoSpaceDE w:val="0"/>
        <w:autoSpaceDN w:val="0"/>
        <w:bidi w:val="0"/>
        <w:adjustRightInd w:val="0"/>
        <w:spacing w:line="460" w:lineRule="exact"/>
        <w:outlineLvl w:val="9"/>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九、对本次</w:t>
      </w:r>
      <w:r>
        <w:rPr>
          <w:rFonts w:hint="eastAsia" w:ascii="宋体" w:hAnsi="宋体" w:eastAsia="宋体" w:cs="宋体"/>
          <w:b/>
          <w:color w:val="000000" w:themeColor="text1"/>
          <w:sz w:val="24"/>
          <w:highlight w:val="none"/>
          <w:lang w:eastAsia="zh-CN"/>
          <w14:textFill>
            <w14:solidFill>
              <w14:schemeClr w14:val="tx1"/>
            </w14:solidFill>
          </w14:textFill>
        </w:rPr>
        <w:t>磋商</w:t>
      </w:r>
      <w:r>
        <w:rPr>
          <w:rFonts w:hint="eastAsia" w:ascii="宋体" w:hAnsi="宋体" w:eastAsia="宋体" w:cs="宋体"/>
          <w:b/>
          <w:color w:val="000000" w:themeColor="text1"/>
          <w:sz w:val="24"/>
          <w:highlight w:val="none"/>
          <w14:textFill>
            <w14:solidFill>
              <w14:schemeClr w14:val="tx1"/>
            </w14:solidFill>
          </w14:textFill>
        </w:rPr>
        <w:t>提出询问，请按以下方式联系。</w:t>
      </w:r>
    </w:p>
    <w:p w14:paraId="3B1DBA61">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bookmarkStart w:id="8" w:name="_Toc35393637"/>
      <w:bookmarkStart w:id="9" w:name="_Toc28359019"/>
      <w:bookmarkStart w:id="10" w:name="_Toc35393806"/>
      <w:bookmarkStart w:id="11" w:name="_Toc28359096"/>
      <w:r>
        <w:rPr>
          <w:rFonts w:hint="eastAsia" w:ascii="宋体" w:hAnsi="宋体" w:eastAsia="宋体" w:cs="宋体"/>
          <w:bCs/>
          <w:color w:val="000000" w:themeColor="text1"/>
          <w:sz w:val="24"/>
          <w:highlight w:val="none"/>
          <w:lang w:val="en-US" w:eastAsia="zh-CN"/>
          <w14:textFill>
            <w14:solidFill>
              <w14:schemeClr w14:val="tx1"/>
            </w14:solidFill>
          </w14:textFill>
        </w:rPr>
        <w:t>1.采购人信息</w:t>
      </w:r>
      <w:bookmarkEnd w:id="8"/>
      <w:bookmarkEnd w:id="9"/>
      <w:bookmarkEnd w:id="10"/>
      <w:bookmarkEnd w:id="11"/>
    </w:p>
    <w:p w14:paraId="04A23BA2">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名    称：</w:t>
      </w:r>
      <w:r>
        <w:rPr>
          <w:rFonts w:hint="eastAsia" w:ascii="宋体" w:hAnsi="宋体" w:cs="宋体"/>
          <w:bCs/>
          <w:color w:val="000000" w:themeColor="text1"/>
          <w:sz w:val="24"/>
          <w:highlight w:val="none"/>
          <w:lang w:val="en-US" w:eastAsia="zh-CN"/>
          <w14:textFill>
            <w14:solidFill>
              <w14:schemeClr w14:val="tx1"/>
            </w14:solidFill>
          </w14:textFill>
        </w:rPr>
        <w:t>珲春市教育技术装备中心</w:t>
      </w:r>
    </w:p>
    <w:p w14:paraId="3CFF5320">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地    址：</w:t>
      </w:r>
      <w:r>
        <w:rPr>
          <w:rFonts w:hint="eastAsia" w:ascii="宋体" w:hAnsi="宋体" w:cs="宋体"/>
          <w:bCs/>
          <w:color w:val="000000" w:themeColor="text1"/>
          <w:sz w:val="24"/>
          <w:highlight w:val="none"/>
          <w:lang w:val="en-US" w:eastAsia="zh-CN"/>
          <w14:textFill>
            <w14:solidFill>
              <w14:schemeClr w14:val="tx1"/>
            </w14:solidFill>
          </w14:textFill>
        </w:rPr>
        <w:t>珲春市靖和街育才胡同400号</w:t>
      </w:r>
    </w:p>
    <w:p w14:paraId="1FA44299">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联系方式：</w:t>
      </w:r>
      <w:r>
        <w:rPr>
          <w:rFonts w:hint="eastAsia" w:ascii="宋体" w:hAnsi="宋体" w:cs="宋体"/>
          <w:bCs/>
          <w:color w:val="000000" w:themeColor="text1"/>
          <w:sz w:val="24"/>
          <w:highlight w:val="none"/>
          <w:lang w:val="en-US" w:eastAsia="zh-CN"/>
          <w14:textFill>
            <w14:solidFill>
              <w14:schemeClr w14:val="tx1"/>
            </w14:solidFill>
          </w14:textFill>
        </w:rPr>
        <w:t>王东晖 15143326263</w:t>
      </w:r>
    </w:p>
    <w:p w14:paraId="2200B1CD">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bookmarkStart w:id="12" w:name="_Toc35393807"/>
      <w:bookmarkStart w:id="13" w:name="_Toc35393638"/>
      <w:bookmarkStart w:id="14" w:name="_Toc28359020"/>
      <w:bookmarkStart w:id="15" w:name="_Toc28359097"/>
      <w:r>
        <w:rPr>
          <w:rFonts w:hint="eastAsia" w:ascii="宋体" w:hAnsi="宋体" w:eastAsia="宋体" w:cs="宋体"/>
          <w:bCs/>
          <w:color w:val="000000" w:themeColor="text1"/>
          <w:sz w:val="24"/>
          <w:highlight w:val="none"/>
          <w:lang w:val="en-US" w:eastAsia="zh-CN"/>
          <w14:textFill>
            <w14:solidFill>
              <w14:schemeClr w14:val="tx1"/>
            </w14:solidFill>
          </w14:textFill>
        </w:rPr>
        <w:t>2.采购代理机构信息</w:t>
      </w:r>
      <w:bookmarkEnd w:id="12"/>
      <w:bookmarkEnd w:id="13"/>
      <w:bookmarkEnd w:id="14"/>
      <w:bookmarkEnd w:id="15"/>
    </w:p>
    <w:p w14:paraId="622A4BEC">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名    称：</w:t>
      </w:r>
      <w:r>
        <w:rPr>
          <w:rFonts w:hint="eastAsia" w:ascii="宋体" w:hAnsi="宋体" w:cs="宋体"/>
          <w:bCs/>
          <w:color w:val="000000" w:themeColor="text1"/>
          <w:sz w:val="24"/>
          <w:highlight w:val="none"/>
          <w:lang w:val="en-US" w:eastAsia="zh-CN"/>
          <w14:textFill>
            <w14:solidFill>
              <w14:schemeClr w14:val="tx1"/>
            </w14:solidFill>
          </w14:textFill>
        </w:rPr>
        <w:t>吉林省天一工程管理有限公司</w:t>
      </w:r>
    </w:p>
    <w:p w14:paraId="56A6274D">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地    址：</w:t>
      </w:r>
      <w:r>
        <w:rPr>
          <w:rFonts w:hint="eastAsia" w:ascii="宋体" w:hAnsi="宋体" w:cs="宋体"/>
          <w:bCs/>
          <w:color w:val="000000" w:themeColor="text1"/>
          <w:sz w:val="24"/>
          <w:highlight w:val="none"/>
          <w:lang w:val="en-US" w:eastAsia="zh-CN"/>
          <w14:textFill>
            <w14:solidFill>
              <w14:schemeClr w14:val="tx1"/>
            </w14:solidFill>
          </w14:textFill>
        </w:rPr>
        <w:t xml:space="preserve">延吉市延边林区分院南侧 </w:t>
      </w:r>
      <w:r>
        <w:rPr>
          <w:rFonts w:hint="eastAsia" w:ascii="宋体" w:hAnsi="宋体" w:eastAsia="宋体" w:cs="宋体"/>
          <w:bCs/>
          <w:color w:val="000000" w:themeColor="text1"/>
          <w:sz w:val="24"/>
          <w:highlight w:val="none"/>
          <w:lang w:val="en-US" w:eastAsia="zh-CN"/>
          <w14:textFill>
            <w14:solidFill>
              <w14:schemeClr w14:val="tx1"/>
            </w14:solidFill>
          </w14:textFill>
        </w:rPr>
        <w:t xml:space="preserve">     </w:t>
      </w:r>
    </w:p>
    <w:p w14:paraId="771C907D">
      <w:pPr>
        <w:widowControl w:val="0"/>
        <w:overflowPunct/>
        <w:autoSpaceDE w:val="0"/>
        <w:autoSpaceDN w:val="0"/>
        <w:bidi w:val="0"/>
        <w:adjustRightInd w:val="0"/>
        <w:spacing w:line="460" w:lineRule="exact"/>
        <w:ind w:firstLine="480" w:firstLineChars="200"/>
        <w:outlineLvl w:val="9"/>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联系方式：</w:t>
      </w:r>
      <w:r>
        <w:rPr>
          <w:rFonts w:hint="eastAsia" w:ascii="宋体" w:hAnsi="宋体" w:cs="宋体"/>
          <w:bCs/>
          <w:color w:val="000000" w:themeColor="text1"/>
          <w:sz w:val="24"/>
          <w:highlight w:val="none"/>
          <w:lang w:val="zh-CN" w:eastAsia="zh-CN"/>
          <w14:textFill>
            <w14:solidFill>
              <w14:schemeClr w14:val="tx1"/>
            </w14:solidFill>
          </w14:textFill>
        </w:rPr>
        <w:t>曲梦妮</w:t>
      </w:r>
      <w:r>
        <w:rPr>
          <w:rFonts w:hint="eastAsia" w:ascii="宋体" w:hAnsi="宋体" w:cs="宋体"/>
          <w:bCs/>
          <w:color w:val="000000" w:themeColor="text1"/>
          <w:sz w:val="24"/>
          <w:highlight w:val="none"/>
          <w:lang w:val="en-US" w:eastAsia="zh-CN"/>
          <w14:textFill>
            <w14:solidFill>
              <w14:schemeClr w14:val="tx1"/>
            </w14:solidFill>
          </w14:textFill>
        </w:rPr>
        <w:t>0433-2809090</w:t>
      </w:r>
    </w:p>
    <w:p w14:paraId="1CCCEA34">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bookmarkStart w:id="16" w:name="_Toc28359021"/>
      <w:bookmarkStart w:id="17" w:name="_Toc35393808"/>
      <w:bookmarkStart w:id="18" w:name="_Toc35393639"/>
      <w:bookmarkStart w:id="19" w:name="_Toc28359098"/>
      <w:r>
        <w:rPr>
          <w:rFonts w:hint="eastAsia" w:ascii="宋体" w:hAnsi="宋体" w:eastAsia="宋体" w:cs="宋体"/>
          <w:bCs/>
          <w:color w:val="000000" w:themeColor="text1"/>
          <w:sz w:val="24"/>
          <w:highlight w:val="none"/>
          <w:lang w:val="en-US" w:eastAsia="zh-CN"/>
          <w14:textFill>
            <w14:solidFill>
              <w14:schemeClr w14:val="tx1"/>
            </w14:solidFill>
          </w14:textFill>
        </w:rPr>
        <w:t>3.项目联系方式</w:t>
      </w:r>
      <w:bookmarkEnd w:id="16"/>
      <w:bookmarkEnd w:id="17"/>
      <w:bookmarkEnd w:id="18"/>
      <w:bookmarkEnd w:id="19"/>
    </w:p>
    <w:p w14:paraId="6E300901">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项目联系人：</w:t>
      </w:r>
      <w:r>
        <w:rPr>
          <w:rFonts w:hint="eastAsia" w:ascii="宋体" w:hAnsi="宋体" w:cs="宋体"/>
          <w:bCs/>
          <w:color w:val="000000" w:themeColor="text1"/>
          <w:sz w:val="24"/>
          <w:highlight w:val="none"/>
          <w:lang w:val="en-US" w:eastAsia="zh-CN"/>
          <w14:textFill>
            <w14:solidFill>
              <w14:schemeClr w14:val="tx1"/>
            </w14:solidFill>
          </w14:textFill>
        </w:rPr>
        <w:t>曲梦妮</w:t>
      </w:r>
    </w:p>
    <w:p w14:paraId="398B965C">
      <w:pPr>
        <w:widowControl w:val="0"/>
        <w:overflowPunct/>
        <w:autoSpaceDE w:val="0"/>
        <w:autoSpaceDN w:val="0"/>
        <w:bidi w:val="0"/>
        <w:adjustRightInd w:val="0"/>
        <w:spacing w:line="460" w:lineRule="exact"/>
        <w:ind w:firstLine="480" w:firstLineChars="200"/>
        <w:outlineLvl w:val="9"/>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电　  话：</w:t>
      </w:r>
      <w:r>
        <w:rPr>
          <w:rFonts w:hint="eastAsia" w:ascii="宋体" w:hAnsi="宋体" w:cs="宋体"/>
          <w:bCs/>
          <w:color w:val="000000" w:themeColor="text1"/>
          <w:sz w:val="24"/>
          <w:highlight w:val="none"/>
          <w:lang w:val="en-US" w:eastAsia="zh-CN"/>
          <w14:textFill>
            <w14:solidFill>
              <w14:schemeClr w14:val="tx1"/>
            </w14:solidFill>
          </w14:textFill>
        </w:rPr>
        <w:t>0433-2809090</w:t>
      </w:r>
    </w:p>
    <w:p w14:paraId="4A23D469">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4.监督机构：</w:t>
      </w:r>
      <w:r>
        <w:rPr>
          <w:rFonts w:hint="eastAsia" w:ascii="宋体" w:hAnsi="宋体" w:cs="宋体"/>
          <w:bCs/>
          <w:color w:val="000000" w:themeColor="text1"/>
          <w:sz w:val="24"/>
          <w:highlight w:val="none"/>
          <w:lang w:val="en-US" w:eastAsia="zh-CN"/>
          <w14:textFill>
            <w14:solidFill>
              <w14:schemeClr w14:val="tx1"/>
            </w14:solidFill>
          </w14:textFill>
        </w:rPr>
        <w:t>珲春市财政局政府采购管理工作办公室</w:t>
      </w:r>
    </w:p>
    <w:p w14:paraId="0549F099">
      <w:pPr>
        <w:widowControl w:val="0"/>
        <w:overflowPunct/>
        <w:autoSpaceDE w:val="0"/>
        <w:autoSpaceDN w:val="0"/>
        <w:bidi w:val="0"/>
        <w:adjustRightInd w:val="0"/>
        <w:spacing w:line="460" w:lineRule="exact"/>
        <w:ind w:firstLine="480" w:firstLineChars="200"/>
        <w:outlineLvl w:val="9"/>
        <w:rPr>
          <w:rFonts w:hint="eastAsia" w:ascii="宋体" w:hAnsi="宋体" w:eastAsia="宋体" w:cs="宋体"/>
          <w:bCs/>
          <w:color w:val="000000" w:themeColor="text1"/>
          <w:sz w:val="24"/>
          <w:highlight w:val="none"/>
          <w:lang w:val="zh-CN" w:eastAsia="zh-CN"/>
          <w14:textFill>
            <w14:solidFill>
              <w14:schemeClr w14:val="tx1"/>
            </w14:solidFill>
          </w14:textFill>
        </w:rPr>
        <w:sectPr>
          <w:footerReference r:id="rId9" w:type="default"/>
          <w:pgSz w:w="11906" w:h="16838"/>
          <w:pgMar w:top="1134" w:right="1134" w:bottom="1134" w:left="1134" w:header="851" w:footer="851" w:gutter="0"/>
          <w:pgBorders>
            <w:top w:val="none" w:sz="0" w:space="0"/>
            <w:left w:val="none" w:sz="0" w:space="0"/>
            <w:bottom w:val="none" w:sz="0" w:space="0"/>
            <w:right w:val="none" w:sz="0" w:space="0"/>
          </w:pgBorders>
          <w:pgNumType w:fmt="decimal" w:start="1"/>
          <w:cols w:space="720" w:num="1"/>
          <w:docGrid w:linePitch="312" w:charSpace="0"/>
        </w:sectPr>
      </w:pPr>
    </w:p>
    <w:p w14:paraId="363183AD">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color w:val="000000" w:themeColor="text1"/>
          <w:kern w:val="2"/>
          <w:sz w:val="36"/>
          <w:szCs w:val="36"/>
          <w:highlight w:val="none"/>
          <w:lang w:val="en-US" w:eastAsia="zh-CN" w:bidi="ar-SA"/>
          <w14:textFill>
            <w14:solidFill>
              <w14:schemeClr w14:val="tx1"/>
            </w14:solidFill>
          </w14:textFill>
        </w:rPr>
      </w:pPr>
      <w:bookmarkStart w:id="20" w:name="_Toc383794598"/>
      <w:bookmarkStart w:id="21" w:name="_Toc9784"/>
      <w:bookmarkStart w:id="22" w:name="_Toc18381"/>
      <w:bookmarkStart w:id="23" w:name="_Toc291782331"/>
      <w:bookmarkStart w:id="24" w:name="_Toc325358490"/>
      <w:bookmarkStart w:id="25" w:name="_Toc184635071"/>
      <w:r>
        <w:rPr>
          <w:rFonts w:hint="eastAsia"/>
          <w:b/>
          <w:bCs/>
          <w:color w:val="000000" w:themeColor="text1"/>
          <w:sz w:val="36"/>
          <w:szCs w:val="36"/>
          <w:highlight w:val="none"/>
          <w:lang w:val="en-US" w:eastAsia="zh-CN"/>
          <w14:textFill>
            <w14:solidFill>
              <w14:schemeClr w14:val="tx1"/>
            </w14:solidFill>
          </w14:textFill>
        </w:rPr>
        <w:t xml:space="preserve">第一章 </w:t>
      </w:r>
      <w:r>
        <w:rPr>
          <w:rFonts w:hint="eastAsia" w:eastAsia="宋体"/>
          <w:b/>
          <w:bCs/>
          <w:color w:val="000000" w:themeColor="text1"/>
          <w:sz w:val="36"/>
          <w:szCs w:val="36"/>
          <w:highlight w:val="none"/>
          <w:lang w:val="en-US" w:eastAsia="zh-CN"/>
          <w14:textFill>
            <w14:solidFill>
              <w14:schemeClr w14:val="tx1"/>
            </w14:solidFill>
          </w14:textFill>
        </w:rPr>
        <w:t>供应商须知</w:t>
      </w:r>
      <w:bookmarkEnd w:id="20"/>
      <w:bookmarkEnd w:id="21"/>
      <w:bookmarkEnd w:id="22"/>
    </w:p>
    <w:p w14:paraId="044D1794">
      <w:pPr>
        <w:keepNext/>
        <w:keepLines/>
        <w:pageBreakBefore w:val="0"/>
        <w:widowControl w:val="0"/>
        <w:kinsoku/>
        <w:wordWrap/>
        <w:overflowPunct/>
        <w:topLinePunct w:val="0"/>
        <w:autoSpaceDE/>
        <w:autoSpaceDN/>
        <w:bidi w:val="0"/>
        <w:adjustRightInd/>
        <w:snapToGrid/>
        <w:spacing w:before="0" w:after="0" w:line="416" w:lineRule="auto"/>
        <w:jc w:val="center"/>
        <w:textAlignment w:val="auto"/>
        <w:outlineLvl w:val="9"/>
        <w:rPr>
          <w:color w:val="000000" w:themeColor="text1"/>
          <w:sz w:val="30"/>
          <w:szCs w:val="30"/>
          <w:highlight w:val="none"/>
          <w14:textFill>
            <w14:solidFill>
              <w14:schemeClr w14:val="tx1"/>
            </w14:solidFill>
          </w14:textFill>
        </w:rPr>
      </w:pPr>
      <w:bookmarkStart w:id="26" w:name="_Toc383794599"/>
      <w:r>
        <w:rPr>
          <w:rFonts w:hint="eastAsia"/>
          <w:color w:val="000000" w:themeColor="text1"/>
          <w:sz w:val="30"/>
          <w:szCs w:val="30"/>
          <w:highlight w:val="none"/>
          <w:lang w:eastAsia="zh-CN"/>
          <w14:textFill>
            <w14:solidFill>
              <w14:schemeClr w14:val="tx1"/>
            </w14:solidFill>
          </w14:textFill>
        </w:rPr>
        <w:t>供应商</w:t>
      </w:r>
      <w:r>
        <w:rPr>
          <w:rFonts w:hint="eastAsia"/>
          <w:color w:val="000000" w:themeColor="text1"/>
          <w:sz w:val="30"/>
          <w:szCs w:val="30"/>
          <w:highlight w:val="none"/>
          <w14:textFill>
            <w14:solidFill>
              <w14:schemeClr w14:val="tx1"/>
            </w14:solidFill>
          </w14:textFill>
        </w:rPr>
        <w:t>须知前附表</w:t>
      </w:r>
      <w:bookmarkEnd w:id="26"/>
    </w:p>
    <w:tbl>
      <w:tblPr>
        <w:tblStyle w:val="38"/>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095"/>
        <w:gridCol w:w="6675"/>
      </w:tblGrid>
      <w:tr w14:paraId="2216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95" w:type="dxa"/>
            <w:vAlign w:val="center"/>
          </w:tcPr>
          <w:p w14:paraId="43050700">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条款号</w:t>
            </w:r>
          </w:p>
        </w:tc>
        <w:tc>
          <w:tcPr>
            <w:tcW w:w="2095" w:type="dxa"/>
            <w:vAlign w:val="center"/>
          </w:tcPr>
          <w:p w14:paraId="4D41D685">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条款名称</w:t>
            </w:r>
          </w:p>
        </w:tc>
        <w:tc>
          <w:tcPr>
            <w:tcW w:w="6675" w:type="dxa"/>
            <w:vAlign w:val="center"/>
          </w:tcPr>
          <w:p w14:paraId="37043E4E">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编列内容</w:t>
            </w:r>
          </w:p>
        </w:tc>
      </w:tr>
      <w:tr w14:paraId="7343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95" w:type="dxa"/>
            <w:vAlign w:val="center"/>
          </w:tcPr>
          <w:p w14:paraId="2BD54143">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1.1.2</w:t>
            </w:r>
          </w:p>
        </w:tc>
        <w:tc>
          <w:tcPr>
            <w:tcW w:w="2095" w:type="dxa"/>
            <w:vAlign w:val="center"/>
          </w:tcPr>
          <w:p w14:paraId="55F93CB0">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采购人</w:t>
            </w:r>
          </w:p>
        </w:tc>
        <w:tc>
          <w:tcPr>
            <w:tcW w:w="6675" w:type="dxa"/>
            <w:vAlign w:val="center"/>
          </w:tcPr>
          <w:p w14:paraId="38691AC0">
            <w:pPr>
              <w:overflowPunct/>
              <w:bidi w:val="0"/>
              <w:spacing w:line="400" w:lineRule="exact"/>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名  称：</w:t>
            </w:r>
            <w:r>
              <w:rPr>
                <w:rFonts w:hint="eastAsia" w:ascii="宋体" w:hAnsi="宋体" w:cs="微软雅黑"/>
                <w:color w:val="000000" w:themeColor="text1"/>
                <w:szCs w:val="21"/>
                <w:highlight w:val="none"/>
                <w:lang w:val="en-US" w:eastAsia="zh-CN"/>
                <w14:textFill>
                  <w14:solidFill>
                    <w14:schemeClr w14:val="tx1"/>
                  </w14:solidFill>
                </w14:textFill>
              </w:rPr>
              <w:t>珲春市教育技术装备中心</w:t>
            </w:r>
          </w:p>
          <w:p w14:paraId="2E917F87">
            <w:pPr>
              <w:overflowPunct/>
              <w:bidi w:val="0"/>
              <w:spacing w:line="400" w:lineRule="exact"/>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地  址：</w:t>
            </w:r>
            <w:r>
              <w:rPr>
                <w:rFonts w:hint="eastAsia" w:ascii="宋体" w:hAnsi="宋体" w:cs="微软雅黑"/>
                <w:color w:val="000000" w:themeColor="text1"/>
                <w:szCs w:val="21"/>
                <w:highlight w:val="none"/>
                <w:lang w:val="en-US" w:eastAsia="zh-CN"/>
                <w14:textFill>
                  <w14:solidFill>
                    <w14:schemeClr w14:val="tx1"/>
                  </w14:solidFill>
                </w14:textFill>
              </w:rPr>
              <w:t>珲春市靖和街育才胡同400号</w:t>
            </w:r>
          </w:p>
          <w:p w14:paraId="611D87BF">
            <w:pPr>
              <w:overflowPunct/>
              <w:bidi w:val="0"/>
              <w:spacing w:line="400" w:lineRule="exact"/>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联系人：</w:t>
            </w:r>
            <w:r>
              <w:rPr>
                <w:rFonts w:hint="eastAsia" w:ascii="宋体" w:hAnsi="宋体" w:cs="宋体"/>
                <w:bCs/>
                <w:color w:val="000000" w:themeColor="text1"/>
                <w:sz w:val="24"/>
                <w:highlight w:val="none"/>
                <w:lang w:val="en-US" w:eastAsia="zh-CN"/>
                <w14:textFill>
                  <w14:solidFill>
                    <w14:schemeClr w14:val="tx1"/>
                  </w14:solidFill>
                </w14:textFill>
              </w:rPr>
              <w:t>王东晖</w:t>
            </w:r>
          </w:p>
          <w:p w14:paraId="0607D835">
            <w:pPr>
              <w:overflowPunct/>
              <w:bidi w:val="0"/>
              <w:spacing w:line="400" w:lineRule="exact"/>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电  话：</w:t>
            </w:r>
            <w:r>
              <w:rPr>
                <w:rFonts w:hint="eastAsia" w:ascii="宋体" w:hAnsi="宋体" w:cs="宋体"/>
                <w:bCs/>
                <w:color w:val="000000" w:themeColor="text1"/>
                <w:sz w:val="24"/>
                <w:highlight w:val="none"/>
                <w:lang w:val="en-US" w:eastAsia="zh-CN"/>
                <w14:textFill>
                  <w14:solidFill>
                    <w14:schemeClr w14:val="tx1"/>
                  </w14:solidFill>
                </w14:textFill>
              </w:rPr>
              <w:t>15143326263</w:t>
            </w:r>
          </w:p>
        </w:tc>
      </w:tr>
      <w:tr w14:paraId="0362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vAlign w:val="center"/>
          </w:tcPr>
          <w:p w14:paraId="1B9DA88D">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1.1.3</w:t>
            </w:r>
          </w:p>
        </w:tc>
        <w:tc>
          <w:tcPr>
            <w:tcW w:w="2095" w:type="dxa"/>
            <w:vAlign w:val="center"/>
          </w:tcPr>
          <w:p w14:paraId="75737AA0">
            <w:pPr>
              <w:overflowPunct/>
              <w:bidi w:val="0"/>
              <w:spacing w:line="400" w:lineRule="exact"/>
              <w:outlineLvl w:val="9"/>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采购代理机构</w:t>
            </w:r>
          </w:p>
        </w:tc>
        <w:tc>
          <w:tcPr>
            <w:tcW w:w="6675" w:type="dxa"/>
            <w:vAlign w:val="center"/>
          </w:tcPr>
          <w:p w14:paraId="18452181">
            <w:pPr>
              <w:overflowPunct/>
              <w:bidi w:val="0"/>
              <w:spacing w:line="400" w:lineRule="exact"/>
              <w:outlineLvl w:val="9"/>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名    称：</w:t>
            </w:r>
            <w:r>
              <w:rPr>
                <w:rFonts w:hint="eastAsia" w:ascii="宋体" w:hAnsi="宋体" w:cs="微软雅黑"/>
                <w:color w:val="000000" w:themeColor="text1"/>
                <w:szCs w:val="21"/>
                <w:highlight w:val="none"/>
                <w:lang w:val="zh-CN" w:eastAsia="zh-CN"/>
                <w14:textFill>
                  <w14:solidFill>
                    <w14:schemeClr w14:val="tx1"/>
                  </w14:solidFill>
                </w14:textFill>
              </w:rPr>
              <w:t>吉林省天一工程管理有限公司</w:t>
            </w:r>
          </w:p>
          <w:p w14:paraId="13B63639">
            <w:pPr>
              <w:overflowPunct/>
              <w:bidi w:val="0"/>
              <w:spacing w:line="400" w:lineRule="exact"/>
              <w:outlineLvl w:val="9"/>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地    址：</w:t>
            </w:r>
            <w:r>
              <w:rPr>
                <w:rFonts w:hint="eastAsia" w:ascii="宋体" w:hAnsi="宋体" w:cs="微软雅黑"/>
                <w:color w:val="000000" w:themeColor="text1"/>
                <w:szCs w:val="21"/>
                <w:highlight w:val="none"/>
                <w:lang w:val="en-US" w:eastAsia="zh-CN"/>
                <w14:textFill>
                  <w14:solidFill>
                    <w14:schemeClr w14:val="tx1"/>
                  </w14:solidFill>
                </w14:textFill>
              </w:rPr>
              <w:t xml:space="preserve">延吉市延边林区分院南侧      </w:t>
            </w:r>
          </w:p>
          <w:p w14:paraId="0A6CBACA">
            <w:pPr>
              <w:overflowPunct/>
              <w:bidi w:val="0"/>
              <w:spacing w:line="400" w:lineRule="exact"/>
              <w:outlineLvl w:val="9"/>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联系人：</w:t>
            </w:r>
            <w:r>
              <w:rPr>
                <w:rFonts w:hint="eastAsia" w:ascii="宋体" w:hAnsi="宋体" w:cs="微软雅黑"/>
                <w:color w:val="000000" w:themeColor="text1"/>
                <w:szCs w:val="21"/>
                <w:highlight w:val="none"/>
                <w:lang w:val="en-US" w:eastAsia="zh-CN"/>
                <w14:textFill>
                  <w14:solidFill>
                    <w14:schemeClr w14:val="tx1"/>
                  </w14:solidFill>
                </w14:textFill>
              </w:rPr>
              <w:t xml:space="preserve">曲梦妮     </w:t>
            </w:r>
          </w:p>
          <w:p w14:paraId="5F7E68FA">
            <w:pPr>
              <w:overflowPunct/>
              <w:bidi w:val="0"/>
              <w:spacing w:line="400" w:lineRule="exact"/>
              <w:outlineLvl w:val="9"/>
              <w:rPr>
                <w:rFonts w:hint="default"/>
                <w:color w:val="000000" w:themeColor="text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联系方式：</w:t>
            </w:r>
            <w:r>
              <w:rPr>
                <w:rFonts w:hint="eastAsia" w:ascii="宋体" w:hAnsi="宋体" w:cs="微软雅黑"/>
                <w:color w:val="000000" w:themeColor="text1"/>
                <w:szCs w:val="21"/>
                <w:highlight w:val="none"/>
                <w:lang w:val="en-US" w:eastAsia="zh-CN"/>
                <w14:textFill>
                  <w14:solidFill>
                    <w14:schemeClr w14:val="tx1"/>
                  </w14:solidFill>
                </w14:textFill>
              </w:rPr>
              <w:t>0433-2809090</w:t>
            </w:r>
          </w:p>
        </w:tc>
      </w:tr>
      <w:tr w14:paraId="14B3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5C6E90B8">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1.1.4</w:t>
            </w:r>
          </w:p>
        </w:tc>
        <w:tc>
          <w:tcPr>
            <w:tcW w:w="2095" w:type="dxa"/>
            <w:vAlign w:val="center"/>
          </w:tcPr>
          <w:p w14:paraId="26A52C85">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p>
        </w:tc>
        <w:tc>
          <w:tcPr>
            <w:tcW w:w="6675" w:type="dxa"/>
            <w:vAlign w:val="center"/>
          </w:tcPr>
          <w:p w14:paraId="2D906B46">
            <w:pPr>
              <w:overflowPunct/>
              <w:bidi w:val="0"/>
              <w:spacing w:line="400" w:lineRule="exact"/>
              <w:outlineLvl w:val="9"/>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2025年珲春市中小学护眼灯采购</w:t>
            </w:r>
          </w:p>
        </w:tc>
      </w:tr>
      <w:tr w14:paraId="4ADE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17E4F13F">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1.1.5</w:t>
            </w:r>
          </w:p>
        </w:tc>
        <w:tc>
          <w:tcPr>
            <w:tcW w:w="2095" w:type="dxa"/>
            <w:vAlign w:val="center"/>
          </w:tcPr>
          <w:p w14:paraId="4B0AB0CE">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供货</w:t>
            </w:r>
            <w:r>
              <w:rPr>
                <w:rFonts w:hint="eastAsia"/>
                <w:color w:val="000000" w:themeColor="text1"/>
                <w:highlight w:val="none"/>
                <w14:textFill>
                  <w14:solidFill>
                    <w14:schemeClr w14:val="tx1"/>
                  </w14:solidFill>
                </w14:textFill>
              </w:rPr>
              <w:t>地点</w:t>
            </w:r>
          </w:p>
        </w:tc>
        <w:tc>
          <w:tcPr>
            <w:tcW w:w="6675" w:type="dxa"/>
            <w:vAlign w:val="center"/>
          </w:tcPr>
          <w:p w14:paraId="2E339BAE">
            <w:pPr>
              <w:overflowPunct/>
              <w:bidi w:val="0"/>
              <w:spacing w:line="400" w:lineRule="exact"/>
              <w:outlineLvl w:val="9"/>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珲春市教育技术装备中心指定地点</w:t>
            </w:r>
          </w:p>
        </w:tc>
      </w:tr>
      <w:tr w14:paraId="6840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53A766F8">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1.2.1</w:t>
            </w:r>
          </w:p>
        </w:tc>
        <w:tc>
          <w:tcPr>
            <w:tcW w:w="2095" w:type="dxa"/>
            <w:vAlign w:val="center"/>
          </w:tcPr>
          <w:p w14:paraId="77AC1714">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资金来源</w:t>
            </w:r>
          </w:p>
        </w:tc>
        <w:tc>
          <w:tcPr>
            <w:tcW w:w="6675" w:type="dxa"/>
            <w:vAlign w:val="center"/>
          </w:tcPr>
          <w:p w14:paraId="2B08B585">
            <w:pPr>
              <w:overflowPunct/>
              <w:bidi w:val="0"/>
              <w:spacing w:line="400" w:lineRule="exact"/>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default" w:ascii="宋体" w:hAnsi="宋体" w:eastAsia="宋体" w:cs="微软雅黑"/>
                <w:color w:val="000000" w:themeColor="text1"/>
                <w:szCs w:val="21"/>
                <w:highlight w:val="none"/>
                <w:lang w:val="en-US" w:eastAsia="zh-CN"/>
                <w14:textFill>
                  <w14:solidFill>
                    <w14:schemeClr w14:val="tx1"/>
                  </w14:solidFill>
                </w14:textFill>
              </w:rPr>
              <w:t>2024年义务教育薄弱环节改善与能力提升项目补充资金</w:t>
            </w:r>
            <w:r>
              <w:rPr>
                <w:rFonts w:hint="eastAsia" w:ascii="宋体" w:hAnsi="宋体" w:cs="微软雅黑"/>
                <w:color w:val="000000" w:themeColor="text1"/>
                <w:szCs w:val="21"/>
                <w:highlight w:val="none"/>
                <w:lang w:val="en-US" w:eastAsia="zh-CN"/>
                <w14:textFill>
                  <w14:solidFill>
                    <w14:schemeClr w14:val="tx1"/>
                  </w14:solidFill>
                </w14:textFill>
              </w:rPr>
              <w:t xml:space="preserve"> [</w:t>
            </w:r>
            <w:r>
              <w:rPr>
                <w:rFonts w:hint="default" w:ascii="宋体" w:hAnsi="宋体" w:eastAsia="宋体" w:cs="微软雅黑"/>
                <w:color w:val="000000" w:themeColor="text1"/>
                <w:szCs w:val="21"/>
                <w:highlight w:val="none"/>
                <w:lang w:val="en-US" w:eastAsia="zh-CN"/>
                <w14:textFill>
                  <w14:solidFill>
                    <w14:schemeClr w14:val="tx1"/>
                  </w14:solidFill>
                </w14:textFill>
              </w:rPr>
              <w:t>延州财教指[2023]406号</w:t>
            </w:r>
            <w:r>
              <w:rPr>
                <w:rFonts w:hint="eastAsia" w:ascii="宋体" w:hAnsi="宋体" w:cs="微软雅黑"/>
                <w:color w:val="000000" w:themeColor="text1"/>
                <w:szCs w:val="21"/>
                <w:highlight w:val="none"/>
                <w:lang w:val="en-US" w:eastAsia="zh-CN"/>
                <w14:textFill>
                  <w14:solidFill>
                    <w14:schemeClr w14:val="tx1"/>
                  </w14:solidFill>
                </w14:textFill>
              </w:rPr>
              <w:t>]</w:t>
            </w:r>
          </w:p>
        </w:tc>
      </w:tr>
      <w:tr w14:paraId="287C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1FE04AB2">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1.2.2</w:t>
            </w:r>
          </w:p>
        </w:tc>
        <w:tc>
          <w:tcPr>
            <w:tcW w:w="2095" w:type="dxa"/>
            <w:vAlign w:val="center"/>
          </w:tcPr>
          <w:p w14:paraId="41A09F1D">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出资比例</w:t>
            </w:r>
          </w:p>
        </w:tc>
        <w:tc>
          <w:tcPr>
            <w:tcW w:w="6675" w:type="dxa"/>
            <w:vAlign w:val="center"/>
          </w:tcPr>
          <w:p w14:paraId="1AF552B7">
            <w:pPr>
              <w:overflowPunct/>
              <w:bidi w:val="0"/>
              <w:spacing w:line="400" w:lineRule="exact"/>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100%</w:t>
            </w:r>
          </w:p>
        </w:tc>
      </w:tr>
      <w:tr w14:paraId="4922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169B33FC">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1.2.3</w:t>
            </w:r>
          </w:p>
        </w:tc>
        <w:tc>
          <w:tcPr>
            <w:tcW w:w="2095" w:type="dxa"/>
            <w:vAlign w:val="center"/>
          </w:tcPr>
          <w:p w14:paraId="34F21574">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资金落实情况</w:t>
            </w:r>
          </w:p>
        </w:tc>
        <w:tc>
          <w:tcPr>
            <w:tcW w:w="6675" w:type="dxa"/>
            <w:vAlign w:val="center"/>
          </w:tcPr>
          <w:p w14:paraId="4D905DE8">
            <w:pPr>
              <w:overflowPunct/>
              <w:bidi w:val="0"/>
              <w:spacing w:line="400" w:lineRule="exact"/>
              <w:outlineLvl w:val="9"/>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已落实</w:t>
            </w:r>
          </w:p>
        </w:tc>
      </w:tr>
      <w:tr w14:paraId="08E7A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5" w:type="dxa"/>
            <w:vAlign w:val="center"/>
          </w:tcPr>
          <w:p w14:paraId="3DF00905">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1.3.1</w:t>
            </w:r>
          </w:p>
        </w:tc>
        <w:tc>
          <w:tcPr>
            <w:tcW w:w="2095" w:type="dxa"/>
            <w:vAlign w:val="center"/>
          </w:tcPr>
          <w:p w14:paraId="43EB4EEF">
            <w:pPr>
              <w:overflowPunct/>
              <w:bidi w:val="0"/>
              <w:spacing w:line="400" w:lineRule="exact"/>
              <w:jc w:val="center"/>
              <w:outlineLvl w:val="9"/>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采购内容</w:t>
            </w:r>
          </w:p>
        </w:tc>
        <w:tc>
          <w:tcPr>
            <w:tcW w:w="6675" w:type="dxa"/>
            <w:vAlign w:val="center"/>
          </w:tcPr>
          <w:p w14:paraId="246D89C6">
            <w:pPr>
              <w:overflowPunct/>
              <w:bidi w:val="0"/>
              <w:spacing w:line="400" w:lineRule="exact"/>
              <w:outlineLvl w:val="9"/>
              <w:rPr>
                <w:rFonts w:hint="eastAsia" w:ascii="宋体" w:hAnsi="宋体" w:eastAsia="宋体" w:cs="微软雅黑"/>
                <w:b/>
                <w:bCs/>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智能LED教室灯</w:t>
            </w:r>
            <w:r>
              <w:rPr>
                <w:rFonts w:hint="eastAsia" w:ascii="宋体" w:hAnsi="宋体" w:cs="微软雅黑"/>
                <w:color w:val="000000" w:themeColor="text1"/>
                <w:szCs w:val="21"/>
                <w:highlight w:val="none"/>
                <w:lang w:val="en-US" w:eastAsia="zh-CN"/>
                <w14:textFill>
                  <w14:solidFill>
                    <w14:schemeClr w14:val="tx1"/>
                  </w14:solidFill>
                </w14:textFill>
              </w:rPr>
              <w:t>、无线教学扩声音箱、无线教学扩声主机、无线麦克风、智能网关、物联校园无线数据接入主机、智能面板、智慧管理平台</w:t>
            </w:r>
          </w:p>
        </w:tc>
      </w:tr>
      <w:tr w14:paraId="697F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vAlign w:val="center"/>
          </w:tcPr>
          <w:p w14:paraId="464284E8">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1.3.2</w:t>
            </w:r>
          </w:p>
        </w:tc>
        <w:tc>
          <w:tcPr>
            <w:tcW w:w="2095" w:type="dxa"/>
            <w:vAlign w:val="center"/>
          </w:tcPr>
          <w:p w14:paraId="1ED30EFB">
            <w:pPr>
              <w:overflowPunct/>
              <w:bidi w:val="0"/>
              <w:spacing w:line="400" w:lineRule="exact"/>
              <w:jc w:val="center"/>
              <w:outlineLvl w:val="9"/>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供货期限</w:t>
            </w:r>
          </w:p>
        </w:tc>
        <w:tc>
          <w:tcPr>
            <w:tcW w:w="6675" w:type="dxa"/>
            <w:shd w:val="clear" w:color="auto" w:fill="auto"/>
            <w:vAlign w:val="center"/>
          </w:tcPr>
          <w:p w14:paraId="5891743C">
            <w:pPr>
              <w:overflowPunct/>
              <w:bidi w:val="0"/>
              <w:spacing w:line="400" w:lineRule="exact"/>
              <w:outlineLvl w:val="9"/>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自合同签订之日起45日内安装调试完毕交付使用并验收合格（具体时间以实际合同为准）</w:t>
            </w:r>
          </w:p>
        </w:tc>
      </w:tr>
      <w:tr w14:paraId="12CB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95" w:type="dxa"/>
            <w:vAlign w:val="center"/>
          </w:tcPr>
          <w:p w14:paraId="24AA9135">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1.3.3</w:t>
            </w:r>
          </w:p>
        </w:tc>
        <w:tc>
          <w:tcPr>
            <w:tcW w:w="2095" w:type="dxa"/>
            <w:vAlign w:val="center"/>
          </w:tcPr>
          <w:p w14:paraId="0FF929CB">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质量标准</w:t>
            </w:r>
          </w:p>
        </w:tc>
        <w:tc>
          <w:tcPr>
            <w:tcW w:w="6675" w:type="dxa"/>
            <w:vAlign w:val="center"/>
          </w:tcPr>
          <w:p w14:paraId="1EA2F2AB">
            <w:pPr>
              <w:overflowPunct/>
              <w:bidi w:val="0"/>
              <w:spacing w:line="400" w:lineRule="exact"/>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符合现行国家、行业、地方或者其他相关标准的合格要求</w:t>
            </w:r>
          </w:p>
        </w:tc>
      </w:tr>
      <w:tr w14:paraId="2EA7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34C2822C">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1.4.1</w:t>
            </w:r>
          </w:p>
        </w:tc>
        <w:tc>
          <w:tcPr>
            <w:tcW w:w="2095" w:type="dxa"/>
            <w:vAlign w:val="center"/>
          </w:tcPr>
          <w:p w14:paraId="6FD7A32E">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资质条件、能力和信誉</w:t>
            </w:r>
          </w:p>
        </w:tc>
        <w:tc>
          <w:tcPr>
            <w:tcW w:w="6675" w:type="dxa"/>
            <w:vAlign w:val="center"/>
          </w:tcPr>
          <w:p w14:paraId="5B853E46">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1. 满足《中华人民共和国政府采购法》第二十二条规定；</w:t>
            </w:r>
          </w:p>
          <w:p w14:paraId="11CCB2AE">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2. 落实政府采购政策需满足的资格：本项目</w:t>
            </w:r>
            <w:r>
              <w:rPr>
                <w:rFonts w:hint="eastAsia" w:ascii="宋体" w:hAnsi="宋体" w:cs="Times New Roman"/>
                <w:color w:val="000000" w:themeColor="text1"/>
                <w:szCs w:val="21"/>
                <w:highlight w:val="none"/>
                <w:lang w:val="en-US" w:eastAsia="zh-CN"/>
                <w14:textFill>
                  <w14:solidFill>
                    <w14:schemeClr w14:val="tx1"/>
                  </w14:solidFill>
                </w14:textFill>
              </w:rPr>
              <w:t>不</w:t>
            </w:r>
            <w:r>
              <w:rPr>
                <w:rFonts w:hint="eastAsia" w:ascii="宋体" w:hAnsi="宋体" w:eastAsia="宋体" w:cs="Times New Roman"/>
                <w:color w:val="000000" w:themeColor="text1"/>
                <w:szCs w:val="21"/>
                <w:highlight w:val="none"/>
                <w:lang w:val="en-US" w:eastAsia="zh-CN"/>
                <w14:textFill>
                  <w14:solidFill>
                    <w14:schemeClr w14:val="tx1"/>
                  </w14:solidFill>
                </w14:textFill>
              </w:rPr>
              <w:t>专门面向中小企业采购；</w:t>
            </w:r>
          </w:p>
          <w:p w14:paraId="38FEA68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3 本项目的特定资格要求：</w:t>
            </w:r>
          </w:p>
          <w:p w14:paraId="7DEC6D2F">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3.1本次招标要求供应商须具有独立承担民事责任的能力，具有有效的营业执照，供应商应具有履行合同所必须的设备和专业能力。</w:t>
            </w:r>
          </w:p>
          <w:p w14:paraId="136F1A4C">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3.2供应商参加采购活动应当提交反映其财务状况、依法缴纳税收和社保保障资金情况的资格条件承诺函。</w:t>
            </w:r>
          </w:p>
          <w:p w14:paraId="4B8F8660">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3.3信誉要求：</w:t>
            </w:r>
          </w:p>
          <w:p w14:paraId="3F46C319">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（1）供应商参加政府采购活动近3年内（2022年至今）在经营活动中没有重大违法记录。</w:t>
            </w:r>
          </w:p>
          <w:p w14:paraId="3D93DD7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（2）拒绝列入政府取消投标资格记录期间的企业或个人投标。</w:t>
            </w:r>
          </w:p>
          <w:p w14:paraId="4FC8F38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（3）未被列入“信用中国”网站(www.creditchina.gov.cn)、失信被执行人、企业经营异常名录、重大税收违法失信主体；</w:t>
            </w:r>
          </w:p>
          <w:p w14:paraId="4B7928F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（4）未被工商行政管理机关在全国企业信用信息公示系统中列入严重违法失信企业名单；</w:t>
            </w:r>
          </w:p>
          <w:p w14:paraId="2AAECA1F">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（5）未被列入“中国政府采购网”(www.ccgp.gov.cn)政府采购严重违法失信行为记录名单的供应商；</w:t>
            </w:r>
          </w:p>
          <w:p w14:paraId="1AF8B47F">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（6）“中国裁判文书网”（wenshu.court.gov.cn/）查询企业及法定代表人无行贿犯罪记录证明。</w:t>
            </w:r>
          </w:p>
          <w:p w14:paraId="3DFE1A1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3.4采购人存在利害关系可能影响招标公正性的法人、其他组织或者个人，不得参加投标；具有投资参股关系的关联企业，或具有直接管理和被管理关系的母子公司，或同一母子公司的子公司，或法定代表人为同一人的两个及两个以上法人不得同时对同一标段投标；单位负责人同一人或者存在控股、管理关系的不同单位，不得参加同一合同项下的政府采购活动。除单一来源采购项目外，为采购项目提供整体设计、规范预算编制的供应商，不得再参加该采购项目的其他采购活动；</w:t>
            </w:r>
          </w:p>
        </w:tc>
      </w:tr>
      <w:tr w14:paraId="67CE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40FDCFD9">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1.4.2</w:t>
            </w:r>
          </w:p>
        </w:tc>
        <w:tc>
          <w:tcPr>
            <w:tcW w:w="2095" w:type="dxa"/>
            <w:vAlign w:val="center"/>
          </w:tcPr>
          <w:p w14:paraId="25D4C706">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是否接受联合体投标</w:t>
            </w:r>
          </w:p>
        </w:tc>
        <w:tc>
          <w:tcPr>
            <w:tcW w:w="6675" w:type="dxa"/>
            <w:vAlign w:val="center"/>
          </w:tcPr>
          <w:p w14:paraId="7943707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不接受</w:t>
            </w:r>
          </w:p>
        </w:tc>
      </w:tr>
      <w:tr w14:paraId="6834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148EC0EC">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1.9.1</w:t>
            </w:r>
          </w:p>
        </w:tc>
        <w:tc>
          <w:tcPr>
            <w:tcW w:w="2095" w:type="dxa"/>
            <w:vAlign w:val="center"/>
          </w:tcPr>
          <w:p w14:paraId="05E70070">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踏勘现场</w:t>
            </w:r>
          </w:p>
        </w:tc>
        <w:tc>
          <w:tcPr>
            <w:tcW w:w="6675" w:type="dxa"/>
            <w:vAlign w:val="center"/>
          </w:tcPr>
          <w:p w14:paraId="118815B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eastAsia"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不</w:t>
            </w:r>
            <w:r>
              <w:rPr>
                <w:rFonts w:hint="eastAsia" w:ascii="宋体" w:hAnsi="宋体" w:cs="Times New Roman"/>
                <w:color w:val="000000" w:themeColor="text1"/>
                <w:szCs w:val="21"/>
                <w:highlight w:val="none"/>
                <w14:textFill>
                  <w14:solidFill>
                    <w14:schemeClr w14:val="tx1"/>
                  </w14:solidFill>
                </w14:textFill>
              </w:rPr>
              <w:t>组织</w:t>
            </w:r>
          </w:p>
        </w:tc>
      </w:tr>
      <w:tr w14:paraId="4700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5" w:type="dxa"/>
            <w:vAlign w:val="center"/>
          </w:tcPr>
          <w:p w14:paraId="4ED7AE5C">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1.10.1</w:t>
            </w:r>
          </w:p>
        </w:tc>
        <w:tc>
          <w:tcPr>
            <w:tcW w:w="2095" w:type="dxa"/>
            <w:vAlign w:val="center"/>
          </w:tcPr>
          <w:p w14:paraId="52353CF8">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投标预备会</w:t>
            </w:r>
          </w:p>
        </w:tc>
        <w:tc>
          <w:tcPr>
            <w:tcW w:w="6675" w:type="dxa"/>
            <w:vAlign w:val="center"/>
          </w:tcPr>
          <w:p w14:paraId="6367A8C7">
            <w:pPr>
              <w:keepNext w:val="0"/>
              <w:keepLines w:val="0"/>
              <w:pageBreakBefore w:val="0"/>
              <w:widowControl w:val="0"/>
              <w:kinsoku/>
              <w:wordWrap w:val="0"/>
              <w:overflowPunct/>
              <w:topLinePunct w:val="0"/>
              <w:autoSpaceDE/>
              <w:autoSpaceDN/>
              <w:bidi w:val="0"/>
              <w:adjustRightInd w:val="0"/>
              <w:spacing w:line="440" w:lineRule="exact"/>
              <w:textAlignment w:val="auto"/>
              <w:outlineLvl w:val="9"/>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fldChar w:fldCharType="begin"/>
            </w:r>
            <w:r>
              <w:rPr>
                <w:rFonts w:hint="eastAsia" w:ascii="宋体" w:hAnsi="宋体" w:eastAsia="宋体" w:cs="宋体"/>
                <w:bCs/>
                <w:color w:val="000000" w:themeColor="text1"/>
                <w:sz w:val="21"/>
                <w:szCs w:val="21"/>
                <w:highlight w:val="none"/>
                <w:lang w:val="zh-CN"/>
                <w14:textFill>
                  <w14:solidFill>
                    <w14:schemeClr w14:val="tx1"/>
                  </w14:solidFill>
                </w14:textFill>
              </w:rPr>
              <w:instrText xml:space="preserve">eq \o\ac(</w:instrText>
            </w:r>
            <w:r>
              <w:rPr>
                <w:rFonts w:hint="eastAsia" w:ascii="宋体" w:hAnsi="宋体" w:eastAsia="宋体" w:cs="宋体"/>
                <w:bCs/>
                <w:color w:val="000000" w:themeColor="text1"/>
                <w:position w:val="-4"/>
                <w:sz w:val="21"/>
                <w:szCs w:val="21"/>
                <w:highlight w:val="none"/>
                <w:lang w:val="zh-CN"/>
                <w14:textFill>
                  <w14:solidFill>
                    <w14:schemeClr w14:val="tx1"/>
                  </w14:solidFill>
                </w14:textFill>
              </w:rPr>
              <w:instrText xml:space="preserve">□</w:instrText>
            </w:r>
            <w:r>
              <w:rPr>
                <w:rFonts w:hint="eastAsia" w:ascii="宋体" w:hAnsi="宋体" w:eastAsia="宋体" w:cs="宋体"/>
                <w:bCs/>
                <w:color w:val="000000" w:themeColor="text1"/>
                <w:position w:val="0"/>
                <w:sz w:val="21"/>
                <w:szCs w:val="21"/>
                <w:highlight w:val="none"/>
                <w:lang w:val="zh-CN"/>
                <w14:textFill>
                  <w14:solidFill>
                    <w14:schemeClr w14:val="tx1"/>
                  </w14:solidFill>
                </w14:textFill>
              </w:rPr>
              <w:instrText xml:space="preserve">,√)</w:instrText>
            </w:r>
            <w:r>
              <w:rPr>
                <w:rFonts w:hint="eastAsia" w:ascii="宋体" w:hAnsi="宋体" w:eastAsia="宋体" w:cs="宋体"/>
                <w:bCs/>
                <w:color w:val="000000" w:themeColor="text1"/>
                <w:sz w:val="21"/>
                <w:szCs w:val="21"/>
                <w:highlight w:val="none"/>
                <w:lang w:val="zh-CN"/>
                <w14:textFill>
                  <w14:solidFill>
                    <w14:schemeClr w14:val="tx1"/>
                  </w14:solidFill>
                </w14:textFill>
              </w:rPr>
              <w:fldChar w:fldCharType="end"/>
            </w:r>
            <w:r>
              <w:rPr>
                <w:rFonts w:hint="eastAsia" w:ascii="宋体" w:hAnsi="宋体" w:eastAsia="宋体" w:cs="宋体"/>
                <w:bCs/>
                <w:color w:val="000000" w:themeColor="text1"/>
                <w:sz w:val="21"/>
                <w:szCs w:val="21"/>
                <w:highlight w:val="none"/>
                <w:lang w:val="zh-CN"/>
                <w14:textFill>
                  <w14:solidFill>
                    <w14:schemeClr w14:val="tx1"/>
                  </w14:solidFill>
                </w14:textFill>
              </w:rPr>
              <w:t>不召开</w:t>
            </w:r>
          </w:p>
          <w:p w14:paraId="2CD1D0B1">
            <w:pPr>
              <w:keepNext w:val="0"/>
              <w:keepLines w:val="0"/>
              <w:pageBreakBefore w:val="0"/>
              <w:widowControl w:val="0"/>
              <w:kinsoku/>
              <w:wordWrap w:val="0"/>
              <w:overflowPunct/>
              <w:topLinePunct w:val="0"/>
              <w:autoSpaceDE/>
              <w:autoSpaceDN/>
              <w:bidi w:val="0"/>
              <w:adjustRightInd w:val="0"/>
              <w:spacing w:line="440" w:lineRule="exact"/>
              <w:textAlignment w:val="auto"/>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□召开,召开时间：/</w:t>
            </w:r>
          </w:p>
          <w:p w14:paraId="701D39E9">
            <w:pPr>
              <w:keepNext w:val="0"/>
              <w:keepLines w:val="0"/>
              <w:pageBreakBefore w:val="0"/>
              <w:widowControl w:val="0"/>
              <w:kinsoku/>
              <w:wordWrap w:val="0"/>
              <w:overflowPunct/>
              <w:topLinePunct w:val="0"/>
              <w:autoSpaceDE/>
              <w:autoSpaceDN/>
              <w:bidi w:val="0"/>
              <w:adjustRightInd w:val="0"/>
              <w:spacing w:line="440" w:lineRule="exact"/>
              <w:ind w:firstLine="735" w:firstLineChars="350"/>
              <w:textAlignment w:val="auto"/>
              <w:outlineLvl w:val="9"/>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召开地点：/</w:t>
            </w:r>
          </w:p>
        </w:tc>
      </w:tr>
      <w:tr w14:paraId="37FB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95" w:type="dxa"/>
            <w:vAlign w:val="center"/>
          </w:tcPr>
          <w:p w14:paraId="5EBAF060">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宋体" w:hAnsi="宋体" w:eastAsia="宋体" w:cs="宋体"/>
                <w:bCs/>
                <w:color w:val="000000" w:themeColor="text1"/>
                <w:sz w:val="21"/>
                <w:szCs w:val="21"/>
                <w:highlight w:val="none"/>
                <w:lang w:val="zh-CN"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1.11.1</w:t>
            </w:r>
          </w:p>
        </w:tc>
        <w:tc>
          <w:tcPr>
            <w:tcW w:w="2095" w:type="dxa"/>
            <w:vAlign w:val="center"/>
          </w:tcPr>
          <w:p w14:paraId="7AF3C31F">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宋体" w:hAnsi="宋体" w:eastAsia="宋体" w:cs="宋体"/>
                <w:bCs/>
                <w:color w:val="000000" w:themeColor="text1"/>
                <w:sz w:val="21"/>
                <w:szCs w:val="21"/>
                <w:highlight w:val="none"/>
                <w:lang w:val="zh-CN"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分包</w:t>
            </w:r>
          </w:p>
        </w:tc>
        <w:tc>
          <w:tcPr>
            <w:tcW w:w="6675" w:type="dxa"/>
            <w:vAlign w:val="center"/>
          </w:tcPr>
          <w:p w14:paraId="511C5F19">
            <w:pPr>
              <w:keepNext w:val="0"/>
              <w:keepLines w:val="0"/>
              <w:pageBreakBefore w:val="0"/>
              <w:widowControl w:val="0"/>
              <w:kinsoku/>
              <w:wordWrap w:val="0"/>
              <w:overflowPunct/>
              <w:topLinePunct w:val="0"/>
              <w:autoSpaceDE/>
              <w:autoSpaceDN/>
              <w:bidi w:val="0"/>
              <w:adjustRightInd w:val="0"/>
              <w:spacing w:line="440" w:lineRule="exact"/>
              <w:textAlignment w:val="auto"/>
              <w:outlineLvl w:val="9"/>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fldChar w:fldCharType="begin"/>
            </w:r>
            <w:r>
              <w:rPr>
                <w:rFonts w:hint="eastAsia" w:ascii="宋体" w:hAnsi="宋体" w:eastAsia="宋体" w:cs="宋体"/>
                <w:bCs/>
                <w:color w:val="000000" w:themeColor="text1"/>
                <w:sz w:val="21"/>
                <w:szCs w:val="21"/>
                <w:highlight w:val="none"/>
                <w:lang w:val="zh-CN"/>
                <w14:textFill>
                  <w14:solidFill>
                    <w14:schemeClr w14:val="tx1"/>
                  </w14:solidFill>
                </w14:textFill>
              </w:rPr>
              <w:instrText xml:space="preserve">eq \o\ac(</w:instrText>
            </w:r>
            <w:r>
              <w:rPr>
                <w:rFonts w:hint="eastAsia" w:ascii="宋体" w:hAnsi="宋体" w:eastAsia="宋体" w:cs="宋体"/>
                <w:bCs/>
                <w:color w:val="000000" w:themeColor="text1"/>
                <w:position w:val="-4"/>
                <w:sz w:val="31"/>
                <w:szCs w:val="21"/>
                <w:highlight w:val="none"/>
                <w:lang w:val="zh-CN"/>
                <w14:textFill>
                  <w14:solidFill>
                    <w14:schemeClr w14:val="tx1"/>
                  </w14:solidFill>
                </w14:textFill>
              </w:rPr>
              <w:instrText xml:space="preserve">□</w:instrText>
            </w:r>
            <w:r>
              <w:rPr>
                <w:rFonts w:hint="eastAsia" w:ascii="宋体" w:hAnsi="宋体" w:eastAsia="宋体" w:cs="宋体"/>
                <w:bCs/>
                <w:color w:val="000000" w:themeColor="text1"/>
                <w:position w:val="0"/>
                <w:sz w:val="21"/>
                <w:szCs w:val="21"/>
                <w:highlight w:val="none"/>
                <w:lang w:val="zh-CN"/>
                <w14:textFill>
                  <w14:solidFill>
                    <w14:schemeClr w14:val="tx1"/>
                  </w14:solidFill>
                </w14:textFill>
              </w:rPr>
              <w:instrText xml:space="preserve">,√)</w:instrText>
            </w:r>
            <w:r>
              <w:rPr>
                <w:rFonts w:hint="eastAsia" w:ascii="宋体" w:hAnsi="宋体" w:eastAsia="宋体" w:cs="宋体"/>
                <w:bCs/>
                <w:color w:val="000000" w:themeColor="text1"/>
                <w:sz w:val="21"/>
                <w:szCs w:val="21"/>
                <w:highlight w:val="none"/>
                <w:lang w:val="zh-CN"/>
                <w14:textFill>
                  <w14:solidFill>
                    <w14:schemeClr w14:val="tx1"/>
                  </w14:solidFill>
                </w14:textFill>
              </w:rPr>
              <w:fldChar w:fldCharType="end"/>
            </w:r>
            <w:r>
              <w:rPr>
                <w:rFonts w:hint="eastAsia" w:ascii="宋体" w:hAnsi="宋体" w:eastAsia="宋体" w:cs="宋体"/>
                <w:bCs/>
                <w:color w:val="000000" w:themeColor="text1"/>
                <w:sz w:val="21"/>
                <w:szCs w:val="21"/>
                <w:highlight w:val="none"/>
                <w:lang w:val="zh-CN"/>
                <w14:textFill>
                  <w14:solidFill>
                    <w14:schemeClr w14:val="tx1"/>
                  </w14:solidFill>
                </w14:textFill>
              </w:rPr>
              <w:t>不允许</w:t>
            </w:r>
          </w:p>
          <w:p w14:paraId="6680B879">
            <w:pPr>
              <w:keepNext w:val="0"/>
              <w:keepLines w:val="0"/>
              <w:pageBreakBefore w:val="0"/>
              <w:widowControl w:val="0"/>
              <w:kinsoku/>
              <w:wordWrap w:val="0"/>
              <w:overflowPunct/>
              <w:topLinePunct w:val="0"/>
              <w:autoSpaceDE/>
              <w:autoSpaceDN/>
              <w:bidi w:val="0"/>
              <w:adjustRightInd w:val="0"/>
              <w:spacing w:line="440" w:lineRule="exact"/>
              <w:textAlignment w:val="auto"/>
              <w:outlineLvl w:val="9"/>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□允许，分包内容：/</w:t>
            </w:r>
          </w:p>
        </w:tc>
      </w:tr>
      <w:tr w14:paraId="7804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95" w:type="dxa"/>
            <w:vAlign w:val="center"/>
          </w:tcPr>
          <w:p w14:paraId="74623F69">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1.12</w:t>
            </w:r>
          </w:p>
        </w:tc>
        <w:tc>
          <w:tcPr>
            <w:tcW w:w="2095" w:type="dxa"/>
            <w:vAlign w:val="center"/>
          </w:tcPr>
          <w:p w14:paraId="03822F3D">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偏离</w:t>
            </w:r>
          </w:p>
        </w:tc>
        <w:tc>
          <w:tcPr>
            <w:tcW w:w="6675" w:type="dxa"/>
            <w:vAlign w:val="center"/>
          </w:tcPr>
          <w:p w14:paraId="39FF80FA">
            <w:pPr>
              <w:overflowPunct/>
              <w:bidi w:val="0"/>
              <w:spacing w:line="400" w:lineRule="exact"/>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不允许</w:t>
            </w:r>
          </w:p>
        </w:tc>
      </w:tr>
      <w:tr w14:paraId="4186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1EA2B696">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2.1</w:t>
            </w:r>
          </w:p>
        </w:tc>
        <w:tc>
          <w:tcPr>
            <w:tcW w:w="2095" w:type="dxa"/>
            <w:vAlign w:val="center"/>
          </w:tcPr>
          <w:p w14:paraId="7A33A101">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构成磋商文件的其他材料</w:t>
            </w:r>
          </w:p>
        </w:tc>
        <w:tc>
          <w:tcPr>
            <w:tcW w:w="6675" w:type="dxa"/>
            <w:vAlign w:val="center"/>
          </w:tcPr>
          <w:p w14:paraId="47CEB839">
            <w:pPr>
              <w:overflowPunct/>
              <w:bidi w:val="0"/>
              <w:spacing w:line="400" w:lineRule="exact"/>
              <w:outlineLvl w:val="9"/>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zh-CN" w:eastAsia="zh-CN"/>
                <w14:textFill>
                  <w14:solidFill>
                    <w14:schemeClr w14:val="tx1"/>
                  </w14:solidFill>
                </w14:textFill>
              </w:rPr>
              <w:t>本项目的澄清、修改、补充说明文件</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（如有）。</w:t>
            </w:r>
          </w:p>
          <w:p w14:paraId="512F02C3">
            <w:pPr>
              <w:overflowPunct/>
              <w:bidi w:val="0"/>
              <w:spacing w:line="400" w:lineRule="exact"/>
              <w:outlineLvl w:val="9"/>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注：采购代理机构将上述内容以带有编号的补遗文件发送到“政采云”平台(https://www.zcygov.cn)</w:t>
            </w:r>
            <w:r>
              <w:rPr>
                <w:rFonts w:hint="eastAsia" w:ascii="Times New Roman" w:hAnsi="Times New Roman" w:eastAsia="宋体" w:cs="Times New Roman"/>
                <w:color w:val="000000" w:themeColor="text1"/>
                <w:highlight w:val="none"/>
                <w:lang w:val="zh-CN" w:eastAsia="zh-CN"/>
                <w14:textFill>
                  <w14:solidFill>
                    <w14:schemeClr w14:val="tx1"/>
                  </w14:solidFill>
                </w14:textFill>
              </w:rPr>
              <w:t>答疑文件</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中，各供应商登录“政采云”平台(https://www.zcygov.cn)答疑文件处自行下载。如果供应商未在上述答疑文件中收到相应文件，请及时与采购代理机构联系，否则采购人和采购代理机构不承担任何责任。</w:t>
            </w:r>
          </w:p>
        </w:tc>
      </w:tr>
      <w:tr w14:paraId="7C31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36978285">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2.2.1</w:t>
            </w:r>
          </w:p>
        </w:tc>
        <w:tc>
          <w:tcPr>
            <w:tcW w:w="2095" w:type="dxa"/>
            <w:vAlign w:val="center"/>
          </w:tcPr>
          <w:p w14:paraId="17A249F6">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要求澄清磋商文件的截止时间</w:t>
            </w:r>
          </w:p>
        </w:tc>
        <w:tc>
          <w:tcPr>
            <w:tcW w:w="6675" w:type="dxa"/>
            <w:vAlign w:val="center"/>
          </w:tcPr>
          <w:p w14:paraId="6B7A97B4">
            <w:pPr>
              <w:keepNext w:val="0"/>
              <w:keepLines w:val="0"/>
              <w:pageBreakBefore w:val="0"/>
              <w:kinsoku/>
              <w:wordWrap/>
              <w:overflowPunct/>
              <w:autoSpaceDE/>
              <w:autoSpaceDN/>
              <w:bidi w:val="0"/>
              <w:spacing w:line="0" w:lineRule="atLeast"/>
              <w:textAlignment w:val="auto"/>
              <w:outlineLvl w:val="9"/>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时间：</w:t>
            </w:r>
            <w:r>
              <w:rPr>
                <w:rFonts w:hint="eastAsia" w:ascii="宋体" w:hAnsi="宋体" w:eastAsia="宋体" w:cs="宋体"/>
                <w:color w:val="000000" w:themeColor="text1"/>
                <w:sz w:val="21"/>
                <w:szCs w:val="21"/>
                <w:highlight w:val="none"/>
                <w:lang w:val="zh-CN"/>
                <w14:textFill>
                  <w14:solidFill>
                    <w14:schemeClr w14:val="tx1"/>
                  </w14:solidFill>
                </w14:textFill>
              </w:rPr>
              <w:t>提交响应文件截止时间5天前</w:t>
            </w:r>
            <w:r>
              <w:rPr>
                <w:rFonts w:hint="eastAsia" w:ascii="宋体" w:hAnsi="宋体" w:eastAsia="宋体" w:cs="宋体"/>
                <w:color w:val="000000" w:themeColor="text1"/>
                <w:sz w:val="21"/>
                <w:szCs w:val="21"/>
                <w:highlight w:val="none"/>
                <w:lang w:val="zh-CN" w:eastAsia="zh-CN"/>
                <w14:textFill>
                  <w14:solidFill>
                    <w14:schemeClr w14:val="tx1"/>
                  </w14:solidFill>
                </w14:textFill>
              </w:rPr>
              <w:t>。</w:t>
            </w:r>
          </w:p>
        </w:tc>
      </w:tr>
      <w:tr w14:paraId="63FD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6256DA9E">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2.2.2</w:t>
            </w:r>
          </w:p>
        </w:tc>
        <w:tc>
          <w:tcPr>
            <w:tcW w:w="2095" w:type="dxa"/>
            <w:vAlign w:val="center"/>
          </w:tcPr>
          <w:p w14:paraId="4CBEC973">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磋商时间和地点</w:t>
            </w:r>
          </w:p>
        </w:tc>
        <w:tc>
          <w:tcPr>
            <w:tcW w:w="6675" w:type="dxa"/>
            <w:shd w:val="clear" w:color="auto" w:fill="auto"/>
            <w:vAlign w:val="center"/>
          </w:tcPr>
          <w:p w14:paraId="78938678">
            <w:pPr>
              <w:overflowPunct/>
              <w:bidi w:val="0"/>
              <w:spacing w:line="400" w:lineRule="exact"/>
              <w:jc w:val="both"/>
              <w:outlineLvl w:val="9"/>
              <w:rPr>
                <w:rFonts w:hint="eastAsia" w:ascii="Times New Roman" w:hAnsi="Times New Roman" w:eastAsia="宋体" w:cs="Times New Roman"/>
                <w:color w:val="000000" w:themeColor="text1"/>
                <w:highlight w:val="none"/>
                <w:lang w:val="zh-CN"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磋商时间：</w:t>
            </w:r>
            <w:r>
              <w:rPr>
                <w:rFonts w:hint="eastAsia" w:cs="Times New Roman"/>
                <w:color w:val="000000" w:themeColor="text1"/>
                <w:highlight w:val="none"/>
                <w:lang w:val="en-US" w:eastAsia="zh-CN"/>
                <w14:textFill>
                  <w14:solidFill>
                    <w14:schemeClr w14:val="tx1"/>
                  </w14:solidFill>
                </w14:textFill>
              </w:rPr>
              <w:t>2025年3月24日09时30分</w:t>
            </w:r>
          </w:p>
          <w:p w14:paraId="4F1F1C70">
            <w:pPr>
              <w:overflowPunct/>
              <w:bidi w:val="0"/>
              <w:spacing w:line="400" w:lineRule="exact"/>
              <w:jc w:val="both"/>
              <w:outlineLvl w:val="9"/>
              <w:rPr>
                <w:rFonts w:hint="eastAsia"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磋商</w:t>
            </w:r>
            <w:r>
              <w:rPr>
                <w:rFonts w:hint="eastAsia" w:ascii="Times New Roman" w:hAnsi="Times New Roman" w:eastAsia="宋体" w:cs="Times New Roman"/>
                <w:color w:val="000000" w:themeColor="text1"/>
                <w:highlight w:val="none"/>
                <w14:textFill>
                  <w14:solidFill>
                    <w14:schemeClr w14:val="tx1"/>
                  </w14:solidFill>
                </w14:textFill>
              </w:rPr>
              <w:t>地点：珲春市公共资源管理中心（地址：吉林省珲春市龙源东街1066号，珲春市政务中心4楼）</w:t>
            </w:r>
          </w:p>
          <w:p w14:paraId="4AB32D80">
            <w:pPr>
              <w:numPr>
                <w:ilvl w:val="0"/>
                <w:numId w:val="4"/>
              </w:numPr>
              <w:overflowPunct/>
              <w:bidi w:val="0"/>
              <w:spacing w:line="400" w:lineRule="exact"/>
              <w:jc w:val="both"/>
              <w:outlineLvl w:val="9"/>
              <w:rPr>
                <w:rFonts w:hint="eastAsia" w:cs="Times New Roman"/>
                <w:color w:val="000000" w:themeColor="text1"/>
                <w:highlight w:val="none"/>
                <w:lang w:val="zh-CN" w:eastAsia="zh-CN"/>
                <w14:textFill>
                  <w14:solidFill>
                    <w14:schemeClr w14:val="tx1"/>
                  </w14:solidFill>
                </w14:textFill>
              </w:rPr>
            </w:pPr>
            <w:r>
              <w:rPr>
                <w:rFonts w:hint="eastAsia" w:cs="Times New Roman"/>
                <w:color w:val="000000" w:themeColor="text1"/>
                <w:highlight w:val="none"/>
                <w:lang w:val="zh-CN" w:eastAsia="zh-CN"/>
                <w14:textFill>
                  <w14:solidFill>
                    <w14:schemeClr w14:val="tx1"/>
                  </w14:solidFill>
                </w14:textFill>
              </w:rPr>
              <w:t>本项目开启方式为远程开启，供应商不到现场。供应商投标时，需携带制作投标文件时用来加密的有效数字证书（CA认证）登录“政采云”平台电子开标大厅现场按规定时间对加密的投标文件进行解密。</w:t>
            </w:r>
          </w:p>
          <w:p w14:paraId="6E527CC3">
            <w:pPr>
              <w:numPr>
                <w:ilvl w:val="0"/>
                <w:numId w:val="4"/>
              </w:numPr>
              <w:overflowPunct/>
              <w:bidi w:val="0"/>
              <w:spacing w:line="400" w:lineRule="exact"/>
              <w:jc w:val="both"/>
              <w:outlineLvl w:val="9"/>
              <w:rPr>
                <w:rFonts w:hint="eastAsia" w:cs="Times New Roman"/>
                <w:color w:val="000000" w:themeColor="text1"/>
                <w:highlight w:val="none"/>
                <w:lang w:val="zh-CN" w:eastAsia="zh-CN"/>
                <w14:textFill>
                  <w14:solidFill>
                    <w14:schemeClr w14:val="tx1"/>
                  </w14:solidFill>
                </w14:textFill>
              </w:rPr>
            </w:pPr>
            <w:r>
              <w:rPr>
                <w:rFonts w:hint="eastAsia" w:cs="Times New Roman"/>
                <w:color w:val="000000" w:themeColor="text1"/>
                <w:highlight w:val="none"/>
                <w:lang w:val="zh-CN" w:eastAsia="zh-CN"/>
                <w14:textFill>
                  <w14:solidFill>
                    <w14:schemeClr w14:val="tx1"/>
                  </w14:solidFill>
                </w14:textFill>
              </w:rPr>
              <w:t>供应商需提前下载好腾讯会议，至少开标前10分钟进入会议号“#腾讯会议：</w:t>
            </w:r>
            <w:r>
              <w:rPr>
                <w:rFonts w:hint="eastAsia" w:cs="Times New Roman"/>
                <w:color w:val="000000" w:themeColor="text1"/>
                <w:highlight w:val="none"/>
                <w:lang w:val="en-US" w:eastAsia="zh-CN"/>
                <w14:textFill>
                  <w14:solidFill>
                    <w14:schemeClr w14:val="tx1"/>
                  </w14:solidFill>
                </w14:textFill>
              </w:rPr>
              <w:t>212 443 782</w:t>
            </w:r>
            <w:r>
              <w:rPr>
                <w:rFonts w:hint="eastAsia" w:cs="Times New Roman"/>
                <w:color w:val="000000" w:themeColor="text1"/>
                <w:highlight w:val="none"/>
                <w:lang w:val="zh-CN" w:eastAsia="zh-CN"/>
                <w14:textFill>
                  <w14:solidFill>
                    <w14:schemeClr w14:val="tx1"/>
                  </w14:solidFill>
                </w14:textFill>
              </w:rPr>
              <w:t>”，并保持电话畅通。</w:t>
            </w:r>
          </w:p>
          <w:p w14:paraId="44174F82">
            <w:pPr>
              <w:numPr>
                <w:ilvl w:val="0"/>
                <w:numId w:val="4"/>
              </w:numPr>
              <w:overflowPunct/>
              <w:bidi w:val="0"/>
              <w:spacing w:line="400" w:lineRule="exact"/>
              <w:ind w:left="0" w:leftChars="0" w:firstLine="0" w:firstLineChars="0"/>
              <w:jc w:val="both"/>
              <w:outlineLvl w:val="9"/>
              <w:rPr>
                <w:color w:val="000000" w:themeColor="text1"/>
                <w:highlight w:val="none"/>
                <w14:textFill>
                  <w14:solidFill>
                    <w14:schemeClr w14:val="tx1"/>
                  </w14:solidFill>
                </w14:textFill>
              </w:rPr>
            </w:pPr>
            <w:r>
              <w:rPr>
                <w:rFonts w:hint="eastAsia" w:cs="Times New Roman"/>
                <w:color w:val="000000" w:themeColor="text1"/>
                <w:highlight w:val="none"/>
                <w:lang w:val="zh-CN" w:eastAsia="zh-CN"/>
                <w14:textFill>
                  <w14:solidFill>
                    <w14:schemeClr w14:val="tx1"/>
                  </w14:solidFill>
                </w14:textFill>
              </w:rPr>
              <w:t>投标文件提交方式：本项目为全流程电子化项目，通过“政采云”平台（http：//www.zcygov.cn）实行在线电子投标，供应商应先安装“政采云电子交易客户端”（请自行前往“政采云”平台进行下载），并按照本项目</w:t>
            </w:r>
            <w:r>
              <w:rPr>
                <w:rFonts w:hint="eastAsia" w:cs="Times New Roman"/>
                <w:color w:val="000000" w:themeColor="text1"/>
                <w:highlight w:val="none"/>
                <w:lang w:val="en-US" w:eastAsia="zh-CN"/>
                <w14:textFill>
                  <w14:solidFill>
                    <w14:schemeClr w14:val="tx1"/>
                  </w14:solidFill>
                </w14:textFill>
              </w:rPr>
              <w:t>磋商</w:t>
            </w:r>
            <w:r>
              <w:rPr>
                <w:rFonts w:hint="eastAsia" w:cs="Times New Roman"/>
                <w:color w:val="000000" w:themeColor="text1"/>
                <w:highlight w:val="none"/>
                <w:lang w:val="zh-CN" w:eastAsia="zh-CN"/>
                <w14:textFill>
                  <w14:solidFill>
                    <w14:schemeClr w14:val="tx1"/>
                  </w14:solidFill>
                </w14:textFill>
              </w:rPr>
              <w:t>文件和“政采云”平台的要求编制、加密后在磋商截止时间前通过网络上传至“政采云”平台，供应商在“政采云”平台提交电子版投标文件时，请填写参加开标活动经办人联系方式。</w:t>
            </w:r>
          </w:p>
        </w:tc>
      </w:tr>
      <w:tr w14:paraId="4C76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2301859B">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2.2.3</w:t>
            </w:r>
          </w:p>
        </w:tc>
        <w:tc>
          <w:tcPr>
            <w:tcW w:w="2095" w:type="dxa"/>
            <w:vAlign w:val="center"/>
          </w:tcPr>
          <w:p w14:paraId="40B09553">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确认收到磋商文件澄清的时间</w:t>
            </w:r>
          </w:p>
        </w:tc>
        <w:tc>
          <w:tcPr>
            <w:tcW w:w="6675" w:type="dxa"/>
            <w:vAlign w:val="center"/>
          </w:tcPr>
          <w:p w14:paraId="15967CEA">
            <w:pPr>
              <w:overflowPunct/>
              <w:bidi w:val="0"/>
              <w:spacing w:line="400" w:lineRule="exact"/>
              <w:outlineLvl w:val="9"/>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时间：收到澄清后24小时内（以发出时间为准）。</w:t>
            </w:r>
            <w:r>
              <w:rPr>
                <w:rFonts w:hint="eastAsia" w:ascii="Times New Roman" w:hAnsi="Times New Roman" w:eastAsia="宋体" w:cs="Times New Roman"/>
                <w:color w:val="000000" w:themeColor="text1"/>
                <w:highlight w:val="none"/>
                <w:lang w:val="zh-CN" w:eastAsia="zh-CN"/>
                <w14:textFill>
                  <w14:solidFill>
                    <w14:schemeClr w14:val="tx1"/>
                  </w14:solidFill>
                </w14:textFill>
              </w:rPr>
              <w:t>形式：本项目所有修改文件均在</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“政采云”平台(https://www.zcygov.cn)</w:t>
            </w:r>
            <w:r>
              <w:rPr>
                <w:rFonts w:hint="eastAsia" w:ascii="Times New Roman" w:hAnsi="Times New Roman" w:eastAsia="宋体" w:cs="Times New Roman"/>
                <w:color w:val="000000" w:themeColor="text1"/>
                <w:highlight w:val="none"/>
                <w:lang w:val="zh-CN" w:eastAsia="zh-CN"/>
                <w14:textFill>
                  <w14:solidFill>
                    <w14:schemeClr w14:val="tx1"/>
                  </w14:solidFill>
                </w14:textFill>
              </w:rPr>
              <w:t>”中发布，供应商收到后必须以确认函的形式发送至采购代理机构的邮箱</w:t>
            </w:r>
            <w:r>
              <w:rPr>
                <w:rFonts w:hint="eastAsia" w:cs="Times New Roman"/>
                <w:color w:val="000000" w:themeColor="text1"/>
                <w:highlight w:val="none"/>
                <w:lang w:val="en-US" w:eastAsia="zh-CN"/>
                <w14:textFill>
                  <w14:solidFill>
                    <w14:schemeClr w14:val="tx1"/>
                  </w14:solidFill>
                </w14:textFill>
              </w:rPr>
              <w:t>JLTYYXGS@163.com</w:t>
            </w:r>
            <w:r>
              <w:rPr>
                <w:rFonts w:hint="eastAsia" w:ascii="Times New Roman" w:hAnsi="Times New Roman" w:eastAsia="宋体" w:cs="Times New Roman"/>
                <w:color w:val="000000" w:themeColor="text1"/>
                <w:highlight w:val="none"/>
                <w:lang w:val="zh-CN" w:eastAsia="zh-CN"/>
                <w14:textFill>
                  <w14:solidFill>
                    <w14:schemeClr w14:val="tx1"/>
                  </w14:solidFill>
                </w14:textFill>
              </w:rPr>
              <w:t>，因供应商自身原因未能及时查阅下载所导致的对本项目有关文件理解错误由供应商自行承担。</w:t>
            </w:r>
          </w:p>
        </w:tc>
      </w:tr>
      <w:tr w14:paraId="1A57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673D6A88">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2.3.2</w:t>
            </w:r>
          </w:p>
        </w:tc>
        <w:tc>
          <w:tcPr>
            <w:tcW w:w="2095" w:type="dxa"/>
            <w:vAlign w:val="center"/>
          </w:tcPr>
          <w:p w14:paraId="512D7D4D">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确认收到磋商文件修改的时间</w:t>
            </w:r>
          </w:p>
        </w:tc>
        <w:tc>
          <w:tcPr>
            <w:tcW w:w="6675" w:type="dxa"/>
            <w:vAlign w:val="center"/>
          </w:tcPr>
          <w:p w14:paraId="649BFC9F">
            <w:pPr>
              <w:overflowPunct/>
              <w:bidi w:val="0"/>
              <w:spacing w:line="400" w:lineRule="exact"/>
              <w:outlineLvl w:val="9"/>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详见本章2.2.3款。</w:t>
            </w:r>
          </w:p>
        </w:tc>
      </w:tr>
      <w:tr w14:paraId="3400F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2A6A4D2D">
            <w:pPr>
              <w:overflowPunct/>
              <w:bidi w:val="0"/>
              <w:spacing w:line="400" w:lineRule="exact"/>
              <w:jc w:val="center"/>
              <w:outlineLvl w:val="9"/>
              <w:rPr>
                <w:rFonts w:hint="eastAsia" w:ascii="Times New Roman" w:hAnsi="Times New Roman" w:eastAsia="宋体" w:cs="Times New Roman"/>
                <w:color w:val="000000" w:themeColor="text1"/>
                <w:kern w:val="2"/>
                <w:sz w:val="21"/>
                <w:szCs w:val="24"/>
                <w:highlight w:val="none"/>
                <w:lang w:val="zh-CN" w:eastAsia="zh-CN" w:bidi="ar-SA"/>
                <w14:textFill>
                  <w14:solidFill>
                    <w14:schemeClr w14:val="tx1"/>
                  </w14:solidFill>
                </w14:textFill>
              </w:rPr>
            </w:pPr>
            <w:r>
              <w:rPr>
                <w:rFonts w:hint="eastAsia" w:ascii="Times New Roman" w:hAnsi="Times New Roman" w:eastAsia="宋体" w:cs="Times New Roman"/>
                <w:color w:val="000000" w:themeColor="text1"/>
                <w:highlight w:val="none"/>
                <w:lang w:val="zh-CN"/>
                <w14:textFill>
                  <w14:solidFill>
                    <w14:schemeClr w14:val="tx1"/>
                  </w14:solidFill>
                </w14:textFill>
              </w:rPr>
              <w:t>3.2.</w:t>
            </w:r>
            <w:r>
              <w:rPr>
                <w:rFonts w:hint="eastAsia" w:cs="Times New Roman"/>
                <w:color w:val="000000" w:themeColor="text1"/>
                <w:highlight w:val="none"/>
                <w:lang w:val="en-US" w:eastAsia="zh-CN"/>
                <w14:textFill>
                  <w14:solidFill>
                    <w14:schemeClr w14:val="tx1"/>
                  </w14:solidFill>
                </w14:textFill>
              </w:rPr>
              <w:t>3</w:t>
            </w:r>
          </w:p>
        </w:tc>
        <w:tc>
          <w:tcPr>
            <w:tcW w:w="2095" w:type="dxa"/>
            <w:vAlign w:val="center"/>
          </w:tcPr>
          <w:p w14:paraId="769BC63C">
            <w:pPr>
              <w:overflowPunct/>
              <w:bidi w:val="0"/>
              <w:spacing w:line="400" w:lineRule="exact"/>
              <w:jc w:val="center"/>
              <w:outlineLvl w:val="9"/>
              <w:rPr>
                <w:rFonts w:hint="eastAsia" w:ascii="Times New Roman" w:hAnsi="Times New Roman" w:eastAsia="宋体" w:cs="Times New Roman"/>
                <w:color w:val="000000" w:themeColor="text1"/>
                <w:kern w:val="2"/>
                <w:sz w:val="21"/>
                <w:szCs w:val="24"/>
                <w:highlight w:val="none"/>
                <w:lang w:val="zh-CN" w:eastAsia="zh-CN" w:bidi="ar-SA"/>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最高投标限价</w:t>
            </w:r>
          </w:p>
        </w:tc>
        <w:tc>
          <w:tcPr>
            <w:tcW w:w="6675" w:type="dxa"/>
            <w:vAlign w:val="center"/>
          </w:tcPr>
          <w:p w14:paraId="3E5DD598">
            <w:pPr>
              <w:overflowPunct/>
              <w:bidi w:val="0"/>
              <w:spacing w:line="400" w:lineRule="exact"/>
              <w:outlineLvl w:val="9"/>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1153000.00</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元</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eastAsia="zh-CN"/>
                <w14:textFill>
                  <w14:solidFill>
                    <w14:schemeClr w14:val="tx1"/>
                  </w14:solidFill>
                </w14:textFill>
              </w:rPr>
              <w:t>供应商</w:t>
            </w:r>
            <w:r>
              <w:rPr>
                <w:rFonts w:hint="eastAsia" w:ascii="宋体" w:hAnsi="宋体"/>
                <w:color w:val="000000" w:themeColor="text1"/>
                <w:highlight w:val="none"/>
                <w14:textFill>
                  <w14:solidFill>
                    <w14:schemeClr w14:val="tx1"/>
                  </w14:solidFill>
                </w14:textFill>
              </w:rPr>
              <w:t>进行报价时不得超出此价格，否则按</w:t>
            </w:r>
            <w:r>
              <w:rPr>
                <w:rFonts w:hint="eastAsia" w:ascii="宋体" w:hAnsi="宋体"/>
                <w:color w:val="000000" w:themeColor="text1"/>
                <w:highlight w:val="none"/>
                <w:lang w:val="en-US" w:eastAsia="zh-CN"/>
                <w14:textFill>
                  <w14:solidFill>
                    <w14:schemeClr w14:val="tx1"/>
                  </w14:solidFill>
                </w14:textFill>
              </w:rPr>
              <w:t>无效报价</w:t>
            </w:r>
            <w:r>
              <w:rPr>
                <w:rFonts w:hint="eastAsia" w:ascii="宋体" w:hAnsi="宋体"/>
                <w:color w:val="000000" w:themeColor="text1"/>
                <w:highlight w:val="none"/>
                <w14:textFill>
                  <w14:solidFill>
                    <w14:schemeClr w14:val="tx1"/>
                  </w14:solidFill>
                </w14:textFill>
              </w:rPr>
              <w:t>处理）。</w:t>
            </w:r>
          </w:p>
        </w:tc>
      </w:tr>
      <w:tr w14:paraId="1F2B5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414F566A">
            <w:pPr>
              <w:overflowPunct/>
              <w:bidi w:val="0"/>
              <w:spacing w:line="400" w:lineRule="exact"/>
              <w:jc w:val="center"/>
              <w:outlineLvl w:val="9"/>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3.2.</w:t>
            </w:r>
            <w:r>
              <w:rPr>
                <w:rFonts w:hint="eastAsia"/>
                <w:color w:val="000000" w:themeColor="text1"/>
                <w:highlight w:val="none"/>
                <w:lang w:val="en-US" w:eastAsia="zh-CN"/>
                <w14:textFill>
                  <w14:solidFill>
                    <w14:schemeClr w14:val="tx1"/>
                  </w14:solidFill>
                </w14:textFill>
              </w:rPr>
              <w:t>7</w:t>
            </w:r>
          </w:p>
        </w:tc>
        <w:tc>
          <w:tcPr>
            <w:tcW w:w="2095" w:type="dxa"/>
            <w:vAlign w:val="center"/>
          </w:tcPr>
          <w:p w14:paraId="70F5F219">
            <w:pPr>
              <w:overflowPunct/>
              <w:bidi w:val="0"/>
              <w:spacing w:line="400" w:lineRule="exact"/>
              <w:jc w:val="center"/>
              <w:outlineLvl w:val="9"/>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报价的次数</w:t>
            </w:r>
          </w:p>
        </w:tc>
        <w:tc>
          <w:tcPr>
            <w:tcW w:w="6675" w:type="dxa"/>
            <w:vAlign w:val="center"/>
          </w:tcPr>
          <w:p w14:paraId="104BF9B9">
            <w:pPr>
              <w:overflowPunct/>
              <w:bidi w:val="0"/>
              <w:spacing w:line="400" w:lineRule="exact"/>
              <w:outlineLvl w:val="9"/>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2次</w:t>
            </w:r>
          </w:p>
          <w:p w14:paraId="58C5137A">
            <w:pPr>
              <w:pStyle w:val="27"/>
              <w:overflowPunct/>
              <w:bidi w:val="0"/>
              <w:outlineLvl w:val="9"/>
              <w:rPr>
                <w:rFonts w:hint="eastAsia" w:ascii="Times New Roman" w:hAnsi="Times New Roman" w:eastAsia="宋体" w:cs="Times New Roman"/>
                <w:b w:val="0"/>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b w:val="0"/>
                <w:color w:val="000000" w:themeColor="text1"/>
                <w:kern w:val="2"/>
                <w:sz w:val="21"/>
                <w:szCs w:val="24"/>
                <w:highlight w:val="none"/>
                <w:lang w:val="en-US" w:eastAsia="zh-CN" w:bidi="ar-SA"/>
                <w14:textFill>
                  <w14:solidFill>
                    <w14:schemeClr w14:val="tx1"/>
                  </w14:solidFill>
                </w14:textFill>
              </w:rPr>
              <w:t>注：开标当日，</w:t>
            </w:r>
            <w:r>
              <w:rPr>
                <w:rFonts w:hint="eastAsia" w:ascii="Times New Roman" w:eastAsia="宋体" w:cs="Times New Roman"/>
                <w:b w:val="0"/>
                <w:color w:val="000000" w:themeColor="text1"/>
                <w:kern w:val="2"/>
                <w:sz w:val="21"/>
                <w:szCs w:val="24"/>
                <w:highlight w:val="none"/>
                <w:lang w:val="en-US" w:eastAsia="zh-CN" w:bidi="ar-SA"/>
                <w14:textFill>
                  <w14:solidFill>
                    <w14:schemeClr w14:val="tx1"/>
                  </w14:solidFill>
                </w14:textFill>
              </w:rPr>
              <w:t>供应商</w:t>
            </w:r>
            <w:r>
              <w:rPr>
                <w:rFonts w:hint="eastAsia" w:ascii="Times New Roman" w:hAnsi="Times New Roman" w:eastAsia="宋体" w:cs="Times New Roman"/>
                <w:b w:val="0"/>
                <w:color w:val="000000" w:themeColor="text1"/>
                <w:kern w:val="2"/>
                <w:sz w:val="21"/>
                <w:szCs w:val="24"/>
                <w:highlight w:val="none"/>
                <w:lang w:val="en-US" w:eastAsia="zh-CN" w:bidi="ar-SA"/>
                <w14:textFill>
                  <w14:solidFill>
                    <w14:schemeClr w14:val="tx1"/>
                  </w14:solidFill>
                </w14:textFill>
              </w:rPr>
              <w:t>不必抵达开标现场，仅需在任意地点通过“政采云”平台（https://www.zcygov.cn）参加开标会议，</w:t>
            </w:r>
            <w:r>
              <w:rPr>
                <w:rFonts w:hint="eastAsia" w:ascii="Times New Roman" w:eastAsia="宋体" w:cs="Times New Roman"/>
                <w:b w:val="0"/>
                <w:color w:val="000000" w:themeColor="text1"/>
                <w:kern w:val="2"/>
                <w:sz w:val="21"/>
                <w:szCs w:val="24"/>
                <w:highlight w:val="none"/>
                <w:lang w:val="en-US" w:eastAsia="zh-CN" w:bidi="ar-SA"/>
                <w14:textFill>
                  <w14:solidFill>
                    <w14:schemeClr w14:val="tx1"/>
                  </w14:solidFill>
                </w14:textFill>
              </w:rPr>
              <w:t>供应商</w:t>
            </w:r>
            <w:r>
              <w:rPr>
                <w:rFonts w:hint="eastAsia" w:ascii="Times New Roman" w:hAnsi="Times New Roman" w:eastAsia="宋体" w:cs="Times New Roman"/>
                <w:b w:val="0"/>
                <w:color w:val="000000" w:themeColor="text1"/>
                <w:kern w:val="2"/>
                <w:sz w:val="21"/>
                <w:szCs w:val="24"/>
                <w:highlight w:val="none"/>
                <w:lang w:val="en-US" w:eastAsia="zh-CN" w:bidi="ar-SA"/>
                <w14:textFill>
                  <w14:solidFill>
                    <w14:schemeClr w14:val="tx1"/>
                  </w14:solidFill>
                </w14:textFill>
              </w:rPr>
              <w:t>代表须全程在线等候，</w:t>
            </w:r>
            <w:r>
              <w:rPr>
                <w:rFonts w:hint="eastAsia" w:ascii="Times New Roman" w:eastAsia="宋体" w:cs="Times New Roman"/>
                <w:b w:val="0"/>
                <w:color w:val="000000" w:themeColor="text1"/>
                <w:kern w:val="2"/>
                <w:sz w:val="21"/>
                <w:szCs w:val="24"/>
                <w:highlight w:val="none"/>
                <w:lang w:val="en-US" w:eastAsia="zh-CN" w:bidi="ar-SA"/>
                <w14:textFill>
                  <w14:solidFill>
                    <w14:schemeClr w14:val="tx1"/>
                  </w14:solidFill>
                </w14:textFill>
              </w:rPr>
              <w:t>供应商</w:t>
            </w:r>
            <w:r>
              <w:rPr>
                <w:rFonts w:hint="eastAsia" w:ascii="Times New Roman" w:hAnsi="Times New Roman" w:eastAsia="宋体" w:cs="Times New Roman"/>
                <w:b w:val="0"/>
                <w:color w:val="000000" w:themeColor="text1"/>
                <w:kern w:val="2"/>
                <w:sz w:val="21"/>
                <w:szCs w:val="24"/>
                <w:highlight w:val="none"/>
                <w:lang w:val="en-US" w:eastAsia="zh-CN" w:bidi="ar-SA"/>
                <w14:textFill>
                  <w14:solidFill>
                    <w14:schemeClr w14:val="tx1"/>
                  </w14:solidFill>
                </w14:textFill>
              </w:rPr>
              <w:t>得到磋商小组指令后网上进行二次报价</w:t>
            </w:r>
          </w:p>
          <w:p w14:paraId="19A8F8F8">
            <w:pPr>
              <w:pStyle w:val="27"/>
              <w:overflowPunct/>
              <w:bidi w:val="0"/>
              <w:outlineLvl w:val="9"/>
              <w:rPr>
                <w:rFonts w:hint="eastAsia"/>
                <w:color w:val="000000" w:themeColor="text1"/>
                <w:highlight w:val="none"/>
                <w:lang w:val="en-US" w:eastAsia="zh-CN"/>
                <w14:textFill>
                  <w14:solidFill>
                    <w14:schemeClr w14:val="tx1"/>
                  </w14:solidFill>
                </w14:textFill>
              </w:rPr>
            </w:pPr>
            <w:r>
              <w:rPr>
                <w:rFonts w:hint="eastAsia" w:ascii="Times New Roman" w:hAnsi="Times New Roman" w:eastAsia="宋体" w:cs="Times New Roman"/>
                <w:b w:val="0"/>
                <w:color w:val="000000" w:themeColor="text1"/>
                <w:kern w:val="2"/>
                <w:sz w:val="21"/>
                <w:szCs w:val="24"/>
                <w:highlight w:val="none"/>
                <w:lang w:val="en-US" w:eastAsia="zh-CN" w:bidi="ar-SA"/>
                <w14:textFill>
                  <w14:solidFill>
                    <w14:schemeClr w14:val="tx1"/>
                  </w14:solidFill>
                </w14:textFill>
              </w:rPr>
              <w:t>未按照磋商文件要求进行二次报价的</w:t>
            </w:r>
            <w:r>
              <w:rPr>
                <w:rFonts w:hint="eastAsia" w:ascii="Times New Roman" w:eastAsia="宋体" w:cs="Times New Roman"/>
                <w:b w:val="0"/>
                <w:color w:val="000000" w:themeColor="text1"/>
                <w:kern w:val="2"/>
                <w:sz w:val="21"/>
                <w:szCs w:val="24"/>
                <w:highlight w:val="none"/>
                <w:lang w:val="en-US" w:eastAsia="zh-CN" w:bidi="ar-SA"/>
                <w14:textFill>
                  <w14:solidFill>
                    <w14:schemeClr w14:val="tx1"/>
                  </w14:solidFill>
                </w14:textFill>
              </w:rPr>
              <w:t>供应商</w:t>
            </w:r>
            <w:r>
              <w:rPr>
                <w:rFonts w:hint="eastAsia" w:ascii="Times New Roman" w:hAnsi="Times New Roman" w:eastAsia="宋体" w:cs="Times New Roman"/>
                <w:b w:val="0"/>
                <w:color w:val="000000" w:themeColor="text1"/>
                <w:kern w:val="2"/>
                <w:sz w:val="21"/>
                <w:szCs w:val="24"/>
                <w:highlight w:val="none"/>
                <w:lang w:val="en-US" w:eastAsia="zh-CN" w:bidi="ar-SA"/>
                <w14:textFill>
                  <w14:solidFill>
                    <w14:schemeClr w14:val="tx1"/>
                  </w14:solidFill>
                </w14:textFill>
              </w:rPr>
              <w:t>视为放弃二次报价，由此引发的后果和责任由</w:t>
            </w:r>
            <w:r>
              <w:rPr>
                <w:rFonts w:hint="eastAsia" w:ascii="Times New Roman" w:eastAsia="宋体" w:cs="Times New Roman"/>
                <w:b w:val="0"/>
                <w:color w:val="000000" w:themeColor="text1"/>
                <w:kern w:val="2"/>
                <w:sz w:val="21"/>
                <w:szCs w:val="24"/>
                <w:highlight w:val="none"/>
                <w:lang w:val="en-US" w:eastAsia="zh-CN" w:bidi="ar-SA"/>
                <w14:textFill>
                  <w14:solidFill>
                    <w14:schemeClr w14:val="tx1"/>
                  </w14:solidFill>
                </w14:textFill>
              </w:rPr>
              <w:t>供应商</w:t>
            </w:r>
            <w:r>
              <w:rPr>
                <w:rFonts w:hint="eastAsia" w:ascii="Times New Roman" w:hAnsi="Times New Roman" w:eastAsia="宋体" w:cs="Times New Roman"/>
                <w:b w:val="0"/>
                <w:color w:val="000000" w:themeColor="text1"/>
                <w:kern w:val="2"/>
                <w:sz w:val="21"/>
                <w:szCs w:val="24"/>
                <w:highlight w:val="none"/>
                <w:lang w:val="en-US" w:eastAsia="zh-CN" w:bidi="ar-SA"/>
                <w14:textFill>
                  <w14:solidFill>
                    <w14:schemeClr w14:val="tx1"/>
                  </w14:solidFill>
                </w14:textFill>
              </w:rPr>
              <w:t>自行承担。</w:t>
            </w:r>
          </w:p>
        </w:tc>
      </w:tr>
      <w:tr w14:paraId="4D1B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5" w:type="dxa"/>
            <w:vAlign w:val="center"/>
          </w:tcPr>
          <w:p w14:paraId="60166FB9">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3.3.1</w:t>
            </w:r>
          </w:p>
        </w:tc>
        <w:tc>
          <w:tcPr>
            <w:tcW w:w="2095" w:type="dxa"/>
            <w:vAlign w:val="center"/>
          </w:tcPr>
          <w:p w14:paraId="5CE5FFFE">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响应有效期</w:t>
            </w:r>
          </w:p>
        </w:tc>
        <w:tc>
          <w:tcPr>
            <w:tcW w:w="6675" w:type="dxa"/>
            <w:vAlign w:val="center"/>
          </w:tcPr>
          <w:p w14:paraId="57D180EA">
            <w:pPr>
              <w:overflowPunct/>
              <w:bidi w:val="0"/>
              <w:spacing w:line="400" w:lineRule="exact"/>
              <w:jc w:val="both"/>
              <w:outlineLvl w:val="9"/>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zh-CN"/>
                <w14:textFill>
                  <w14:solidFill>
                    <w14:schemeClr w14:val="tx1"/>
                  </w14:solidFill>
                </w14:textFill>
              </w:rPr>
              <w:t>投标截止之日后90天（日历天），从</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响应文件递交</w:t>
            </w:r>
            <w:r>
              <w:rPr>
                <w:rFonts w:hint="eastAsia" w:ascii="Times New Roman" w:hAnsi="Times New Roman" w:eastAsia="宋体" w:cs="Times New Roman"/>
                <w:color w:val="000000" w:themeColor="text1"/>
                <w:highlight w:val="none"/>
                <w:lang w:val="zh-CN"/>
                <w14:textFill>
                  <w14:solidFill>
                    <w14:schemeClr w14:val="tx1"/>
                  </w14:solidFill>
                </w14:textFill>
              </w:rPr>
              <w:t>截止之日算起。</w:t>
            </w:r>
          </w:p>
        </w:tc>
      </w:tr>
      <w:tr w14:paraId="157A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5" w:type="dxa"/>
            <w:vAlign w:val="center"/>
          </w:tcPr>
          <w:p w14:paraId="24752609">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3.4.1</w:t>
            </w:r>
          </w:p>
        </w:tc>
        <w:tc>
          <w:tcPr>
            <w:tcW w:w="2095" w:type="dxa"/>
            <w:vAlign w:val="center"/>
          </w:tcPr>
          <w:p w14:paraId="3C4D64BC">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磋商保证金</w:t>
            </w:r>
          </w:p>
        </w:tc>
        <w:tc>
          <w:tcPr>
            <w:tcW w:w="6675" w:type="dxa"/>
            <w:vAlign w:val="center"/>
          </w:tcPr>
          <w:p w14:paraId="63A08295">
            <w:pPr>
              <w:keepNext w:val="0"/>
              <w:keepLines w:val="0"/>
              <w:pageBreakBefore w:val="0"/>
              <w:widowControl w:val="0"/>
              <w:kinsoku/>
              <w:wordWrap w:val="0"/>
              <w:overflowPunct/>
              <w:topLinePunct w:val="0"/>
              <w:autoSpaceDE/>
              <w:autoSpaceDN/>
              <w:bidi w:val="0"/>
              <w:spacing w:line="440" w:lineRule="exact"/>
              <w:textAlignment w:val="auto"/>
              <w:outlineLvl w:val="9"/>
              <w:rPr>
                <w:rFonts w:ascii="宋体" w:hAnsi="宋体"/>
                <w:bCs/>
                <w:color w:val="000000" w:themeColor="text1"/>
                <w:sz w:val="21"/>
                <w:szCs w:val="21"/>
                <w:highlight w:val="none"/>
                <w14:textFill>
                  <w14:solidFill>
                    <w14:schemeClr w14:val="tx1"/>
                  </w14:solidFill>
                </w14:textFill>
              </w:rPr>
            </w:pPr>
            <w:r>
              <w:rPr>
                <w:rFonts w:hint="eastAsia" w:ascii="宋体" w:hAnsi="宋体"/>
                <w:bCs/>
                <w:color w:val="000000" w:themeColor="text1"/>
                <w:sz w:val="21"/>
                <w:szCs w:val="21"/>
                <w:highlight w:val="none"/>
                <w:lang w:eastAsia="zh-CN"/>
                <w14:textFill>
                  <w14:solidFill>
                    <w14:schemeClr w14:val="tx1"/>
                  </w14:solidFill>
                </w14:textFill>
              </w:rPr>
              <w:fldChar w:fldCharType="begin"/>
            </w:r>
            <w:r>
              <w:rPr>
                <w:rFonts w:hint="eastAsia" w:ascii="宋体" w:hAnsi="宋体"/>
                <w:bCs/>
                <w:color w:val="000000" w:themeColor="text1"/>
                <w:sz w:val="21"/>
                <w:szCs w:val="21"/>
                <w:highlight w:val="none"/>
                <w:lang w:eastAsia="zh-CN"/>
                <w14:textFill>
                  <w14:solidFill>
                    <w14:schemeClr w14:val="tx1"/>
                  </w14:solidFill>
                </w14:textFill>
              </w:rPr>
              <w:instrText xml:space="preserve">eq \o\ac(□,√)</w:instrText>
            </w:r>
            <w:r>
              <w:rPr>
                <w:rFonts w:hint="eastAsia" w:ascii="宋体" w:hAnsi="宋体"/>
                <w:bCs/>
                <w:color w:val="000000" w:themeColor="text1"/>
                <w:sz w:val="21"/>
                <w:szCs w:val="21"/>
                <w:highlight w:val="none"/>
                <w:lang w:eastAsia="zh-CN"/>
                <w14:textFill>
                  <w14:solidFill>
                    <w14:schemeClr w14:val="tx1"/>
                  </w14:solidFill>
                </w14:textFill>
              </w:rPr>
              <w:fldChar w:fldCharType="end"/>
            </w:r>
            <w:r>
              <w:rPr>
                <w:rFonts w:hint="eastAsia" w:ascii="宋体" w:hAnsi="宋体"/>
                <w:bCs/>
                <w:color w:val="000000" w:themeColor="text1"/>
                <w:sz w:val="21"/>
                <w:szCs w:val="21"/>
                <w:highlight w:val="none"/>
                <w:lang w:eastAsia="zh-CN"/>
                <w14:textFill>
                  <w14:solidFill>
                    <w14:schemeClr w14:val="tx1"/>
                  </w14:solidFill>
                </w14:textFill>
              </w:rPr>
              <w:t>不要求</w:t>
            </w:r>
          </w:p>
        </w:tc>
      </w:tr>
      <w:tr w14:paraId="3D30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5" w:type="dxa"/>
            <w:vAlign w:val="center"/>
          </w:tcPr>
          <w:p w14:paraId="3C9AC0E6">
            <w:pPr>
              <w:overflowPunct/>
              <w:bidi w:val="0"/>
              <w:spacing w:line="400" w:lineRule="exact"/>
              <w:jc w:val="center"/>
              <w:outlineLvl w:val="9"/>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3.4.2</w:t>
            </w:r>
          </w:p>
        </w:tc>
        <w:tc>
          <w:tcPr>
            <w:tcW w:w="2095" w:type="dxa"/>
            <w:vAlign w:val="center"/>
          </w:tcPr>
          <w:p w14:paraId="0FDEC2E6">
            <w:pPr>
              <w:overflowPunct/>
              <w:bidi w:val="0"/>
              <w:spacing w:line="400" w:lineRule="exact"/>
              <w:jc w:val="center"/>
              <w:outlineLvl w:val="9"/>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质保期</w:t>
            </w:r>
          </w:p>
        </w:tc>
        <w:tc>
          <w:tcPr>
            <w:tcW w:w="6675" w:type="dxa"/>
            <w:vAlign w:val="center"/>
          </w:tcPr>
          <w:p w14:paraId="525657AF">
            <w:pPr>
              <w:keepNext w:val="0"/>
              <w:keepLines w:val="0"/>
              <w:pageBreakBefore w:val="0"/>
              <w:widowControl w:val="0"/>
              <w:kinsoku/>
              <w:wordWrap w:val="0"/>
              <w:overflowPunct/>
              <w:topLinePunct w:val="0"/>
              <w:autoSpaceDE/>
              <w:autoSpaceDN/>
              <w:bidi w:val="0"/>
              <w:spacing w:line="440" w:lineRule="exact"/>
              <w:textAlignment w:val="auto"/>
              <w:outlineLvl w:val="9"/>
              <w:rPr>
                <w:rFonts w:hint="default" w:ascii="宋体" w:hAnsi="宋体"/>
                <w:bCs/>
                <w:color w:val="000000" w:themeColor="text1"/>
                <w:sz w:val="21"/>
                <w:szCs w:val="21"/>
                <w:highlight w:val="none"/>
                <w:lang w:val="en-US" w:eastAsia="zh-CN"/>
                <w14:textFill>
                  <w14:solidFill>
                    <w14:schemeClr w14:val="tx1"/>
                  </w14:solidFill>
                </w14:textFill>
              </w:rPr>
            </w:pPr>
            <w:r>
              <w:rPr>
                <w:rFonts w:hint="default" w:ascii="宋体" w:hAnsi="宋体"/>
                <w:bCs/>
                <w:color w:val="000000" w:themeColor="text1"/>
                <w:sz w:val="21"/>
                <w:szCs w:val="21"/>
                <w:highlight w:val="none"/>
                <w:lang w:val="en-US" w:eastAsia="zh-CN"/>
                <w14:textFill>
                  <w14:solidFill>
                    <w14:schemeClr w14:val="tx1"/>
                  </w14:solidFill>
                </w14:textFill>
              </w:rPr>
              <w:t>验收合格后</w:t>
            </w:r>
            <w:r>
              <w:rPr>
                <w:rFonts w:hint="eastAsia" w:ascii="宋体" w:hAnsi="宋体"/>
                <w:bCs/>
                <w:color w:val="000000" w:themeColor="text1"/>
                <w:sz w:val="21"/>
                <w:szCs w:val="21"/>
                <w:highlight w:val="none"/>
                <w:lang w:val="en-US" w:eastAsia="zh-CN"/>
                <w14:textFill>
                  <w14:solidFill>
                    <w14:schemeClr w14:val="tx1"/>
                  </w14:solidFill>
                </w14:textFill>
              </w:rPr>
              <w:t>5</w:t>
            </w:r>
            <w:r>
              <w:rPr>
                <w:rFonts w:hint="default" w:ascii="宋体" w:hAnsi="宋体"/>
                <w:bCs/>
                <w:color w:val="000000" w:themeColor="text1"/>
                <w:sz w:val="21"/>
                <w:szCs w:val="21"/>
                <w:highlight w:val="none"/>
                <w:lang w:val="en-US" w:eastAsia="zh-CN"/>
                <w14:textFill>
                  <w14:solidFill>
                    <w14:schemeClr w14:val="tx1"/>
                  </w14:solidFill>
                </w14:textFill>
              </w:rPr>
              <w:t>年</w:t>
            </w:r>
          </w:p>
        </w:tc>
      </w:tr>
      <w:tr w14:paraId="284C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5" w:type="dxa"/>
            <w:vAlign w:val="center"/>
          </w:tcPr>
          <w:p w14:paraId="7BF6498F">
            <w:pPr>
              <w:overflowPunct/>
              <w:bidi w:val="0"/>
              <w:spacing w:line="400" w:lineRule="exact"/>
              <w:jc w:val="center"/>
              <w:outlineLvl w:val="9"/>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3.4.3</w:t>
            </w:r>
          </w:p>
        </w:tc>
        <w:tc>
          <w:tcPr>
            <w:tcW w:w="2095" w:type="dxa"/>
            <w:vAlign w:val="center"/>
          </w:tcPr>
          <w:p w14:paraId="08070CCB">
            <w:pPr>
              <w:overflowPunct/>
              <w:bidi w:val="0"/>
              <w:spacing w:line="400" w:lineRule="exact"/>
              <w:jc w:val="center"/>
              <w:outlineLvl w:val="9"/>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履约保证金</w:t>
            </w:r>
          </w:p>
        </w:tc>
        <w:tc>
          <w:tcPr>
            <w:tcW w:w="6675" w:type="dxa"/>
            <w:vAlign w:val="center"/>
          </w:tcPr>
          <w:p w14:paraId="2A94AF49">
            <w:pPr>
              <w:keepNext w:val="0"/>
              <w:keepLines w:val="0"/>
              <w:pageBreakBefore w:val="0"/>
              <w:widowControl w:val="0"/>
              <w:kinsoku/>
              <w:wordWrap w:val="0"/>
              <w:overflowPunct/>
              <w:topLinePunct w:val="0"/>
              <w:autoSpaceDE/>
              <w:autoSpaceDN/>
              <w:bidi w:val="0"/>
              <w:spacing w:line="440" w:lineRule="exact"/>
              <w:textAlignment w:val="auto"/>
              <w:outlineLvl w:val="9"/>
              <w:rPr>
                <w:rFonts w:hint="eastAsia" w:ascii="宋体" w:hAnsi="宋体"/>
                <w:bCs/>
                <w:color w:val="000000" w:themeColor="text1"/>
                <w:sz w:val="21"/>
                <w:szCs w:val="21"/>
                <w:highlight w:val="none"/>
                <w:lang w:val="en-US" w:eastAsia="zh-CN"/>
                <w14:textFill>
                  <w14:solidFill>
                    <w14:schemeClr w14:val="tx1"/>
                  </w14:solidFill>
                </w14:textFill>
              </w:rPr>
            </w:pPr>
            <w:r>
              <w:rPr>
                <w:rFonts w:hint="eastAsia" w:ascii="宋体" w:hAnsi="宋体"/>
                <w:bCs/>
                <w:color w:val="000000" w:themeColor="text1"/>
                <w:sz w:val="21"/>
                <w:szCs w:val="21"/>
                <w:highlight w:val="none"/>
                <w:lang w:eastAsia="zh-CN"/>
                <w14:textFill>
                  <w14:solidFill>
                    <w14:schemeClr w14:val="tx1"/>
                  </w14:solidFill>
                </w14:textFill>
              </w:rPr>
              <w:fldChar w:fldCharType="begin"/>
            </w:r>
            <w:r>
              <w:rPr>
                <w:rFonts w:hint="eastAsia" w:ascii="宋体" w:hAnsi="宋体"/>
                <w:bCs/>
                <w:color w:val="000000" w:themeColor="text1"/>
                <w:sz w:val="21"/>
                <w:szCs w:val="21"/>
                <w:highlight w:val="none"/>
                <w:lang w:eastAsia="zh-CN"/>
                <w14:textFill>
                  <w14:solidFill>
                    <w14:schemeClr w14:val="tx1"/>
                  </w14:solidFill>
                </w14:textFill>
              </w:rPr>
              <w:instrText xml:space="preserve">eq \o\ac(□,√)</w:instrText>
            </w:r>
            <w:r>
              <w:rPr>
                <w:rFonts w:hint="eastAsia" w:ascii="宋体" w:hAnsi="宋体"/>
                <w:bCs/>
                <w:color w:val="000000" w:themeColor="text1"/>
                <w:sz w:val="21"/>
                <w:szCs w:val="21"/>
                <w:highlight w:val="none"/>
                <w:lang w:eastAsia="zh-CN"/>
                <w14:textFill>
                  <w14:solidFill>
                    <w14:schemeClr w14:val="tx1"/>
                  </w14:solidFill>
                </w14:textFill>
              </w:rPr>
              <w:fldChar w:fldCharType="end"/>
            </w:r>
            <w:r>
              <w:rPr>
                <w:rFonts w:hint="eastAsia" w:ascii="宋体" w:hAnsi="宋体"/>
                <w:bCs/>
                <w:color w:val="000000" w:themeColor="text1"/>
                <w:sz w:val="21"/>
                <w:szCs w:val="21"/>
                <w:highlight w:val="none"/>
                <w:lang w:eastAsia="zh-CN"/>
                <w14:textFill>
                  <w14:solidFill>
                    <w14:schemeClr w14:val="tx1"/>
                  </w14:solidFill>
                </w14:textFill>
              </w:rPr>
              <w:t>不要求</w:t>
            </w:r>
          </w:p>
        </w:tc>
      </w:tr>
      <w:tr w14:paraId="2F9A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995" w:type="dxa"/>
            <w:vAlign w:val="center"/>
          </w:tcPr>
          <w:p w14:paraId="2E57A5A0">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highlight w:val="none"/>
                <w:lang w:val="zh-CN" w:eastAsia="zh-CN"/>
                <w14:textFill>
                  <w14:solidFill>
                    <w14:schemeClr w14:val="tx1"/>
                  </w14:solidFill>
                </w14:textFill>
              </w:rPr>
              <w:t>3.4.4</w:t>
            </w:r>
          </w:p>
        </w:tc>
        <w:tc>
          <w:tcPr>
            <w:tcW w:w="2095" w:type="dxa"/>
            <w:vAlign w:val="center"/>
          </w:tcPr>
          <w:p w14:paraId="32446B1A">
            <w:pPr>
              <w:keepNext w:val="0"/>
              <w:keepLines w:val="0"/>
              <w:pageBreakBefore w:val="0"/>
              <w:widowControl w:val="0"/>
              <w:kinsoku/>
              <w:wordWrap w:val="0"/>
              <w:overflowPunct/>
              <w:topLinePunct w:val="0"/>
              <w:autoSpaceDE/>
              <w:autoSpaceDN/>
              <w:bidi w:val="0"/>
              <w:spacing w:line="440" w:lineRule="exact"/>
              <w:jc w:val="center"/>
              <w:textAlignment w:val="auto"/>
              <w:outlineLvl w:val="9"/>
              <w:rPr>
                <w:rFonts w:hint="eastAsia"/>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其他可以不予退还</w:t>
            </w:r>
            <w:r>
              <w:rPr>
                <w:rFonts w:hint="eastAsia" w:ascii="宋体" w:hAnsi="宋体" w:eastAsia="宋体" w:cs="宋体"/>
                <w:bCs/>
                <w:color w:val="000000" w:themeColor="text1"/>
                <w:sz w:val="21"/>
                <w:szCs w:val="21"/>
                <w:highlight w:val="none"/>
                <w:lang w:eastAsia="zh-CN"/>
                <w14:textFill>
                  <w14:solidFill>
                    <w14:schemeClr w14:val="tx1"/>
                  </w14:solidFill>
                </w14:textFill>
              </w:rPr>
              <w:t>磋商保证金</w:t>
            </w:r>
            <w:r>
              <w:rPr>
                <w:rFonts w:hint="eastAsia" w:ascii="宋体" w:hAnsi="宋体" w:eastAsia="宋体" w:cs="宋体"/>
                <w:bCs/>
                <w:color w:val="000000" w:themeColor="text1"/>
                <w:sz w:val="21"/>
                <w:szCs w:val="21"/>
                <w:highlight w:val="none"/>
                <w14:textFill>
                  <w14:solidFill>
                    <w14:schemeClr w14:val="tx1"/>
                  </w14:solidFill>
                </w14:textFill>
              </w:rPr>
              <w:t>的情形</w:t>
            </w:r>
          </w:p>
        </w:tc>
        <w:tc>
          <w:tcPr>
            <w:tcW w:w="6675" w:type="dxa"/>
            <w:vAlign w:val="center"/>
          </w:tcPr>
          <w:p w14:paraId="49907F4C">
            <w:pPr>
              <w:pageBreakBefore w:val="0"/>
              <w:kinsoku/>
              <w:overflowPunct/>
              <w:topLinePunct w:val="0"/>
              <w:bidi w:val="0"/>
              <w:spacing w:line="288" w:lineRule="auto"/>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供应商在投标过程中借用他人资质，互相串通、结盟，伪造虚假业绩、人员、财务、履约情况等，或违反国家有关规定，损害招标的公正性和竞争性进行投标者。</w:t>
            </w:r>
          </w:p>
        </w:tc>
      </w:tr>
      <w:tr w14:paraId="37FD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95" w:type="dxa"/>
            <w:vAlign w:val="center"/>
          </w:tcPr>
          <w:p w14:paraId="19223A56">
            <w:pPr>
              <w:overflowPunct/>
              <w:bidi w:val="0"/>
              <w:spacing w:line="400" w:lineRule="exact"/>
              <w:jc w:val="center"/>
              <w:outlineLvl w:val="9"/>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5</w:t>
            </w:r>
          </w:p>
        </w:tc>
        <w:tc>
          <w:tcPr>
            <w:tcW w:w="2095" w:type="dxa"/>
            <w:vAlign w:val="center"/>
          </w:tcPr>
          <w:p w14:paraId="07C469FF">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近年完成的类似项目的年份要求</w:t>
            </w:r>
          </w:p>
        </w:tc>
        <w:tc>
          <w:tcPr>
            <w:tcW w:w="6675" w:type="dxa"/>
            <w:vAlign w:val="center"/>
          </w:tcPr>
          <w:p w14:paraId="3DDC611A">
            <w:pPr>
              <w:pageBreakBefore w:val="0"/>
              <w:kinsoku/>
              <w:overflowPunct/>
              <w:topLinePunct w:val="0"/>
              <w:bidi w:val="0"/>
              <w:spacing w:line="288" w:lineRule="auto"/>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年1月1日至磋商公告发布之日止。</w:t>
            </w:r>
          </w:p>
        </w:tc>
      </w:tr>
      <w:tr w14:paraId="4879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95" w:type="dxa"/>
            <w:vAlign w:val="center"/>
          </w:tcPr>
          <w:p w14:paraId="783FBFDF">
            <w:pPr>
              <w:overflowPunct/>
              <w:bidi w:val="0"/>
              <w:spacing w:line="400" w:lineRule="exact"/>
              <w:jc w:val="center"/>
              <w:outlineLvl w:val="9"/>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5</w:t>
            </w:r>
          </w:p>
        </w:tc>
        <w:tc>
          <w:tcPr>
            <w:tcW w:w="2095" w:type="dxa"/>
            <w:vAlign w:val="center"/>
          </w:tcPr>
          <w:p w14:paraId="752E1E88">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color w:val="000000" w:themeColor="text1"/>
                <w:highlight w:val="none"/>
                <w14:textFill>
                  <w14:solidFill>
                    <w14:schemeClr w14:val="tx1"/>
                  </w14:solidFill>
                </w14:textFill>
              </w:rPr>
            </w:pPr>
            <w:r>
              <w:rPr>
                <w:rFonts w:hint="eastAsia"/>
                <w:color w:val="000000" w:themeColor="text1"/>
                <w:spacing w:val="-11"/>
                <w:highlight w:val="none"/>
                <w14:textFill>
                  <w14:solidFill>
                    <w14:schemeClr w14:val="tx1"/>
                  </w14:solidFill>
                </w14:textFill>
              </w:rPr>
              <w:t>是否允许递交备选投标方案</w:t>
            </w:r>
          </w:p>
        </w:tc>
        <w:tc>
          <w:tcPr>
            <w:tcW w:w="6675" w:type="dxa"/>
            <w:vAlign w:val="center"/>
          </w:tcPr>
          <w:p w14:paraId="5D3A625D">
            <w:pPr>
              <w:overflowPunct/>
              <w:bidi w:val="0"/>
              <w:spacing w:line="400" w:lineRule="exact"/>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不允许</w:t>
            </w:r>
          </w:p>
        </w:tc>
      </w:tr>
      <w:tr w14:paraId="08CD8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5" w:type="dxa"/>
            <w:vAlign w:val="center"/>
          </w:tcPr>
          <w:p w14:paraId="356FD018">
            <w:pPr>
              <w:overflowPunct/>
              <w:bidi w:val="0"/>
              <w:spacing w:line="400" w:lineRule="exact"/>
              <w:jc w:val="center"/>
              <w:outlineLvl w:val="9"/>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eastAsia" w:ascii="Times New Roman" w:hAnsi="Times New Roman" w:eastAsia="宋体" w:cs="Times New Roman"/>
                <w:color w:val="000000" w:themeColor="text1"/>
                <w:highlight w:val="none"/>
                <w:lang w:val="zh-CN"/>
                <w14:textFill>
                  <w14:solidFill>
                    <w14:schemeClr w14:val="tx1"/>
                  </w14:solidFill>
                </w14:textFill>
              </w:rPr>
              <w:t>3.</w:t>
            </w:r>
            <w:r>
              <w:rPr>
                <w:rFonts w:hint="eastAsia" w:cs="Times New Roman"/>
                <w:color w:val="000000" w:themeColor="text1"/>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highlight w:val="none"/>
                <w:lang w:val="zh-CN"/>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4</w:t>
            </w:r>
          </w:p>
        </w:tc>
        <w:tc>
          <w:tcPr>
            <w:tcW w:w="2095" w:type="dxa"/>
            <w:vAlign w:val="center"/>
          </w:tcPr>
          <w:p w14:paraId="12D2867E">
            <w:pPr>
              <w:overflowPunct/>
              <w:bidi w:val="0"/>
              <w:spacing w:line="400" w:lineRule="exact"/>
              <w:jc w:val="center"/>
              <w:outlineLvl w:val="9"/>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val="zh-CN"/>
                <w14:textFill>
                  <w14:solidFill>
                    <w14:schemeClr w14:val="tx1"/>
                  </w14:solidFill>
                </w14:textFill>
              </w:rPr>
              <w:t>响应文件的补充递交</w:t>
            </w:r>
          </w:p>
        </w:tc>
        <w:tc>
          <w:tcPr>
            <w:tcW w:w="6675" w:type="dxa"/>
            <w:vAlign w:val="center"/>
          </w:tcPr>
          <w:p w14:paraId="066DEAF4">
            <w:pPr>
              <w:pageBreakBefore w:val="0"/>
              <w:kinsoku/>
              <w:overflowPunct/>
              <w:topLinePunct w:val="0"/>
              <w:bidi w:val="0"/>
              <w:spacing w:line="288" w:lineRule="auto"/>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投标时间截止后三个工作日内将</w:t>
            </w:r>
            <w:r>
              <w:rPr>
                <w:rFonts w:hint="eastAsia" w:ascii="宋体" w:hAnsi="宋体" w:eastAsia="宋体" w:cs="宋体"/>
                <w:color w:val="000000" w:themeColor="text1"/>
                <w:sz w:val="21"/>
                <w:szCs w:val="21"/>
                <w:highlight w:val="none"/>
                <w:lang w:val="en-US" w:eastAsia="zh-CN"/>
                <w14:textFill>
                  <w14:solidFill>
                    <w14:schemeClr w14:val="tx1"/>
                  </w14:solidFill>
                </w14:textFill>
              </w:rPr>
              <w:t>纸质版投标文件送</w:t>
            </w:r>
            <w:r>
              <w:rPr>
                <w:rFonts w:hint="eastAsia" w:ascii="宋体" w:hAnsi="宋体" w:cs="宋体"/>
                <w:color w:val="000000" w:themeColor="text1"/>
                <w:sz w:val="21"/>
                <w:szCs w:val="21"/>
                <w:highlight w:val="none"/>
                <w:lang w:val="en-US" w:eastAsia="zh-CN"/>
                <w14:textFill>
                  <w14:solidFill>
                    <w14:schemeClr w14:val="tx1"/>
                  </w14:solidFill>
                </w14:textFill>
              </w:rPr>
              <w:t>至</w:t>
            </w:r>
            <w:r>
              <w:rPr>
                <w:rFonts w:hint="eastAsia" w:ascii="宋体" w:hAnsi="宋体" w:eastAsia="宋体" w:cs="宋体"/>
                <w:color w:val="000000" w:themeColor="text1"/>
                <w:sz w:val="21"/>
                <w:szCs w:val="21"/>
                <w:highlight w:val="none"/>
                <w:lang w:val="en-US" w:eastAsia="zh-CN"/>
                <w14:textFill>
                  <w14:solidFill>
                    <w14:schemeClr w14:val="tx1"/>
                  </w14:solidFill>
                </w14:textFill>
              </w:rPr>
              <w:t>代理机构</w:t>
            </w:r>
          </w:p>
          <w:p w14:paraId="5FD43AD1">
            <w:pPr>
              <w:pageBreakBefore w:val="0"/>
              <w:kinsoku/>
              <w:overflowPunct/>
              <w:topLinePunct w:val="0"/>
              <w:bidi w:val="0"/>
              <w:spacing w:line="288" w:lineRule="auto"/>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1、份数要求：</w:t>
            </w:r>
          </w:p>
          <w:p w14:paraId="7B9459B3">
            <w:pPr>
              <w:pageBreakBefore w:val="0"/>
              <w:kinsoku/>
              <w:overflowPunct/>
              <w:topLinePunct w:val="0"/>
              <w:bidi w:val="0"/>
              <w:spacing w:line="288" w:lineRule="auto"/>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正本1份，副本3份，同时提供电子文件U盘2份（PDF为最终上传到政采云系统的签字盖章版本，WORD为投标文件可编辑版本），提交电子文件中要求的内容应包括纸质投标文件的全部内容。</w:t>
            </w:r>
          </w:p>
          <w:p w14:paraId="3689F6DE">
            <w:pPr>
              <w:pageBreakBefore w:val="0"/>
              <w:kinsoku/>
              <w:overflowPunct/>
              <w:topLinePunct w:val="0"/>
              <w:bidi w:val="0"/>
              <w:spacing w:line="288" w:lineRule="auto"/>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2、其他要求：</w:t>
            </w:r>
          </w:p>
          <w:p w14:paraId="30DA6D7B">
            <w:pPr>
              <w:pageBreakBefore w:val="0"/>
              <w:kinsoku/>
              <w:overflowPunct/>
              <w:topLinePunct w:val="0"/>
              <w:bidi w:val="0"/>
              <w:spacing w:line="288" w:lineRule="auto"/>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（1）投标单位在“政采云”平台（http：//www.zcygov.cn）上制作投标文件1份（此投标文件须上传至“政采云”平台）。</w:t>
            </w:r>
          </w:p>
          <w:p w14:paraId="20067B35">
            <w:pPr>
              <w:pageBreakBefore w:val="0"/>
              <w:kinsoku/>
              <w:overflowPunct/>
              <w:topLinePunct w:val="0"/>
              <w:bidi w:val="0"/>
              <w:spacing w:line="288" w:lineRule="auto"/>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（2）投标单位在制作投标文件时，电子投标文件与纸质版本投标文件均以“政采云”平台的投标文件格式为准，投标单位上传至“政采云”平台的电子投标文件内容，在纸质投标文件中均应体现。</w:t>
            </w:r>
          </w:p>
          <w:p w14:paraId="70804915">
            <w:pPr>
              <w:pageBreakBefore w:val="0"/>
              <w:kinsoku/>
              <w:overflowPunct/>
              <w:topLinePunct w:val="0"/>
              <w:bidi w:val="0"/>
              <w:spacing w:line="288" w:lineRule="auto"/>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3、递交要求，响应文件电子版内容：</w:t>
            </w:r>
          </w:p>
          <w:p w14:paraId="196695E5">
            <w:pPr>
              <w:pageBreakBefore w:val="0"/>
              <w:kinsoku/>
              <w:overflowPunct/>
              <w:topLinePunct w:val="0"/>
              <w:bidi w:val="0"/>
              <w:spacing w:line="288" w:lineRule="auto"/>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响应文件全部内容（PDF版本和Word版本，PDF为最终上传到政采云系统的签字盖章版本，WORD为响应文件可编辑版本，同时清单报价提供excel版和软件版两种格式）。</w:t>
            </w:r>
          </w:p>
          <w:p w14:paraId="06F1BD90">
            <w:pPr>
              <w:pageBreakBefore w:val="0"/>
              <w:kinsoku/>
              <w:overflowPunct/>
              <w:topLinePunct w:val="0"/>
              <w:bidi w:val="0"/>
              <w:spacing w:line="288" w:lineRule="auto"/>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响应文件电子版份数： 2份</w:t>
            </w:r>
          </w:p>
          <w:p w14:paraId="4452329D">
            <w:pPr>
              <w:pageBreakBefore w:val="0"/>
              <w:kinsoku/>
              <w:overflowPunct/>
              <w:topLinePunct w:val="0"/>
              <w:bidi w:val="0"/>
              <w:spacing w:line="288" w:lineRule="auto"/>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响应文件电子版形式： U盘</w:t>
            </w:r>
          </w:p>
          <w:p w14:paraId="58E573E8">
            <w:pPr>
              <w:pageBreakBefore w:val="0"/>
              <w:kinsoku/>
              <w:overflowPunct/>
              <w:topLinePunct w:val="0"/>
              <w:bidi w:val="0"/>
              <w:spacing w:line="288" w:lineRule="auto"/>
              <w:textAlignment w:val="auto"/>
              <w:outlineLvl w:val="9"/>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响应文件电子版密封方式：单独放入一个密封袋中，加贴封条，并在封套封口处加盖申请人单位章，在封套上标记“响应文件电子版”字样。</w:t>
            </w:r>
          </w:p>
        </w:tc>
      </w:tr>
      <w:tr w14:paraId="6DD2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95" w:type="dxa"/>
            <w:vAlign w:val="center"/>
          </w:tcPr>
          <w:p w14:paraId="15D39EF0">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3.</w:t>
            </w:r>
            <w:r>
              <w:rPr>
                <w:rFonts w:hint="eastAsia" w:ascii="宋体" w:hAnsi="宋体" w:cs="宋体"/>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Cs/>
                <w:color w:val="000000" w:themeColor="text1"/>
                <w:sz w:val="21"/>
                <w:szCs w:val="21"/>
                <w:highlight w:val="none"/>
                <w:lang w:val="zh-CN"/>
                <w14:textFill>
                  <w14:solidFill>
                    <w14:schemeClr w14:val="tx1"/>
                  </w14:solidFill>
                </w14:textFill>
              </w:rPr>
              <w:t>.</w:t>
            </w:r>
            <w:r>
              <w:rPr>
                <w:rFonts w:hint="eastAsia" w:ascii="宋体" w:hAnsi="宋体" w:cs="宋体"/>
                <w:bCs/>
                <w:color w:val="000000" w:themeColor="text1"/>
                <w:sz w:val="21"/>
                <w:szCs w:val="21"/>
                <w:highlight w:val="none"/>
                <w:lang w:val="en-US" w:eastAsia="zh-CN"/>
                <w14:textFill>
                  <w14:solidFill>
                    <w14:schemeClr w14:val="tx1"/>
                  </w14:solidFill>
                </w14:textFill>
              </w:rPr>
              <w:t>6</w:t>
            </w:r>
          </w:p>
        </w:tc>
        <w:tc>
          <w:tcPr>
            <w:tcW w:w="2095" w:type="dxa"/>
            <w:vAlign w:val="center"/>
          </w:tcPr>
          <w:p w14:paraId="472DD3CB">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响应文件上传</w:t>
            </w:r>
          </w:p>
        </w:tc>
        <w:tc>
          <w:tcPr>
            <w:tcW w:w="6675" w:type="dxa"/>
            <w:vAlign w:val="center"/>
          </w:tcPr>
          <w:p w14:paraId="40736A12">
            <w:pPr>
              <w:keepNext w:val="0"/>
              <w:keepLines w:val="0"/>
              <w:pageBreakBefore w:val="0"/>
              <w:widowControl w:val="0"/>
              <w:kinsoku/>
              <w:wordWrap w:val="0"/>
              <w:overflowPunct/>
              <w:topLinePunct w:val="0"/>
              <w:autoSpaceDE/>
              <w:autoSpaceDN/>
              <w:bidi w:val="0"/>
              <w:adjustRightInd w:val="0"/>
              <w:spacing w:line="440" w:lineRule="exact"/>
              <w:textAlignment w:val="auto"/>
              <w:outlineLvl w:val="9"/>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15"/>
                <w:sz w:val="21"/>
                <w:szCs w:val="21"/>
                <w:highlight w:val="none"/>
                <w:lang w:eastAsia="zh-CN"/>
                <w14:textFill>
                  <w14:solidFill>
                    <w14:schemeClr w14:val="tx1"/>
                  </w14:solidFill>
                </w14:textFill>
              </w:rPr>
              <w:t>供应商</w:t>
            </w:r>
            <w:r>
              <w:rPr>
                <w:rFonts w:hint="eastAsia" w:ascii="宋体" w:hAnsi="宋体" w:eastAsia="宋体" w:cs="宋体"/>
                <w:bCs/>
                <w:color w:val="000000" w:themeColor="text1"/>
                <w:kern w:val="15"/>
                <w:sz w:val="21"/>
                <w:szCs w:val="21"/>
                <w:highlight w:val="none"/>
                <w14:textFill>
                  <w14:solidFill>
                    <w14:schemeClr w14:val="tx1"/>
                  </w14:solidFill>
                </w14:textFill>
              </w:rPr>
              <w:t>需在开标前将</w:t>
            </w:r>
            <w:r>
              <w:rPr>
                <w:rFonts w:hint="eastAsia" w:ascii="宋体" w:hAnsi="宋体" w:eastAsia="宋体" w:cs="宋体"/>
                <w:bCs/>
                <w:color w:val="000000" w:themeColor="text1"/>
                <w:kern w:val="15"/>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15"/>
                <w:sz w:val="21"/>
                <w:szCs w:val="21"/>
                <w:highlight w:val="none"/>
                <w14:textFill>
                  <w14:solidFill>
                    <w14:schemeClr w14:val="tx1"/>
                  </w14:solidFill>
                </w14:textFill>
              </w:rPr>
              <w:t>制作工具生成的加密文件上传到</w:t>
            </w:r>
            <w:r>
              <w:rPr>
                <w:rFonts w:hint="eastAsia" w:ascii="宋体" w:hAnsi="宋体" w:cs="宋体"/>
                <w:bCs/>
                <w:color w:val="000000" w:themeColor="text1"/>
                <w:sz w:val="21"/>
                <w:szCs w:val="21"/>
                <w:highlight w:val="none"/>
                <w14:textFill>
                  <w14:solidFill>
                    <w14:schemeClr w14:val="tx1"/>
                  </w14:solidFill>
                </w14:textFill>
              </w:rPr>
              <w:t>政府采购云平台（网址：http://www.zcygov.cn）</w:t>
            </w:r>
            <w:r>
              <w:rPr>
                <w:rFonts w:hint="eastAsia" w:ascii="宋体" w:hAnsi="宋体" w:eastAsia="宋体" w:cs="宋体"/>
                <w:bCs/>
                <w:color w:val="000000" w:themeColor="text1"/>
                <w:kern w:val="15"/>
                <w:sz w:val="21"/>
                <w:szCs w:val="21"/>
                <w:highlight w:val="none"/>
                <w14:textFill>
                  <w14:solidFill>
                    <w14:schemeClr w14:val="tx1"/>
                  </w14:solidFill>
                </w14:textFill>
              </w:rPr>
              <w:t>。</w:t>
            </w:r>
          </w:p>
        </w:tc>
      </w:tr>
      <w:tr w14:paraId="5687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95" w:type="dxa"/>
            <w:vAlign w:val="center"/>
          </w:tcPr>
          <w:p w14:paraId="4288E2CD">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4.2.1</w:t>
            </w:r>
          </w:p>
        </w:tc>
        <w:tc>
          <w:tcPr>
            <w:tcW w:w="2095" w:type="dxa"/>
            <w:vAlign w:val="center"/>
          </w:tcPr>
          <w:p w14:paraId="5FC8DDF8">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供应商上传提交响应文件的截止时间(开标时间）</w:t>
            </w:r>
          </w:p>
        </w:tc>
        <w:tc>
          <w:tcPr>
            <w:tcW w:w="6675" w:type="dxa"/>
            <w:vAlign w:val="center"/>
          </w:tcPr>
          <w:p w14:paraId="7E62944F">
            <w:pPr>
              <w:keepNext w:val="0"/>
              <w:keepLines w:val="0"/>
              <w:pageBreakBefore w:val="0"/>
              <w:widowControl w:val="0"/>
              <w:kinsoku/>
              <w:wordWrap w:val="0"/>
              <w:overflowPunct/>
              <w:topLinePunct w:val="0"/>
              <w:autoSpaceDE/>
              <w:autoSpaceDN/>
              <w:bidi w:val="0"/>
              <w:adjustRightInd w:val="0"/>
              <w:spacing w:line="440" w:lineRule="exact"/>
              <w:textAlignment w:val="auto"/>
              <w:outlineLvl w:val="9"/>
              <w:rPr>
                <w:rFonts w:hint="eastAsia" w:ascii="宋体" w:hAnsi="宋体" w:eastAsia="宋体" w:cs="宋体"/>
                <w:bCs/>
                <w:color w:val="000000" w:themeColor="text1"/>
                <w:kern w:val="15"/>
                <w:sz w:val="21"/>
                <w:szCs w:val="21"/>
                <w:highlight w:val="none"/>
                <w:lang w:eastAsia="zh-CN"/>
                <w14:textFill>
                  <w14:solidFill>
                    <w14:schemeClr w14:val="tx1"/>
                  </w14:solidFill>
                </w14:textFill>
              </w:rPr>
            </w:pPr>
            <w:r>
              <w:rPr>
                <w:rFonts w:hint="eastAsia" w:ascii="宋体" w:hAnsi="宋体" w:cs="宋体"/>
                <w:bCs/>
                <w:color w:val="000000" w:themeColor="text1"/>
                <w:sz w:val="21"/>
                <w:szCs w:val="21"/>
                <w:highlight w:val="none"/>
                <w:lang w:eastAsia="zh-CN"/>
                <w14:textFill>
                  <w14:solidFill>
                    <w14:schemeClr w14:val="tx1"/>
                  </w14:solidFill>
                </w14:textFill>
              </w:rPr>
              <w:t>202</w:t>
            </w:r>
            <w:r>
              <w:rPr>
                <w:rFonts w:hint="eastAsia" w:ascii="宋体" w:hAnsi="宋体" w:cs="宋体"/>
                <w:bCs/>
                <w:color w:val="000000" w:themeColor="text1"/>
                <w:sz w:val="21"/>
                <w:szCs w:val="21"/>
                <w:highlight w:val="none"/>
                <w:lang w:val="en-US" w:eastAsia="zh-CN"/>
                <w14:textFill>
                  <w14:solidFill>
                    <w14:schemeClr w14:val="tx1"/>
                  </w14:solidFill>
                </w14:textFill>
              </w:rPr>
              <w:t>5</w:t>
            </w:r>
            <w:r>
              <w:rPr>
                <w:rFonts w:hint="eastAsia" w:ascii="宋体" w:hAnsi="宋体" w:cs="宋体"/>
                <w:bCs/>
                <w:color w:val="000000" w:themeColor="text1"/>
                <w:sz w:val="21"/>
                <w:szCs w:val="21"/>
                <w:highlight w:val="none"/>
                <w:lang w:eastAsia="zh-CN"/>
                <w14:textFill>
                  <w14:solidFill>
                    <w14:schemeClr w14:val="tx1"/>
                  </w14:solidFill>
                </w14:textFill>
              </w:rPr>
              <w:t>年</w:t>
            </w:r>
            <w:r>
              <w:rPr>
                <w:rFonts w:hint="eastAsia" w:ascii="宋体" w:hAnsi="宋体" w:cs="宋体"/>
                <w:bCs/>
                <w:color w:val="000000" w:themeColor="text1"/>
                <w:sz w:val="21"/>
                <w:szCs w:val="21"/>
                <w:highlight w:val="none"/>
                <w:lang w:val="en-US" w:eastAsia="zh-CN"/>
                <w14:textFill>
                  <w14:solidFill>
                    <w14:schemeClr w14:val="tx1"/>
                  </w14:solidFill>
                </w14:textFill>
              </w:rPr>
              <w:t>3</w:t>
            </w:r>
            <w:r>
              <w:rPr>
                <w:rFonts w:hint="eastAsia" w:ascii="宋体" w:hAnsi="宋体" w:cs="宋体"/>
                <w:bCs/>
                <w:color w:val="000000" w:themeColor="text1"/>
                <w:sz w:val="21"/>
                <w:szCs w:val="21"/>
                <w:highlight w:val="none"/>
                <w:lang w:eastAsia="zh-CN"/>
                <w14:textFill>
                  <w14:solidFill>
                    <w14:schemeClr w14:val="tx1"/>
                  </w14:solidFill>
                </w14:textFill>
              </w:rPr>
              <w:t>月</w:t>
            </w:r>
            <w:r>
              <w:rPr>
                <w:rFonts w:hint="eastAsia" w:ascii="宋体" w:hAnsi="宋体" w:cs="宋体"/>
                <w:bCs/>
                <w:color w:val="000000" w:themeColor="text1"/>
                <w:sz w:val="21"/>
                <w:szCs w:val="21"/>
                <w:highlight w:val="none"/>
                <w:lang w:val="en-US" w:eastAsia="zh-CN"/>
                <w14:textFill>
                  <w14:solidFill>
                    <w14:schemeClr w14:val="tx1"/>
                  </w14:solidFill>
                </w14:textFill>
              </w:rPr>
              <w:t>24</w:t>
            </w:r>
            <w:r>
              <w:rPr>
                <w:rFonts w:hint="eastAsia" w:ascii="宋体" w:hAnsi="宋体" w:cs="宋体"/>
                <w:bCs/>
                <w:color w:val="000000" w:themeColor="text1"/>
                <w:sz w:val="21"/>
                <w:szCs w:val="21"/>
                <w:highlight w:val="none"/>
                <w:lang w:eastAsia="zh-CN"/>
                <w14:textFill>
                  <w14:solidFill>
                    <w14:schemeClr w14:val="tx1"/>
                  </w14:solidFill>
                </w14:textFill>
              </w:rPr>
              <w:t>日</w:t>
            </w:r>
            <w:r>
              <w:rPr>
                <w:rFonts w:hint="eastAsia" w:ascii="宋体" w:hAnsi="宋体" w:cs="宋体"/>
                <w:bCs/>
                <w:color w:val="000000" w:themeColor="text1"/>
                <w:sz w:val="21"/>
                <w:szCs w:val="21"/>
                <w:highlight w:val="none"/>
                <w:lang w:val="en-US" w:eastAsia="zh-CN"/>
                <w14:textFill>
                  <w14:solidFill>
                    <w14:schemeClr w14:val="tx1"/>
                  </w14:solidFill>
                </w14:textFill>
              </w:rPr>
              <w:t>09</w:t>
            </w:r>
            <w:r>
              <w:rPr>
                <w:rFonts w:hint="eastAsia" w:ascii="宋体" w:hAnsi="宋体" w:cs="宋体"/>
                <w:bCs/>
                <w:color w:val="000000" w:themeColor="text1"/>
                <w:sz w:val="21"/>
                <w:szCs w:val="21"/>
                <w:highlight w:val="none"/>
                <w:lang w:eastAsia="zh-CN"/>
                <w14:textFill>
                  <w14:solidFill>
                    <w14:schemeClr w14:val="tx1"/>
                  </w14:solidFill>
                </w14:textFill>
              </w:rPr>
              <w:t>时</w:t>
            </w:r>
            <w:r>
              <w:rPr>
                <w:rFonts w:hint="eastAsia" w:ascii="宋体" w:hAnsi="宋体" w:cs="宋体"/>
                <w:bCs/>
                <w:color w:val="000000" w:themeColor="text1"/>
                <w:sz w:val="21"/>
                <w:szCs w:val="21"/>
                <w:highlight w:val="none"/>
                <w:lang w:val="en-US" w:eastAsia="zh-CN"/>
                <w14:textFill>
                  <w14:solidFill>
                    <w14:schemeClr w14:val="tx1"/>
                  </w14:solidFill>
                </w14:textFill>
              </w:rPr>
              <w:t>30</w:t>
            </w:r>
            <w:r>
              <w:rPr>
                <w:rFonts w:hint="eastAsia" w:ascii="宋体" w:hAnsi="宋体" w:cs="宋体"/>
                <w:bCs/>
                <w:color w:val="000000" w:themeColor="text1"/>
                <w:sz w:val="21"/>
                <w:szCs w:val="21"/>
                <w:highlight w:val="none"/>
                <w:lang w:eastAsia="zh-CN"/>
                <w14:textFill>
                  <w14:solidFill>
                    <w14:schemeClr w14:val="tx1"/>
                  </w14:solidFill>
                </w14:textFill>
              </w:rPr>
              <w:t>分（北京时间）</w:t>
            </w:r>
          </w:p>
        </w:tc>
      </w:tr>
      <w:tr w14:paraId="24258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995" w:type="dxa"/>
            <w:vAlign w:val="center"/>
          </w:tcPr>
          <w:p w14:paraId="11AD1C6D">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4.</w:t>
            </w:r>
            <w:r>
              <w:rPr>
                <w:rFonts w:hint="eastAsia" w:ascii="宋体" w:hAnsi="宋体" w:eastAsia="宋体" w:cs="宋体"/>
                <w:bCs/>
                <w:color w:val="000000" w:themeColor="text1"/>
                <w:sz w:val="21"/>
                <w:szCs w:val="21"/>
                <w:highlight w:val="none"/>
                <w14:textFill>
                  <w14:solidFill>
                    <w14:schemeClr w14:val="tx1"/>
                  </w14:solidFill>
                </w14:textFill>
              </w:rPr>
              <w:t>2</w:t>
            </w:r>
            <w:r>
              <w:rPr>
                <w:rFonts w:hint="eastAsia" w:ascii="宋体" w:hAnsi="宋体" w:eastAsia="宋体" w:cs="宋体"/>
                <w:bCs/>
                <w:color w:val="000000" w:themeColor="text1"/>
                <w:sz w:val="21"/>
                <w:szCs w:val="21"/>
                <w:highlight w:val="none"/>
                <w:lang w:val="zh-CN"/>
                <w14:textFill>
                  <w14:solidFill>
                    <w14:schemeClr w14:val="tx1"/>
                  </w14:solidFill>
                </w14:textFill>
              </w:rPr>
              <w:t>.2</w:t>
            </w:r>
          </w:p>
        </w:tc>
        <w:tc>
          <w:tcPr>
            <w:tcW w:w="2095" w:type="dxa"/>
            <w:vAlign w:val="center"/>
          </w:tcPr>
          <w:p w14:paraId="79387D12">
            <w:pPr>
              <w:keepNext w:val="0"/>
              <w:keepLines w:val="0"/>
              <w:pageBreakBefore w:val="0"/>
              <w:widowControl w:val="0"/>
              <w:kinsoku/>
              <w:wordWrap w:val="0"/>
              <w:overflowPunct/>
              <w:topLinePunct w:val="0"/>
              <w:autoSpaceDE/>
              <w:autoSpaceDN/>
              <w:bidi w:val="0"/>
              <w:adjustRightInd w:val="0"/>
              <w:spacing w:line="440" w:lineRule="exact"/>
              <w:jc w:val="center"/>
              <w:textAlignment w:val="auto"/>
              <w:outlineLvl w:val="9"/>
              <w:rPr>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供应商上传提交响应文件的平台</w:t>
            </w:r>
          </w:p>
        </w:tc>
        <w:tc>
          <w:tcPr>
            <w:tcW w:w="6675" w:type="dxa"/>
            <w:vAlign w:val="center"/>
          </w:tcPr>
          <w:p w14:paraId="364CF3A1">
            <w:pPr>
              <w:keepNext w:val="0"/>
              <w:keepLines w:val="0"/>
              <w:pageBreakBefore w:val="0"/>
              <w:widowControl w:val="0"/>
              <w:tabs>
                <w:tab w:val="center" w:pos="3086"/>
              </w:tabs>
              <w:kinsoku/>
              <w:wordWrap w:val="0"/>
              <w:overflowPunct/>
              <w:topLinePunct w:val="0"/>
              <w:autoSpaceDE/>
              <w:autoSpaceDN/>
              <w:bidi w:val="0"/>
              <w:adjustRightInd w:val="0"/>
              <w:snapToGrid/>
              <w:spacing w:line="0" w:lineRule="atLeast"/>
              <w:jc w:val="left"/>
              <w:textAlignment w:val="auto"/>
              <w:outlineLvl w:val="9"/>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本项目执行电子化招投标，供应商须通过政府采购云平台（网址：http://www.zcygov.cn）递交电子版</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响应文件</w:t>
            </w:r>
            <w:r>
              <w:rPr>
                <w:rFonts w:hint="eastAsia" w:ascii="宋体" w:hAnsi="宋体" w:eastAsia="宋体" w:cs="宋体"/>
                <w:bCs/>
                <w:color w:val="000000" w:themeColor="text1"/>
                <w:sz w:val="21"/>
                <w:szCs w:val="21"/>
                <w:highlight w:val="none"/>
                <w:lang w:val="zh-CN" w:eastAsia="zh-CN"/>
                <w14:textFill>
                  <w14:solidFill>
                    <w14:schemeClr w14:val="tx1"/>
                  </w14:solidFill>
                </w14:textFill>
              </w:rPr>
              <w:t>。</w:t>
            </w:r>
          </w:p>
        </w:tc>
      </w:tr>
      <w:tr w14:paraId="4CF5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Align w:val="center"/>
          </w:tcPr>
          <w:p w14:paraId="114DCF4E">
            <w:pPr>
              <w:keepNext w:val="0"/>
              <w:keepLines w:val="0"/>
              <w:pageBreakBefore w:val="0"/>
              <w:widowControl w:val="0"/>
              <w:kinsoku/>
              <w:wordWrap w:val="0"/>
              <w:overflowPunct/>
              <w:topLinePunct w:val="0"/>
              <w:autoSpaceDE/>
              <w:autoSpaceDN/>
              <w:bidi w:val="0"/>
              <w:adjustRightInd w:val="0"/>
              <w:spacing w:line="360" w:lineRule="exact"/>
              <w:jc w:val="center"/>
              <w:textAlignment w:val="auto"/>
              <w:outlineLvl w:val="9"/>
              <w:rPr>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4.2.3</w:t>
            </w:r>
          </w:p>
        </w:tc>
        <w:tc>
          <w:tcPr>
            <w:tcW w:w="2095" w:type="dxa"/>
            <w:vAlign w:val="center"/>
          </w:tcPr>
          <w:p w14:paraId="1487C811">
            <w:pPr>
              <w:keepNext w:val="0"/>
              <w:keepLines w:val="0"/>
              <w:pageBreakBefore w:val="0"/>
              <w:widowControl w:val="0"/>
              <w:kinsoku/>
              <w:wordWrap w:val="0"/>
              <w:overflowPunct/>
              <w:topLinePunct w:val="0"/>
              <w:autoSpaceDE/>
              <w:autoSpaceDN/>
              <w:bidi w:val="0"/>
              <w:adjustRightInd w:val="0"/>
              <w:spacing w:line="360" w:lineRule="exact"/>
              <w:jc w:val="center"/>
              <w:textAlignment w:val="auto"/>
              <w:outlineLvl w:val="9"/>
              <w:rPr>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响应文件是否退还</w:t>
            </w:r>
          </w:p>
        </w:tc>
        <w:tc>
          <w:tcPr>
            <w:tcW w:w="6675" w:type="dxa"/>
            <w:vAlign w:val="center"/>
          </w:tcPr>
          <w:p w14:paraId="23082E81">
            <w:pPr>
              <w:keepNext w:val="0"/>
              <w:keepLines w:val="0"/>
              <w:pageBreakBefore w:val="0"/>
              <w:widowControl w:val="0"/>
              <w:tabs>
                <w:tab w:val="center" w:pos="3086"/>
              </w:tabs>
              <w:kinsoku/>
              <w:wordWrap w:val="0"/>
              <w:overflowPunct/>
              <w:topLinePunct w:val="0"/>
              <w:autoSpaceDE/>
              <w:autoSpaceDN/>
              <w:bidi w:val="0"/>
              <w:adjustRightInd w:val="0"/>
              <w:snapToGrid/>
              <w:spacing w:line="0" w:lineRule="atLeast"/>
              <w:jc w:val="both"/>
              <w:textAlignment w:val="auto"/>
              <w:outlineLvl w:val="9"/>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□是</w:t>
            </w:r>
          </w:p>
          <w:p w14:paraId="5A6A1C11">
            <w:pPr>
              <w:keepNext w:val="0"/>
              <w:keepLines w:val="0"/>
              <w:pageBreakBefore w:val="0"/>
              <w:widowControl w:val="0"/>
              <w:tabs>
                <w:tab w:val="center" w:pos="3086"/>
              </w:tabs>
              <w:kinsoku/>
              <w:wordWrap w:val="0"/>
              <w:overflowPunct/>
              <w:topLinePunct w:val="0"/>
              <w:autoSpaceDE/>
              <w:autoSpaceDN/>
              <w:bidi w:val="0"/>
              <w:adjustRightInd w:val="0"/>
              <w:snapToGrid/>
              <w:spacing w:line="0" w:lineRule="atLeast"/>
              <w:jc w:val="both"/>
              <w:textAlignment w:val="auto"/>
              <w:outlineLvl w:val="9"/>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fldChar w:fldCharType="begin"/>
            </w:r>
            <w:r>
              <w:rPr>
                <w:rFonts w:hint="eastAsia" w:ascii="宋体" w:hAnsi="宋体" w:eastAsia="宋体" w:cs="宋体"/>
                <w:bCs/>
                <w:color w:val="000000" w:themeColor="text1"/>
                <w:sz w:val="21"/>
                <w:szCs w:val="21"/>
                <w:highlight w:val="none"/>
                <w:lang w:val="zh-CN"/>
                <w14:textFill>
                  <w14:solidFill>
                    <w14:schemeClr w14:val="tx1"/>
                  </w14:solidFill>
                </w14:textFill>
              </w:rPr>
              <w:instrText xml:space="preserve">eq \o\ac(□,√)</w:instrText>
            </w:r>
            <w:r>
              <w:rPr>
                <w:rFonts w:hint="eastAsia" w:ascii="宋体" w:hAnsi="宋体" w:eastAsia="宋体" w:cs="宋体"/>
                <w:bCs/>
                <w:color w:val="000000" w:themeColor="text1"/>
                <w:sz w:val="21"/>
                <w:szCs w:val="21"/>
                <w:highlight w:val="none"/>
                <w:lang w:val="zh-CN"/>
                <w14:textFill>
                  <w14:solidFill>
                    <w14:schemeClr w14:val="tx1"/>
                  </w14:solidFill>
                </w14:textFill>
              </w:rPr>
              <w:fldChar w:fldCharType="end"/>
            </w:r>
            <w:r>
              <w:rPr>
                <w:rFonts w:hint="eastAsia" w:ascii="宋体" w:hAnsi="宋体" w:eastAsia="宋体" w:cs="宋体"/>
                <w:bCs/>
                <w:color w:val="000000" w:themeColor="text1"/>
                <w:sz w:val="21"/>
                <w:szCs w:val="21"/>
                <w:highlight w:val="none"/>
                <w:lang w:val="zh-CN"/>
                <w14:textFill>
                  <w14:solidFill>
                    <w14:schemeClr w14:val="tx1"/>
                  </w14:solidFill>
                </w14:textFill>
              </w:rPr>
              <w:t>否，已递交的响应文件不予返还，请供应商自行做好备份工作。</w:t>
            </w:r>
          </w:p>
        </w:tc>
      </w:tr>
      <w:tr w14:paraId="1A5E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28B02E56">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6.1.1</w:t>
            </w:r>
          </w:p>
        </w:tc>
        <w:tc>
          <w:tcPr>
            <w:tcW w:w="2095" w:type="dxa"/>
            <w:vAlign w:val="center"/>
          </w:tcPr>
          <w:p w14:paraId="66F93A0C">
            <w:pPr>
              <w:keepNext w:val="0"/>
              <w:keepLines w:val="0"/>
              <w:pageBreakBefore w:val="0"/>
              <w:widowControl w:val="0"/>
              <w:kinsoku/>
              <w:wordWrap w:val="0"/>
              <w:overflowPunct/>
              <w:topLinePunct w:val="0"/>
              <w:autoSpaceDE/>
              <w:autoSpaceDN/>
              <w:bidi w:val="0"/>
              <w:adjustRightInd w:val="0"/>
              <w:snapToGrid/>
              <w:spacing w:line="0" w:lineRule="atLeast"/>
              <w:jc w:val="center"/>
              <w:textAlignment w:val="auto"/>
              <w:outlineLvl w:val="9"/>
              <w:rPr>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磋商小组</w:t>
            </w:r>
            <w:r>
              <w:rPr>
                <w:rFonts w:hint="eastAsia" w:ascii="宋体" w:hAnsi="宋体" w:eastAsia="宋体" w:cs="宋体"/>
                <w:bCs/>
                <w:color w:val="000000" w:themeColor="text1"/>
                <w:sz w:val="21"/>
                <w:szCs w:val="21"/>
                <w:highlight w:val="none"/>
                <w:lang w:val="zh-CN" w:eastAsia="zh-CN"/>
                <w14:textFill>
                  <w14:solidFill>
                    <w14:schemeClr w14:val="tx1"/>
                  </w14:solidFill>
                </w14:textFill>
              </w:rPr>
              <w:t>的组建</w:t>
            </w:r>
          </w:p>
        </w:tc>
        <w:tc>
          <w:tcPr>
            <w:tcW w:w="6675" w:type="dxa"/>
            <w:vAlign w:val="center"/>
          </w:tcPr>
          <w:p w14:paraId="027ED3BF">
            <w:pPr>
              <w:keepNext w:val="0"/>
              <w:keepLines w:val="0"/>
              <w:pageBreakBefore w:val="0"/>
              <w:widowControl w:val="0"/>
              <w:kinsoku/>
              <w:wordWrap w:val="0"/>
              <w:overflowPunct/>
              <w:topLinePunct w:val="0"/>
              <w:autoSpaceDE/>
              <w:autoSpaceDN/>
              <w:bidi w:val="0"/>
              <w:snapToGrid/>
              <w:spacing w:line="0" w:lineRule="atLeast"/>
              <w:jc w:val="both"/>
              <w:textAlignment w:val="auto"/>
              <w:outlineLvl w:val="9"/>
              <w:rPr>
                <w:rFonts w:hint="eastAsia" w:ascii="宋体" w:hAnsi="宋体"/>
                <w:color w:val="000000" w:themeColor="text1"/>
                <w:sz w:val="21"/>
                <w:szCs w:val="21"/>
                <w:highlight w:val="none"/>
                <w:lang w:val="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磋商小组的</w:t>
            </w:r>
            <w:r>
              <w:rPr>
                <w:rFonts w:hint="eastAsia" w:ascii="宋体" w:hAnsi="宋体"/>
                <w:color w:val="000000" w:themeColor="text1"/>
                <w:sz w:val="21"/>
                <w:szCs w:val="21"/>
                <w:highlight w:val="none"/>
                <w:lang w:val="zh-CN"/>
                <w14:textFill>
                  <w14:solidFill>
                    <w14:schemeClr w14:val="tx1"/>
                  </w14:solidFill>
                </w14:textFill>
              </w:rPr>
              <w:t>构成：</w:t>
            </w:r>
            <w:r>
              <w:rPr>
                <w:rFonts w:hint="eastAsia" w:ascii="宋体" w:hAnsi="宋体"/>
                <w:color w:val="000000" w:themeColor="text1"/>
                <w:sz w:val="21"/>
                <w:szCs w:val="21"/>
                <w:highlight w:val="none"/>
                <w:lang w:val="en-US" w:eastAsia="zh-CN"/>
                <w14:textFill>
                  <w14:solidFill>
                    <w14:schemeClr w14:val="tx1"/>
                  </w14:solidFill>
                </w14:textFill>
              </w:rPr>
              <w:t>专家3</w:t>
            </w:r>
            <w:r>
              <w:rPr>
                <w:rFonts w:hint="eastAsia" w:ascii="宋体" w:hAnsi="宋体"/>
                <w:color w:val="000000" w:themeColor="text1"/>
                <w:sz w:val="21"/>
                <w:szCs w:val="21"/>
                <w:highlight w:val="none"/>
                <w:lang w:val="zh-CN"/>
                <w14:textFill>
                  <w14:solidFill>
                    <w14:schemeClr w14:val="tx1"/>
                  </w14:solidFill>
                </w14:textFill>
              </w:rPr>
              <w:t>人</w:t>
            </w:r>
          </w:p>
          <w:p w14:paraId="6D9D109F">
            <w:pPr>
              <w:keepNext w:val="0"/>
              <w:keepLines w:val="0"/>
              <w:pageBreakBefore w:val="0"/>
              <w:widowControl w:val="0"/>
              <w:kinsoku/>
              <w:wordWrap w:val="0"/>
              <w:overflowPunct/>
              <w:topLinePunct w:val="0"/>
              <w:autoSpaceDE/>
              <w:autoSpaceDN/>
              <w:bidi w:val="0"/>
              <w:snapToGrid/>
              <w:spacing w:line="0" w:lineRule="atLeast"/>
              <w:jc w:val="both"/>
              <w:textAlignment w:val="auto"/>
              <w:outlineLvl w:val="9"/>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zh-CN"/>
                <w14:textFill>
                  <w14:solidFill>
                    <w14:schemeClr w14:val="tx1"/>
                  </w14:solidFill>
                </w14:textFill>
              </w:rPr>
              <w:t>评标专家确定方式：在</w:t>
            </w:r>
            <w:r>
              <w:rPr>
                <w:rFonts w:hint="eastAsia" w:ascii="宋体" w:hAnsi="宋体"/>
                <w:color w:val="000000" w:themeColor="text1"/>
                <w:sz w:val="21"/>
                <w:szCs w:val="21"/>
                <w:highlight w:val="none"/>
                <w:lang w:eastAsia="zh-CN"/>
                <w14:textFill>
                  <w14:solidFill>
                    <w14:schemeClr w14:val="tx1"/>
                  </w14:solidFill>
                </w14:textFill>
              </w:rPr>
              <w:t>“政采云”平台(https://www.zcygov.cn)</w:t>
            </w:r>
            <w:r>
              <w:rPr>
                <w:rFonts w:hint="eastAsia" w:ascii="宋体" w:hAnsi="宋体"/>
                <w:color w:val="000000" w:themeColor="text1"/>
                <w:sz w:val="21"/>
                <w:szCs w:val="21"/>
                <w:highlight w:val="none"/>
                <w:lang w:val="zh-CN"/>
                <w14:textFill>
                  <w14:solidFill>
                    <w14:schemeClr w14:val="tx1"/>
                  </w14:solidFill>
                </w14:textFill>
              </w:rPr>
              <w:t>的专家库中随机抽取。</w:t>
            </w:r>
          </w:p>
        </w:tc>
      </w:tr>
      <w:tr w14:paraId="1ACB3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5" w:type="dxa"/>
            <w:vAlign w:val="center"/>
          </w:tcPr>
          <w:p w14:paraId="11F2F6EA">
            <w:pPr>
              <w:keepNext w:val="0"/>
              <w:keepLines w:val="0"/>
              <w:pageBreakBefore w:val="0"/>
              <w:widowControl w:val="0"/>
              <w:kinsoku/>
              <w:wordWrap w:val="0"/>
              <w:overflowPunct/>
              <w:topLinePunct w:val="0"/>
              <w:autoSpaceDE/>
              <w:autoSpaceDN/>
              <w:bidi w:val="0"/>
              <w:adjustRightInd w:val="0"/>
              <w:snapToGrid/>
              <w:spacing w:line="0" w:lineRule="atLeast"/>
              <w:jc w:val="center"/>
              <w:textAlignment w:val="auto"/>
              <w:outlineLvl w:val="9"/>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6.3.</w:t>
            </w:r>
            <w:r>
              <w:rPr>
                <w:rFonts w:hint="eastAsia" w:ascii="宋体" w:hAnsi="宋体" w:cs="宋体"/>
                <w:bCs/>
                <w:color w:val="000000" w:themeColor="text1"/>
                <w:sz w:val="21"/>
                <w:szCs w:val="21"/>
                <w:highlight w:val="none"/>
                <w:lang w:val="en-US" w:eastAsia="zh-CN"/>
                <w14:textFill>
                  <w14:solidFill>
                    <w14:schemeClr w14:val="tx1"/>
                  </w14:solidFill>
                </w14:textFill>
              </w:rPr>
              <w:t>5</w:t>
            </w:r>
          </w:p>
        </w:tc>
        <w:tc>
          <w:tcPr>
            <w:tcW w:w="2095" w:type="dxa"/>
            <w:vAlign w:val="center"/>
          </w:tcPr>
          <w:p w14:paraId="0EABCA24">
            <w:pPr>
              <w:keepNext w:val="0"/>
              <w:keepLines w:val="0"/>
              <w:pageBreakBefore w:val="0"/>
              <w:widowControl w:val="0"/>
              <w:kinsoku/>
              <w:wordWrap w:val="0"/>
              <w:overflowPunct/>
              <w:topLinePunct w:val="0"/>
              <w:autoSpaceDE/>
              <w:autoSpaceDN/>
              <w:bidi w:val="0"/>
              <w:adjustRightInd w:val="0"/>
              <w:snapToGrid/>
              <w:spacing w:line="0" w:lineRule="atLeast"/>
              <w:jc w:val="center"/>
              <w:textAlignment w:val="auto"/>
              <w:outlineLvl w:val="9"/>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磋商小组</w:t>
            </w:r>
            <w:r>
              <w:rPr>
                <w:rFonts w:hint="eastAsia" w:ascii="宋体" w:hAnsi="宋体" w:eastAsia="宋体" w:cs="宋体"/>
                <w:bCs/>
                <w:color w:val="000000" w:themeColor="text1"/>
                <w:sz w:val="21"/>
                <w:szCs w:val="21"/>
                <w:highlight w:val="none"/>
                <w14:textFill>
                  <w14:solidFill>
                    <w14:schemeClr w14:val="tx1"/>
                  </w14:solidFill>
                </w14:textFill>
              </w:rPr>
              <w:t>推荐</w:t>
            </w:r>
            <w:r>
              <w:rPr>
                <w:rFonts w:hint="eastAsia" w:ascii="宋体" w:hAnsi="宋体" w:eastAsia="宋体" w:cs="宋体"/>
                <w:bCs/>
                <w:color w:val="000000" w:themeColor="text1"/>
                <w:sz w:val="21"/>
                <w:szCs w:val="21"/>
                <w:highlight w:val="none"/>
                <w:lang w:eastAsia="zh-CN"/>
                <w14:textFill>
                  <w14:solidFill>
                    <w14:schemeClr w14:val="tx1"/>
                  </w14:solidFill>
                </w14:textFill>
              </w:rPr>
              <w:t>成交</w:t>
            </w:r>
            <w:r>
              <w:rPr>
                <w:rFonts w:hint="eastAsia" w:ascii="宋体" w:hAnsi="宋体" w:eastAsia="宋体" w:cs="宋体"/>
                <w:bCs/>
                <w:color w:val="000000" w:themeColor="text1"/>
                <w:sz w:val="21"/>
                <w:szCs w:val="21"/>
                <w:highlight w:val="none"/>
                <w14:textFill>
                  <w14:solidFill>
                    <w14:schemeClr w14:val="tx1"/>
                  </w14:solidFill>
                </w14:textFill>
              </w:rPr>
              <w:t>候选人的人数</w:t>
            </w:r>
          </w:p>
        </w:tc>
        <w:tc>
          <w:tcPr>
            <w:tcW w:w="6675" w:type="dxa"/>
            <w:vAlign w:val="center"/>
          </w:tcPr>
          <w:p w14:paraId="173F0501">
            <w:pPr>
              <w:keepNext w:val="0"/>
              <w:keepLines w:val="0"/>
              <w:pageBreakBefore w:val="0"/>
              <w:widowControl w:val="0"/>
              <w:kinsoku/>
              <w:wordWrap w:val="0"/>
              <w:overflowPunct/>
              <w:topLinePunct w:val="0"/>
              <w:autoSpaceDE/>
              <w:autoSpaceDN/>
              <w:bidi w:val="0"/>
              <w:adjustRightInd w:val="0"/>
              <w:snapToGrid/>
              <w:spacing w:line="0" w:lineRule="atLeast"/>
              <w:textAlignment w:val="auto"/>
              <w:outlineLvl w:val="9"/>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推荐的成交候选人数：3人。磋商小组推荐初步评审合格，综合评审得分由高到低排名第一、第二、第三的供应商为成交候选人。</w:t>
            </w:r>
          </w:p>
        </w:tc>
      </w:tr>
      <w:tr w14:paraId="729A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95" w:type="dxa"/>
            <w:vAlign w:val="center"/>
          </w:tcPr>
          <w:p w14:paraId="0D75ACB3">
            <w:pPr>
              <w:keepNext w:val="0"/>
              <w:keepLines w:val="0"/>
              <w:pageBreakBefore w:val="0"/>
              <w:widowControl w:val="0"/>
              <w:kinsoku/>
              <w:wordWrap w:val="0"/>
              <w:overflowPunct/>
              <w:topLinePunct w:val="0"/>
              <w:autoSpaceDE/>
              <w:autoSpaceDN/>
              <w:bidi w:val="0"/>
              <w:adjustRightInd w:val="0"/>
              <w:snapToGrid/>
              <w:spacing w:line="0" w:lineRule="atLeast"/>
              <w:jc w:val="center"/>
              <w:textAlignment w:val="auto"/>
              <w:outlineLvl w:val="9"/>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7.1</w:t>
            </w:r>
          </w:p>
        </w:tc>
        <w:tc>
          <w:tcPr>
            <w:tcW w:w="2095" w:type="dxa"/>
            <w:vAlign w:val="center"/>
          </w:tcPr>
          <w:p w14:paraId="3E7C2B70">
            <w:pPr>
              <w:keepNext w:val="0"/>
              <w:keepLines w:val="0"/>
              <w:pageBreakBefore w:val="0"/>
              <w:widowControl w:val="0"/>
              <w:kinsoku/>
              <w:wordWrap w:val="0"/>
              <w:overflowPunct/>
              <w:topLinePunct w:val="0"/>
              <w:autoSpaceDE/>
              <w:autoSpaceDN/>
              <w:bidi w:val="0"/>
              <w:snapToGrid/>
              <w:spacing w:line="0" w:lineRule="atLeast"/>
              <w:jc w:val="center"/>
              <w:textAlignment w:val="auto"/>
              <w:outlineLvl w:val="9"/>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成交结果公告</w:t>
            </w:r>
            <w:r>
              <w:rPr>
                <w:rFonts w:hint="eastAsia" w:ascii="宋体" w:hAnsi="宋体" w:eastAsia="宋体" w:cs="宋体"/>
                <w:bCs/>
                <w:color w:val="000000" w:themeColor="text1"/>
                <w:sz w:val="21"/>
                <w:szCs w:val="21"/>
                <w:highlight w:val="none"/>
                <w14:textFill>
                  <w14:solidFill>
                    <w14:schemeClr w14:val="tx1"/>
                  </w14:solidFill>
                </w14:textFill>
              </w:rPr>
              <w:t>媒介及期限</w:t>
            </w:r>
          </w:p>
        </w:tc>
        <w:tc>
          <w:tcPr>
            <w:tcW w:w="6675" w:type="dxa"/>
            <w:vAlign w:val="center"/>
          </w:tcPr>
          <w:p w14:paraId="2204E248">
            <w:pPr>
              <w:keepNext w:val="0"/>
              <w:keepLines w:val="0"/>
              <w:pageBreakBefore w:val="0"/>
              <w:widowControl w:val="0"/>
              <w:kinsoku/>
              <w:wordWrap w:val="0"/>
              <w:overflowPunct/>
              <w:topLinePunct w:val="0"/>
              <w:autoSpaceDE/>
              <w:autoSpaceDN/>
              <w:bidi w:val="0"/>
              <w:adjustRightInd w:val="0"/>
              <w:snapToGrid/>
              <w:spacing w:line="0" w:lineRule="atLeast"/>
              <w:textAlignment w:val="auto"/>
              <w:outlineLvl w:val="9"/>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公告媒介：在“政采云”平台（http:// www.zcygov.cn），同步推送到吉林省政府采购网（http://www.ccgp-jilin.gov.cn/），并同时在中国政府采购网上发布</w:t>
            </w:r>
            <w:r>
              <w:rPr>
                <w:rFonts w:hint="eastAsia" w:ascii="宋体" w:hAnsi="宋体" w:cs="宋体"/>
                <w:bCs/>
                <w:color w:val="000000" w:themeColor="text1"/>
                <w:kern w:val="2"/>
                <w:sz w:val="21"/>
                <w:szCs w:val="21"/>
                <w:highlight w:val="none"/>
                <w:lang w:val="en-US" w:eastAsia="zh-CN" w:bidi="ar-SA"/>
                <w14:textFill>
                  <w14:solidFill>
                    <w14:schemeClr w14:val="tx1"/>
                  </w14:solidFill>
                </w14:textFill>
              </w:rPr>
              <w:t>；</w:t>
            </w:r>
          </w:p>
          <w:p w14:paraId="176C1FEF">
            <w:pPr>
              <w:keepNext w:val="0"/>
              <w:keepLines w:val="0"/>
              <w:pageBreakBefore w:val="0"/>
              <w:widowControl w:val="0"/>
              <w:kinsoku/>
              <w:wordWrap w:val="0"/>
              <w:overflowPunct/>
              <w:topLinePunct w:val="0"/>
              <w:autoSpaceDE/>
              <w:autoSpaceDN/>
              <w:bidi w:val="0"/>
              <w:adjustRightInd w:val="0"/>
              <w:snapToGrid/>
              <w:spacing w:line="0" w:lineRule="atLeast"/>
              <w:textAlignment w:val="auto"/>
              <w:outlineLvl w:val="9"/>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t>公告期限：1个工作日。</w:t>
            </w:r>
          </w:p>
        </w:tc>
      </w:tr>
      <w:tr w14:paraId="750F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95" w:type="dxa"/>
            <w:vAlign w:val="center"/>
          </w:tcPr>
          <w:p w14:paraId="14C6FE7A">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7.3.1</w:t>
            </w:r>
          </w:p>
        </w:tc>
        <w:tc>
          <w:tcPr>
            <w:tcW w:w="2095" w:type="dxa"/>
            <w:vAlign w:val="center"/>
          </w:tcPr>
          <w:p w14:paraId="34DFD981">
            <w:pPr>
              <w:keepNext w:val="0"/>
              <w:keepLines w:val="0"/>
              <w:pageBreakBefore w:val="0"/>
              <w:widowControl w:val="0"/>
              <w:kinsoku/>
              <w:wordWrap w:val="0"/>
              <w:overflowPunct/>
              <w:topLinePunct w:val="0"/>
              <w:autoSpaceDE/>
              <w:autoSpaceDN/>
              <w:bidi w:val="0"/>
              <w:adjustRightInd w:val="0"/>
              <w:spacing w:line="0" w:lineRule="atLeast"/>
              <w:jc w:val="center"/>
              <w:textAlignment w:val="auto"/>
              <w:outlineLvl w:val="9"/>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履约担保</w:t>
            </w:r>
          </w:p>
        </w:tc>
        <w:tc>
          <w:tcPr>
            <w:tcW w:w="6675" w:type="dxa"/>
            <w:vAlign w:val="center"/>
          </w:tcPr>
          <w:p w14:paraId="3CFBE262">
            <w:pPr>
              <w:keepNext w:val="0"/>
              <w:keepLines w:val="0"/>
              <w:pageBreakBefore w:val="0"/>
              <w:widowControl w:val="0"/>
              <w:kinsoku/>
              <w:wordWrap w:val="0"/>
              <w:overflowPunct/>
              <w:topLinePunct w:val="0"/>
              <w:autoSpaceDE/>
              <w:autoSpaceDN/>
              <w:bidi w:val="0"/>
              <w:adjustRightInd w:val="0"/>
              <w:snapToGrid w:val="0"/>
              <w:spacing w:line="0" w:lineRule="atLeast"/>
              <w:textAlignment w:val="auto"/>
              <w:outlineLvl w:val="9"/>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default" w:ascii="宋体" w:hAnsi="宋体" w:eastAsia="宋体" w:cs="宋体"/>
                <w:bCs/>
                <w:color w:val="000000" w:themeColor="text1"/>
                <w:sz w:val="21"/>
                <w:szCs w:val="21"/>
                <w:highlight w:val="none"/>
                <w:lang w:val="en-US" w:eastAsia="zh-CN"/>
                <w14:textFill>
                  <w14:solidFill>
                    <w14:schemeClr w14:val="tx1"/>
                  </w14:solidFill>
                </w14:textFill>
              </w:rPr>
              <w:t>是否要求成交人提交履约保证金：</w:t>
            </w:r>
          </w:p>
          <w:p w14:paraId="203E4746">
            <w:pPr>
              <w:keepNext w:val="0"/>
              <w:keepLines w:val="0"/>
              <w:pageBreakBefore w:val="0"/>
              <w:widowControl w:val="0"/>
              <w:kinsoku/>
              <w:wordWrap w:val="0"/>
              <w:overflowPunct/>
              <w:topLinePunct w:val="0"/>
              <w:autoSpaceDE/>
              <w:autoSpaceDN/>
              <w:bidi w:val="0"/>
              <w:adjustRightInd w:val="0"/>
              <w:snapToGrid w:val="0"/>
              <w:spacing w:line="0" w:lineRule="atLeast"/>
              <w:textAlignment w:val="auto"/>
              <w:outlineLvl w:val="9"/>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default" w:ascii="宋体" w:hAnsi="宋体" w:eastAsia="宋体" w:cs="宋体"/>
                <w:bCs/>
                <w:color w:val="000000" w:themeColor="text1"/>
                <w:sz w:val="21"/>
                <w:szCs w:val="21"/>
                <w:highlight w:val="none"/>
                <w:lang w:val="en-US" w:eastAsia="zh-CN"/>
                <w14:textFill>
                  <w14:solidFill>
                    <w14:schemeClr w14:val="tx1"/>
                  </w14:solidFill>
                </w14:textFill>
              </w:rPr>
              <w:sym w:font="Wingdings 2" w:char="00A3"/>
            </w:r>
            <w:r>
              <w:rPr>
                <w:rFonts w:hint="default" w:ascii="宋体" w:hAnsi="宋体" w:eastAsia="宋体" w:cs="宋体"/>
                <w:bCs/>
                <w:color w:val="000000" w:themeColor="text1"/>
                <w:sz w:val="21"/>
                <w:szCs w:val="21"/>
                <w:highlight w:val="none"/>
                <w:lang w:val="en-US" w:eastAsia="zh-CN"/>
                <w14:textFill>
                  <w14:solidFill>
                    <w14:schemeClr w14:val="tx1"/>
                  </w14:solidFill>
                </w14:textFill>
              </w:rPr>
              <w:t>要求</w:t>
            </w:r>
          </w:p>
          <w:p w14:paraId="6400ACCF">
            <w:pPr>
              <w:keepNext w:val="0"/>
              <w:keepLines w:val="0"/>
              <w:pageBreakBefore w:val="0"/>
              <w:widowControl w:val="0"/>
              <w:kinsoku/>
              <w:wordWrap w:val="0"/>
              <w:overflowPunct/>
              <w:topLinePunct w:val="0"/>
              <w:autoSpaceDE/>
              <w:autoSpaceDN/>
              <w:bidi w:val="0"/>
              <w:adjustRightInd w:val="0"/>
              <w:snapToGrid w:val="0"/>
              <w:spacing w:line="0" w:lineRule="atLeast"/>
              <w:textAlignment w:val="auto"/>
              <w:outlineLvl w:val="9"/>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default" w:ascii="宋体" w:hAnsi="宋体" w:eastAsia="宋体" w:cs="宋体"/>
                <w:bCs/>
                <w:color w:val="000000" w:themeColor="text1"/>
                <w:sz w:val="21"/>
                <w:szCs w:val="21"/>
                <w:highlight w:val="none"/>
                <w:lang w:val="en-US" w:eastAsia="zh-CN"/>
                <w14:textFill>
                  <w14:solidFill>
                    <w14:schemeClr w14:val="tx1"/>
                  </w14:solidFill>
                </w14:textFill>
              </w:rPr>
              <w:fldChar w:fldCharType="begin"/>
            </w:r>
            <w:r>
              <w:rPr>
                <w:rFonts w:hint="default" w:ascii="宋体" w:hAnsi="宋体" w:eastAsia="宋体" w:cs="宋体"/>
                <w:bCs/>
                <w:color w:val="000000" w:themeColor="text1"/>
                <w:sz w:val="21"/>
                <w:szCs w:val="21"/>
                <w:highlight w:val="none"/>
                <w:lang w:val="en-US" w:eastAsia="zh-CN"/>
                <w14:textFill>
                  <w14:solidFill>
                    <w14:schemeClr w14:val="tx1"/>
                  </w14:solidFill>
                </w14:textFill>
              </w:rPr>
              <w:instrText xml:space="preserve">eq \o\ac(□,√)</w:instrText>
            </w:r>
            <w:r>
              <w:rPr>
                <w:rFonts w:hint="default" w:ascii="宋体" w:hAnsi="宋体" w:eastAsia="宋体" w:cs="宋体"/>
                <w:bCs/>
                <w:color w:val="000000" w:themeColor="text1"/>
                <w:sz w:val="21"/>
                <w:szCs w:val="21"/>
                <w:highlight w:val="none"/>
                <w:lang w:val="en-US" w:eastAsia="zh-CN"/>
                <w14:textFill>
                  <w14:solidFill>
                    <w14:schemeClr w14:val="tx1"/>
                  </w14:solidFill>
                </w14:textFill>
              </w:rPr>
              <w:fldChar w:fldCharType="end"/>
            </w:r>
            <w:r>
              <w:rPr>
                <w:rFonts w:hint="default" w:ascii="宋体" w:hAnsi="宋体" w:eastAsia="宋体" w:cs="宋体"/>
                <w:bCs/>
                <w:color w:val="000000" w:themeColor="text1"/>
                <w:sz w:val="21"/>
                <w:szCs w:val="21"/>
                <w:highlight w:val="none"/>
                <w:lang w:val="en-US" w:eastAsia="zh-CN"/>
                <w14:textFill>
                  <w14:solidFill>
                    <w14:schemeClr w14:val="tx1"/>
                  </w14:solidFill>
                </w14:textFill>
              </w:rPr>
              <w:t>不要求</w:t>
            </w:r>
          </w:p>
        </w:tc>
      </w:tr>
      <w:tr w14:paraId="741B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215220FC">
            <w:pPr>
              <w:keepNext w:val="0"/>
              <w:keepLines w:val="0"/>
              <w:pageBreakBefore w:val="0"/>
              <w:widowControl w:val="0"/>
              <w:kinsoku/>
              <w:wordWrap w:val="0"/>
              <w:overflowPunct/>
              <w:topLinePunct w:val="0"/>
              <w:autoSpaceDE/>
              <w:autoSpaceDN/>
              <w:bidi w:val="0"/>
              <w:adjustRightInd w:val="0"/>
              <w:spacing w:line="0" w:lineRule="atLeast"/>
              <w:jc w:val="center"/>
              <w:textAlignment w:val="auto"/>
              <w:outlineLvl w:val="9"/>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7.4</w:t>
            </w:r>
          </w:p>
        </w:tc>
        <w:tc>
          <w:tcPr>
            <w:tcW w:w="2095" w:type="dxa"/>
            <w:vAlign w:val="center"/>
          </w:tcPr>
          <w:p w14:paraId="28899CCF">
            <w:pPr>
              <w:keepNext w:val="0"/>
              <w:keepLines w:val="0"/>
              <w:pageBreakBefore w:val="0"/>
              <w:widowControl w:val="0"/>
              <w:kinsoku/>
              <w:wordWrap w:val="0"/>
              <w:overflowPunct/>
              <w:topLinePunct w:val="0"/>
              <w:autoSpaceDE/>
              <w:autoSpaceDN/>
              <w:bidi w:val="0"/>
              <w:adjustRightInd w:val="0"/>
              <w:spacing w:line="0" w:lineRule="atLeast"/>
              <w:jc w:val="center"/>
              <w:textAlignment w:val="auto"/>
              <w:outlineLvl w:val="9"/>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是否授权磋商小组确定成交人</w:t>
            </w:r>
          </w:p>
        </w:tc>
        <w:tc>
          <w:tcPr>
            <w:tcW w:w="6675" w:type="dxa"/>
            <w:vAlign w:val="center"/>
          </w:tcPr>
          <w:p w14:paraId="37DAF470">
            <w:pPr>
              <w:keepNext w:val="0"/>
              <w:keepLines w:val="0"/>
              <w:pageBreakBefore w:val="0"/>
              <w:widowControl w:val="0"/>
              <w:kinsoku/>
              <w:wordWrap w:val="0"/>
              <w:overflowPunct/>
              <w:topLinePunct w:val="0"/>
              <w:autoSpaceDE/>
              <w:autoSpaceDN/>
              <w:bidi w:val="0"/>
              <w:adjustRightInd w:val="0"/>
              <w:snapToGrid w:val="0"/>
              <w:spacing w:line="0" w:lineRule="atLeast"/>
              <w:textAlignment w:val="auto"/>
              <w:outlineLvl w:val="9"/>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eastAsia="zh-CN"/>
                <w14:textFill>
                  <w14:solidFill>
                    <w14:schemeClr w14:val="tx1"/>
                  </w14:solidFill>
                </w14:textFill>
              </w:rPr>
              <w:t>是</w:t>
            </w:r>
          </w:p>
          <w:p w14:paraId="47FDEEA4">
            <w:pPr>
              <w:keepNext w:val="0"/>
              <w:keepLines w:val="0"/>
              <w:pageBreakBefore w:val="0"/>
              <w:widowControl w:val="0"/>
              <w:kinsoku/>
              <w:wordWrap w:val="0"/>
              <w:overflowPunct/>
              <w:topLinePunct w:val="0"/>
              <w:autoSpaceDE/>
              <w:autoSpaceDN/>
              <w:bidi w:val="0"/>
              <w:adjustRightInd w:val="0"/>
              <w:snapToGrid w:val="0"/>
              <w:spacing w:line="0" w:lineRule="atLeast"/>
              <w:textAlignment w:val="auto"/>
              <w:outlineLvl w:val="9"/>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fldChar w:fldCharType="begin"/>
            </w:r>
            <w:r>
              <w:rPr>
                <w:rFonts w:hint="eastAsia" w:ascii="宋体" w:hAnsi="宋体" w:eastAsia="宋体" w:cs="宋体"/>
                <w:bCs/>
                <w:color w:val="000000" w:themeColor="text1"/>
                <w:sz w:val="21"/>
                <w:szCs w:val="21"/>
                <w:highlight w:val="none"/>
                <w:lang w:eastAsia="zh-CN"/>
                <w14:textFill>
                  <w14:solidFill>
                    <w14:schemeClr w14:val="tx1"/>
                  </w14:solidFill>
                </w14:textFill>
              </w:rPr>
              <w:instrText xml:space="preserve">eq \o\ac(□,√)</w:instrText>
            </w:r>
            <w:r>
              <w:rPr>
                <w:rFonts w:hint="eastAsia" w:ascii="宋体" w:hAnsi="宋体" w:eastAsia="宋体" w:cs="宋体"/>
                <w:bCs/>
                <w:color w:val="000000" w:themeColor="text1"/>
                <w:sz w:val="21"/>
                <w:szCs w:val="21"/>
                <w:highlight w:val="none"/>
                <w:lang w:eastAsia="zh-CN"/>
                <w14:textFill>
                  <w14:solidFill>
                    <w14:schemeClr w14:val="tx1"/>
                  </w14:solidFill>
                </w14:textFill>
              </w:rPr>
              <w:fldChar w:fldCharType="end"/>
            </w:r>
            <w:r>
              <w:rPr>
                <w:rFonts w:hint="eastAsia" w:ascii="宋体" w:hAnsi="宋体" w:eastAsia="宋体" w:cs="宋体"/>
                <w:bCs/>
                <w:color w:val="000000" w:themeColor="text1"/>
                <w:sz w:val="21"/>
                <w:szCs w:val="21"/>
                <w:highlight w:val="none"/>
                <w:lang w:eastAsia="zh-CN"/>
                <w14:textFill>
                  <w14:solidFill>
                    <w14:schemeClr w14:val="tx1"/>
                  </w14:solidFill>
                </w14:textFill>
              </w:rPr>
              <w:t>否</w:t>
            </w:r>
          </w:p>
        </w:tc>
      </w:tr>
      <w:tr w14:paraId="2B78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0662391F">
            <w:pPr>
              <w:overflowPunct/>
              <w:bidi w:val="0"/>
              <w:spacing w:line="400" w:lineRule="exact"/>
              <w:jc w:val="center"/>
              <w:outlineLvl w:val="9"/>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10.</w:t>
            </w:r>
            <w:r>
              <w:rPr>
                <w:rFonts w:hint="eastAsia"/>
                <w:color w:val="000000" w:themeColor="text1"/>
                <w:highlight w:val="none"/>
                <w:lang w:val="en-US" w:eastAsia="zh-CN"/>
                <w14:textFill>
                  <w14:solidFill>
                    <w14:schemeClr w14:val="tx1"/>
                  </w14:solidFill>
                </w14:textFill>
              </w:rPr>
              <w:t>8</w:t>
            </w:r>
          </w:p>
        </w:tc>
        <w:tc>
          <w:tcPr>
            <w:tcW w:w="2095" w:type="dxa"/>
            <w:vAlign w:val="center"/>
          </w:tcPr>
          <w:p w14:paraId="77797924">
            <w:pPr>
              <w:overflowPunct/>
              <w:bidi w:val="0"/>
              <w:spacing w:line="400" w:lineRule="exact"/>
              <w:jc w:val="center"/>
              <w:outlineLvl w:val="9"/>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重新招标的其他情形</w:t>
            </w:r>
          </w:p>
        </w:tc>
        <w:tc>
          <w:tcPr>
            <w:tcW w:w="6675" w:type="dxa"/>
            <w:vAlign w:val="center"/>
          </w:tcPr>
          <w:p w14:paraId="5529D295">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除</w:t>
            </w:r>
            <w:r>
              <w:rPr>
                <w:rFonts w:hint="eastAsia" w:ascii="宋体" w:hAnsi="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须知正文第8条规定的情形外，除非已经产生成交候选人，在响应有效期内同意延长响应有效期的</w:t>
            </w:r>
            <w:r>
              <w:rPr>
                <w:rFonts w:hint="eastAsia" w:ascii="宋体" w:hAnsi="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少于三个的，采购人应当依法重新招标。</w:t>
            </w:r>
          </w:p>
          <w:p w14:paraId="5291C392">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通过初步评审的有效投标不足三个使得投标明显缺乏竞争的，磋商小组可以否决全部投标。</w:t>
            </w:r>
          </w:p>
        </w:tc>
      </w:tr>
      <w:tr w14:paraId="20B8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95" w:type="dxa"/>
            <w:vAlign w:val="center"/>
          </w:tcPr>
          <w:p w14:paraId="75C8F648">
            <w:pPr>
              <w:keepNext w:val="0"/>
              <w:keepLines w:val="0"/>
              <w:pageBreakBefore w:val="0"/>
              <w:widowControl w:val="0"/>
              <w:kinsoku/>
              <w:wordWrap w:val="0"/>
              <w:overflowPunct/>
              <w:topLinePunct w:val="0"/>
              <w:autoSpaceDE/>
              <w:autoSpaceDN/>
              <w:bidi w:val="0"/>
              <w:adjustRightInd w:val="0"/>
              <w:spacing w:line="0" w:lineRule="atLeast"/>
              <w:jc w:val="center"/>
              <w:textAlignment w:val="auto"/>
              <w:outlineLvl w:val="9"/>
              <w:rPr>
                <w:rFonts w:hint="eastAsia" w:ascii="宋体" w:hAnsi="宋体" w:eastAsia="宋体" w:cs="宋体"/>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9</w:t>
            </w:r>
          </w:p>
        </w:tc>
        <w:tc>
          <w:tcPr>
            <w:tcW w:w="2095" w:type="dxa"/>
            <w:vAlign w:val="center"/>
          </w:tcPr>
          <w:p w14:paraId="2DCB0E22">
            <w:pPr>
              <w:keepNext w:val="0"/>
              <w:keepLines w:val="0"/>
              <w:pageBreakBefore w:val="0"/>
              <w:widowControl w:val="0"/>
              <w:kinsoku/>
              <w:wordWrap w:val="0"/>
              <w:overflowPunct/>
              <w:topLinePunct w:val="0"/>
              <w:autoSpaceDE/>
              <w:autoSpaceDN/>
              <w:bidi w:val="0"/>
              <w:adjustRightInd w:val="0"/>
              <w:spacing w:line="0" w:lineRule="atLeast"/>
              <w:jc w:val="center"/>
              <w:textAlignment w:val="auto"/>
              <w:outlineLvl w:val="9"/>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是否采用电子招标投标</w:t>
            </w:r>
          </w:p>
        </w:tc>
        <w:tc>
          <w:tcPr>
            <w:tcW w:w="6675" w:type="dxa"/>
            <w:vAlign w:val="center"/>
          </w:tcPr>
          <w:p w14:paraId="1A21B94B">
            <w:pPr>
              <w:keepNext w:val="0"/>
              <w:keepLines w:val="0"/>
              <w:pageBreakBefore w:val="0"/>
              <w:widowControl w:val="0"/>
              <w:kinsoku/>
              <w:wordWrap w:val="0"/>
              <w:overflowPunct/>
              <w:topLinePunct w:val="0"/>
              <w:autoSpaceDE/>
              <w:autoSpaceDN/>
              <w:bidi w:val="0"/>
              <w:adjustRightInd w:val="0"/>
              <w:snapToGrid w:val="0"/>
              <w:spacing w:line="0" w:lineRule="atLeast"/>
              <w:textAlignment w:val="auto"/>
              <w:outlineLvl w:val="9"/>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fldChar w:fldCharType="begin"/>
            </w:r>
            <w:r>
              <w:rPr>
                <w:rFonts w:hint="eastAsia" w:ascii="宋体" w:hAnsi="宋体" w:eastAsia="宋体" w:cs="宋体"/>
                <w:bCs/>
                <w:color w:val="000000" w:themeColor="text1"/>
                <w:sz w:val="21"/>
                <w:szCs w:val="21"/>
                <w:highlight w:val="none"/>
                <w:lang w:eastAsia="zh-CN"/>
                <w14:textFill>
                  <w14:solidFill>
                    <w14:schemeClr w14:val="tx1"/>
                  </w14:solidFill>
                </w14:textFill>
              </w:rPr>
              <w:instrText xml:space="preserve">eq \o\ac(□,√)</w:instrText>
            </w:r>
            <w:r>
              <w:rPr>
                <w:rFonts w:hint="eastAsia" w:ascii="宋体" w:hAnsi="宋体" w:eastAsia="宋体" w:cs="宋体"/>
                <w:bCs/>
                <w:color w:val="000000" w:themeColor="text1"/>
                <w:sz w:val="21"/>
                <w:szCs w:val="21"/>
                <w:highlight w:val="none"/>
                <w:lang w:eastAsia="zh-CN"/>
                <w14:textFill>
                  <w14:solidFill>
                    <w14:schemeClr w14:val="tx1"/>
                  </w14:solidFill>
                </w14:textFill>
              </w:rPr>
              <w:fldChar w:fldCharType="end"/>
            </w:r>
            <w:r>
              <w:rPr>
                <w:rFonts w:hint="eastAsia" w:ascii="宋体" w:hAnsi="宋体" w:eastAsia="宋体" w:cs="宋体"/>
                <w:bCs/>
                <w:color w:val="000000" w:themeColor="text1"/>
                <w:sz w:val="21"/>
                <w:szCs w:val="21"/>
                <w:highlight w:val="none"/>
                <w:lang w:eastAsia="zh-CN"/>
                <w14:textFill>
                  <w14:solidFill>
                    <w14:schemeClr w14:val="tx1"/>
                  </w14:solidFill>
                </w14:textFill>
              </w:rPr>
              <w:t>是，具体要求：详见</w:t>
            </w:r>
            <w:r>
              <w:rPr>
                <w:rFonts w:hint="eastAsia" w:ascii="宋体" w:hAnsi="宋体" w:cs="宋体"/>
                <w:bCs/>
                <w:color w:val="000000" w:themeColor="text1"/>
                <w:sz w:val="21"/>
                <w:szCs w:val="21"/>
                <w:highlight w:val="none"/>
                <w:lang w:eastAsia="zh-CN"/>
                <w14:textFill>
                  <w14:solidFill>
                    <w14:schemeClr w14:val="tx1"/>
                  </w14:solidFill>
                </w14:textFill>
              </w:rPr>
              <w:t>供应商</w:t>
            </w:r>
            <w:r>
              <w:rPr>
                <w:rFonts w:hint="eastAsia" w:ascii="宋体" w:hAnsi="宋体" w:eastAsia="宋体" w:cs="宋体"/>
                <w:bCs/>
                <w:color w:val="000000" w:themeColor="text1"/>
                <w:sz w:val="21"/>
                <w:szCs w:val="21"/>
                <w:highlight w:val="none"/>
                <w:lang w:eastAsia="zh-CN"/>
                <w14:textFill>
                  <w14:solidFill>
                    <w14:schemeClr w14:val="tx1"/>
                  </w14:solidFill>
                </w14:textFill>
              </w:rPr>
              <w:t>须知前附表第10.</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Cs/>
                <w:color w:val="000000" w:themeColor="text1"/>
                <w:sz w:val="21"/>
                <w:szCs w:val="21"/>
                <w:highlight w:val="none"/>
                <w:lang w:eastAsia="zh-CN"/>
                <w14:textFill>
                  <w14:solidFill>
                    <w14:schemeClr w14:val="tx1"/>
                  </w14:solidFill>
                </w14:textFill>
              </w:rPr>
              <w:t>项。</w:t>
            </w:r>
          </w:p>
          <w:p w14:paraId="3C4F2A83">
            <w:pPr>
              <w:keepNext w:val="0"/>
              <w:keepLines w:val="0"/>
              <w:pageBreakBefore w:val="0"/>
              <w:widowControl w:val="0"/>
              <w:kinsoku/>
              <w:wordWrap w:val="0"/>
              <w:overflowPunct/>
              <w:topLinePunct w:val="0"/>
              <w:autoSpaceDE/>
              <w:autoSpaceDN/>
              <w:bidi w:val="0"/>
              <w:adjustRightInd w:val="0"/>
              <w:snapToGrid w:val="0"/>
              <w:spacing w:line="0" w:lineRule="atLeast"/>
              <w:textAlignment w:val="auto"/>
              <w:outlineLvl w:val="9"/>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sym w:font="Wingdings 2" w:char="00A3"/>
            </w:r>
            <w:r>
              <w:rPr>
                <w:rFonts w:hint="eastAsia" w:ascii="宋体" w:hAnsi="宋体" w:eastAsia="宋体" w:cs="宋体"/>
                <w:bCs/>
                <w:color w:val="000000" w:themeColor="text1"/>
                <w:sz w:val="21"/>
                <w:szCs w:val="21"/>
                <w:highlight w:val="none"/>
                <w:lang w:eastAsia="zh-CN"/>
                <w14:textFill>
                  <w14:solidFill>
                    <w14:schemeClr w14:val="tx1"/>
                  </w14:solidFill>
                </w14:textFill>
              </w:rPr>
              <w:t>否</w:t>
            </w:r>
          </w:p>
        </w:tc>
      </w:tr>
      <w:tr w14:paraId="56C1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95" w:type="dxa"/>
            <w:vAlign w:val="center"/>
          </w:tcPr>
          <w:p w14:paraId="2795EC0F">
            <w:pPr>
              <w:overflowPunct/>
              <w:bidi w:val="0"/>
              <w:spacing w:line="40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10.1</w:t>
            </w:r>
          </w:p>
        </w:tc>
        <w:tc>
          <w:tcPr>
            <w:tcW w:w="2095" w:type="dxa"/>
            <w:vAlign w:val="center"/>
          </w:tcPr>
          <w:p w14:paraId="3FDA2110">
            <w:pPr>
              <w:keepNext w:val="0"/>
              <w:keepLines w:val="0"/>
              <w:pageBreakBefore w:val="0"/>
              <w:widowControl w:val="0"/>
              <w:kinsoku/>
              <w:wordWrap w:val="0"/>
              <w:overflowPunct/>
              <w:topLinePunct w:val="0"/>
              <w:autoSpaceDE/>
              <w:autoSpaceDN/>
              <w:bidi w:val="0"/>
              <w:adjustRightInd w:val="0"/>
              <w:spacing w:line="0" w:lineRule="atLeast"/>
              <w:jc w:val="center"/>
              <w:textAlignment w:val="auto"/>
              <w:outlineLvl w:val="9"/>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评审办法</w:t>
            </w:r>
          </w:p>
        </w:tc>
        <w:tc>
          <w:tcPr>
            <w:tcW w:w="6675" w:type="dxa"/>
            <w:vAlign w:val="center"/>
          </w:tcPr>
          <w:p w14:paraId="6C1093E1">
            <w:pPr>
              <w:keepNext w:val="0"/>
              <w:keepLines w:val="0"/>
              <w:pageBreakBefore w:val="0"/>
              <w:widowControl w:val="0"/>
              <w:kinsoku/>
              <w:wordWrap w:val="0"/>
              <w:overflowPunct/>
              <w:topLinePunct w:val="0"/>
              <w:autoSpaceDE/>
              <w:autoSpaceDN/>
              <w:bidi w:val="0"/>
              <w:adjustRightInd w:val="0"/>
              <w:snapToGrid w:val="0"/>
              <w:spacing w:line="0" w:lineRule="atLeast"/>
              <w:textAlignment w:val="auto"/>
              <w:outlineLvl w:val="9"/>
              <w:rPr>
                <w:rFonts w:hint="eastAsia" w:ascii="宋体" w:hAnsi="宋体" w:eastAsia="宋体" w:cs="宋体"/>
                <w:bCs/>
                <w:color w:val="000000" w:themeColor="text1"/>
                <w:sz w:val="21"/>
                <w:szCs w:val="21"/>
                <w:highlight w:val="none"/>
                <w:lang w:val="zh-CN"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eastAsia="zh-CN"/>
                <w14:textFill>
                  <w14:solidFill>
                    <w14:schemeClr w14:val="tx1"/>
                  </w14:solidFill>
                </w14:textFill>
              </w:rPr>
              <w:t>综合评分法</w:t>
            </w:r>
          </w:p>
        </w:tc>
      </w:tr>
      <w:tr w14:paraId="12D1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95" w:type="dxa"/>
            <w:vAlign w:val="center"/>
          </w:tcPr>
          <w:p w14:paraId="33230D1C">
            <w:pPr>
              <w:overflowPunct/>
              <w:bidi w:val="0"/>
              <w:spacing w:line="400" w:lineRule="exact"/>
              <w:jc w:val="center"/>
              <w:outlineLvl w:val="9"/>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10.</w:t>
            </w:r>
            <w:r>
              <w:rPr>
                <w:rFonts w:hint="eastAsia"/>
                <w:color w:val="000000" w:themeColor="text1"/>
                <w:highlight w:val="none"/>
                <w:lang w:val="en-US" w:eastAsia="zh-CN"/>
                <w14:textFill>
                  <w14:solidFill>
                    <w14:schemeClr w14:val="tx1"/>
                  </w14:solidFill>
                </w14:textFill>
              </w:rPr>
              <w:t>2</w:t>
            </w:r>
          </w:p>
        </w:tc>
        <w:tc>
          <w:tcPr>
            <w:tcW w:w="2095" w:type="dxa"/>
            <w:vAlign w:val="center"/>
          </w:tcPr>
          <w:p w14:paraId="55A056B7">
            <w:pPr>
              <w:keepNext w:val="0"/>
              <w:keepLines w:val="0"/>
              <w:pageBreakBefore w:val="0"/>
              <w:widowControl w:val="0"/>
              <w:kinsoku/>
              <w:wordWrap w:val="0"/>
              <w:overflowPunct/>
              <w:topLinePunct w:val="0"/>
              <w:autoSpaceDE/>
              <w:autoSpaceDN/>
              <w:bidi w:val="0"/>
              <w:adjustRightInd w:val="0"/>
              <w:spacing w:line="0" w:lineRule="atLeast"/>
              <w:jc w:val="center"/>
              <w:textAlignment w:val="auto"/>
              <w:outlineLvl w:val="9"/>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付款方式</w:t>
            </w:r>
          </w:p>
        </w:tc>
        <w:tc>
          <w:tcPr>
            <w:tcW w:w="6675" w:type="dxa"/>
            <w:vAlign w:val="center"/>
          </w:tcPr>
          <w:p w14:paraId="6950574C">
            <w:pPr>
              <w:keepNext w:val="0"/>
              <w:keepLines w:val="0"/>
              <w:pageBreakBefore w:val="0"/>
              <w:widowControl w:val="0"/>
              <w:kinsoku/>
              <w:wordWrap w:val="0"/>
              <w:overflowPunct/>
              <w:topLinePunct w:val="0"/>
              <w:autoSpaceDE/>
              <w:autoSpaceDN/>
              <w:bidi w:val="0"/>
              <w:adjustRightInd w:val="0"/>
              <w:snapToGrid w:val="0"/>
              <w:spacing w:line="0" w:lineRule="atLeast"/>
              <w:textAlignment w:val="auto"/>
              <w:outlineLvl w:val="9"/>
              <w:rPr>
                <w:rFonts w:hint="default" w:ascii="宋体" w:hAnsi="宋体" w:eastAsia="宋体" w:cs="宋体"/>
                <w:bCs/>
                <w:color w:val="000000" w:themeColor="text1"/>
                <w:sz w:val="21"/>
                <w:szCs w:val="21"/>
                <w:highlight w:val="none"/>
                <w:lang w:val="en-US" w:eastAsia="zh-CN"/>
                <w14:textFill>
                  <w14:solidFill>
                    <w14:schemeClr w14:val="tx1"/>
                  </w14:solidFill>
                </w14:textFill>
              </w:rPr>
            </w:pPr>
            <w:r>
              <w:rPr>
                <w:rFonts w:hint="default" w:ascii="宋体" w:hAnsi="宋体" w:eastAsia="宋体" w:cs="宋体"/>
                <w:bCs/>
                <w:color w:val="000000" w:themeColor="text1"/>
                <w:sz w:val="21"/>
                <w:szCs w:val="21"/>
                <w:highlight w:val="none"/>
                <w:lang w:val="en-US" w:eastAsia="zh-CN"/>
                <w14:textFill>
                  <w14:solidFill>
                    <w14:schemeClr w14:val="tx1"/>
                  </w14:solidFill>
                </w14:textFill>
              </w:rPr>
              <w:t>验收合格后</w:t>
            </w:r>
            <w:r>
              <w:rPr>
                <w:rFonts w:hint="eastAsia" w:ascii="宋体" w:hAnsi="宋体" w:cs="宋体"/>
                <w:bCs/>
                <w:color w:val="000000" w:themeColor="text1"/>
                <w:sz w:val="21"/>
                <w:szCs w:val="21"/>
                <w:highlight w:val="none"/>
                <w:lang w:val="en-US" w:eastAsia="zh-CN"/>
                <w14:textFill>
                  <w14:solidFill>
                    <w14:schemeClr w14:val="tx1"/>
                  </w14:solidFill>
                </w14:textFill>
              </w:rPr>
              <w:t>3</w:t>
            </w:r>
            <w:r>
              <w:rPr>
                <w:rFonts w:hint="default" w:ascii="宋体" w:hAnsi="宋体" w:eastAsia="宋体" w:cs="宋体"/>
                <w:bCs/>
                <w:color w:val="000000" w:themeColor="text1"/>
                <w:sz w:val="21"/>
                <w:szCs w:val="21"/>
                <w:highlight w:val="none"/>
                <w:lang w:val="en-US" w:eastAsia="zh-CN"/>
                <w14:textFill>
                  <w14:solidFill>
                    <w14:schemeClr w14:val="tx1"/>
                  </w14:solidFill>
                </w14:textFill>
              </w:rPr>
              <w:t>年内付清（具体以实际签订合同为准）。</w:t>
            </w:r>
          </w:p>
        </w:tc>
      </w:tr>
      <w:tr w14:paraId="37C2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Align w:val="center"/>
          </w:tcPr>
          <w:p w14:paraId="4C3B6040">
            <w:pPr>
              <w:overflowPunct/>
              <w:bidi w:val="0"/>
              <w:spacing w:line="400" w:lineRule="exact"/>
              <w:jc w:val="center"/>
              <w:outlineLvl w:val="9"/>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10.</w:t>
            </w:r>
            <w:r>
              <w:rPr>
                <w:rFonts w:hint="eastAsia"/>
                <w:color w:val="000000" w:themeColor="text1"/>
                <w:highlight w:val="none"/>
                <w:lang w:val="en-US" w:eastAsia="zh-CN"/>
                <w14:textFill>
                  <w14:solidFill>
                    <w14:schemeClr w14:val="tx1"/>
                  </w14:solidFill>
                </w14:textFill>
              </w:rPr>
              <w:t>3</w:t>
            </w:r>
          </w:p>
        </w:tc>
        <w:tc>
          <w:tcPr>
            <w:tcW w:w="2095" w:type="dxa"/>
            <w:vAlign w:val="center"/>
          </w:tcPr>
          <w:p w14:paraId="5B277750">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采购</w:t>
            </w:r>
            <w:r>
              <w:rPr>
                <w:rFonts w:hint="eastAsia" w:ascii="Times New Roman" w:hAnsi="Times New Roman" w:eastAsia="宋体" w:cs="Times New Roman"/>
                <w:color w:val="000000" w:themeColor="text1"/>
                <w:highlight w:val="none"/>
                <w14:textFill>
                  <w14:solidFill>
                    <w14:schemeClr w14:val="tx1"/>
                  </w14:solidFill>
                </w14:textFill>
              </w:rPr>
              <w:t>代理</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服务</w:t>
            </w:r>
            <w:r>
              <w:rPr>
                <w:rFonts w:hint="eastAsia" w:ascii="Times New Roman" w:hAnsi="Times New Roman" w:eastAsia="宋体" w:cs="Times New Roman"/>
                <w:color w:val="000000" w:themeColor="text1"/>
                <w:highlight w:val="none"/>
                <w14:textFill>
                  <w14:solidFill>
                    <w14:schemeClr w14:val="tx1"/>
                  </w14:solidFill>
                </w14:textFill>
              </w:rPr>
              <w:t>费</w:t>
            </w:r>
          </w:p>
        </w:tc>
        <w:tc>
          <w:tcPr>
            <w:tcW w:w="6675" w:type="dxa"/>
            <w:vAlign w:val="top"/>
          </w:tcPr>
          <w:p w14:paraId="2BADD936">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按照国家发展计划委员会“发改价格【2015】299号”文要求，于成交通知书下发前向成交人收取。</w:t>
            </w:r>
          </w:p>
        </w:tc>
      </w:tr>
      <w:tr w14:paraId="401B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jc w:val="center"/>
        </w:trPr>
        <w:tc>
          <w:tcPr>
            <w:tcW w:w="995" w:type="dxa"/>
            <w:vMerge w:val="restart"/>
            <w:vAlign w:val="center"/>
          </w:tcPr>
          <w:p w14:paraId="76E6FDE2">
            <w:pPr>
              <w:overflowPunct/>
              <w:bidi w:val="0"/>
              <w:spacing w:line="400" w:lineRule="exact"/>
              <w:jc w:val="center"/>
              <w:outlineLvl w:val="9"/>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10.4</w:t>
            </w:r>
          </w:p>
        </w:tc>
        <w:tc>
          <w:tcPr>
            <w:tcW w:w="2095" w:type="dxa"/>
            <w:vMerge w:val="restart"/>
            <w:vAlign w:val="center"/>
          </w:tcPr>
          <w:p w14:paraId="6CFC346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其他要求</w:t>
            </w:r>
          </w:p>
        </w:tc>
        <w:tc>
          <w:tcPr>
            <w:tcW w:w="6675" w:type="dxa"/>
            <w:vAlign w:val="center"/>
          </w:tcPr>
          <w:p w14:paraId="4B5CF4B7">
            <w:pPr>
              <w:numPr>
                <w:ilvl w:val="0"/>
                <w:numId w:val="5"/>
              </w:numPr>
              <w:overflowPunct/>
              <w:bidi w:val="0"/>
              <w:spacing w:line="320" w:lineRule="exact"/>
              <w:jc w:val="left"/>
              <w:outlineLvl w:val="9"/>
              <w:rPr>
                <w:rFonts w:hint="eastAsia" w:ascii="宋体" w:hAnsi="宋体" w:eastAsia="宋体" w:cs="宋体"/>
                <w:bCs/>
                <w:color w:val="000000" w:themeColor="text1"/>
                <w:szCs w:val="21"/>
                <w:highlight w:val="none"/>
                <w:lang w:val="zh-CN"/>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按照财政部、发展改革委、生态环境部、市场监管总局最新发布执行的《关于调整优化节能</w:t>
            </w:r>
            <w:bookmarkStart w:id="88" w:name="_GoBack"/>
            <w:bookmarkEnd w:id="88"/>
            <w:r>
              <w:rPr>
                <w:rFonts w:hint="eastAsia" w:ascii="宋体" w:hAnsi="宋体" w:eastAsia="宋体" w:cs="宋体"/>
                <w:bCs/>
                <w:color w:val="000000" w:themeColor="text1"/>
                <w:szCs w:val="21"/>
                <w:highlight w:val="none"/>
                <w:lang w:val="zh-CN"/>
                <w14:textFill>
                  <w14:solidFill>
                    <w14:schemeClr w14:val="tx1"/>
                  </w14:solidFill>
                </w14:textFill>
              </w:rPr>
              <w:t>产品、环境标志产品政府采购执行机制的通知》的规定，《货物清单及技术参数》中凡包含强制采购产品的，投标人必须提供列入《节能产品政府采购品目清单》的产品，投标文件中需提供认证证明，认证机构须在市场监管总局公布的名录内（详见《市场监管总局关于发布参与实施政府采购节能产品、环境标志产品认证机构名录的公告》2019年第16号文件），否则投标无效。</w:t>
            </w:r>
          </w:p>
          <w:p w14:paraId="52D4777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w:t>
            </w:r>
            <w:r>
              <w:rPr>
                <w:rFonts w:hint="eastAsia" w:ascii="宋体" w:hAnsi="宋体" w:eastAsia="宋体" w:cs="宋体"/>
                <w:bCs/>
                <w:color w:val="000000" w:themeColor="text1"/>
                <w:szCs w:val="21"/>
                <w:highlight w:val="none"/>
                <w:lang w:val="zh-CN"/>
                <w14:textFill>
                  <w14:solidFill>
                    <w14:schemeClr w14:val="tx1"/>
                  </w14:solidFill>
                </w14:textFill>
              </w:rPr>
              <w:t>《货物清单及技术参数》中包含计算机设备的，投标人必须投标预装正版操作系统软件的计算机产品，否则无效。</w:t>
            </w:r>
          </w:p>
        </w:tc>
      </w:tr>
      <w:tr w14:paraId="3B8E8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Merge w:val="continue"/>
            <w:vAlign w:val="center"/>
          </w:tcPr>
          <w:p w14:paraId="77550DEE">
            <w:pPr>
              <w:overflowPunct/>
              <w:bidi w:val="0"/>
              <w:spacing w:line="400" w:lineRule="exact"/>
              <w:jc w:val="center"/>
              <w:outlineLvl w:val="9"/>
              <w:rPr>
                <w:rFonts w:hint="eastAsia"/>
                <w:color w:val="000000" w:themeColor="text1"/>
                <w:highlight w:val="none"/>
                <w:lang w:val="en-US" w:eastAsia="zh-CN"/>
                <w14:textFill>
                  <w14:solidFill>
                    <w14:schemeClr w14:val="tx1"/>
                  </w14:solidFill>
                </w14:textFill>
              </w:rPr>
            </w:pPr>
          </w:p>
        </w:tc>
        <w:tc>
          <w:tcPr>
            <w:tcW w:w="2095" w:type="dxa"/>
            <w:vMerge w:val="continue"/>
            <w:vAlign w:val="center"/>
          </w:tcPr>
          <w:p w14:paraId="1412FD6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p>
        </w:tc>
        <w:tc>
          <w:tcPr>
            <w:tcW w:w="6675" w:type="dxa"/>
            <w:vAlign w:val="center"/>
          </w:tcPr>
          <w:p w14:paraId="1A6D48F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本项目不专门面向中小企业</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。(价格扣除)</w:t>
            </w:r>
          </w:p>
          <w:p w14:paraId="4ED8729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5F6CA8E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667F7F1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2F2BE0C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（4）投标产品同时列入上述多个清单的，将上述规定的价格扣除比例叠加后计算价格扣除。</w:t>
            </w:r>
          </w:p>
          <w:p w14:paraId="50FFA48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（5）根据财库【2022】19号文件规定，对小型和微型企业的产品给予10%～20%的价格扣除，并按照扣除后的价格参加排序。（本项目按10%的价格扣除）</w:t>
            </w:r>
          </w:p>
          <w:p w14:paraId="35F5C87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（6）价格扣除的依据：第（1）至（4）条提供投标货物相关认证证书复印件加盖供应商公章。第（5）条提供中小企业声明函。</w:t>
            </w:r>
          </w:p>
          <w:p w14:paraId="6EC5449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（7）中小企业划分标准认定原则：</w:t>
            </w:r>
          </w:p>
          <w:p w14:paraId="1D45AF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 xml:space="preserve">a、提供本企业制造的货物、承担的工程或者服务，或者提供其他中小企业制造的货物。本项所称货物不包括使用大型企业注册商标的货物。 </w:t>
            </w:r>
          </w:p>
          <w:p w14:paraId="2A2424E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b、中小企业划分标准以《工业和信息化部、国家统计局、国家发展和改革委员会、财政部关于印发中小企业划型标准规定的通知》(工信部联企业[2011]300 号)规定的划分标准为准。</w:t>
            </w:r>
          </w:p>
          <w:p w14:paraId="35E2FEB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c、小型、微型企业提供中型企业制造的货物的，视同为中型企业。</w:t>
            </w:r>
          </w:p>
          <w:p w14:paraId="127E8C6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d、组成联合体的大中型企业和其他自然人、法人或者其他组织，与小型、微型企业之间不得存在投资关系。</w:t>
            </w:r>
          </w:p>
          <w:p w14:paraId="29804E8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e、监狱企业产品价格扣除：</w:t>
            </w:r>
          </w:p>
          <w:p w14:paraId="4254EAA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根据财政部印发的《司法部关于政府采购支持监狱企业发展有关问题》的通知(财库〔2014〕68号)的规定，支持监狱和戒毒企业(简称“监狱企业”)发展，监狱企业视同中小企业给予相当中小企业的价格扣除。监狱企业参加政府采购活动时，应当提供由省级以上监狱管理局、戒毒管理局(含新疆生产建设兵团)出具的属于监狱企业的证明文件，否则视为非监狱企业。</w:t>
            </w:r>
          </w:p>
          <w:p w14:paraId="64F4BD4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f、残疾人福利性单位产品价格扣除：</w:t>
            </w:r>
          </w:p>
          <w:p w14:paraId="3422E17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根据财政部印发的《关于促进残疾人就业政府采购政策的通知》(财库〔2017〕141号)的规定，残疾人福利性单位视同中小企业给予相当中小企业的价格扣除。残疾人福利性单位参加政府采购活动时，应当提供《残疾人福利性单位声明函》(格式见第六章响应文件格式)，否则视为非残疾人福利性单位。</w:t>
            </w:r>
          </w:p>
          <w:p w14:paraId="74552DA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注1：供应商若同时为中小企业、监狱企业、残疾人福利性单位或其中两种，均只能享受一次价格扣除。</w:t>
            </w:r>
          </w:p>
          <w:p w14:paraId="42268D1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注2：中小企业、残疾人福利性单位提供其他企业制造的货物的，则该货物的制造商也必须为上述企业，否则不能享受价格优惠。</w:t>
            </w:r>
          </w:p>
          <w:p w14:paraId="61A4801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bCs/>
                <w:color w:val="000000" w:themeColor="text1"/>
                <w:sz w:val="21"/>
                <w:szCs w:val="21"/>
                <w:highlight w:val="none"/>
                <w:u w:val="single"/>
                <w:lang w:val="en-US" w:eastAsia="zh-CN" w:bidi="ar-SA"/>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注3：本项目不专门面向中小企业，为货物类采购项目，采购标的对应的中小企业划分标准所属行业为</w:t>
            </w:r>
            <w:r>
              <w:rPr>
                <w:rFonts w:hint="eastAsia" w:ascii="宋体" w:hAnsi="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工</w:t>
            </w: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业。若投标人提供的《中小企业声明函》不是货物类的版本或其中填写的行业与磋商文件明确的采购标的对应的中小企业划分标准所属行业不一致，则不予认定为中小企业。</w:t>
            </w:r>
          </w:p>
        </w:tc>
      </w:tr>
      <w:tr w14:paraId="12D2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Merge w:val="continue"/>
            <w:vAlign w:val="center"/>
          </w:tcPr>
          <w:p w14:paraId="365FDA56">
            <w:pPr>
              <w:overflowPunct/>
              <w:bidi w:val="0"/>
              <w:spacing w:line="400" w:lineRule="exact"/>
              <w:jc w:val="center"/>
              <w:outlineLvl w:val="9"/>
              <w:rPr>
                <w:rFonts w:hint="eastAsia"/>
                <w:color w:val="000000" w:themeColor="text1"/>
                <w:highlight w:val="none"/>
                <w:lang w:val="en-US" w:eastAsia="zh-CN"/>
                <w14:textFill>
                  <w14:solidFill>
                    <w14:schemeClr w14:val="tx1"/>
                  </w14:solidFill>
                </w14:textFill>
              </w:rPr>
            </w:pPr>
          </w:p>
        </w:tc>
        <w:tc>
          <w:tcPr>
            <w:tcW w:w="2095" w:type="dxa"/>
            <w:vMerge w:val="continue"/>
            <w:vAlign w:val="center"/>
          </w:tcPr>
          <w:p w14:paraId="3305BBA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p>
        </w:tc>
        <w:tc>
          <w:tcPr>
            <w:tcW w:w="6675" w:type="dxa"/>
            <w:vAlign w:val="center"/>
          </w:tcPr>
          <w:p w14:paraId="1BA83A2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只接受以书面形式向采购人、采购代理机构提出质疑，不接受以其他形式或提出的质疑。</w:t>
            </w:r>
          </w:p>
        </w:tc>
      </w:tr>
      <w:tr w14:paraId="2994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Align w:val="center"/>
          </w:tcPr>
          <w:p w14:paraId="5BCDAA0D">
            <w:pPr>
              <w:overflowPunct/>
              <w:bidi w:val="0"/>
              <w:spacing w:line="400" w:lineRule="exact"/>
              <w:jc w:val="center"/>
              <w:outlineLvl w:val="9"/>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10.</w:t>
            </w:r>
            <w:r>
              <w:rPr>
                <w:rFonts w:hint="eastAsia"/>
                <w:color w:val="000000" w:themeColor="text1"/>
                <w:highlight w:val="none"/>
                <w:lang w:val="en-US" w:eastAsia="zh-CN"/>
                <w14:textFill>
                  <w14:solidFill>
                    <w14:schemeClr w14:val="tx1"/>
                  </w14:solidFill>
                </w14:textFill>
              </w:rPr>
              <w:t>5</w:t>
            </w:r>
          </w:p>
        </w:tc>
        <w:tc>
          <w:tcPr>
            <w:tcW w:w="2095" w:type="dxa"/>
            <w:vAlign w:val="center"/>
          </w:tcPr>
          <w:p w14:paraId="253A3262">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投标无效</w:t>
            </w:r>
            <w:r>
              <w:rPr>
                <w:rFonts w:hint="eastAsia" w:ascii="宋体" w:hAnsi="宋体" w:eastAsia="宋体" w:cs="宋体"/>
                <w:color w:val="000000" w:themeColor="text1"/>
                <w:sz w:val="21"/>
                <w:szCs w:val="21"/>
                <w:highlight w:val="none"/>
                <w:lang w:val="zh-CN"/>
                <w14:textFill>
                  <w14:solidFill>
                    <w14:schemeClr w14:val="tx1"/>
                  </w14:solidFill>
                </w14:textFill>
              </w:rPr>
              <w:t>说明</w:t>
            </w:r>
          </w:p>
        </w:tc>
        <w:tc>
          <w:tcPr>
            <w:tcW w:w="6675" w:type="dxa"/>
            <w:vAlign w:val="center"/>
          </w:tcPr>
          <w:p w14:paraId="3C653440">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1、供应商需在开标前将</w:t>
            </w:r>
            <w:r>
              <w:rPr>
                <w:rFonts w:hint="eastAsia" w:ascii="宋体" w:hAnsi="宋体" w:eastAsia="宋体" w:cs="宋体"/>
                <w:color w:val="000000" w:themeColor="text1"/>
                <w:sz w:val="21"/>
                <w:szCs w:val="21"/>
                <w:highlight w:val="none"/>
                <w:lang w:val="en-US"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制作工具生成的加密文件上传到政府采购云平台（网址：http://www.zcygov.cn）。</w:t>
            </w:r>
          </w:p>
          <w:p w14:paraId="72539A4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2、开标时，供应商需用生成最终</w:t>
            </w:r>
            <w:r>
              <w:rPr>
                <w:rFonts w:hint="eastAsia" w:ascii="宋体" w:hAnsi="宋体" w:eastAsia="宋体" w:cs="宋体"/>
                <w:color w:val="000000" w:themeColor="text1"/>
                <w:sz w:val="21"/>
                <w:szCs w:val="21"/>
                <w:highlight w:val="none"/>
                <w:lang w:val="en-US"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所使用的数字证书（CA锁），以防</w:t>
            </w:r>
            <w:r>
              <w:rPr>
                <w:rFonts w:hint="eastAsia" w:ascii="宋体" w:hAnsi="宋体" w:eastAsia="宋体" w:cs="宋体"/>
                <w:color w:val="000000" w:themeColor="text1"/>
                <w:sz w:val="21"/>
                <w:szCs w:val="21"/>
                <w:highlight w:val="none"/>
                <w14:textFill>
                  <w14:solidFill>
                    <w14:schemeClr w14:val="tx1"/>
                  </w14:solidFill>
                </w14:textFill>
              </w:rPr>
              <w:t>签到、</w:t>
            </w:r>
            <w:r>
              <w:rPr>
                <w:rFonts w:hint="eastAsia" w:ascii="宋体" w:hAnsi="宋体" w:eastAsia="宋体" w:cs="宋体"/>
                <w:color w:val="000000" w:themeColor="text1"/>
                <w:sz w:val="21"/>
                <w:szCs w:val="21"/>
                <w:highlight w:val="none"/>
                <w:lang w:val="zh-CN"/>
                <w14:textFill>
                  <w14:solidFill>
                    <w14:schemeClr w14:val="tx1"/>
                  </w14:solidFill>
                </w14:textFill>
              </w:rPr>
              <w:t>解密失败。</w:t>
            </w:r>
          </w:p>
          <w:p w14:paraId="2D62C68B">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开评标过程中如因上述原因导致</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投标无效</w:t>
            </w:r>
            <w:r>
              <w:rPr>
                <w:rFonts w:hint="eastAsia" w:ascii="宋体" w:hAnsi="宋体" w:eastAsia="宋体" w:cs="宋体"/>
                <w:color w:val="000000" w:themeColor="text1"/>
                <w:sz w:val="21"/>
                <w:szCs w:val="21"/>
                <w:highlight w:val="none"/>
                <w:lang w:val="zh-CN"/>
                <w14:textFill>
                  <w14:solidFill>
                    <w14:schemeClr w14:val="tx1"/>
                  </w14:solidFill>
                </w14:textFill>
              </w:rPr>
              <w:t>标，供应商自行承担后果。</w:t>
            </w:r>
          </w:p>
        </w:tc>
      </w:tr>
      <w:tr w14:paraId="4D52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5" w:type="dxa"/>
            <w:vAlign w:val="center"/>
          </w:tcPr>
          <w:p w14:paraId="263399B6">
            <w:pPr>
              <w:overflowPunct/>
              <w:bidi w:val="0"/>
              <w:spacing w:line="400" w:lineRule="exact"/>
              <w:jc w:val="center"/>
              <w:outlineLvl w:val="9"/>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10.</w:t>
            </w:r>
            <w:r>
              <w:rPr>
                <w:rFonts w:hint="eastAsia"/>
                <w:color w:val="000000" w:themeColor="text1"/>
                <w:highlight w:val="none"/>
                <w:lang w:val="en-US" w:eastAsia="zh-CN"/>
                <w14:textFill>
                  <w14:solidFill>
                    <w14:schemeClr w14:val="tx1"/>
                  </w14:solidFill>
                </w14:textFill>
              </w:rPr>
              <w:t>6</w:t>
            </w:r>
          </w:p>
        </w:tc>
        <w:tc>
          <w:tcPr>
            <w:tcW w:w="2095" w:type="dxa"/>
            <w:vAlign w:val="center"/>
          </w:tcPr>
          <w:p w14:paraId="48AA23A7">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zh-CN"/>
                <w14:textFill>
                  <w14:solidFill>
                    <w14:schemeClr w14:val="tx1"/>
                  </w14:solidFill>
                </w14:textFill>
              </w:rPr>
              <w:t>电子招投标相关说明</w:t>
            </w:r>
          </w:p>
        </w:tc>
        <w:tc>
          <w:tcPr>
            <w:tcW w:w="6675" w:type="dxa"/>
            <w:vAlign w:val="center"/>
          </w:tcPr>
          <w:p w14:paraId="05684752">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本次招标实行不见面开标，具体要求如下：</w:t>
            </w:r>
          </w:p>
          <w:p w14:paraId="7B836673">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一、业务要求</w:t>
            </w:r>
          </w:p>
          <w:p w14:paraId="6DBB4ECE">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1.开标项目的时间均以国家授时中心发布的时间为准。</w:t>
            </w:r>
          </w:p>
          <w:p w14:paraId="528C14B4">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2.政府采购云平台不见面开标系统适用进入政府采购云平台的政府采购项目。</w:t>
            </w:r>
          </w:p>
          <w:p w14:paraId="7CE5CC0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3.通过该系统完成投标过程。依照</w:t>
            </w:r>
            <w:r>
              <w:rPr>
                <w:rFonts w:hint="eastAsia" w:ascii="宋体" w:hAnsi="宋体" w:eastAsia="宋体" w:cs="宋体"/>
                <w:color w:val="000000" w:themeColor="text1"/>
                <w:sz w:val="21"/>
                <w:szCs w:val="21"/>
                <w:highlight w:val="none"/>
                <w:lang w:val="zh-CN" w:eastAsia="zh-CN"/>
                <w14:textFill>
                  <w14:solidFill>
                    <w14:schemeClr w14:val="tx1"/>
                  </w14:solidFill>
                </w14:textFill>
              </w:rPr>
              <w:t>磋商文件</w:t>
            </w:r>
            <w:r>
              <w:rPr>
                <w:rFonts w:hint="eastAsia" w:ascii="宋体" w:hAnsi="宋体" w:eastAsia="宋体" w:cs="宋体"/>
                <w:color w:val="000000" w:themeColor="text1"/>
                <w:sz w:val="21"/>
                <w:szCs w:val="21"/>
                <w:highlight w:val="none"/>
                <w:lang w:val="zh-CN"/>
                <w14:textFill>
                  <w14:solidFill>
                    <w14:schemeClr w14:val="tx1"/>
                  </w14:solidFill>
                </w14:textFill>
              </w:rPr>
              <w:t>的规定完成电子</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的编制和提交。如未按</w:t>
            </w:r>
            <w:r>
              <w:rPr>
                <w:rFonts w:hint="eastAsia" w:ascii="宋体" w:hAnsi="宋体" w:eastAsia="宋体" w:cs="宋体"/>
                <w:color w:val="000000" w:themeColor="text1"/>
                <w:sz w:val="21"/>
                <w:szCs w:val="21"/>
                <w:highlight w:val="none"/>
                <w:lang w:val="zh-CN" w:eastAsia="zh-CN"/>
                <w14:textFill>
                  <w14:solidFill>
                    <w14:schemeClr w14:val="tx1"/>
                  </w14:solidFill>
                </w14:textFill>
              </w:rPr>
              <w:t>磋商文件</w:t>
            </w:r>
            <w:r>
              <w:rPr>
                <w:rFonts w:hint="eastAsia" w:ascii="宋体" w:hAnsi="宋体" w:eastAsia="宋体" w:cs="宋体"/>
                <w:color w:val="000000" w:themeColor="text1"/>
                <w:sz w:val="21"/>
                <w:szCs w:val="21"/>
                <w:highlight w:val="none"/>
                <w:lang w:val="zh-CN"/>
                <w14:textFill>
                  <w14:solidFill>
                    <w14:schemeClr w14:val="tx1"/>
                  </w14:solidFill>
                </w14:textFill>
              </w:rPr>
              <w:t>要求编制、提交电子</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，将可能导致否决投标，其后果由</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自负。</w:t>
            </w:r>
          </w:p>
          <w:p w14:paraId="551EACF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4.</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应充分考虑到网络及系统平台可能存在的突发状况，在</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编制完成后尽早完成上传。</w:t>
            </w:r>
          </w:p>
          <w:p w14:paraId="281A7415">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5.</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 xml:space="preserve">提交截止时间前，采购人或招标代理提前进入政府采购云平台（网址：http:// </w:t>
            </w:r>
            <w:r>
              <w:rPr>
                <w:rFonts w:hint="eastAsia" w:ascii="宋体" w:hAnsi="宋体" w:eastAsia="宋体" w:cs="宋体"/>
                <w:color w:val="000000" w:themeColor="text1"/>
                <w:sz w:val="21"/>
                <w:szCs w:val="21"/>
                <w:highlight w:val="none"/>
                <w:lang w:val="zh-CN"/>
                <w14:textFill>
                  <w14:solidFill>
                    <w14:schemeClr w14:val="tx1"/>
                  </w14:solidFill>
                </w14:textFill>
              </w:rPr>
              <w:fldChar w:fldCharType="begin"/>
            </w:r>
            <w:r>
              <w:rPr>
                <w:rFonts w:hint="eastAsia" w:ascii="宋体" w:hAnsi="宋体" w:eastAsia="宋体" w:cs="宋体"/>
                <w:color w:val="000000" w:themeColor="text1"/>
                <w:sz w:val="21"/>
                <w:szCs w:val="21"/>
                <w:highlight w:val="none"/>
                <w:lang w:val="zh-CN"/>
                <w14:textFill>
                  <w14:solidFill>
                    <w14:schemeClr w14:val="tx1"/>
                  </w14:solidFill>
                </w14:textFill>
              </w:rPr>
              <w:instrText xml:space="preserve"> HYPERLINK "http://www.zcygov.cn）不见面开标系统，播放测试音频，各投标人提前进入该系统(网址http:/www.zcygov.cn），实时观看音视频交互效果并及时在系统互动区反馈，未按时加入系统互动区并完成登录操作的或未能在开标会议区内全程参与交互的，视为放弃交互和放弃对开评标全过程质疑的权利，投标人将无法看到解密指令、否决投标及澄清、唱标等实时情况，并承担由此产生的一切后果。" </w:instrText>
            </w:r>
            <w:r>
              <w:rPr>
                <w:rFonts w:hint="eastAsia" w:ascii="宋体" w:hAnsi="宋体" w:eastAsia="宋体" w:cs="宋体"/>
                <w:color w:val="000000" w:themeColor="text1"/>
                <w:sz w:val="21"/>
                <w:szCs w:val="21"/>
                <w:highlight w:val="none"/>
                <w:lang w:val="zh-CN"/>
                <w14:textFill>
                  <w14:solidFill>
                    <w14:schemeClr w14:val="tx1"/>
                  </w14:solidFill>
                </w14:textFill>
              </w:rPr>
              <w:fldChar w:fldCharType="separate"/>
            </w:r>
            <w:r>
              <w:rPr>
                <w:rFonts w:hint="eastAsia" w:ascii="宋体" w:hAnsi="宋体" w:eastAsia="宋体" w:cs="宋体"/>
                <w:color w:val="000000" w:themeColor="text1"/>
                <w:sz w:val="21"/>
                <w:szCs w:val="21"/>
                <w:highlight w:val="none"/>
                <w:lang w:val="zh-CN"/>
                <w14:textFill>
                  <w14:solidFill>
                    <w14:schemeClr w14:val="tx1"/>
                  </w14:solidFill>
                </w14:textFill>
              </w:rPr>
              <w:t>www.zcygov.cn）不见面开标系统，播放测试音频，各</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提前进入该系统(网址http://www.zcygov.cn），实时观看音视频交互效果并及时在系统互动区反馈，未按时加入系统互动区并完成登录操作的或未能在开标会议区内全程参与交互的，视为放弃交互和放弃对开评标全过程质疑的权利，</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将无法看到解密指令、否决投标及澄清、唱标等实时情况，并承担由此产生的一切后果。</w:t>
            </w:r>
            <w:r>
              <w:rPr>
                <w:rFonts w:hint="eastAsia" w:ascii="宋体" w:hAnsi="宋体" w:eastAsia="宋体" w:cs="宋体"/>
                <w:color w:val="000000" w:themeColor="text1"/>
                <w:sz w:val="21"/>
                <w:szCs w:val="21"/>
                <w:highlight w:val="none"/>
                <w:lang w:val="zh-CN"/>
                <w14:textFill>
                  <w14:solidFill>
                    <w14:schemeClr w14:val="tx1"/>
                  </w14:solidFill>
                </w14:textFill>
              </w:rPr>
              <w:fldChar w:fldCharType="end"/>
            </w:r>
          </w:p>
          <w:p w14:paraId="0A82912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6.</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提交截止时间后，通过系统互动区发出</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解密的指令，</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 xml:space="preserve">在任意地点按规定时间自行实施远程解密，解密限定在规定时间内完成。 </w:t>
            </w:r>
          </w:p>
          <w:p w14:paraId="08690B2F">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7.</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必须使用能正确解密</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的CA 证书，在</w:t>
            </w:r>
            <w:r>
              <w:rPr>
                <w:rFonts w:hint="eastAsia" w:ascii="宋体" w:hAnsi="宋体" w:eastAsia="宋体" w:cs="宋体"/>
                <w:color w:val="000000" w:themeColor="text1"/>
                <w:sz w:val="21"/>
                <w:szCs w:val="21"/>
                <w:highlight w:val="none"/>
                <w:lang w:val="zh-CN" w:eastAsia="zh-CN"/>
                <w14:textFill>
                  <w14:solidFill>
                    <w14:schemeClr w14:val="tx1"/>
                  </w14:solidFill>
                </w14:textFill>
              </w:rPr>
              <w:t>系统</w:t>
            </w:r>
            <w:r>
              <w:rPr>
                <w:rFonts w:hint="eastAsia" w:ascii="宋体" w:hAnsi="宋体" w:eastAsia="宋体" w:cs="宋体"/>
                <w:color w:val="000000" w:themeColor="text1"/>
                <w:sz w:val="21"/>
                <w:szCs w:val="21"/>
                <w:highlight w:val="none"/>
                <w:lang w:val="zh-CN"/>
                <w14:textFill>
                  <w14:solidFill>
                    <w14:schemeClr w14:val="tx1"/>
                  </w14:solidFill>
                </w14:textFill>
              </w:rPr>
              <w:t>规定的时间内完成远程解密，因</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原因未能解密、解密失败或解密超时，视为</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撤销其</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；因采购人或系统原因，导致无法按时完成</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 xml:space="preserve">解密或开标、评标工作无法进行的，可根据实际情况相应延迟解密时间或调整开标、评标时间。 </w:t>
            </w:r>
          </w:p>
          <w:p w14:paraId="02E3D2E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8.开标当日，</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 xml:space="preserve">不必抵达开标现场，仅需在任意地点通过政府采购云平台（网址：http:// www.zcygov.cn）不见面开标系统参加开标会议，并根据需要使用开标系统与现场采购人进行互动交流、澄清、质疑等活动。 </w:t>
            </w:r>
          </w:p>
          <w:p w14:paraId="5538715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9.开标、评标过程中，参与远程交互的各</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应始终为同一个人，中途不得更换，在否决投标、澄清、质疑等特殊情况下需要交互时，</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一端参与交互的人员只能是</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的法定代表人或授权委托人（答辩等类似环节需要其他人员参与的除外），</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不得以不承认交互人员的资格或身份等为借口推脱，</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自行承担随意更换人员所导致的一切后果。</w:t>
            </w:r>
          </w:p>
          <w:p w14:paraId="0BB3664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10.纸质</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的</w:t>
            </w:r>
            <w:r>
              <w:rPr>
                <w:rFonts w:hint="eastAsia" w:ascii="宋体" w:hAnsi="宋体" w:eastAsia="宋体" w:cs="宋体"/>
                <w:color w:val="000000" w:themeColor="text1"/>
                <w:sz w:val="21"/>
                <w:szCs w:val="21"/>
                <w:highlight w:val="none"/>
                <w:lang w:val="zh-CN" w:eastAsia="zh-CN"/>
                <w14:textFill>
                  <w14:solidFill>
                    <w14:schemeClr w14:val="tx1"/>
                  </w14:solidFill>
                </w14:textFill>
              </w:rPr>
              <w:t>存档</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val="zh-CN" w:eastAsia="zh-CN"/>
                <w14:textFill>
                  <w14:solidFill>
                    <w14:schemeClr w14:val="tx1"/>
                  </w14:solidFill>
                </w14:textFill>
              </w:rPr>
              <w:t>按照</w:t>
            </w:r>
            <w:r>
              <w:rPr>
                <w:rFonts w:hint="eastAsia" w:ascii="宋体" w:hAnsi="宋体" w:eastAsia="宋体" w:cs="宋体"/>
                <w:color w:val="000000" w:themeColor="text1"/>
                <w:sz w:val="21"/>
                <w:szCs w:val="21"/>
                <w:highlight w:val="none"/>
                <w:lang w:val="zh-CN"/>
                <w14:textFill>
                  <w14:solidFill>
                    <w14:schemeClr w14:val="tx1"/>
                  </w14:solidFill>
                </w14:textFill>
              </w:rPr>
              <w:t>代理机构</w:t>
            </w:r>
            <w:r>
              <w:rPr>
                <w:rFonts w:hint="eastAsia" w:ascii="宋体" w:hAnsi="宋体" w:eastAsia="宋体" w:cs="宋体"/>
                <w:color w:val="000000" w:themeColor="text1"/>
                <w:sz w:val="21"/>
                <w:szCs w:val="21"/>
                <w:highlight w:val="none"/>
                <w:lang w:val="zh-CN" w:eastAsia="zh-CN"/>
                <w14:textFill>
                  <w14:solidFill>
                    <w14:schemeClr w14:val="tx1"/>
                  </w14:solidFill>
                </w14:textFill>
              </w:rPr>
              <w:t>具体递交要求执行</w:t>
            </w:r>
            <w:r>
              <w:rPr>
                <w:rFonts w:hint="eastAsia" w:ascii="宋体" w:hAnsi="宋体" w:eastAsia="宋体" w:cs="宋体"/>
                <w:color w:val="000000" w:themeColor="text1"/>
                <w:sz w:val="21"/>
                <w:szCs w:val="21"/>
                <w:highlight w:val="none"/>
                <w:lang w:val="zh-CN"/>
                <w14:textFill>
                  <w14:solidFill>
                    <w14:schemeClr w14:val="tx1"/>
                  </w14:solidFill>
                </w14:textFill>
              </w:rPr>
              <w:t>。</w:t>
            </w:r>
          </w:p>
          <w:p w14:paraId="526CAD44">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二、系统操作注意事项</w:t>
            </w:r>
          </w:p>
          <w:p w14:paraId="07C7052B">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（一）软硬件及网络要求</w:t>
            </w:r>
          </w:p>
          <w:p w14:paraId="5381CCFA">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1.参与不见面开标电脑须安装有清晰可用的摄像头、音响和麦克风设备。</w:t>
            </w:r>
          </w:p>
          <w:p w14:paraId="1CE0B77F">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2.参与不见面开标电脑须安装正确驱动，可在不见面开标系统登录界面的驱动下载页面进行下载及后续安装。</w:t>
            </w:r>
          </w:p>
          <w:p w14:paraId="086874FD">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3.为更好实时查看不见面开标室现场，推荐使用20M 及以上网络宽带。</w:t>
            </w:r>
          </w:p>
          <w:p w14:paraId="4CDA49A3">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4.操作系统为 win7 或 win10 系统，IE10 版本及以上，运存≥4G</w:t>
            </w:r>
            <w:r>
              <w:rPr>
                <w:rFonts w:hint="eastAsia" w:ascii="宋体" w:hAnsi="宋体" w:eastAsia="宋体" w:cs="宋体"/>
                <w:color w:val="000000" w:themeColor="text1"/>
                <w:sz w:val="21"/>
                <w:szCs w:val="21"/>
                <w:highlight w:val="none"/>
                <w:lang w:val="zh-CN" w:eastAsia="zh-CN"/>
                <w14:textFill>
                  <w14:solidFill>
                    <w14:schemeClr w14:val="tx1"/>
                  </w14:solidFill>
                </w14:textFill>
              </w:rPr>
              <w:t>。</w:t>
            </w:r>
          </w:p>
          <w:p w14:paraId="578B0936">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（二）</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制作及上传说明</w:t>
            </w:r>
          </w:p>
          <w:p w14:paraId="1CC7358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1.供应商在政府采购云平台网注册入库成为正式供应商后，在平台上按《政府采购项目电子交易管理操作指南-供应商》进行投标操作。</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须办理数字证书方可参加投标。</w:t>
            </w:r>
          </w:p>
          <w:p w14:paraId="444CAAF1">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2.收到 CA 锁以后在“政采云”登陆界面，点击CA 登录-CA驱动下载-下载并安装政采云投标客户端和CA 驱动，账号绑定CA后才能进行</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制作。</w:t>
            </w:r>
          </w:p>
          <w:p w14:paraId="0E9ED1B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3.若对项目采购电子交易系统操作有疑问，可登录“政采云”平台，点击右侧咨询小采，获取采小蜜智能服务管家帮助，或拨打政采云服务热线 95763 获取帮助。</w:t>
            </w:r>
          </w:p>
          <w:p w14:paraId="38423BA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4.根据</w:t>
            </w:r>
            <w:r>
              <w:rPr>
                <w:rFonts w:hint="eastAsia" w:ascii="宋体" w:hAnsi="宋体" w:eastAsia="宋体" w:cs="宋体"/>
                <w:color w:val="000000" w:themeColor="text1"/>
                <w:sz w:val="21"/>
                <w:szCs w:val="21"/>
                <w:highlight w:val="none"/>
                <w:lang w:val="zh-CN" w:eastAsia="zh-CN"/>
                <w14:textFill>
                  <w14:solidFill>
                    <w14:schemeClr w14:val="tx1"/>
                  </w14:solidFill>
                </w14:textFill>
              </w:rPr>
              <w:t>相关</w:t>
            </w:r>
            <w:r>
              <w:rPr>
                <w:rFonts w:hint="eastAsia" w:ascii="宋体" w:hAnsi="宋体" w:eastAsia="宋体" w:cs="宋体"/>
                <w:color w:val="000000" w:themeColor="text1"/>
                <w:sz w:val="21"/>
                <w:szCs w:val="21"/>
                <w:highlight w:val="none"/>
                <w:lang w:val="zh-CN"/>
                <w14:textFill>
                  <w14:solidFill>
                    <w14:schemeClr w14:val="tx1"/>
                  </w14:solidFill>
                </w14:textFill>
              </w:rPr>
              <w:t>要求使用对应版本的</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制作工具。</w:t>
            </w:r>
          </w:p>
          <w:p w14:paraId="1D5773A0">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（三）开标过程注意事项</w:t>
            </w:r>
          </w:p>
          <w:p w14:paraId="720A0CEC">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1.开标当天，</w:t>
            </w:r>
            <w:r>
              <w:rPr>
                <w:rFonts w:hint="eastAsia" w:ascii="宋体" w:hAnsi="宋体" w:cs="宋体"/>
                <w:color w:val="000000" w:themeColor="text1"/>
                <w:sz w:val="21"/>
                <w:szCs w:val="21"/>
                <w:highlight w:val="none"/>
                <w:lang w:val="zh-CN"/>
                <w14:textFill>
                  <w14:solidFill>
                    <w14:schemeClr w14:val="tx1"/>
                  </w14:solidFill>
                </w14:textFill>
              </w:rPr>
              <w:t>供应商</w:t>
            </w:r>
            <w:r>
              <w:rPr>
                <w:rFonts w:hint="eastAsia" w:ascii="宋体" w:hAnsi="宋体" w:eastAsia="宋体" w:cs="宋体"/>
                <w:color w:val="000000" w:themeColor="text1"/>
                <w:sz w:val="21"/>
                <w:szCs w:val="21"/>
                <w:highlight w:val="none"/>
                <w:lang w:val="zh-CN"/>
                <w14:textFill>
                  <w14:solidFill>
                    <w14:schemeClr w14:val="tx1"/>
                  </w14:solidFill>
                </w14:textFill>
              </w:rPr>
              <w:t>务必于开标前提前登录系统，进入所投标项目，在项目签到界面进行线上签到。</w:t>
            </w:r>
          </w:p>
          <w:p w14:paraId="67B23FFB">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2.开标过程中请重点关注不见面开标系统互动区消息，及时查阅，并根据消息提醒及时进行</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在线解密等操作。</w:t>
            </w:r>
          </w:p>
          <w:p w14:paraId="0577E5F3">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3.项目进入</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在线解密阶段后，须在</w:t>
            </w:r>
            <w:r>
              <w:rPr>
                <w:rFonts w:hint="eastAsia" w:ascii="宋体" w:hAnsi="宋体" w:eastAsia="宋体" w:cs="宋体"/>
                <w:color w:val="000000" w:themeColor="text1"/>
                <w:sz w:val="21"/>
                <w:szCs w:val="21"/>
                <w:highlight w:val="none"/>
                <w:lang w:val="zh-CN" w:eastAsia="zh-CN"/>
                <w14:textFill>
                  <w14:solidFill>
                    <w14:schemeClr w14:val="tx1"/>
                  </w14:solidFill>
                </w14:textFill>
              </w:rPr>
              <w:t>磋商文件</w:t>
            </w:r>
            <w:r>
              <w:rPr>
                <w:rFonts w:hint="eastAsia" w:ascii="宋体" w:hAnsi="宋体" w:eastAsia="宋体" w:cs="宋体"/>
                <w:color w:val="000000" w:themeColor="text1"/>
                <w:sz w:val="21"/>
                <w:szCs w:val="21"/>
                <w:highlight w:val="none"/>
                <w:lang w:val="zh-CN"/>
                <w14:textFill>
                  <w14:solidFill>
                    <w14:schemeClr w14:val="tx1"/>
                  </w14:solidFill>
                </w14:textFill>
              </w:rPr>
              <w:t>规定解密时间内使用相应的</w:t>
            </w:r>
            <w:r>
              <w:rPr>
                <w:rFonts w:hint="eastAsia" w:ascii="宋体" w:hAnsi="宋体" w:eastAsia="宋体" w:cs="宋体"/>
                <w:color w:val="000000" w:themeColor="text1"/>
                <w:sz w:val="21"/>
                <w:szCs w:val="21"/>
                <w:highlight w:val="none"/>
                <w:lang w:val="zh-CN" w:eastAsia="zh-CN"/>
                <w14:textFill>
                  <w14:solidFill>
                    <w14:schemeClr w14:val="tx1"/>
                  </w14:solidFill>
                </w14:textFill>
              </w:rPr>
              <w:t>响应文件</w:t>
            </w:r>
            <w:r>
              <w:rPr>
                <w:rFonts w:hint="eastAsia" w:ascii="宋体" w:hAnsi="宋体" w:eastAsia="宋体" w:cs="宋体"/>
                <w:color w:val="000000" w:themeColor="text1"/>
                <w:sz w:val="21"/>
                <w:szCs w:val="21"/>
                <w:highlight w:val="none"/>
                <w:lang w:val="zh-CN"/>
                <w14:textFill>
                  <w14:solidFill>
                    <w14:schemeClr w14:val="tx1"/>
                  </w14:solidFill>
                </w14:textFill>
              </w:rPr>
              <w:t xml:space="preserve"> CA 证书进行在线解密，否则将无法解密。</w:t>
            </w:r>
          </w:p>
          <w:p w14:paraId="226D036B">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四、技术支持</w:t>
            </w:r>
          </w:p>
          <w:p w14:paraId="739795AC">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1.若遇问题可联系工作人员，通过以下方式：可登录“政采云”平台，点击右侧咨询小采，获取采小蜜智能服务管家帮助，或拨打政采云服务热线95763 获取帮助。</w:t>
            </w:r>
          </w:p>
          <w:p w14:paraId="237EE249">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2.为更直观了解、掌握本系统使用方法，建议在具体项目开标前先行浏览本系统相关操作手册，可在本系统登录界面的操作手册页面进行下载、查看。</w:t>
            </w:r>
          </w:p>
          <w:p w14:paraId="0BA4E837">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3.关于后续相关常见问题及注意事项，请及时关注政府采购云平台（网址：http:// www.zcygov.cn）。</w:t>
            </w:r>
          </w:p>
        </w:tc>
      </w:tr>
      <w:tr w14:paraId="0932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5" w:type="dxa"/>
            <w:tcBorders>
              <w:top w:val="single" w:color="auto" w:sz="4" w:space="0"/>
            </w:tcBorders>
            <w:vAlign w:val="center"/>
          </w:tcPr>
          <w:p w14:paraId="13459F9B">
            <w:pPr>
              <w:overflowPunct/>
              <w:bidi w:val="0"/>
              <w:spacing w:line="400" w:lineRule="exact"/>
              <w:jc w:val="center"/>
              <w:outlineLvl w:val="9"/>
              <w:rPr>
                <w:rFonts w:hint="default" w:ascii="宋体" w:hAnsi="宋体"/>
                <w:color w:val="000000" w:themeColor="text1"/>
                <w:szCs w:val="21"/>
                <w:highlight w:val="none"/>
                <w:lang w:val="en-US"/>
                <w14:textFill>
                  <w14:solidFill>
                    <w14:schemeClr w14:val="tx1"/>
                  </w14:solidFill>
                </w14:textFill>
              </w:rPr>
            </w:pPr>
            <w:r>
              <w:rPr>
                <w:rFonts w:hint="eastAsia"/>
                <w:color w:val="000000" w:themeColor="text1"/>
                <w:highlight w:val="none"/>
                <w14:textFill>
                  <w14:solidFill>
                    <w14:schemeClr w14:val="tx1"/>
                  </w14:solidFill>
                </w14:textFill>
              </w:rPr>
              <w:t>10.</w:t>
            </w:r>
            <w:r>
              <w:rPr>
                <w:rFonts w:hint="eastAsia"/>
                <w:color w:val="000000" w:themeColor="text1"/>
                <w:highlight w:val="none"/>
                <w:lang w:val="en-US" w:eastAsia="zh-CN"/>
                <w14:textFill>
                  <w14:solidFill>
                    <w14:schemeClr w14:val="tx1"/>
                  </w14:solidFill>
                </w14:textFill>
              </w:rPr>
              <w:t>7</w:t>
            </w:r>
          </w:p>
        </w:tc>
        <w:tc>
          <w:tcPr>
            <w:tcW w:w="2095" w:type="dxa"/>
            <w:tcBorders>
              <w:top w:val="single" w:color="auto" w:sz="4" w:space="0"/>
            </w:tcBorders>
            <w:vAlign w:val="center"/>
          </w:tcPr>
          <w:p w14:paraId="75AE161C">
            <w:pPr>
              <w:overflowPunct/>
              <w:bidi w:val="0"/>
              <w:spacing w:line="400" w:lineRule="exact"/>
              <w:jc w:val="center"/>
              <w:outlineLvl w:val="9"/>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解释权</w:t>
            </w:r>
          </w:p>
        </w:tc>
        <w:tc>
          <w:tcPr>
            <w:tcW w:w="6675" w:type="dxa"/>
            <w:tcBorders>
              <w:top w:val="single" w:color="auto" w:sz="4" w:space="0"/>
            </w:tcBorders>
            <w:vAlign w:val="center"/>
          </w:tcPr>
          <w:p w14:paraId="49077698">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投标邀请书）、</w:t>
            </w:r>
            <w:r>
              <w:rPr>
                <w:rFonts w:hint="eastAsia" w:ascii="宋体" w:hAnsi="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41938451">
      <w:pPr>
        <w:overflowPunct/>
        <w:bidi w:val="0"/>
        <w:outlineLvl w:val="9"/>
        <w:rPr>
          <w:rFonts w:ascii="宋体" w:hAnsi="宋体"/>
          <w:color w:val="000000" w:themeColor="text1"/>
          <w:highlight w:val="none"/>
          <w14:textFill>
            <w14:solidFill>
              <w14:schemeClr w14:val="tx1"/>
            </w14:solidFill>
          </w14:textFill>
        </w:rPr>
      </w:pPr>
      <w:r>
        <w:rPr>
          <w:rFonts w:ascii="黑体"/>
          <w:color w:val="000000" w:themeColor="text1"/>
          <w:sz w:val="28"/>
          <w:szCs w:val="28"/>
          <w:highlight w:val="none"/>
          <w14:textFill>
            <w14:solidFill>
              <w14:schemeClr w14:val="tx1"/>
            </w14:solidFill>
          </w14:textFill>
        </w:rPr>
        <w:br w:type="page"/>
      </w:r>
      <w:bookmarkEnd w:id="23"/>
      <w:bookmarkEnd w:id="24"/>
      <w:r>
        <w:rPr>
          <w:rFonts w:hint="eastAsia" w:ascii="宋体" w:hAnsi="宋体"/>
          <w:color w:val="000000" w:themeColor="text1"/>
          <w:highlight w:val="none"/>
          <w14:textFill>
            <w14:solidFill>
              <w14:schemeClr w14:val="tx1"/>
            </w14:solidFill>
          </w14:textFill>
        </w:rPr>
        <w:t>1 ．总则</w:t>
      </w:r>
      <w:bookmarkEnd w:id="25"/>
    </w:p>
    <w:p w14:paraId="3123A570">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1.1 项目概况</w:t>
      </w:r>
    </w:p>
    <w:p w14:paraId="7428EF25">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1.1.1 </w:t>
      </w:r>
      <w:r>
        <w:rPr>
          <w:rFonts w:hint="eastAsia" w:ascii="宋体" w:hAnsi="宋体"/>
          <w:color w:val="000000" w:themeColor="text1"/>
          <w:szCs w:val="21"/>
          <w:highlight w:val="none"/>
          <w:lang w:eastAsia="zh-CN"/>
          <w14:textFill>
            <w14:solidFill>
              <w14:schemeClr w14:val="tx1"/>
            </w14:solidFill>
          </w14:textFill>
        </w:rPr>
        <w:t>根据</w:t>
      </w:r>
      <w:r>
        <w:rPr>
          <w:rFonts w:hint="eastAsia" w:ascii="宋体" w:hAnsi="宋体"/>
          <w:color w:val="000000" w:themeColor="text1"/>
          <w:szCs w:val="21"/>
          <w:highlight w:val="none"/>
          <w:lang w:val="zh-CN" w:eastAsia="zh-CN"/>
          <w14:textFill>
            <w14:solidFill>
              <w14:schemeClr w14:val="tx1"/>
            </w14:solidFill>
          </w14:textFill>
        </w:rPr>
        <w:t>《中华人民共和国政府采购法》、《中华人民共和国政府采购法实施条例》、《政府采购竞争性磋商采购方式管理暂行办法》</w:t>
      </w:r>
      <w:r>
        <w:rPr>
          <w:rFonts w:hint="eastAsia" w:ascii="宋体" w:hAnsi="宋体"/>
          <w:color w:val="000000" w:themeColor="text1"/>
          <w:szCs w:val="21"/>
          <w:highlight w:val="none"/>
          <w:lang w:eastAsia="zh-CN"/>
          <w14:textFill>
            <w14:solidFill>
              <w14:schemeClr w14:val="tx1"/>
            </w14:solidFill>
          </w14:textFill>
        </w:rPr>
        <w:t>等有关法律、法规和规章的规定，本采购项目已具备磋商条件</w:t>
      </w:r>
      <w:r>
        <w:rPr>
          <w:rFonts w:hint="eastAsia" w:ascii="宋体" w:hAnsi="宋体"/>
          <w:color w:val="000000" w:themeColor="text1"/>
          <w:szCs w:val="21"/>
          <w:highlight w:val="none"/>
          <w14:textFill>
            <w14:solidFill>
              <w14:schemeClr w14:val="tx1"/>
            </w14:solidFill>
          </w14:textFill>
        </w:rPr>
        <w:t>，现对本项目进行竞争性磋商。</w:t>
      </w:r>
    </w:p>
    <w:p w14:paraId="2BE50D5E">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1.1.2 本项目采购人：见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01279D80">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1.1.3 本项目采购代理机构：见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5D71796F">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1.1.4 本项目采购项目名称：见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3B5BD184">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1.1.5 本项目</w:t>
      </w:r>
      <w:r>
        <w:rPr>
          <w:rFonts w:hint="eastAsia" w:ascii="宋体" w:hAnsi="宋体"/>
          <w:color w:val="000000" w:themeColor="text1"/>
          <w:szCs w:val="21"/>
          <w:highlight w:val="none"/>
          <w:lang w:val="en-US" w:eastAsia="zh-CN"/>
          <w14:textFill>
            <w14:solidFill>
              <w14:schemeClr w14:val="tx1"/>
            </w14:solidFill>
          </w14:textFill>
        </w:rPr>
        <w:t>供货</w:t>
      </w:r>
      <w:r>
        <w:rPr>
          <w:rFonts w:hint="eastAsia" w:ascii="宋体" w:hAnsi="宋体"/>
          <w:color w:val="000000" w:themeColor="text1"/>
          <w:szCs w:val="21"/>
          <w:highlight w:val="none"/>
          <w14:textFill>
            <w14:solidFill>
              <w14:schemeClr w14:val="tx1"/>
            </w14:solidFill>
          </w14:textFill>
        </w:rPr>
        <w:t>地点：见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6380AD6C">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1.2 资金来源和落实情况</w:t>
      </w:r>
    </w:p>
    <w:p w14:paraId="39C8EE6F">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1.2.1 本采购项目的资金来源：见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040817A5">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1.2.2 本采购项目的出资比例：见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1820266D">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1.2.3 本采购项目的资金落实情况：见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0155CC80">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 xml:space="preserve">1.3 </w:t>
      </w:r>
      <w:r>
        <w:rPr>
          <w:rFonts w:hint="eastAsia" w:ascii="宋体" w:hAnsi="宋体" w:eastAsia="宋体"/>
          <w:color w:val="000000" w:themeColor="text1"/>
          <w:highlight w:val="none"/>
          <w:lang w:val="en-US" w:eastAsia="zh-CN"/>
          <w14:textFill>
            <w14:solidFill>
              <w14:schemeClr w14:val="tx1"/>
            </w14:solidFill>
          </w14:textFill>
        </w:rPr>
        <w:t>采购</w:t>
      </w:r>
      <w:r>
        <w:rPr>
          <w:rFonts w:hint="eastAsia" w:ascii="宋体" w:hAnsi="宋体" w:eastAsia="宋体"/>
          <w:color w:val="000000" w:themeColor="text1"/>
          <w:highlight w:val="none"/>
          <w14:textFill>
            <w14:solidFill>
              <w14:schemeClr w14:val="tx1"/>
            </w14:solidFill>
          </w14:textFill>
        </w:rPr>
        <w:t>范围、</w:t>
      </w:r>
      <w:r>
        <w:rPr>
          <w:rFonts w:hint="eastAsia" w:ascii="宋体" w:hAnsi="宋体" w:eastAsia="宋体"/>
          <w:color w:val="000000" w:themeColor="text1"/>
          <w:highlight w:val="none"/>
          <w:lang w:val="en-US" w:eastAsia="zh-CN"/>
          <w14:textFill>
            <w14:solidFill>
              <w14:schemeClr w14:val="tx1"/>
            </w14:solidFill>
          </w14:textFill>
        </w:rPr>
        <w:t>供货期限</w:t>
      </w:r>
      <w:r>
        <w:rPr>
          <w:rFonts w:hint="eastAsia" w:ascii="宋体" w:hAnsi="宋体" w:eastAsia="宋体"/>
          <w:color w:val="000000" w:themeColor="text1"/>
          <w:highlight w:val="none"/>
          <w14:textFill>
            <w14:solidFill>
              <w14:schemeClr w14:val="tx1"/>
            </w14:solidFill>
          </w14:textFill>
        </w:rPr>
        <w:t>和质量标准</w:t>
      </w:r>
    </w:p>
    <w:p w14:paraId="4ABB9537">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1.3.1 本项目</w:t>
      </w:r>
      <w:r>
        <w:rPr>
          <w:rFonts w:hint="eastAsia" w:ascii="宋体" w:hAnsi="宋体"/>
          <w:color w:val="000000" w:themeColor="text1"/>
          <w:szCs w:val="21"/>
          <w:highlight w:val="none"/>
          <w:lang w:val="en-US" w:eastAsia="zh-CN"/>
          <w14:textFill>
            <w14:solidFill>
              <w14:schemeClr w14:val="tx1"/>
            </w14:solidFill>
          </w14:textFill>
        </w:rPr>
        <w:t>采购内容</w:t>
      </w:r>
      <w:r>
        <w:rPr>
          <w:rFonts w:hint="eastAsia" w:ascii="宋体" w:hAnsi="宋体"/>
          <w:color w:val="000000" w:themeColor="text1"/>
          <w:szCs w:val="21"/>
          <w:highlight w:val="none"/>
          <w14:textFill>
            <w14:solidFill>
              <w14:schemeClr w14:val="tx1"/>
            </w14:solidFill>
          </w14:textFill>
        </w:rPr>
        <w:t>：见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493A9C29">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1.3.2 本项目</w:t>
      </w:r>
      <w:r>
        <w:rPr>
          <w:rFonts w:hint="eastAsia" w:ascii="宋体" w:hAnsi="宋体"/>
          <w:color w:val="000000" w:themeColor="text1"/>
          <w:szCs w:val="21"/>
          <w:highlight w:val="none"/>
          <w:lang w:val="en-US" w:eastAsia="zh-CN"/>
          <w14:textFill>
            <w14:solidFill>
              <w14:schemeClr w14:val="tx1"/>
            </w14:solidFill>
          </w14:textFill>
        </w:rPr>
        <w:t>供货期限</w:t>
      </w:r>
      <w:r>
        <w:rPr>
          <w:rFonts w:hint="eastAsia" w:ascii="宋体" w:hAnsi="宋体"/>
          <w:color w:val="000000" w:themeColor="text1"/>
          <w:szCs w:val="21"/>
          <w:highlight w:val="none"/>
          <w14:textFill>
            <w14:solidFill>
              <w14:schemeClr w14:val="tx1"/>
            </w14:solidFill>
          </w14:textFill>
        </w:rPr>
        <w:t>：见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1BDD6C53">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1.3.3 本项目的质量标准：见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62B53F9F">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 xml:space="preserve">1.4 </w:t>
      </w:r>
      <w:r>
        <w:rPr>
          <w:rFonts w:hint="eastAsia" w:ascii="宋体" w:hAnsi="宋体" w:eastAsia="宋体"/>
          <w:color w:val="000000" w:themeColor="text1"/>
          <w:highlight w:val="none"/>
          <w:lang w:eastAsia="zh-CN"/>
          <w14:textFill>
            <w14:solidFill>
              <w14:schemeClr w14:val="tx1"/>
            </w14:solidFill>
          </w14:textFill>
        </w:rPr>
        <w:t>供应商</w:t>
      </w:r>
      <w:r>
        <w:rPr>
          <w:rFonts w:hint="eastAsia" w:ascii="宋体" w:hAnsi="宋体" w:eastAsia="宋体"/>
          <w:color w:val="000000" w:themeColor="text1"/>
          <w:highlight w:val="none"/>
          <w14:textFill>
            <w14:solidFill>
              <w14:schemeClr w14:val="tx1"/>
            </w14:solidFill>
          </w14:textFill>
        </w:rPr>
        <w:t>资格要求</w:t>
      </w:r>
    </w:p>
    <w:p w14:paraId="41DD9D2B">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1.4.1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应具备承担本标段的资质条件、能力和信誉。</w:t>
      </w:r>
    </w:p>
    <w:p w14:paraId="15F6584F">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63552224">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w:t>
      </w:r>
      <w:r>
        <w:rPr>
          <w:rFonts w:hint="eastAsia" w:ascii="宋体" w:hAnsi="宋体" w:eastAsia="宋体" w:cs="Times New Roman"/>
          <w:color w:val="000000" w:themeColor="text1"/>
          <w:szCs w:val="21"/>
          <w:highlight w:val="none"/>
          <w14:textFill>
            <w14:solidFill>
              <w14:schemeClr w14:val="tx1"/>
            </w14:solidFill>
          </w14:textFill>
        </w:rPr>
        <w:t xml:space="preserve">.2 </w:t>
      </w:r>
      <w:r>
        <w:rPr>
          <w:rFonts w:hint="eastAsia" w:ascii="宋体" w:hAnsi="宋体" w:eastAsia="宋体" w:cs="Times New Roman"/>
          <w:color w:val="000000" w:themeColor="text1"/>
          <w:szCs w:val="21"/>
          <w:highlight w:val="none"/>
          <w:lang w:eastAsia="zh-CN"/>
          <w14:textFill>
            <w14:solidFill>
              <w14:schemeClr w14:val="tx1"/>
            </w14:solidFill>
          </w14:textFill>
        </w:rPr>
        <w:t>供应商</w:t>
      </w:r>
      <w:r>
        <w:rPr>
          <w:rFonts w:hint="eastAsia" w:ascii="宋体" w:hAnsi="宋体" w:eastAsia="宋体" w:cs="Times New Roman"/>
          <w:color w:val="000000" w:themeColor="text1"/>
          <w:szCs w:val="21"/>
          <w:highlight w:val="none"/>
          <w14:textFill>
            <w14:solidFill>
              <w14:schemeClr w14:val="tx1"/>
            </w14:solidFill>
          </w14:textFill>
        </w:rPr>
        <w:t>须知前附表规定接受联合体投标的，除应符合本章第1.4.1项和</w:t>
      </w:r>
      <w:r>
        <w:rPr>
          <w:rFonts w:hint="eastAsia" w:ascii="宋体" w:hAnsi="宋体" w:eastAsia="宋体" w:cs="Times New Roman"/>
          <w:color w:val="000000" w:themeColor="text1"/>
          <w:szCs w:val="21"/>
          <w:highlight w:val="none"/>
          <w:lang w:eastAsia="zh-CN"/>
          <w14:textFill>
            <w14:solidFill>
              <w14:schemeClr w14:val="tx1"/>
            </w14:solidFill>
          </w14:textFill>
        </w:rPr>
        <w:t>供应商</w:t>
      </w:r>
      <w:r>
        <w:rPr>
          <w:rFonts w:hint="eastAsia" w:ascii="宋体" w:hAnsi="宋体" w:eastAsia="宋体" w:cs="Times New Roman"/>
          <w:color w:val="000000" w:themeColor="text1"/>
          <w:szCs w:val="21"/>
          <w:highlight w:val="none"/>
          <w14:textFill>
            <w14:solidFill>
              <w14:schemeClr w14:val="tx1"/>
            </w14:solidFill>
          </w14:textFill>
        </w:rPr>
        <w:t>须知前附表的要求外，还应遵守以下规定：</w:t>
      </w:r>
    </w:p>
    <w:p w14:paraId="3BAA77A1">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(1）联合体各方应按磋商文件提供的格式签订联合体协议书，明确联合体牵头人和各方权利义务；</w:t>
      </w:r>
    </w:p>
    <w:p w14:paraId="36BAE4B2">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(2）由同一专业的单位组成的联合体，按照资质等级较低的单位确定资质等级；</w:t>
      </w:r>
    </w:p>
    <w:p w14:paraId="2A006E5D">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(3）联合体各方不得再以自己名义单独或参加其他联合体在同一标段中投标。</w:t>
      </w:r>
    </w:p>
    <w:p w14:paraId="3A1419ED">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1.4.3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不得存在下列情形之一：</w:t>
      </w:r>
    </w:p>
    <w:p w14:paraId="4C0A8C0D">
      <w:pPr>
        <w:overflowPunct/>
        <w:bidi w:val="0"/>
        <w:spacing w:line="360" w:lineRule="auto"/>
        <w:ind w:right="105" w:rightChars="50" w:firstLine="420" w:firstLineChars="200"/>
        <w:outlineLvl w:val="9"/>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(1)为</w:t>
      </w:r>
      <w:r>
        <w:rPr>
          <w:rFonts w:hint="eastAsia" w:ascii="宋体" w:hAnsi="宋体" w:cs="宋体"/>
          <w:color w:val="000000" w:themeColor="text1"/>
          <w:szCs w:val="21"/>
          <w:highlight w:val="none"/>
          <w14:textFill>
            <w14:solidFill>
              <w14:schemeClr w14:val="tx1"/>
            </w14:solidFill>
          </w14:textFill>
        </w:rPr>
        <w:t>采购人</w:t>
      </w:r>
      <w:r>
        <w:rPr>
          <w:rFonts w:ascii="宋体" w:hAnsi="宋体" w:cs="宋体"/>
          <w:color w:val="000000" w:themeColor="text1"/>
          <w:szCs w:val="21"/>
          <w:highlight w:val="none"/>
          <w14:textFill>
            <w14:solidFill>
              <w14:schemeClr w14:val="tx1"/>
            </w14:solidFill>
          </w14:textFill>
        </w:rPr>
        <w:t>不具有独立法人资格的附属机构(单位)；</w:t>
      </w:r>
    </w:p>
    <w:p w14:paraId="0E4277BA">
      <w:pPr>
        <w:overflowPunct/>
        <w:bidi w:val="0"/>
        <w:spacing w:line="360" w:lineRule="auto"/>
        <w:ind w:right="105" w:rightChars="50" w:firstLine="420" w:firstLineChars="200"/>
        <w:outlineLvl w:val="9"/>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(2)被责令停业的；</w:t>
      </w:r>
    </w:p>
    <w:p w14:paraId="222EFA01">
      <w:pPr>
        <w:overflowPunct/>
        <w:bidi w:val="0"/>
        <w:spacing w:line="360" w:lineRule="auto"/>
        <w:ind w:right="105" w:rightChars="50" w:firstLine="420" w:firstLineChars="200"/>
        <w:outlineLvl w:val="9"/>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 (3)被暂停或取消</w:t>
      </w:r>
      <w:r>
        <w:rPr>
          <w:rFonts w:hint="eastAsia" w:ascii="宋体" w:hAnsi="宋体" w:cs="宋体"/>
          <w:color w:val="000000" w:themeColor="text1"/>
          <w:szCs w:val="21"/>
          <w:highlight w:val="none"/>
          <w14:textFill>
            <w14:solidFill>
              <w14:schemeClr w14:val="tx1"/>
            </w14:solidFill>
          </w14:textFill>
        </w:rPr>
        <w:t>磋商</w:t>
      </w:r>
      <w:r>
        <w:rPr>
          <w:rFonts w:ascii="宋体" w:hAnsi="宋体" w:cs="宋体"/>
          <w:color w:val="000000" w:themeColor="text1"/>
          <w:szCs w:val="21"/>
          <w:highlight w:val="none"/>
          <w14:textFill>
            <w14:solidFill>
              <w14:schemeClr w14:val="tx1"/>
            </w14:solidFill>
          </w14:textFill>
        </w:rPr>
        <w:t>资格的；</w:t>
      </w:r>
    </w:p>
    <w:p w14:paraId="4741D0A4">
      <w:pPr>
        <w:overflowPunct/>
        <w:bidi w:val="0"/>
        <w:spacing w:line="360" w:lineRule="auto"/>
        <w:ind w:right="105" w:rightChars="50" w:firstLine="420" w:firstLineChars="200"/>
        <w:outlineLvl w:val="9"/>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xml:space="preserve"> (4)财产被接管或冻结的；</w:t>
      </w:r>
    </w:p>
    <w:p w14:paraId="6EC2B60F">
      <w:pPr>
        <w:overflowPunct/>
        <w:bidi w:val="0"/>
        <w:spacing w:line="360" w:lineRule="auto"/>
        <w:ind w:right="105" w:rightChars="50"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ascii="宋体" w:hAnsi="宋体" w:cs="宋体"/>
          <w:color w:val="000000" w:themeColor="text1"/>
          <w:szCs w:val="21"/>
          <w:highlight w:val="none"/>
          <w14:textFill>
            <w14:solidFill>
              <w14:schemeClr w14:val="tx1"/>
            </w14:solidFill>
          </w14:textFill>
        </w:rPr>
        <w:t>(5)在最近三年内有骗取</w:t>
      </w:r>
      <w:r>
        <w:rPr>
          <w:rFonts w:hint="eastAsia" w:ascii="宋体" w:hAnsi="宋体" w:cs="宋体"/>
          <w:color w:val="000000" w:themeColor="text1"/>
          <w:szCs w:val="21"/>
          <w:highlight w:val="none"/>
          <w14:textFill>
            <w14:solidFill>
              <w14:schemeClr w14:val="tx1"/>
            </w14:solidFill>
          </w14:textFill>
        </w:rPr>
        <w:t>成交</w:t>
      </w:r>
      <w:r>
        <w:rPr>
          <w:rFonts w:ascii="宋体" w:hAnsi="宋体" w:cs="宋体"/>
          <w:color w:val="000000" w:themeColor="text1"/>
          <w:szCs w:val="21"/>
          <w:highlight w:val="none"/>
          <w14:textFill>
            <w14:solidFill>
              <w14:schemeClr w14:val="tx1"/>
            </w14:solidFill>
          </w14:textFill>
        </w:rPr>
        <w:t>或严重违约或重大质量问题的。</w:t>
      </w:r>
    </w:p>
    <w:p w14:paraId="1EE7EBC0">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1.5 费用承担</w:t>
      </w:r>
    </w:p>
    <w:p w14:paraId="1A43E6E1">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准备和参加磋商活动发生的费用自理。</w:t>
      </w:r>
    </w:p>
    <w:p w14:paraId="1CCA5A08">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1.6 保密</w:t>
      </w:r>
    </w:p>
    <w:p w14:paraId="62D6B51E">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参与磋商活动的各方应对磋商文件和响应文件中的商业和技术等秘密保密，违者应对由此造成的后果承担法律责任。</w:t>
      </w:r>
    </w:p>
    <w:p w14:paraId="40F94B5F">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1.7 语言文字</w:t>
      </w:r>
    </w:p>
    <w:p w14:paraId="5F9014A1">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除专用术语外，与磋商活动有关的语言均使用中文。必要时专用术语应附有中文注释。</w:t>
      </w:r>
    </w:p>
    <w:p w14:paraId="3613D270">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1.8 计量单位</w:t>
      </w:r>
    </w:p>
    <w:p w14:paraId="7DAE3D5C">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所有计量均采用中华人民共和国法定计量单位。</w:t>
      </w:r>
    </w:p>
    <w:p w14:paraId="6E91D995">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1.9 踏勘现场</w:t>
      </w:r>
    </w:p>
    <w:p w14:paraId="4872FFDC">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1.9.1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须知前附表规定组织踏勘现场的，采购人按</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须知前附表规定的时间、地点组织</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踏勘项目现场。</w:t>
      </w:r>
    </w:p>
    <w:p w14:paraId="22D7D82C">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1.9.2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踏勘现场发生的费用自理。</w:t>
      </w:r>
    </w:p>
    <w:p w14:paraId="4BB32514">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 .3 除采购人的原因外，</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自行负责在踏勘现场中所发生的人员伤亡和财产损失。</w:t>
      </w:r>
    </w:p>
    <w:p w14:paraId="08029E89">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1.9.4 采购人在踏勘现场中介绍的工程场地和相关的周边环境情况，供</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在编制响应文件时参考，采购人不对</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据此作出的判断和决策负责。</w:t>
      </w:r>
    </w:p>
    <w:p w14:paraId="4EC0C72E">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1.10 磋商预备会</w:t>
      </w:r>
    </w:p>
    <w:p w14:paraId="0B0E583A">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1.10.1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须知前附表规定召开磋商预备会的，采购人按</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须知前附表规定的时间和地点召开磋商预备会，澄清</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提出的问题。</w:t>
      </w:r>
    </w:p>
    <w:p w14:paraId="71B38C66">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1.10.2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应在</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须知前附表规定的时间前，以书面形式将提出的问题送达采购人，以便采购人在会议期间澄清。</w:t>
      </w:r>
    </w:p>
    <w:p w14:paraId="53E79357">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1.10.3 磋商预备会后，采购人在</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须知前附表规定的时间内，将对</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所提问题的澄清，以书面方式通知所有购买磋商文件的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。该澄清内容为磋商文件的组成部分。</w:t>
      </w:r>
    </w:p>
    <w:p w14:paraId="5A2E335A">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1.11 分包</w:t>
      </w:r>
    </w:p>
    <w:p w14:paraId="1BF53610">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拟在成交后将中标项目的部分非主体、非关键性工作进行分包的，应符合</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须知前附表规定的分包内容、分包金额和接受分包的第三人资质要求等限制性条件。</w:t>
      </w:r>
    </w:p>
    <w:p w14:paraId="45974217">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1.12 偏离</w:t>
      </w:r>
    </w:p>
    <w:p w14:paraId="2A805AF9">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须知前附表允许响应文件偏离磋商文件某些要求的，偏离应当符合磋商文件规定的偏离范围和幅度。</w:t>
      </w:r>
    </w:p>
    <w:p w14:paraId="07D79020">
      <w:pPr>
        <w:overflowPunct/>
        <w:bidi w:val="0"/>
        <w:outlineLvl w:val="9"/>
        <w:rPr>
          <w:rFonts w:ascii="宋体" w:hAnsi="宋体"/>
          <w:color w:val="000000" w:themeColor="text1"/>
          <w:highlight w:val="none"/>
          <w14:textFill>
            <w14:solidFill>
              <w14:schemeClr w14:val="tx1"/>
            </w14:solidFill>
          </w14:textFill>
        </w:rPr>
      </w:pPr>
      <w:bookmarkStart w:id="27" w:name="_Toc184635072"/>
      <w:r>
        <w:rPr>
          <w:rFonts w:hint="eastAsia" w:ascii="宋体" w:hAnsi="宋体"/>
          <w:color w:val="000000" w:themeColor="text1"/>
          <w:highlight w:val="none"/>
          <w14:textFill>
            <w14:solidFill>
              <w14:schemeClr w14:val="tx1"/>
            </w14:solidFill>
          </w14:textFill>
        </w:rPr>
        <w:t>2．磋商文件</w:t>
      </w:r>
      <w:bookmarkEnd w:id="27"/>
    </w:p>
    <w:p w14:paraId="107DA4CE">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2.1 磋商文件的组成</w:t>
      </w:r>
    </w:p>
    <w:p w14:paraId="7B523593">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本磋商文件包括：</w:t>
      </w:r>
    </w:p>
    <w:p w14:paraId="3BDBBCDB">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竞争性</w:t>
      </w:r>
      <w:r>
        <w:rPr>
          <w:rFonts w:hint="eastAsia" w:ascii="宋体" w:hAnsi="宋体"/>
          <w:color w:val="000000" w:themeColor="text1"/>
          <w:szCs w:val="21"/>
          <w:highlight w:val="none"/>
          <w14:textFill>
            <w14:solidFill>
              <w14:schemeClr w14:val="tx1"/>
            </w14:solidFill>
          </w14:textFill>
        </w:rPr>
        <w:t>磋商公告；</w:t>
      </w:r>
    </w:p>
    <w:p w14:paraId="25B095AE">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w:t>
      </w:r>
    </w:p>
    <w:p w14:paraId="27CF9BEB">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(3）评审办法；</w:t>
      </w:r>
    </w:p>
    <w:p w14:paraId="223D76E9">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(4）合同条款及格式；</w:t>
      </w:r>
    </w:p>
    <w:p w14:paraId="07D2817A">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lang w:val="en-US" w:eastAsia="zh-CN"/>
          <w14:textFill>
            <w14:solidFill>
              <w14:schemeClr w14:val="tx1"/>
            </w14:solidFill>
          </w14:textFill>
        </w:rPr>
        <w:t>采购需求</w:t>
      </w:r>
      <w:r>
        <w:rPr>
          <w:rFonts w:hint="eastAsia" w:ascii="宋体" w:hAnsi="宋体"/>
          <w:color w:val="000000" w:themeColor="text1"/>
          <w:szCs w:val="21"/>
          <w:highlight w:val="none"/>
          <w14:textFill>
            <w14:solidFill>
              <w14:schemeClr w14:val="tx1"/>
            </w14:solidFill>
          </w14:textFill>
        </w:rPr>
        <w:t>；</w:t>
      </w:r>
    </w:p>
    <w:p w14:paraId="014E1F41">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lang w:val="en-US" w:eastAsia="zh-CN"/>
          <w14:textFill>
            <w14:solidFill>
              <w14:schemeClr w14:val="tx1"/>
            </w14:solidFill>
          </w14:textFill>
        </w:rPr>
        <w:t>响应文件格式</w:t>
      </w:r>
      <w:r>
        <w:rPr>
          <w:rFonts w:hint="eastAsia" w:ascii="宋体" w:hAnsi="宋体"/>
          <w:color w:val="000000" w:themeColor="text1"/>
          <w:szCs w:val="21"/>
          <w:highlight w:val="none"/>
          <w14:textFill>
            <w14:solidFill>
              <w14:schemeClr w14:val="tx1"/>
            </w14:solidFill>
          </w14:textFill>
        </w:rPr>
        <w:t>；</w:t>
      </w:r>
    </w:p>
    <w:p w14:paraId="3E3CE6E9">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根据本章第1.10 款、第2.2 款和第2.3 款对磋商文件所作的澄清、修改，构成磋商文件的组成部分。</w:t>
      </w:r>
    </w:p>
    <w:p w14:paraId="5D1C154E">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2.2 磋商文件的澄清</w:t>
      </w:r>
      <w:r>
        <w:rPr>
          <w:rFonts w:hint="eastAsia" w:ascii="宋体" w:hAnsi="宋体" w:eastAsia="宋体"/>
          <w:color w:val="000000" w:themeColor="text1"/>
          <w:highlight w:val="none"/>
          <w:lang w:val="en-US" w:eastAsia="zh-CN"/>
          <w14:textFill>
            <w14:solidFill>
              <w14:schemeClr w14:val="tx1"/>
            </w14:solidFill>
          </w14:textFill>
        </w:rPr>
        <w:t>和</w:t>
      </w:r>
      <w:r>
        <w:rPr>
          <w:rFonts w:hint="eastAsia" w:ascii="宋体" w:hAnsi="宋体" w:eastAsia="宋体"/>
          <w:color w:val="000000" w:themeColor="text1"/>
          <w:highlight w:val="none"/>
          <w14:textFill>
            <w14:solidFill>
              <w14:schemeClr w14:val="tx1"/>
            </w14:solidFill>
          </w14:textFill>
        </w:rPr>
        <w:t>修改</w:t>
      </w:r>
    </w:p>
    <w:p w14:paraId="2D7F952A">
      <w:pPr>
        <w:overflowPunct/>
        <w:autoSpaceDE w:val="0"/>
        <w:autoSpaceDN w:val="0"/>
        <w:bidi w:val="0"/>
        <w:adjustRightInd w:val="0"/>
        <w:spacing w:line="400" w:lineRule="exact"/>
        <w:ind w:firstLine="420"/>
        <w:jc w:val="left"/>
        <w:outlineLvl w:val="9"/>
        <w:rPr>
          <w:rFonts w:hint="eastAsia" w:ascii="宋体" w:hAnsi="宋体" w:eastAsia="宋体" w:cs="宋体"/>
          <w:bCs/>
          <w:color w:val="000000" w:themeColor="text1"/>
          <w:szCs w:val="18"/>
          <w:highlight w:val="none"/>
          <w:lang w:val="zh-CN"/>
          <w14:textFill>
            <w14:solidFill>
              <w14:schemeClr w14:val="tx1"/>
            </w14:solidFill>
          </w14:textFill>
        </w:rPr>
      </w:pPr>
      <w:bookmarkStart w:id="28" w:name="_Toc184635073"/>
      <w:r>
        <w:rPr>
          <w:rFonts w:hint="eastAsia" w:ascii="宋体" w:hAnsi="宋体" w:eastAsia="宋体" w:cs="宋体"/>
          <w:bCs/>
          <w:color w:val="000000" w:themeColor="text1"/>
          <w:szCs w:val="18"/>
          <w:highlight w:val="none"/>
          <w:lang w:val="en-US" w:eastAsia="zh-CN"/>
          <w14:textFill>
            <w14:solidFill>
              <w14:schemeClr w14:val="tx1"/>
            </w14:solidFill>
          </w14:textFill>
        </w:rPr>
        <w:t>2.2.1</w:t>
      </w:r>
      <w:r>
        <w:rPr>
          <w:rFonts w:hint="eastAsia" w:ascii="宋体" w:hAnsi="宋体" w:eastAsia="宋体" w:cs="宋体"/>
          <w:bCs/>
          <w:color w:val="000000" w:themeColor="text1"/>
          <w:szCs w:val="18"/>
          <w:highlight w:val="none"/>
          <w:lang w:val="zh-CN"/>
          <w14:textFill>
            <w14:solidFill>
              <w14:schemeClr w14:val="tx1"/>
            </w14:solidFill>
          </w14:textFill>
        </w:rPr>
        <w:t>任何要求对招标文件进行澄清的</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，采购人可在投标截止时间5日前（含）对</w:t>
      </w:r>
      <w:r>
        <w:rPr>
          <w:rFonts w:hint="eastAsia" w:ascii="宋体" w:hAnsi="宋体" w:eastAsia="宋体" w:cs="宋体"/>
          <w:bCs/>
          <w:color w:val="000000" w:themeColor="text1"/>
          <w:szCs w:val="18"/>
          <w:highlight w:val="none"/>
          <w:lang w:val="en-US" w:eastAsia="zh-CN"/>
          <w14:textFill>
            <w14:solidFill>
              <w14:schemeClr w14:val="tx1"/>
            </w14:solidFill>
          </w14:textFill>
        </w:rPr>
        <w:t>磋商</w:t>
      </w:r>
      <w:r>
        <w:rPr>
          <w:rFonts w:hint="eastAsia" w:ascii="宋体" w:hAnsi="宋体" w:eastAsia="宋体" w:cs="宋体"/>
          <w:bCs/>
          <w:color w:val="000000" w:themeColor="text1"/>
          <w:szCs w:val="18"/>
          <w:highlight w:val="none"/>
          <w:lang w:val="zh-CN"/>
          <w14:textFill>
            <w14:solidFill>
              <w14:schemeClr w14:val="tx1"/>
            </w14:solidFill>
          </w14:textFill>
        </w:rPr>
        <w:t>文件进行澄清、修改、补充。</w:t>
      </w:r>
      <w:r>
        <w:rPr>
          <w:rFonts w:hint="eastAsia" w:ascii="宋体" w:hAnsi="宋体" w:eastAsia="宋体" w:cs="宋体"/>
          <w:bCs/>
          <w:color w:val="000000" w:themeColor="text1"/>
          <w:szCs w:val="18"/>
          <w:highlight w:val="none"/>
          <w:lang w:val="en-US" w:eastAsia="zh-CN"/>
          <w14:textFill>
            <w14:solidFill>
              <w14:schemeClr w14:val="tx1"/>
            </w14:solidFill>
          </w14:textFill>
        </w:rPr>
        <w:t>磋商</w:t>
      </w:r>
      <w:r>
        <w:rPr>
          <w:rFonts w:hint="eastAsia" w:ascii="宋体" w:hAnsi="宋体" w:eastAsia="宋体" w:cs="宋体"/>
          <w:bCs/>
          <w:color w:val="000000" w:themeColor="text1"/>
          <w:szCs w:val="18"/>
          <w:highlight w:val="none"/>
          <w:lang w:val="zh-CN"/>
          <w14:textFill>
            <w14:solidFill>
              <w14:schemeClr w14:val="tx1"/>
            </w14:solidFill>
          </w14:textFill>
        </w:rPr>
        <w:t>文件的澄清、修改、补充文件将在“政采云”平台(http：//www.zcygov.cn)向潜在</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发出。</w:t>
      </w:r>
    </w:p>
    <w:p w14:paraId="66E5BAFF">
      <w:pPr>
        <w:overflowPunct/>
        <w:autoSpaceDE w:val="0"/>
        <w:autoSpaceDN w:val="0"/>
        <w:bidi w:val="0"/>
        <w:adjustRightInd w:val="0"/>
        <w:spacing w:line="400" w:lineRule="exact"/>
        <w:ind w:firstLine="420"/>
        <w:jc w:val="left"/>
        <w:outlineLvl w:val="9"/>
        <w:rPr>
          <w:rFonts w:hint="eastAsia" w:ascii="宋体" w:hAnsi="宋体" w:eastAsia="宋体" w:cs="宋体"/>
          <w:bCs/>
          <w:color w:val="000000" w:themeColor="text1"/>
          <w:szCs w:val="18"/>
          <w:highlight w:val="none"/>
          <w:lang w:val="zh-CN"/>
          <w14:textFill>
            <w14:solidFill>
              <w14:schemeClr w14:val="tx1"/>
            </w14:solidFill>
          </w14:textFill>
        </w:rPr>
      </w:pPr>
      <w:r>
        <w:rPr>
          <w:rFonts w:hint="eastAsia" w:ascii="宋体" w:hAnsi="宋体" w:eastAsia="宋体" w:cs="宋体"/>
          <w:bCs/>
          <w:color w:val="000000" w:themeColor="text1"/>
          <w:szCs w:val="18"/>
          <w:highlight w:val="none"/>
          <w:lang w:val="en-US" w:eastAsia="zh-CN"/>
          <w14:textFill>
            <w14:solidFill>
              <w14:schemeClr w14:val="tx1"/>
            </w14:solidFill>
          </w14:textFill>
        </w:rPr>
        <w:t>2.2.2</w:t>
      </w:r>
      <w:r>
        <w:rPr>
          <w:rFonts w:hint="eastAsia" w:ascii="宋体" w:hAnsi="宋体" w:eastAsia="宋体" w:cs="宋体"/>
          <w:bCs/>
          <w:color w:val="000000" w:themeColor="text1"/>
          <w:szCs w:val="18"/>
          <w:highlight w:val="none"/>
          <w:lang w:val="zh-CN"/>
          <w14:textFill>
            <w14:solidFill>
              <w14:schemeClr w14:val="tx1"/>
            </w14:solidFill>
          </w14:textFill>
        </w:rPr>
        <w:t xml:space="preserve"> 对</w:t>
      </w:r>
      <w:r>
        <w:rPr>
          <w:rFonts w:hint="eastAsia" w:ascii="宋体" w:hAnsi="宋体" w:eastAsia="宋体" w:cs="宋体"/>
          <w:bCs/>
          <w:color w:val="000000" w:themeColor="text1"/>
          <w:szCs w:val="18"/>
          <w:highlight w:val="none"/>
          <w:lang w:val="en-US" w:eastAsia="zh-CN"/>
          <w14:textFill>
            <w14:solidFill>
              <w14:schemeClr w14:val="tx1"/>
            </w14:solidFill>
          </w14:textFill>
        </w:rPr>
        <w:t>磋商</w:t>
      </w:r>
      <w:r>
        <w:rPr>
          <w:rFonts w:hint="eastAsia" w:ascii="宋体" w:hAnsi="宋体" w:eastAsia="宋体" w:cs="宋体"/>
          <w:bCs/>
          <w:color w:val="000000" w:themeColor="text1"/>
          <w:szCs w:val="18"/>
          <w:highlight w:val="none"/>
          <w:lang w:val="zh-CN"/>
          <w14:textFill>
            <w14:solidFill>
              <w14:schemeClr w14:val="tx1"/>
            </w14:solidFill>
          </w14:textFill>
        </w:rPr>
        <w:t>文件内容进行质疑的</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均应在《中华人民共和国政府采购法》、《中华人民共和国政府采购法实施条例》规定时间内在“政采云”平台(http：//www.zcygov.cn)提交给采购代理机构，超过规定期限提出的招标文件质疑将不予受理。采购代理机构对收到的质疑要求视所提问题的具体情况在“政采云”平台(http：//www.zcygov.cn)予以答复、发出。答复中可以包括所提的问题，但不包括问题的来源。</w:t>
      </w:r>
    </w:p>
    <w:p w14:paraId="19C564EE">
      <w:pPr>
        <w:overflowPunct/>
        <w:autoSpaceDE w:val="0"/>
        <w:autoSpaceDN w:val="0"/>
        <w:bidi w:val="0"/>
        <w:adjustRightInd w:val="0"/>
        <w:spacing w:line="400" w:lineRule="exact"/>
        <w:ind w:firstLine="420"/>
        <w:jc w:val="left"/>
        <w:outlineLvl w:val="9"/>
        <w:rPr>
          <w:rFonts w:hint="eastAsia" w:ascii="宋体" w:hAnsi="宋体" w:eastAsia="宋体" w:cs="宋体"/>
          <w:bCs/>
          <w:color w:val="000000" w:themeColor="text1"/>
          <w:szCs w:val="18"/>
          <w:highlight w:val="none"/>
          <w:lang w:val="zh-CN"/>
          <w14:textFill>
            <w14:solidFill>
              <w14:schemeClr w14:val="tx1"/>
            </w14:solidFill>
          </w14:textFill>
        </w:rPr>
      </w:pPr>
      <w:r>
        <w:rPr>
          <w:rFonts w:hint="eastAsia" w:ascii="宋体" w:hAnsi="宋体" w:eastAsia="宋体" w:cs="宋体"/>
          <w:bCs/>
          <w:color w:val="000000" w:themeColor="text1"/>
          <w:szCs w:val="18"/>
          <w:highlight w:val="none"/>
          <w:lang w:val="en-US" w:eastAsia="zh-CN"/>
          <w14:textFill>
            <w14:solidFill>
              <w14:schemeClr w14:val="tx1"/>
            </w14:solidFill>
          </w14:textFill>
        </w:rPr>
        <w:t>2.2.3</w:t>
      </w:r>
      <w:r>
        <w:rPr>
          <w:rFonts w:hint="eastAsia" w:ascii="宋体" w:hAnsi="宋体" w:eastAsia="宋体" w:cs="宋体"/>
          <w:bCs/>
          <w:color w:val="000000" w:themeColor="text1"/>
          <w:szCs w:val="18"/>
          <w:highlight w:val="none"/>
          <w:lang w:val="zh-CN"/>
          <w14:textFill>
            <w14:solidFill>
              <w14:schemeClr w14:val="tx1"/>
            </w14:solidFill>
          </w14:textFill>
        </w:rPr>
        <w:t xml:space="preserve"> </w:t>
      </w:r>
      <w:r>
        <w:rPr>
          <w:rFonts w:hint="eastAsia" w:ascii="宋体" w:hAnsi="宋体" w:eastAsia="宋体" w:cs="宋体"/>
          <w:bCs/>
          <w:color w:val="000000" w:themeColor="text1"/>
          <w:szCs w:val="18"/>
          <w:highlight w:val="none"/>
          <w:lang w:val="en-US" w:eastAsia="zh-CN"/>
          <w14:textFill>
            <w14:solidFill>
              <w14:schemeClr w14:val="tx1"/>
            </w14:solidFill>
          </w14:textFill>
        </w:rPr>
        <w:t>磋商</w:t>
      </w:r>
      <w:r>
        <w:rPr>
          <w:rFonts w:hint="eastAsia" w:ascii="宋体" w:hAnsi="宋体" w:eastAsia="宋体" w:cs="宋体"/>
          <w:bCs/>
          <w:color w:val="000000" w:themeColor="text1"/>
          <w:szCs w:val="18"/>
          <w:highlight w:val="none"/>
          <w:lang w:val="zh-CN"/>
          <w14:textFill>
            <w14:solidFill>
              <w14:schemeClr w14:val="tx1"/>
            </w14:solidFill>
          </w14:textFill>
        </w:rPr>
        <w:t>文件的澄清、修改、补充文件均构成招标文件的组成部分，对所有</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具有约束力，而无论其是否已经实际收到该澄清、修改、补充文件（包括答疑会纪要）。</w:t>
      </w:r>
    </w:p>
    <w:p w14:paraId="51B1EEB4">
      <w:pPr>
        <w:overflowPunct/>
        <w:autoSpaceDE w:val="0"/>
        <w:autoSpaceDN w:val="0"/>
        <w:bidi w:val="0"/>
        <w:adjustRightInd w:val="0"/>
        <w:spacing w:line="400" w:lineRule="exact"/>
        <w:ind w:firstLine="420"/>
        <w:jc w:val="left"/>
        <w:outlineLvl w:val="9"/>
        <w:rPr>
          <w:rFonts w:hint="eastAsia" w:ascii="宋体" w:hAnsi="宋体" w:eastAsia="宋体" w:cs="宋体"/>
          <w:bCs/>
          <w:color w:val="000000" w:themeColor="text1"/>
          <w:szCs w:val="18"/>
          <w:highlight w:val="none"/>
          <w:lang w:val="zh-CN"/>
          <w14:textFill>
            <w14:solidFill>
              <w14:schemeClr w14:val="tx1"/>
            </w14:solidFill>
          </w14:textFill>
        </w:rPr>
      </w:pPr>
      <w:r>
        <w:rPr>
          <w:rFonts w:hint="eastAsia" w:ascii="宋体" w:hAnsi="宋体" w:eastAsia="宋体" w:cs="宋体"/>
          <w:bCs/>
          <w:color w:val="000000" w:themeColor="text1"/>
          <w:szCs w:val="18"/>
          <w:highlight w:val="none"/>
          <w:lang w:val="en-US" w:eastAsia="zh-CN"/>
          <w14:textFill>
            <w14:solidFill>
              <w14:schemeClr w14:val="tx1"/>
            </w14:solidFill>
          </w14:textFill>
        </w:rPr>
        <w:t>2.2.4</w:t>
      </w:r>
      <w:r>
        <w:rPr>
          <w:rFonts w:hint="eastAsia" w:ascii="宋体" w:hAnsi="宋体" w:eastAsia="宋体" w:cs="宋体"/>
          <w:bCs/>
          <w:color w:val="000000" w:themeColor="text1"/>
          <w:szCs w:val="18"/>
          <w:highlight w:val="none"/>
          <w:lang w:val="zh-CN"/>
          <w14:textFill>
            <w14:solidFill>
              <w14:schemeClr w14:val="tx1"/>
            </w14:solidFill>
          </w14:textFill>
        </w:rPr>
        <w:t>为使</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有充分的时间对</w:t>
      </w:r>
      <w:r>
        <w:rPr>
          <w:rFonts w:hint="eastAsia" w:ascii="宋体" w:hAnsi="宋体" w:eastAsia="宋体" w:cs="宋体"/>
          <w:bCs/>
          <w:color w:val="000000" w:themeColor="text1"/>
          <w:szCs w:val="18"/>
          <w:highlight w:val="none"/>
          <w:lang w:val="en-US" w:eastAsia="zh-CN"/>
          <w14:textFill>
            <w14:solidFill>
              <w14:schemeClr w14:val="tx1"/>
            </w14:solidFill>
          </w14:textFill>
        </w:rPr>
        <w:t>磋商</w:t>
      </w:r>
      <w:r>
        <w:rPr>
          <w:rFonts w:hint="eastAsia" w:ascii="宋体" w:hAnsi="宋体" w:eastAsia="宋体" w:cs="宋体"/>
          <w:bCs/>
          <w:color w:val="000000" w:themeColor="text1"/>
          <w:szCs w:val="18"/>
          <w:highlight w:val="none"/>
          <w:lang w:val="zh-CN"/>
          <w14:textFill>
            <w14:solidFill>
              <w14:schemeClr w14:val="tx1"/>
            </w14:solidFill>
          </w14:textFill>
        </w:rPr>
        <w:t>文件的澄清、修改、补充部分进行研究，采购人可在投标截止时间前 3日自行决定酌情延长投标截止时间，延长投标截止时间的公告将在“政采云”平台(http：//www.zcygov.cn)向所有潜在</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发出。在这种情况下，采购代理机构和</w:t>
      </w:r>
      <w:r>
        <w:rPr>
          <w:rFonts w:hint="eastAsia" w:ascii="宋体" w:hAnsi="宋体" w:cs="宋体"/>
          <w:bCs/>
          <w:color w:val="000000" w:themeColor="text1"/>
          <w:szCs w:val="18"/>
          <w:highlight w:val="none"/>
          <w:lang w:val="zh-CN"/>
          <w14:textFill>
            <w14:solidFill>
              <w14:schemeClr w14:val="tx1"/>
            </w14:solidFill>
          </w14:textFill>
        </w:rPr>
        <w:t>供应商</w:t>
      </w:r>
      <w:r>
        <w:rPr>
          <w:rFonts w:hint="eastAsia" w:ascii="宋体" w:hAnsi="宋体" w:eastAsia="宋体" w:cs="宋体"/>
          <w:bCs/>
          <w:color w:val="000000" w:themeColor="text1"/>
          <w:szCs w:val="18"/>
          <w:highlight w:val="none"/>
          <w:lang w:val="zh-CN"/>
          <w14:textFill>
            <w14:solidFill>
              <w14:schemeClr w14:val="tx1"/>
            </w14:solidFill>
          </w14:textFill>
        </w:rPr>
        <w:t>受投标截止时间制约的所有权利和义务均相应延长至新的投标截止时间。</w:t>
      </w:r>
    </w:p>
    <w:p w14:paraId="67909EC4">
      <w:pPr>
        <w:overflowPunct/>
        <w:bidi w:val="0"/>
        <w:outlineLvl w:val="9"/>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3．响应文件</w:t>
      </w:r>
      <w:bookmarkEnd w:id="28"/>
    </w:p>
    <w:p w14:paraId="722DEEB1">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3.1 响应文件的组成</w:t>
      </w:r>
    </w:p>
    <w:p w14:paraId="73E438C0">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3.1.1</w:t>
      </w:r>
      <w:r>
        <w:rPr>
          <w:rFonts w:hint="eastAsia" w:ascii="宋体" w:hAnsi="宋体"/>
          <w:color w:val="000000" w:themeColor="text1"/>
          <w:szCs w:val="21"/>
          <w:highlight w:val="none"/>
          <w14:textFill>
            <w14:solidFill>
              <w14:schemeClr w14:val="tx1"/>
            </w14:solidFill>
          </w14:textFill>
        </w:rPr>
        <w:t xml:space="preserve"> 响应文件应包括下列内容</w:t>
      </w:r>
      <w:r>
        <w:rPr>
          <w:rFonts w:ascii="宋体" w:hAnsi="宋体"/>
          <w:color w:val="000000" w:themeColor="text1"/>
          <w:szCs w:val="21"/>
          <w:highlight w:val="none"/>
          <w14:textFill>
            <w14:solidFill>
              <w14:schemeClr w14:val="tx1"/>
            </w14:solidFill>
          </w14:textFill>
        </w:rPr>
        <w:t>：</w:t>
      </w:r>
    </w:p>
    <w:p w14:paraId="40F2F60E">
      <w:pPr>
        <w:overflowPunct/>
        <w:bidi w:val="0"/>
        <w:spacing w:line="360" w:lineRule="auto"/>
        <w:ind w:right="105" w:rightChars="50" w:firstLine="420" w:firstLineChars="200"/>
        <w:outlineLvl w:val="9"/>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一、</w:t>
      </w:r>
      <w:r>
        <w:rPr>
          <w:rFonts w:hint="eastAsia" w:ascii="宋体" w:hAnsi="宋体" w:cs="宋体"/>
          <w:color w:val="000000" w:themeColor="text1"/>
          <w:szCs w:val="21"/>
          <w:highlight w:val="none"/>
          <w14:textFill>
            <w14:solidFill>
              <w14:schemeClr w14:val="tx1"/>
            </w14:solidFill>
          </w14:textFill>
        </w:rPr>
        <w:t>磋商函</w:t>
      </w:r>
    </w:p>
    <w:p w14:paraId="597881FA">
      <w:pPr>
        <w:overflowPunct/>
        <w:bidi w:val="0"/>
        <w:spacing w:line="360" w:lineRule="auto"/>
        <w:ind w:right="105" w:rightChars="50" w:firstLine="420" w:firstLineChars="200"/>
        <w:outlineLvl w:val="9"/>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二、</w:t>
      </w:r>
      <w:r>
        <w:rPr>
          <w:rFonts w:hint="eastAsia" w:ascii="宋体" w:hAnsi="宋体" w:cs="宋体"/>
          <w:color w:val="000000" w:themeColor="text1"/>
          <w:szCs w:val="21"/>
          <w:highlight w:val="none"/>
          <w14:textFill>
            <w14:solidFill>
              <w14:schemeClr w14:val="tx1"/>
            </w14:solidFill>
          </w14:textFill>
        </w:rPr>
        <w:t>法定代表人资格证明</w:t>
      </w:r>
    </w:p>
    <w:p w14:paraId="7147F12B">
      <w:pPr>
        <w:overflowPunct/>
        <w:bidi w:val="0"/>
        <w:spacing w:line="360" w:lineRule="auto"/>
        <w:ind w:right="105" w:rightChars="50" w:firstLine="420" w:firstLineChars="200"/>
        <w:outlineLvl w:val="9"/>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三、授权委托书</w:t>
      </w:r>
    </w:p>
    <w:p w14:paraId="548B9215">
      <w:pPr>
        <w:overflowPunct/>
        <w:bidi w:val="0"/>
        <w:spacing w:line="360" w:lineRule="auto"/>
        <w:ind w:right="105" w:rightChars="50" w:firstLine="420" w:firstLineChars="200"/>
        <w:outlineLvl w:val="9"/>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四、</w:t>
      </w:r>
      <w:r>
        <w:rPr>
          <w:rFonts w:hint="eastAsia" w:ascii="宋体" w:hAnsi="宋体" w:cs="宋体"/>
          <w:color w:val="000000" w:themeColor="text1"/>
          <w:szCs w:val="21"/>
          <w:highlight w:val="none"/>
          <w14:textFill>
            <w14:solidFill>
              <w14:schemeClr w14:val="tx1"/>
            </w14:solidFill>
          </w14:textFill>
        </w:rPr>
        <w:t>报价</w:t>
      </w:r>
      <w:r>
        <w:rPr>
          <w:rFonts w:ascii="宋体" w:hAnsi="宋体" w:cs="宋体"/>
          <w:color w:val="000000" w:themeColor="text1"/>
          <w:szCs w:val="21"/>
          <w:highlight w:val="none"/>
          <w14:textFill>
            <w14:solidFill>
              <w14:schemeClr w14:val="tx1"/>
            </w14:solidFill>
          </w14:textFill>
        </w:rPr>
        <w:t>一览表</w:t>
      </w:r>
    </w:p>
    <w:p w14:paraId="488A4579">
      <w:pPr>
        <w:overflowPunct/>
        <w:bidi w:val="0"/>
        <w:spacing w:line="360" w:lineRule="auto"/>
        <w:ind w:right="105" w:rightChars="50" w:firstLine="420" w:firstLineChars="200"/>
        <w:outlineLvl w:val="9"/>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五、报价</w:t>
      </w:r>
      <w:r>
        <w:rPr>
          <w:rFonts w:hint="eastAsia" w:ascii="宋体" w:hAnsi="宋体" w:cs="宋体"/>
          <w:color w:val="000000" w:themeColor="text1"/>
          <w:szCs w:val="21"/>
          <w:highlight w:val="none"/>
          <w14:textFill>
            <w14:solidFill>
              <w14:schemeClr w14:val="tx1"/>
            </w14:solidFill>
          </w14:textFill>
        </w:rPr>
        <w:t>明细</w:t>
      </w:r>
    </w:p>
    <w:p w14:paraId="47756F27">
      <w:pPr>
        <w:overflowPunct/>
        <w:bidi w:val="0"/>
        <w:spacing w:line="360" w:lineRule="auto"/>
        <w:ind w:right="105" w:rightChars="50" w:firstLine="420" w:firstLineChars="200"/>
        <w:outlineLvl w:val="9"/>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六、投标保证金</w:t>
      </w:r>
    </w:p>
    <w:p w14:paraId="3367D153">
      <w:pPr>
        <w:overflowPunct/>
        <w:bidi w:val="0"/>
        <w:spacing w:line="360" w:lineRule="auto"/>
        <w:ind w:right="105" w:rightChars="50" w:firstLine="420" w:firstLineChars="200"/>
        <w:outlineLvl w:val="9"/>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七、资格审查资料</w:t>
      </w:r>
    </w:p>
    <w:p w14:paraId="2490C93A">
      <w:pPr>
        <w:overflowPunct/>
        <w:bidi w:val="0"/>
        <w:spacing w:line="360" w:lineRule="auto"/>
        <w:ind w:right="105" w:rightChars="50" w:firstLine="420" w:firstLineChars="200"/>
        <w:outlineLvl w:val="9"/>
        <w:rPr>
          <w:rFonts w:hint="eastAsia" w:ascii="宋体" w:hAnsi="宋体" w:eastAsia="宋体" w:cs="宋体"/>
          <w:color w:val="000000" w:themeColor="text1"/>
          <w:szCs w:val="21"/>
          <w:highlight w:val="none"/>
          <w:lang w:eastAsia="zh-CN"/>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八、</w:t>
      </w:r>
      <w:r>
        <w:rPr>
          <w:rFonts w:hint="eastAsia" w:ascii="宋体" w:hAnsi="宋体" w:cs="宋体"/>
          <w:color w:val="000000" w:themeColor="text1"/>
          <w:szCs w:val="21"/>
          <w:highlight w:val="none"/>
          <w:lang w:eastAsia="zh-CN"/>
          <w14:textFill>
            <w14:solidFill>
              <w14:schemeClr w14:val="tx1"/>
            </w14:solidFill>
          </w14:textFill>
        </w:rPr>
        <w:t>技术部分</w:t>
      </w:r>
    </w:p>
    <w:p w14:paraId="0CEE4D9E">
      <w:pPr>
        <w:overflowPunct/>
        <w:bidi w:val="0"/>
        <w:spacing w:line="360" w:lineRule="auto"/>
        <w:ind w:right="105" w:rightChars="50" w:firstLine="420" w:firstLineChars="200"/>
        <w:outlineLvl w:val="9"/>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九、</w:t>
      </w:r>
      <w:r>
        <w:rPr>
          <w:rFonts w:ascii="宋体" w:hAnsi="宋体" w:cs="宋体"/>
          <w:color w:val="000000" w:themeColor="text1"/>
          <w:szCs w:val="21"/>
          <w:highlight w:val="none"/>
          <w14:textFill>
            <w14:solidFill>
              <w14:schemeClr w14:val="tx1"/>
            </w14:solidFill>
          </w14:textFill>
        </w:rPr>
        <w:t>其他资料</w:t>
      </w:r>
    </w:p>
    <w:p w14:paraId="03E990C0">
      <w:pPr>
        <w:overflowPunct/>
        <w:autoSpaceDE w:val="0"/>
        <w:autoSpaceDN w:val="0"/>
        <w:bidi w:val="0"/>
        <w:adjustRightInd w:val="0"/>
        <w:spacing w:line="400" w:lineRule="exact"/>
        <w:jc w:val="left"/>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3.1.2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须知前附表规定不接受联合体投标的，或</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没有组成联合体的，响应文件不包括本章第3.1.1 （3）所指的联合体协议书。</w:t>
      </w:r>
    </w:p>
    <w:p w14:paraId="72A4BD51">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3.2 磋商报价</w:t>
      </w:r>
    </w:p>
    <w:p w14:paraId="6C2AD461">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应按采购人提供的“采购需求”的要求填写</w:t>
      </w:r>
      <w:r>
        <w:rPr>
          <w:rFonts w:hint="eastAsia" w:ascii="宋体" w:hAnsi="宋体"/>
          <w:color w:val="000000" w:themeColor="text1"/>
          <w:szCs w:val="21"/>
          <w:highlight w:val="none"/>
          <w:lang w:val="en-US" w:eastAsia="zh-CN"/>
          <w14:textFill>
            <w14:solidFill>
              <w14:schemeClr w14:val="tx1"/>
            </w14:solidFill>
          </w14:textFill>
        </w:rPr>
        <w:t>报价</w:t>
      </w:r>
      <w:r>
        <w:rPr>
          <w:rFonts w:hint="eastAsia" w:ascii="宋体" w:hAnsi="宋体"/>
          <w:color w:val="000000" w:themeColor="text1"/>
          <w:szCs w:val="21"/>
          <w:highlight w:val="none"/>
          <w14:textFill>
            <w14:solidFill>
              <w14:schemeClr w14:val="tx1"/>
            </w14:solidFill>
          </w14:textFill>
        </w:rPr>
        <w:t>。</w:t>
      </w:r>
    </w:p>
    <w:p w14:paraId="389A5081">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磋商报价总额为各分项金额之和。</w:t>
      </w:r>
    </w:p>
    <w:p w14:paraId="3976A1E0">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.3 采购人设有采购预算的，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的磋商报价不得超过采购预算。</w:t>
      </w:r>
    </w:p>
    <w:p w14:paraId="6A7EA16D">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.4 磋商报价为</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在响应文件中提出的各项报价的总和。</w:t>
      </w:r>
    </w:p>
    <w:p w14:paraId="73909CC7">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 xml:space="preserve">.5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的磋商报价，应是完成本须知和竞争性磋商中所列采购需求的全部，作为</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计算单价或总价的依据。</w:t>
      </w:r>
    </w:p>
    <w:p w14:paraId="0A1E0588">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.6</w:t>
      </w:r>
      <w:r>
        <w:rPr>
          <w:rFonts w:ascii="宋体" w:hAnsi="宋体"/>
          <w:color w:val="000000" w:themeColor="text1"/>
          <w:szCs w:val="21"/>
          <w:highlight w:val="none"/>
          <w14:textFill>
            <w14:solidFill>
              <w14:schemeClr w14:val="tx1"/>
            </w14:solidFill>
          </w14:textFill>
        </w:rPr>
        <w:t>最低报价不能作为</w:t>
      </w:r>
      <w:r>
        <w:rPr>
          <w:rFonts w:hint="eastAsia" w:ascii="宋体" w:hAnsi="宋体"/>
          <w:color w:val="000000" w:themeColor="text1"/>
          <w:szCs w:val="21"/>
          <w:highlight w:val="none"/>
          <w14:textFill>
            <w14:solidFill>
              <w14:schemeClr w14:val="tx1"/>
            </w14:solidFill>
          </w14:textFill>
        </w:rPr>
        <w:t>成交</w:t>
      </w:r>
      <w:r>
        <w:rPr>
          <w:rFonts w:ascii="宋体" w:hAnsi="宋体"/>
          <w:color w:val="000000" w:themeColor="text1"/>
          <w:szCs w:val="21"/>
          <w:highlight w:val="none"/>
          <w14:textFill>
            <w14:solidFill>
              <w14:schemeClr w14:val="tx1"/>
            </w14:solidFill>
          </w14:textFill>
        </w:rPr>
        <w:t>的唯一依据</w:t>
      </w:r>
      <w:r>
        <w:rPr>
          <w:rFonts w:hint="eastAsia" w:ascii="宋体" w:hAnsi="宋体"/>
          <w:color w:val="000000" w:themeColor="text1"/>
          <w:szCs w:val="21"/>
          <w:highlight w:val="none"/>
          <w14:textFill>
            <w14:solidFill>
              <w14:schemeClr w14:val="tx1"/>
            </w14:solidFill>
          </w14:textFill>
        </w:rPr>
        <w:t>。</w:t>
      </w:r>
    </w:p>
    <w:p w14:paraId="01615A94">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.7本项目采用两轮报价（第二轮报价即最后报价）。</w:t>
      </w:r>
    </w:p>
    <w:p w14:paraId="14E7FD4E">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3.3 响应有效期</w:t>
      </w:r>
    </w:p>
    <w:p w14:paraId="54E58A9A">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3.3.1 在</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须知前附表规定的响应有效期内，</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不得要求撤销或修改其响应文件。</w:t>
      </w:r>
    </w:p>
    <w:p w14:paraId="4E27A7F6">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3.3.2 出现特殊情况需要延长响应有效期的，采购人以书面形式通知所有</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延长响应有效期。</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同意延长的，应相应延长其磋商保证金的有效期，但不得要求或被允许修改或撤销其响应文件；</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拒绝延长的，其投标失效，但</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有权收回其磋商保证金。</w:t>
      </w:r>
    </w:p>
    <w:p w14:paraId="7CCCF876">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3.4 磋商保证金</w:t>
      </w:r>
    </w:p>
    <w:p w14:paraId="407E2ECE">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3.4.1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在递交响应文件的同时，应按</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须知前附表规定的金额、担保形式和第八章“响应文件格式”规定的磋商保证金格式递交磋商保证金，并作为其响应文件的组成部分。联合体投标的，其磋商保证金由牵头人递交，并应符合</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须知前附表的规定。</w:t>
      </w:r>
    </w:p>
    <w:p w14:paraId="50EDAE0E">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3.4.2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不按本章第3.4.1 项要求提交磋商保证金的，其响应文件作废标处理</w:t>
      </w:r>
      <w:r>
        <w:rPr>
          <w:rFonts w:hint="eastAsia" w:ascii="宋体" w:hAnsi="宋体"/>
          <w:color w:val="000000" w:themeColor="text1"/>
          <w:szCs w:val="21"/>
          <w:highlight w:val="none"/>
          <w:lang w:val="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本项目不收取磋商保证金</w:t>
      </w:r>
      <w:r>
        <w:rPr>
          <w:rFonts w:hint="eastAsia" w:ascii="宋体" w:hAnsi="宋体"/>
          <w:color w:val="000000" w:themeColor="text1"/>
          <w:szCs w:val="21"/>
          <w:highlight w:val="none"/>
          <w:lang w:val="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p>
    <w:p w14:paraId="19CF67EE">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3.4.3未</w:t>
      </w:r>
      <w:r>
        <w:rPr>
          <w:rFonts w:hint="eastAsia" w:ascii="宋体" w:hAnsi="宋体"/>
          <w:color w:val="000000" w:themeColor="text1"/>
          <w:szCs w:val="21"/>
          <w:highlight w:val="none"/>
          <w:lang w:eastAsia="zh-CN"/>
          <w14:textFill>
            <w14:solidFill>
              <w14:schemeClr w14:val="tx1"/>
            </w14:solidFill>
          </w14:textFill>
        </w:rPr>
        <w:t>成交人</w:t>
      </w:r>
      <w:r>
        <w:rPr>
          <w:rFonts w:hint="eastAsia" w:ascii="宋体" w:hAnsi="宋体"/>
          <w:color w:val="000000" w:themeColor="text1"/>
          <w:szCs w:val="21"/>
          <w:highlight w:val="none"/>
          <w14:textFill>
            <w14:solidFill>
              <w14:schemeClr w14:val="tx1"/>
            </w14:solidFill>
          </w14:textFill>
        </w:rPr>
        <w:t>的磋商保证金应当在成交通知书发出后5个工作日内退还，</w:t>
      </w:r>
      <w:r>
        <w:rPr>
          <w:rFonts w:hint="eastAsia" w:ascii="宋体" w:hAnsi="宋体"/>
          <w:color w:val="000000" w:themeColor="text1"/>
          <w:szCs w:val="21"/>
          <w:highlight w:val="none"/>
          <w:lang w:eastAsia="zh-CN"/>
          <w14:textFill>
            <w14:solidFill>
              <w14:schemeClr w14:val="tx1"/>
            </w14:solidFill>
          </w14:textFill>
        </w:rPr>
        <w:t>成交人</w:t>
      </w:r>
      <w:r>
        <w:rPr>
          <w:rFonts w:hint="eastAsia" w:ascii="宋体" w:hAnsi="宋体"/>
          <w:color w:val="000000" w:themeColor="text1"/>
          <w:szCs w:val="21"/>
          <w:highlight w:val="none"/>
          <w14:textFill>
            <w14:solidFill>
              <w14:schemeClr w14:val="tx1"/>
            </w14:solidFill>
          </w14:textFill>
        </w:rPr>
        <w:t>的磋商保证金应当在项目合同签订后5个工作日内退还</w:t>
      </w:r>
      <w:r>
        <w:rPr>
          <w:rFonts w:hint="eastAsia" w:ascii="宋体" w:hAnsi="宋体"/>
          <w:color w:val="000000" w:themeColor="text1"/>
          <w:szCs w:val="21"/>
          <w:highlight w:val="none"/>
          <w:lang w:val="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本项目不收取磋商保证金</w:t>
      </w:r>
      <w:r>
        <w:rPr>
          <w:rFonts w:hint="eastAsia" w:ascii="宋体" w:hAnsi="宋体"/>
          <w:color w:val="000000" w:themeColor="text1"/>
          <w:szCs w:val="21"/>
          <w:highlight w:val="none"/>
          <w:lang w:val="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p>
    <w:p w14:paraId="7848FB00">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3.4.4 有下列情形之一的，磋商保证金将不予退还：</w:t>
      </w:r>
    </w:p>
    <w:p w14:paraId="731C7322">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在规定的响应有效期内撤销或修改其响应文件；</w:t>
      </w:r>
    </w:p>
    <w:p w14:paraId="57D05C23">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(2）成交单位在收到成交通知书后，无正当理由拒签合同协议书或未按磋商文件规定提交履约担保。</w:t>
      </w:r>
    </w:p>
    <w:p w14:paraId="712C6691">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在编制响应文件时，应按新情况更新或补充其在申请资格预审时提供的资料，以证实其各项资格条件仍能继续满足资格预审文件的要求，具备承担本标段施工的资质条件、能力和信誉。</w:t>
      </w:r>
    </w:p>
    <w:p w14:paraId="1F19EB8F">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w:t>
      </w:r>
      <w:r>
        <w:rPr>
          <w:rFonts w:hint="eastAsia" w:ascii="宋体" w:hAnsi="宋体" w:eastAsia="宋体"/>
          <w:color w:val="000000" w:themeColor="text1"/>
          <w:highlight w:val="none"/>
          <w:lang w:val="en-US" w:eastAsia="zh-CN"/>
          <w14:textFill>
            <w14:solidFill>
              <w14:schemeClr w14:val="tx1"/>
            </w14:solidFill>
          </w14:textFill>
        </w:rPr>
        <w:t>5</w:t>
      </w:r>
      <w:r>
        <w:rPr>
          <w:rFonts w:hint="eastAsia" w:ascii="宋体" w:hAnsi="宋体" w:eastAsia="宋体"/>
          <w:color w:val="000000" w:themeColor="text1"/>
          <w:highlight w:val="none"/>
          <w14:textFill>
            <w14:solidFill>
              <w14:schemeClr w14:val="tx1"/>
            </w14:solidFill>
          </w14:textFill>
        </w:rPr>
        <w:t xml:space="preserve"> 备选投标方案</w:t>
      </w:r>
    </w:p>
    <w:p w14:paraId="035E70DB">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除</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须知前附表另有规定外，</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不得递交备选投标方案。允许</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递交备选投标方案的，只有成交单位所递交的备选投标方案方可予以考虑。磋商小组认为成交单位的备选投标方案优于其按照磋商文件要求编制的投标方案的，采购人可以接受该备选投标方案。</w:t>
      </w:r>
    </w:p>
    <w:p w14:paraId="3B24CE5D">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w:t>
      </w:r>
      <w:r>
        <w:rPr>
          <w:rFonts w:hint="eastAsia" w:ascii="宋体" w:hAnsi="宋体" w:eastAsia="宋体"/>
          <w:color w:val="000000" w:themeColor="text1"/>
          <w:highlight w:val="none"/>
          <w:lang w:val="en-US" w:eastAsia="zh-CN"/>
          <w14:textFill>
            <w14:solidFill>
              <w14:schemeClr w14:val="tx1"/>
            </w14:solidFill>
          </w14:textFill>
        </w:rPr>
        <w:t>6</w:t>
      </w:r>
      <w:r>
        <w:rPr>
          <w:rFonts w:hint="eastAsia" w:ascii="宋体" w:hAnsi="宋体" w:eastAsia="宋体"/>
          <w:color w:val="000000" w:themeColor="text1"/>
          <w:highlight w:val="none"/>
          <w14:textFill>
            <w14:solidFill>
              <w14:schemeClr w14:val="tx1"/>
            </w14:solidFill>
          </w14:textFill>
        </w:rPr>
        <w:t xml:space="preserve"> 响应文件的编制</w:t>
      </w:r>
    </w:p>
    <w:p w14:paraId="0F214947">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响应文件应按第</w:t>
      </w:r>
      <w:r>
        <w:rPr>
          <w:rFonts w:hint="eastAsia" w:ascii="宋体" w:hAnsi="宋体"/>
          <w:color w:val="000000" w:themeColor="text1"/>
          <w:szCs w:val="21"/>
          <w:highlight w:val="none"/>
          <w:lang w:val="en-US" w:eastAsia="zh-CN"/>
          <w14:textFill>
            <w14:solidFill>
              <w14:schemeClr w14:val="tx1"/>
            </w14:solidFill>
          </w14:textFill>
        </w:rPr>
        <w:t>六</w:t>
      </w:r>
      <w:r>
        <w:rPr>
          <w:rFonts w:hint="eastAsia" w:ascii="宋体" w:hAnsi="宋体"/>
          <w:color w:val="000000" w:themeColor="text1"/>
          <w:szCs w:val="21"/>
          <w:highlight w:val="none"/>
          <w14:textFill>
            <w14:solidFill>
              <w14:schemeClr w14:val="tx1"/>
            </w14:solidFill>
          </w14:textFill>
        </w:rPr>
        <w:t>章“响应文件格式”进行编写，如有必要，可以增加附页，作为响应文件的组成部分。其中，磋商函附录在满足磋商文件实质性要求的基础上，可以提出比磋商文件要求更有利于采购人的承诺。</w:t>
      </w:r>
    </w:p>
    <w:p w14:paraId="757AEF3B">
      <w:pPr>
        <w:overflowPunct/>
        <w:bidi w:val="0"/>
        <w:spacing w:line="360" w:lineRule="auto"/>
        <w:ind w:firstLine="420" w:firstLineChars="200"/>
        <w:outlineLvl w:val="9"/>
        <w:rPr>
          <w:rFonts w:ascii="宋体" w:hAnsi="宋体"/>
          <w:bCs/>
          <w:color w:val="000000" w:themeColor="text1"/>
          <w:szCs w:val="21"/>
          <w:highlight w:val="none"/>
          <w:lang w:val="zh-CN"/>
          <w14:textFill>
            <w14:solidFill>
              <w14:schemeClr w14:val="tx1"/>
            </w14:solidFill>
          </w14:textFill>
        </w:rPr>
      </w:pPr>
      <w:r>
        <w:rPr>
          <w:rFonts w:ascii="宋体" w:hAnsi="宋体"/>
          <w:bCs/>
          <w:color w:val="000000" w:themeColor="text1"/>
          <w:szCs w:val="21"/>
          <w:highlight w:val="none"/>
          <w:lang w:val="zh-CN"/>
          <w14:textFill>
            <w14:solidFill>
              <w14:schemeClr w14:val="tx1"/>
            </w14:solidFill>
          </w14:textFill>
        </w:rPr>
        <w:t>3</w:t>
      </w:r>
      <w:r>
        <w:rPr>
          <w:rFonts w:hint="eastAsia" w:ascii="宋体" w:hAnsi="宋体"/>
          <w:bCs/>
          <w:color w:val="000000" w:themeColor="text1"/>
          <w:szCs w:val="21"/>
          <w:highlight w:val="none"/>
          <w:lang w:val="zh-CN"/>
          <w14:textFill>
            <w14:solidFill>
              <w14:schemeClr w14:val="tx1"/>
            </w14:solidFill>
          </w14:textFill>
        </w:rPr>
        <w:t>.</w:t>
      </w:r>
      <w:r>
        <w:rPr>
          <w:rFonts w:hint="eastAsia" w:ascii="宋体" w:hAnsi="宋体"/>
          <w:bCs/>
          <w:color w:val="000000" w:themeColor="text1"/>
          <w:szCs w:val="21"/>
          <w:highlight w:val="none"/>
          <w:lang w:val="en-US" w:eastAsia="zh-CN"/>
          <w14:textFill>
            <w14:solidFill>
              <w14:schemeClr w14:val="tx1"/>
            </w14:solidFill>
          </w14:textFill>
        </w:rPr>
        <w:t>6</w:t>
      </w:r>
      <w:r>
        <w:rPr>
          <w:rFonts w:hint="eastAsia" w:ascii="宋体" w:hAnsi="宋体"/>
          <w:bCs/>
          <w:color w:val="000000" w:themeColor="text1"/>
          <w:szCs w:val="21"/>
          <w:highlight w:val="none"/>
          <w:lang w:val="zh-CN"/>
          <w14:textFill>
            <w14:solidFill>
              <w14:schemeClr w14:val="tx1"/>
            </w14:solidFill>
          </w14:textFill>
        </w:rPr>
        <w:t>.</w:t>
      </w:r>
      <w:r>
        <w:rPr>
          <w:rFonts w:ascii="宋体" w:hAnsi="宋体"/>
          <w:bCs/>
          <w:color w:val="000000" w:themeColor="text1"/>
          <w:szCs w:val="21"/>
          <w:highlight w:val="none"/>
          <w:lang w:val="zh-CN"/>
          <w14:textFill>
            <w14:solidFill>
              <w14:schemeClr w14:val="tx1"/>
            </w14:solidFill>
          </w14:textFill>
        </w:rPr>
        <w:t>2</w:t>
      </w:r>
      <w:r>
        <w:rPr>
          <w:rFonts w:hint="eastAsia" w:ascii="宋体" w:hAnsi="宋体"/>
          <w:bCs/>
          <w:color w:val="000000" w:themeColor="text1"/>
          <w:szCs w:val="21"/>
          <w:highlight w:val="none"/>
          <w:lang w:val="zh-CN"/>
          <w14:textFill>
            <w14:solidFill>
              <w14:schemeClr w14:val="tx1"/>
            </w14:solidFill>
          </w14:textFill>
        </w:rPr>
        <w:t xml:space="preserve"> 响应文件应当对磋商文件有关工期、响应有效期、质量标准、技术标准和要求、</w:t>
      </w:r>
      <w:r>
        <w:rPr>
          <w:rFonts w:hint="eastAsia" w:ascii="宋体" w:hAnsi="宋体"/>
          <w:bCs/>
          <w:color w:val="000000" w:themeColor="text1"/>
          <w:szCs w:val="21"/>
          <w:highlight w:val="none"/>
          <w:lang w:val="en-US" w:eastAsia="zh-CN"/>
          <w14:textFill>
            <w14:solidFill>
              <w14:schemeClr w14:val="tx1"/>
            </w14:solidFill>
          </w14:textFill>
        </w:rPr>
        <w:t>采购</w:t>
      </w:r>
      <w:r>
        <w:rPr>
          <w:rFonts w:hint="eastAsia" w:ascii="宋体" w:hAnsi="宋体"/>
          <w:bCs/>
          <w:color w:val="000000" w:themeColor="text1"/>
          <w:szCs w:val="21"/>
          <w:highlight w:val="none"/>
          <w:lang w:val="zh-CN"/>
          <w14:textFill>
            <w14:solidFill>
              <w14:schemeClr w14:val="tx1"/>
            </w14:solidFill>
          </w14:textFill>
        </w:rPr>
        <w:t>范围等实质性内容作出响应。</w:t>
      </w:r>
    </w:p>
    <w:p w14:paraId="29D896D8">
      <w:pPr>
        <w:overflowPunct/>
        <w:bidi w:val="0"/>
        <w:spacing w:line="360" w:lineRule="auto"/>
        <w:ind w:firstLine="420" w:firstLineChars="200"/>
        <w:outlineLvl w:val="9"/>
        <w:rPr>
          <w:rFonts w:ascii="宋体" w:hAnsi="宋体"/>
          <w:bCs/>
          <w:color w:val="000000" w:themeColor="text1"/>
          <w:szCs w:val="21"/>
          <w:highlight w:val="none"/>
          <w:lang w:val="zh-CN"/>
          <w14:textFill>
            <w14:solidFill>
              <w14:schemeClr w14:val="tx1"/>
            </w14:solidFill>
          </w14:textFill>
        </w:rPr>
      </w:pPr>
      <w:r>
        <w:rPr>
          <w:rFonts w:hint="eastAsia" w:ascii="宋体" w:hAnsi="宋体"/>
          <w:bCs/>
          <w:color w:val="000000" w:themeColor="text1"/>
          <w:szCs w:val="21"/>
          <w:highlight w:val="none"/>
          <w:lang w:val="zh-CN"/>
          <w14:textFill>
            <w14:solidFill>
              <w14:schemeClr w14:val="tx1"/>
            </w14:solidFill>
          </w14:textFill>
        </w:rPr>
        <w:t>3.</w:t>
      </w:r>
      <w:r>
        <w:rPr>
          <w:rFonts w:hint="eastAsia" w:ascii="宋体" w:hAnsi="宋体"/>
          <w:bCs/>
          <w:color w:val="000000" w:themeColor="text1"/>
          <w:szCs w:val="21"/>
          <w:highlight w:val="none"/>
          <w:lang w:val="en-US" w:eastAsia="zh-CN"/>
          <w14:textFill>
            <w14:solidFill>
              <w14:schemeClr w14:val="tx1"/>
            </w14:solidFill>
          </w14:textFill>
        </w:rPr>
        <w:t>6</w:t>
      </w:r>
      <w:r>
        <w:rPr>
          <w:rFonts w:hint="eastAsia" w:ascii="宋体" w:hAnsi="宋体"/>
          <w:bCs/>
          <w:color w:val="000000" w:themeColor="text1"/>
          <w:szCs w:val="21"/>
          <w:highlight w:val="none"/>
          <w:lang w:val="zh-CN"/>
          <w14:textFill>
            <w14:solidFill>
              <w14:schemeClr w14:val="tx1"/>
            </w14:solidFill>
          </w14:textFill>
        </w:rPr>
        <w:t>.3 响应文件应用不褪色的材料书写或打印，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14:paraId="56C0912C">
      <w:pPr>
        <w:overflowPunct/>
        <w:bidi w:val="0"/>
        <w:spacing w:line="360" w:lineRule="auto"/>
        <w:ind w:firstLine="420" w:firstLineChars="200"/>
        <w:outlineLvl w:val="9"/>
        <w:rPr>
          <w:rFonts w:ascii="宋体" w:hAnsi="宋体"/>
          <w:bCs/>
          <w:color w:val="000000" w:themeColor="text1"/>
          <w:szCs w:val="21"/>
          <w:highlight w:val="none"/>
          <w:lang w:val="zh-CN"/>
          <w14:textFill>
            <w14:solidFill>
              <w14:schemeClr w14:val="tx1"/>
            </w14:solidFill>
          </w14:textFill>
        </w:rPr>
      </w:pPr>
      <w:r>
        <w:rPr>
          <w:rFonts w:ascii="宋体" w:hAnsi="宋体"/>
          <w:bCs/>
          <w:color w:val="000000" w:themeColor="text1"/>
          <w:szCs w:val="21"/>
          <w:highlight w:val="none"/>
          <w:lang w:val="zh-CN"/>
          <w14:textFill>
            <w14:solidFill>
              <w14:schemeClr w14:val="tx1"/>
            </w14:solidFill>
          </w14:textFill>
        </w:rPr>
        <w:t>3</w:t>
      </w:r>
      <w:r>
        <w:rPr>
          <w:rFonts w:hint="eastAsia" w:ascii="宋体" w:hAnsi="宋体"/>
          <w:bCs/>
          <w:color w:val="000000" w:themeColor="text1"/>
          <w:szCs w:val="21"/>
          <w:highlight w:val="none"/>
          <w:lang w:val="zh-CN"/>
          <w14:textFill>
            <w14:solidFill>
              <w14:schemeClr w14:val="tx1"/>
            </w14:solidFill>
          </w14:textFill>
        </w:rPr>
        <w:t>.</w:t>
      </w:r>
      <w:r>
        <w:rPr>
          <w:rFonts w:hint="eastAsia" w:ascii="宋体" w:hAnsi="宋体"/>
          <w:bCs/>
          <w:color w:val="000000" w:themeColor="text1"/>
          <w:szCs w:val="21"/>
          <w:highlight w:val="none"/>
          <w:lang w:val="en-US" w:eastAsia="zh-CN"/>
          <w14:textFill>
            <w14:solidFill>
              <w14:schemeClr w14:val="tx1"/>
            </w14:solidFill>
          </w14:textFill>
        </w:rPr>
        <w:t>6</w:t>
      </w:r>
      <w:r>
        <w:rPr>
          <w:rFonts w:hint="eastAsia" w:ascii="宋体" w:hAnsi="宋体"/>
          <w:bCs/>
          <w:color w:val="000000" w:themeColor="text1"/>
          <w:szCs w:val="21"/>
          <w:highlight w:val="none"/>
          <w:lang w:val="zh-CN"/>
          <w14:textFill>
            <w14:solidFill>
              <w14:schemeClr w14:val="tx1"/>
            </w14:solidFill>
          </w14:textFill>
        </w:rPr>
        <w:t>.4响应文件正本一份，副本份数见供应商须知前附表。正本和副本的封面上应清楚地标记</w:t>
      </w:r>
      <w:r>
        <w:rPr>
          <w:rFonts w:ascii="宋体" w:hAnsi="宋体"/>
          <w:bCs/>
          <w:color w:val="000000" w:themeColor="text1"/>
          <w:szCs w:val="21"/>
          <w:highlight w:val="none"/>
          <w:lang w:val="zh-CN"/>
          <w14:textFill>
            <w14:solidFill>
              <w14:schemeClr w14:val="tx1"/>
            </w14:solidFill>
          </w14:textFill>
        </w:rPr>
        <w:t>“</w:t>
      </w:r>
      <w:r>
        <w:rPr>
          <w:rFonts w:hint="eastAsia" w:ascii="宋体" w:hAnsi="宋体"/>
          <w:bCs/>
          <w:color w:val="000000" w:themeColor="text1"/>
          <w:szCs w:val="21"/>
          <w:highlight w:val="none"/>
          <w:lang w:val="zh-CN"/>
          <w14:textFill>
            <w14:solidFill>
              <w14:schemeClr w14:val="tx1"/>
            </w14:solidFill>
          </w14:textFill>
        </w:rPr>
        <w:t>正本</w:t>
      </w:r>
      <w:r>
        <w:rPr>
          <w:rFonts w:ascii="宋体" w:hAnsi="宋体"/>
          <w:bCs/>
          <w:color w:val="000000" w:themeColor="text1"/>
          <w:szCs w:val="21"/>
          <w:highlight w:val="none"/>
          <w:lang w:val="zh-CN"/>
          <w14:textFill>
            <w14:solidFill>
              <w14:schemeClr w14:val="tx1"/>
            </w14:solidFill>
          </w14:textFill>
        </w:rPr>
        <w:t>”</w:t>
      </w:r>
      <w:r>
        <w:rPr>
          <w:rFonts w:hint="eastAsia" w:ascii="宋体" w:hAnsi="宋体"/>
          <w:bCs/>
          <w:color w:val="000000" w:themeColor="text1"/>
          <w:szCs w:val="21"/>
          <w:highlight w:val="none"/>
          <w:lang w:val="zh-CN"/>
          <w14:textFill>
            <w14:solidFill>
              <w14:schemeClr w14:val="tx1"/>
            </w14:solidFill>
          </w14:textFill>
        </w:rPr>
        <w:t>或</w:t>
      </w:r>
      <w:r>
        <w:rPr>
          <w:rFonts w:ascii="宋体" w:hAnsi="宋体"/>
          <w:bCs/>
          <w:color w:val="000000" w:themeColor="text1"/>
          <w:szCs w:val="21"/>
          <w:highlight w:val="none"/>
          <w:lang w:val="zh-CN"/>
          <w14:textFill>
            <w14:solidFill>
              <w14:schemeClr w14:val="tx1"/>
            </w14:solidFill>
          </w14:textFill>
        </w:rPr>
        <w:t>“</w:t>
      </w:r>
      <w:r>
        <w:rPr>
          <w:rFonts w:hint="eastAsia" w:ascii="宋体" w:hAnsi="宋体"/>
          <w:bCs/>
          <w:color w:val="000000" w:themeColor="text1"/>
          <w:szCs w:val="21"/>
          <w:highlight w:val="none"/>
          <w:lang w:val="zh-CN"/>
          <w14:textFill>
            <w14:solidFill>
              <w14:schemeClr w14:val="tx1"/>
            </w14:solidFill>
          </w14:textFill>
        </w:rPr>
        <w:t>副本</w:t>
      </w:r>
      <w:r>
        <w:rPr>
          <w:rFonts w:ascii="宋体" w:hAnsi="宋体"/>
          <w:bCs/>
          <w:color w:val="000000" w:themeColor="text1"/>
          <w:szCs w:val="21"/>
          <w:highlight w:val="none"/>
          <w:lang w:val="zh-CN"/>
          <w14:textFill>
            <w14:solidFill>
              <w14:schemeClr w14:val="tx1"/>
            </w14:solidFill>
          </w14:textFill>
        </w:rPr>
        <w:t>”</w:t>
      </w:r>
      <w:r>
        <w:rPr>
          <w:rFonts w:hint="eastAsia" w:ascii="宋体" w:hAnsi="宋体"/>
          <w:bCs/>
          <w:color w:val="000000" w:themeColor="text1"/>
          <w:szCs w:val="21"/>
          <w:highlight w:val="none"/>
          <w:lang w:val="zh-CN"/>
          <w14:textFill>
            <w14:solidFill>
              <w14:schemeClr w14:val="tx1"/>
            </w14:solidFill>
          </w14:textFill>
        </w:rPr>
        <w:t>的字样。当副本和正本不一致时，以正本为准。</w:t>
      </w:r>
    </w:p>
    <w:p w14:paraId="065769CC">
      <w:pPr>
        <w:overflowPunct/>
        <w:bidi w:val="0"/>
        <w:spacing w:line="360" w:lineRule="auto"/>
        <w:ind w:firstLine="420" w:firstLineChars="200"/>
        <w:outlineLvl w:val="9"/>
        <w:rPr>
          <w:rFonts w:ascii="宋体" w:hAnsi="宋体"/>
          <w:bCs/>
          <w:color w:val="000000" w:themeColor="text1"/>
          <w:szCs w:val="21"/>
          <w:highlight w:val="none"/>
          <w:lang w:val="zh-CN"/>
          <w14:textFill>
            <w14:solidFill>
              <w14:schemeClr w14:val="tx1"/>
            </w14:solidFill>
          </w14:textFill>
        </w:rPr>
      </w:pPr>
      <w:r>
        <w:rPr>
          <w:rFonts w:ascii="宋体" w:hAnsi="宋体"/>
          <w:bCs/>
          <w:color w:val="000000" w:themeColor="text1"/>
          <w:szCs w:val="21"/>
          <w:highlight w:val="none"/>
          <w:lang w:val="zh-CN"/>
          <w14:textFill>
            <w14:solidFill>
              <w14:schemeClr w14:val="tx1"/>
            </w14:solidFill>
          </w14:textFill>
        </w:rPr>
        <w:t>3</w:t>
      </w:r>
      <w:r>
        <w:rPr>
          <w:rFonts w:hint="eastAsia" w:ascii="宋体" w:hAnsi="宋体"/>
          <w:bCs/>
          <w:color w:val="000000" w:themeColor="text1"/>
          <w:szCs w:val="21"/>
          <w:highlight w:val="none"/>
          <w:lang w:val="zh-CN"/>
          <w14:textFill>
            <w14:solidFill>
              <w14:schemeClr w14:val="tx1"/>
            </w14:solidFill>
          </w14:textFill>
        </w:rPr>
        <w:t>.</w:t>
      </w:r>
      <w:r>
        <w:rPr>
          <w:rFonts w:hint="eastAsia" w:ascii="宋体" w:hAnsi="宋体"/>
          <w:bCs/>
          <w:color w:val="000000" w:themeColor="text1"/>
          <w:szCs w:val="21"/>
          <w:highlight w:val="none"/>
          <w:lang w:val="en-US" w:eastAsia="zh-CN"/>
          <w14:textFill>
            <w14:solidFill>
              <w14:schemeClr w14:val="tx1"/>
            </w14:solidFill>
          </w14:textFill>
        </w:rPr>
        <w:t>6</w:t>
      </w:r>
      <w:r>
        <w:rPr>
          <w:rFonts w:hint="eastAsia" w:ascii="宋体" w:hAnsi="宋体"/>
          <w:bCs/>
          <w:color w:val="000000" w:themeColor="text1"/>
          <w:szCs w:val="21"/>
          <w:highlight w:val="none"/>
          <w:lang w:val="zh-CN"/>
          <w14:textFill>
            <w14:solidFill>
              <w14:schemeClr w14:val="tx1"/>
            </w14:solidFill>
          </w14:textFill>
        </w:rPr>
        <w:t>.5 响应文件的正本与副本应分别装订成册，并编制目录，具体装订要求见供应商须知前附表规定。</w:t>
      </w:r>
    </w:p>
    <w:p w14:paraId="4842B64F">
      <w:pPr>
        <w:overflowPunct/>
        <w:bidi w:val="0"/>
        <w:outlineLvl w:val="9"/>
        <w:rPr>
          <w:rFonts w:ascii="宋体" w:hAnsi="宋体"/>
          <w:color w:val="000000" w:themeColor="text1"/>
          <w:highlight w:val="none"/>
          <w14:textFill>
            <w14:solidFill>
              <w14:schemeClr w14:val="tx1"/>
            </w14:solidFill>
          </w14:textFill>
        </w:rPr>
      </w:pPr>
      <w:bookmarkStart w:id="29" w:name="_Toc184635074"/>
      <w:r>
        <w:rPr>
          <w:rFonts w:hint="eastAsia" w:ascii="宋体" w:hAnsi="宋体"/>
          <w:color w:val="000000" w:themeColor="text1"/>
          <w:highlight w:val="none"/>
          <w14:textFill>
            <w14:solidFill>
              <w14:schemeClr w14:val="tx1"/>
            </w14:solidFill>
          </w14:textFill>
        </w:rPr>
        <w:t>4．投标</w:t>
      </w:r>
      <w:bookmarkEnd w:id="29"/>
    </w:p>
    <w:p w14:paraId="06C785F4">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4.1 响应文件的密封和标记</w:t>
      </w:r>
    </w:p>
    <w:p w14:paraId="4B78DE23">
      <w:pPr>
        <w:overflowPunct/>
        <w:autoSpaceDE w:val="0"/>
        <w:autoSpaceDN w:val="0"/>
        <w:bidi w:val="0"/>
        <w:adjustRightInd w:val="0"/>
        <w:spacing w:line="400" w:lineRule="exact"/>
        <w:ind w:firstLine="480"/>
        <w:jc w:val="left"/>
        <w:outlineLvl w:val="9"/>
        <w:rPr>
          <w:rFonts w:ascii="宋体" w:hAnsi="宋体" w:cs="宋体"/>
          <w:bCs/>
          <w:color w:val="000000" w:themeColor="text1"/>
          <w:szCs w:val="21"/>
          <w:highlight w:val="none"/>
          <w:lang w:val="zh-CN"/>
          <w14:textFill>
            <w14:solidFill>
              <w14:schemeClr w14:val="tx1"/>
            </w14:solidFill>
          </w14:textFill>
        </w:rPr>
      </w:pPr>
      <w:r>
        <w:rPr>
          <w:rFonts w:ascii="宋体" w:hAnsi="宋体" w:cs="宋体"/>
          <w:bCs/>
          <w:color w:val="000000" w:themeColor="text1"/>
          <w:szCs w:val="21"/>
          <w:highlight w:val="none"/>
          <w:lang w:val="zh-CN"/>
          <w14:textFill>
            <w14:solidFill>
              <w14:schemeClr w14:val="tx1"/>
            </w14:solidFill>
          </w14:textFill>
        </w:rPr>
        <w:t>4.1</w:t>
      </w:r>
      <w:r>
        <w:rPr>
          <w:rFonts w:hint="eastAsia" w:ascii="宋体" w:hAnsi="宋体" w:cs="宋体"/>
          <w:bCs/>
          <w:color w:val="000000" w:themeColor="text1"/>
          <w:szCs w:val="21"/>
          <w:highlight w:val="none"/>
          <w:lang w:val="zh-CN"/>
          <w14:textFill>
            <w14:solidFill>
              <w14:schemeClr w14:val="tx1"/>
            </w14:solidFill>
          </w14:textFill>
        </w:rPr>
        <w:t>.1 响应文件正、副本应分开包装，封套上应清楚地标记</w:t>
      </w:r>
      <w:r>
        <w:rPr>
          <w:rFonts w:ascii="宋体" w:hAnsi="宋体" w:cs="宋体"/>
          <w:bCs/>
          <w:color w:val="000000" w:themeColor="text1"/>
          <w:szCs w:val="21"/>
          <w:highlight w:val="none"/>
          <w:lang w:val="zh-CN"/>
          <w14:textFill>
            <w14:solidFill>
              <w14:schemeClr w14:val="tx1"/>
            </w14:solidFill>
          </w14:textFill>
        </w:rPr>
        <w:t>“</w:t>
      </w:r>
      <w:r>
        <w:rPr>
          <w:rFonts w:hint="eastAsia" w:ascii="宋体" w:hAnsi="宋体" w:cs="宋体"/>
          <w:bCs/>
          <w:color w:val="000000" w:themeColor="text1"/>
          <w:szCs w:val="21"/>
          <w:highlight w:val="none"/>
          <w:lang w:val="zh-CN"/>
          <w14:textFill>
            <w14:solidFill>
              <w14:schemeClr w14:val="tx1"/>
            </w14:solidFill>
          </w14:textFill>
        </w:rPr>
        <w:t>正本</w:t>
      </w:r>
      <w:r>
        <w:rPr>
          <w:rFonts w:ascii="宋体" w:hAnsi="宋体" w:cs="宋体"/>
          <w:bCs/>
          <w:color w:val="000000" w:themeColor="text1"/>
          <w:szCs w:val="21"/>
          <w:highlight w:val="none"/>
          <w:lang w:val="zh-CN"/>
          <w14:textFill>
            <w14:solidFill>
              <w14:schemeClr w14:val="tx1"/>
            </w14:solidFill>
          </w14:textFill>
        </w:rPr>
        <w:t>”</w:t>
      </w:r>
      <w:r>
        <w:rPr>
          <w:rFonts w:hint="eastAsia" w:ascii="宋体" w:hAnsi="宋体" w:cs="宋体"/>
          <w:bCs/>
          <w:color w:val="000000" w:themeColor="text1"/>
          <w:szCs w:val="21"/>
          <w:highlight w:val="none"/>
          <w:lang w:val="zh-CN"/>
          <w14:textFill>
            <w14:solidFill>
              <w14:schemeClr w14:val="tx1"/>
            </w14:solidFill>
          </w14:textFill>
        </w:rPr>
        <w:t>或</w:t>
      </w:r>
      <w:r>
        <w:rPr>
          <w:rFonts w:ascii="宋体" w:hAnsi="宋体" w:cs="宋体"/>
          <w:bCs/>
          <w:color w:val="000000" w:themeColor="text1"/>
          <w:szCs w:val="21"/>
          <w:highlight w:val="none"/>
          <w:lang w:val="zh-CN"/>
          <w14:textFill>
            <w14:solidFill>
              <w14:schemeClr w14:val="tx1"/>
            </w14:solidFill>
          </w14:textFill>
        </w:rPr>
        <w:t>“</w:t>
      </w:r>
      <w:r>
        <w:rPr>
          <w:rFonts w:hint="eastAsia" w:ascii="宋体" w:hAnsi="宋体" w:cs="宋体"/>
          <w:bCs/>
          <w:color w:val="000000" w:themeColor="text1"/>
          <w:szCs w:val="21"/>
          <w:highlight w:val="none"/>
          <w:lang w:val="zh-CN"/>
          <w14:textFill>
            <w14:solidFill>
              <w14:schemeClr w14:val="tx1"/>
            </w14:solidFill>
          </w14:textFill>
        </w:rPr>
        <w:t>副本</w:t>
      </w:r>
      <w:r>
        <w:rPr>
          <w:rFonts w:ascii="宋体" w:hAnsi="宋体" w:cs="宋体"/>
          <w:bCs/>
          <w:color w:val="000000" w:themeColor="text1"/>
          <w:szCs w:val="21"/>
          <w:highlight w:val="none"/>
          <w:lang w:val="zh-CN"/>
          <w14:textFill>
            <w14:solidFill>
              <w14:schemeClr w14:val="tx1"/>
            </w14:solidFill>
          </w14:textFill>
        </w:rPr>
        <w:t>”</w:t>
      </w:r>
      <w:r>
        <w:rPr>
          <w:rFonts w:hint="eastAsia" w:ascii="宋体" w:hAnsi="宋体" w:cs="宋体"/>
          <w:bCs/>
          <w:color w:val="000000" w:themeColor="text1"/>
          <w:szCs w:val="21"/>
          <w:highlight w:val="none"/>
          <w:lang w:val="zh-CN"/>
          <w14:textFill>
            <w14:solidFill>
              <w14:schemeClr w14:val="tx1"/>
            </w14:solidFill>
          </w14:textFill>
        </w:rPr>
        <w:t>字样，并在封套的封口处加盖供应商单位章。封套上应写明的其他内容见供应商须知前附表。</w:t>
      </w:r>
    </w:p>
    <w:p w14:paraId="53D7FFB5">
      <w:pPr>
        <w:overflowPunct/>
        <w:bidi w:val="0"/>
        <w:spacing w:line="400" w:lineRule="exact"/>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4.1.2电子U盘、磋商报价函，单独放入一个密封袋中，加贴封条，并在封套封口处加盖</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单位公章，在封套上分别标记“响应文件电子版”或“磋商报价函”字样。</w:t>
      </w:r>
    </w:p>
    <w:p w14:paraId="79474F32">
      <w:pPr>
        <w:overflowPunct/>
        <w:autoSpaceDE w:val="0"/>
        <w:autoSpaceDN w:val="0"/>
        <w:bidi w:val="0"/>
        <w:adjustRightInd w:val="0"/>
        <w:spacing w:line="400" w:lineRule="exact"/>
        <w:ind w:firstLine="420" w:firstLineChars="200"/>
        <w:jc w:val="left"/>
        <w:outlineLvl w:val="9"/>
        <w:rPr>
          <w:rFonts w:ascii="宋体" w:hAnsi="宋体" w:cs="宋体"/>
          <w:bCs/>
          <w:color w:val="000000" w:themeColor="text1"/>
          <w:szCs w:val="21"/>
          <w:highlight w:val="none"/>
          <w:lang w:val="zh-CN"/>
          <w14:textFill>
            <w14:solidFill>
              <w14:schemeClr w14:val="tx1"/>
            </w14:solidFill>
          </w14:textFill>
        </w:rPr>
      </w:pPr>
      <w:r>
        <w:rPr>
          <w:rFonts w:ascii="宋体" w:hAnsi="宋体" w:cs="宋体"/>
          <w:bCs/>
          <w:color w:val="000000" w:themeColor="text1"/>
          <w:szCs w:val="21"/>
          <w:highlight w:val="none"/>
          <w:lang w:val="zh-CN"/>
          <w14:textFill>
            <w14:solidFill>
              <w14:schemeClr w14:val="tx1"/>
            </w14:solidFill>
          </w14:textFill>
        </w:rPr>
        <w:t>4.1.</w:t>
      </w:r>
      <w:r>
        <w:rPr>
          <w:rFonts w:hint="eastAsia" w:ascii="宋体" w:hAnsi="宋体" w:cs="宋体"/>
          <w:bCs/>
          <w:color w:val="000000" w:themeColor="text1"/>
          <w:szCs w:val="21"/>
          <w:highlight w:val="none"/>
          <w:lang w:val="zh-CN"/>
          <w14:textFill>
            <w14:solidFill>
              <w14:schemeClr w14:val="tx1"/>
            </w14:solidFill>
          </w14:textFill>
        </w:rPr>
        <w:t>3未按本章第</w:t>
      </w:r>
      <w:r>
        <w:rPr>
          <w:rFonts w:ascii="宋体" w:hAnsi="宋体" w:cs="宋体"/>
          <w:bCs/>
          <w:color w:val="000000" w:themeColor="text1"/>
          <w:szCs w:val="21"/>
          <w:highlight w:val="none"/>
          <w:lang w:val="zh-CN"/>
          <w14:textFill>
            <w14:solidFill>
              <w14:schemeClr w14:val="tx1"/>
            </w14:solidFill>
          </w14:textFill>
        </w:rPr>
        <w:t>4.1</w:t>
      </w:r>
      <w:r>
        <w:rPr>
          <w:rFonts w:hint="eastAsia" w:ascii="宋体" w:hAnsi="宋体" w:cs="宋体"/>
          <w:bCs/>
          <w:color w:val="000000" w:themeColor="text1"/>
          <w:szCs w:val="21"/>
          <w:highlight w:val="none"/>
          <w:lang w:val="zh-CN"/>
          <w14:textFill>
            <w14:solidFill>
              <w14:schemeClr w14:val="tx1"/>
            </w14:solidFill>
          </w14:textFill>
        </w:rPr>
        <w:t>条要求密封和加写标记的响应文件，采购人不予受理。</w:t>
      </w:r>
    </w:p>
    <w:p w14:paraId="6CE78722">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4.2 响应文件的递交</w:t>
      </w:r>
    </w:p>
    <w:p w14:paraId="14ACFDA8">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4.2.1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应在本章第2.2.2 项规定的递交响应文件截止时间前</w:t>
      </w:r>
      <w:r>
        <w:rPr>
          <w:rFonts w:hint="eastAsia" w:ascii="宋体" w:hAnsi="宋体"/>
          <w:color w:val="000000" w:themeColor="text1"/>
          <w:szCs w:val="21"/>
          <w:highlight w:val="none"/>
          <w:lang w:val="en-US" w:eastAsia="zh-CN"/>
          <w14:textFill>
            <w14:solidFill>
              <w14:schemeClr w14:val="tx1"/>
            </w14:solidFill>
          </w14:textFill>
        </w:rPr>
        <w:t>上传</w:t>
      </w:r>
      <w:r>
        <w:rPr>
          <w:rFonts w:hint="eastAsia" w:ascii="宋体" w:hAnsi="宋体"/>
          <w:color w:val="000000" w:themeColor="text1"/>
          <w:szCs w:val="21"/>
          <w:highlight w:val="none"/>
          <w14:textFill>
            <w14:solidFill>
              <w14:schemeClr w14:val="tx1"/>
            </w14:solidFill>
          </w14:textFill>
        </w:rPr>
        <w:t>响应文件。</w:t>
      </w:r>
    </w:p>
    <w:p w14:paraId="7FE0EC9B">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4.2.2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递交响应文件的地点：见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705B2BC0">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4.2.3 除</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须知前附表另有规定外，</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所递交的响应文件不予退还。</w:t>
      </w:r>
    </w:p>
    <w:p w14:paraId="1B60DB15">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4.2.4 采购人收到响应文件后，向</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出具签收凭证。</w:t>
      </w:r>
    </w:p>
    <w:p w14:paraId="75BA6FA7">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4.2.5 逾期送达的或者未送达指定地点的响应文件，采购人不予受理。</w:t>
      </w:r>
    </w:p>
    <w:p w14:paraId="0965DF8B">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4.3 响应文件的修改与撤回</w:t>
      </w:r>
    </w:p>
    <w:p w14:paraId="6EA3A5C1">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4.3.1 在本章第2.2.2 项规定的递交响应文件截止时间前，</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可以修改或撤回已递交的响应文件，但应以书面形式通知采购人。</w:t>
      </w:r>
    </w:p>
    <w:p w14:paraId="41B992FA">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4.3.2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修改或撤回已递交响应文件的书面通知应按照本章第3.7.3 项的要求签字或盖章。采购人收到书面通知后，向</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出具签收凭证。</w:t>
      </w:r>
    </w:p>
    <w:p w14:paraId="73E88B81">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4.3.3 修改的内容为响应文件的组成部分。修改的响应文件应按照本章第3 条、第4 条规定进行编制、密封、标记和递交，并标明“修改”字样。</w:t>
      </w:r>
    </w:p>
    <w:p w14:paraId="20CE0C8B">
      <w:pPr>
        <w:overflowPunct/>
        <w:bidi w:val="0"/>
        <w:outlineLvl w:val="9"/>
        <w:rPr>
          <w:rFonts w:hint="eastAsia" w:ascii="宋体" w:hAnsi="宋体" w:eastAsia="宋体"/>
          <w:color w:val="000000" w:themeColor="text1"/>
          <w:highlight w:val="none"/>
          <w:lang w:eastAsia="zh-CN"/>
          <w14:textFill>
            <w14:solidFill>
              <w14:schemeClr w14:val="tx1"/>
            </w14:solidFill>
          </w14:textFill>
        </w:rPr>
      </w:pPr>
      <w:bookmarkStart w:id="30" w:name="_Toc184635075"/>
      <w:r>
        <w:rPr>
          <w:rFonts w:hint="eastAsia" w:ascii="宋体" w:hAnsi="宋体"/>
          <w:color w:val="000000" w:themeColor="text1"/>
          <w:highlight w:val="none"/>
          <w14:textFill>
            <w14:solidFill>
              <w14:schemeClr w14:val="tx1"/>
            </w14:solidFill>
          </w14:textFill>
        </w:rPr>
        <w:t>5．开</w:t>
      </w:r>
      <w:bookmarkEnd w:id="30"/>
      <w:r>
        <w:rPr>
          <w:rFonts w:hint="eastAsia" w:ascii="宋体" w:hAnsi="宋体"/>
          <w:color w:val="000000" w:themeColor="text1"/>
          <w:highlight w:val="none"/>
          <w:lang w:val="en-US" w:eastAsia="zh-CN"/>
          <w14:textFill>
            <w14:solidFill>
              <w14:schemeClr w14:val="tx1"/>
            </w14:solidFill>
          </w14:textFill>
        </w:rPr>
        <w:t>启</w:t>
      </w:r>
    </w:p>
    <w:p w14:paraId="79F38CCD">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5.1 开启时间和地点</w:t>
      </w:r>
    </w:p>
    <w:p w14:paraId="27B9CFA5">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采购人在本章第2.2.2 项规定的递交响应文件截止时间（开启时间）</w:t>
      </w:r>
      <w:r>
        <w:rPr>
          <w:rFonts w:hint="eastAsia" w:ascii="宋体" w:hAnsi="宋体"/>
          <w:color w:val="000000" w:themeColor="text1"/>
          <w:szCs w:val="21"/>
          <w:highlight w:val="none"/>
          <w:lang w:val="zh-CN"/>
          <w14:textFill>
            <w14:solidFill>
              <w14:schemeClr w14:val="tx1"/>
            </w14:solidFill>
          </w14:textFill>
        </w:rPr>
        <w:t>和供应商须知前附表规定的网址、地点</w:t>
      </w:r>
      <w:r>
        <w:rPr>
          <w:rFonts w:hint="eastAsia" w:ascii="宋体" w:hAnsi="宋体"/>
          <w:color w:val="000000" w:themeColor="text1"/>
          <w:szCs w:val="21"/>
          <w:highlight w:val="none"/>
          <w:lang w:val="en-US" w:eastAsia="zh-CN"/>
          <w14:textFill>
            <w14:solidFill>
              <w14:schemeClr w14:val="tx1"/>
            </w14:solidFill>
          </w14:textFill>
        </w:rPr>
        <w:t>参加磋商会议</w:t>
      </w:r>
      <w:r>
        <w:rPr>
          <w:rFonts w:hint="eastAsia" w:ascii="宋体" w:hAnsi="宋体"/>
          <w:color w:val="000000" w:themeColor="text1"/>
          <w:szCs w:val="21"/>
          <w:highlight w:val="none"/>
          <w14:textFill>
            <w14:solidFill>
              <w14:schemeClr w14:val="tx1"/>
            </w14:solidFill>
          </w14:textFill>
        </w:rPr>
        <w:t>。</w:t>
      </w:r>
    </w:p>
    <w:p w14:paraId="5B26676F">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5.2 磋商程序</w:t>
      </w:r>
    </w:p>
    <w:p w14:paraId="04D3F00F">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主持人按下列程序进行开标：</w:t>
      </w:r>
    </w:p>
    <w:p w14:paraId="19D57EBF">
      <w:pPr>
        <w:overflowPunct/>
        <w:bidi w:val="0"/>
        <w:outlineLvl w:val="9"/>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pPr>
      <w:bookmarkStart w:id="31" w:name="_Toc184635076"/>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（1）宣布开标纪律；</w:t>
      </w:r>
    </w:p>
    <w:p w14:paraId="3521AB79">
      <w:pPr>
        <w:overflowPunct/>
        <w:bidi w:val="0"/>
        <w:outlineLvl w:val="9"/>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（2）查看并公布投标报名名单；</w:t>
      </w:r>
    </w:p>
    <w:p w14:paraId="28882DCF">
      <w:pPr>
        <w:overflowPunct/>
        <w:bidi w:val="0"/>
        <w:outlineLvl w:val="9"/>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（3）宣布开标人、监标人等有关人员；</w:t>
      </w:r>
    </w:p>
    <w:p w14:paraId="2AFA565A">
      <w:pPr>
        <w:overflowPunct/>
        <w:bidi w:val="0"/>
        <w:outlineLvl w:val="9"/>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（4）采购代理机构</w:t>
      </w:r>
      <w:r>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t>对</w:t>
      </w:r>
      <w:r>
        <w:rPr>
          <w:rFonts w:hint="eastAsia" w:ascii="宋体" w:hAnsi="宋体" w:eastAsia="宋体" w:cs="Times New Roman"/>
          <w:b w:val="0"/>
          <w:bCs w:val="0"/>
          <w:color w:val="000000" w:themeColor="text1"/>
          <w:kern w:val="2"/>
          <w:sz w:val="21"/>
          <w:szCs w:val="21"/>
          <w:highlight w:val="none"/>
          <w:lang w:val="zh-CN" w:eastAsia="zh-CN" w:bidi="ar-SA"/>
          <w14:textFill>
            <w14:solidFill>
              <w14:schemeClr w14:val="tx1"/>
            </w14:solidFill>
          </w14:textFill>
        </w:rPr>
        <w:t>供应商电子投标文件解密。</w:t>
      </w:r>
    </w:p>
    <w:p w14:paraId="51D16B10">
      <w:pPr>
        <w:overflowPunct/>
        <w:bidi w:val="0"/>
        <w:outlineLvl w:val="9"/>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6．评审</w:t>
      </w:r>
      <w:bookmarkEnd w:id="31"/>
    </w:p>
    <w:p w14:paraId="30869151">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6.1 磋商小组</w:t>
      </w:r>
    </w:p>
    <w:p w14:paraId="00D3282A">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6.1.1 评审工作由采购人依法组建的磋商小组负责。磋商小组由采购人代表和有关技术、经济等方面专家，共</w:t>
      </w:r>
      <w:r>
        <w:rPr>
          <w:rFonts w:hint="eastAsia" w:ascii="宋体" w:hAnsi="宋体"/>
          <w:color w:val="000000" w:themeColor="text1"/>
          <w:szCs w:val="21"/>
          <w:highlight w:val="none"/>
          <w:lang w:val="en-US" w:eastAsia="zh-CN"/>
          <w14:textFill>
            <w14:solidFill>
              <w14:schemeClr w14:val="tx1"/>
            </w14:solidFill>
          </w14:textFill>
        </w:rPr>
        <w:t xml:space="preserve">3 </w:t>
      </w:r>
      <w:r>
        <w:rPr>
          <w:rFonts w:hint="eastAsia" w:ascii="宋体" w:hAnsi="宋体"/>
          <w:color w:val="000000" w:themeColor="text1"/>
          <w:szCs w:val="21"/>
          <w:highlight w:val="none"/>
          <w14:textFill>
            <w14:solidFill>
              <w14:schemeClr w14:val="tx1"/>
            </w14:solidFill>
          </w14:textFill>
        </w:rPr>
        <w:t>人组成。磋商小组成员人数以及技术、经济等方面专家的确定方式见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4FFC710F">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6.1.2 磋商小组成员有下列情形之一的，应当回避：</w:t>
      </w:r>
    </w:p>
    <w:p w14:paraId="5C3D31B3">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(1）采购人或</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的主要负责人的近亲属；</w:t>
      </w:r>
    </w:p>
    <w:p w14:paraId="12B6E989">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(2）项目主管部门或者行政监督部门的人员；</w:t>
      </w:r>
    </w:p>
    <w:p w14:paraId="519CD991">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(3）与</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有经济利益关系，可能影响对投标公正评审的；</w:t>
      </w:r>
    </w:p>
    <w:p w14:paraId="5C20EF81">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(4）曾因在招标、评审工作以及其他与招标投标有关活动中从事违法行为而受过行政处罚或刑事处罚的。</w:t>
      </w:r>
    </w:p>
    <w:p w14:paraId="772DF142">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6.2 评审原则</w:t>
      </w:r>
    </w:p>
    <w:p w14:paraId="79A888DE">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评审工作活动遵循公平、公正、科学和择优的原则。</w:t>
      </w:r>
    </w:p>
    <w:p w14:paraId="29743F5C">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6.3 评审工作</w:t>
      </w:r>
    </w:p>
    <w:p w14:paraId="6D3CF517">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磋商小组按照第三章“评审办法”规定的方法、评审因素、标准和程序对响应文件进行评审。第三章“评审办法”没有规定的方法、评审因素和标准，不作为评审工作依据。</w:t>
      </w:r>
    </w:p>
    <w:p w14:paraId="0FAE2C06">
      <w:pPr>
        <w:overflowPunct/>
        <w:bidi w:val="0"/>
        <w:spacing w:line="360" w:lineRule="auto"/>
        <w:ind w:firstLine="420" w:firstLineChars="200"/>
        <w:outlineLvl w:val="9"/>
        <w:rPr>
          <w:rFonts w:ascii="宋体" w:hAnsi="宋体"/>
          <w:color w:val="000000" w:themeColor="text1"/>
          <w:szCs w:val="21"/>
          <w:highlight w:val="none"/>
          <w:lang w:val="zh-TW"/>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6.3.1</w:t>
      </w:r>
      <w:r>
        <w:rPr>
          <w:rFonts w:ascii="宋体" w:hAnsi="宋体"/>
          <w:color w:val="000000" w:themeColor="text1"/>
          <w:szCs w:val="21"/>
          <w:highlight w:val="none"/>
          <w:lang w:val="zh-TW"/>
          <w14:textFill>
            <w14:solidFill>
              <w14:schemeClr w14:val="tx1"/>
            </w14:solidFill>
          </w14:textFill>
        </w:rPr>
        <w:t>磋商小组对所有响应文件进行</w:t>
      </w:r>
      <w:r>
        <w:rPr>
          <w:rFonts w:hint="eastAsia" w:ascii="宋体" w:hAnsi="宋体"/>
          <w:color w:val="000000" w:themeColor="text1"/>
          <w:szCs w:val="21"/>
          <w:highlight w:val="none"/>
          <w:lang w:val="zh-TW"/>
          <w14:textFill>
            <w14:solidFill>
              <w14:schemeClr w14:val="tx1"/>
            </w14:solidFill>
          </w14:textFill>
        </w:rPr>
        <w:t>资格、</w:t>
      </w:r>
      <w:r>
        <w:rPr>
          <w:rFonts w:hint="eastAsia" w:ascii="宋体" w:hAnsi="宋体"/>
          <w:color w:val="000000" w:themeColor="text1"/>
          <w:szCs w:val="21"/>
          <w:highlight w:val="none"/>
          <w:lang w:val="en-US" w:eastAsia="zh-CN"/>
          <w14:textFill>
            <w14:solidFill>
              <w14:schemeClr w14:val="tx1"/>
            </w14:solidFill>
          </w14:textFill>
        </w:rPr>
        <w:t>符合</w:t>
      </w:r>
      <w:r>
        <w:rPr>
          <w:rFonts w:hint="eastAsia" w:ascii="宋体" w:hAnsi="宋体"/>
          <w:color w:val="000000" w:themeColor="text1"/>
          <w:szCs w:val="21"/>
          <w:highlight w:val="none"/>
          <w:lang w:val="zh-TW"/>
          <w14:textFill>
            <w14:solidFill>
              <w14:schemeClr w14:val="tx1"/>
            </w14:solidFill>
          </w14:textFill>
        </w:rPr>
        <w:t>性评审；</w:t>
      </w:r>
    </w:p>
    <w:p w14:paraId="7CA3FD58">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6.3.2</w:t>
      </w:r>
      <w:r>
        <w:rPr>
          <w:rFonts w:ascii="宋体" w:hAnsi="宋体"/>
          <w:color w:val="000000" w:themeColor="text1"/>
          <w:szCs w:val="21"/>
          <w:highlight w:val="none"/>
          <w:lang w:val="zh-TW"/>
          <w14:textFill>
            <w14:solidFill>
              <w14:schemeClr w14:val="tx1"/>
            </w14:solidFill>
          </w14:textFill>
        </w:rPr>
        <w:t>磋商小组所有成员集中与通过</w:t>
      </w:r>
      <w:r>
        <w:rPr>
          <w:rFonts w:hint="eastAsia" w:ascii="宋体" w:hAnsi="宋体"/>
          <w:color w:val="000000" w:themeColor="text1"/>
          <w:szCs w:val="21"/>
          <w:highlight w:val="none"/>
          <w:lang w:val="zh-TW"/>
          <w14:textFill>
            <w14:solidFill>
              <w14:schemeClr w14:val="tx1"/>
            </w14:solidFill>
          </w14:textFill>
        </w:rPr>
        <w:t>资格、</w:t>
      </w:r>
      <w:r>
        <w:rPr>
          <w:rFonts w:hint="eastAsia" w:ascii="宋体" w:hAnsi="宋体"/>
          <w:color w:val="000000" w:themeColor="text1"/>
          <w:szCs w:val="21"/>
          <w:highlight w:val="none"/>
          <w:lang w:val="zh-TW" w:eastAsia="zh-CN"/>
          <w14:textFill>
            <w14:solidFill>
              <w14:schemeClr w14:val="tx1"/>
            </w14:solidFill>
          </w14:textFill>
        </w:rPr>
        <w:t>符合</w:t>
      </w:r>
      <w:r>
        <w:rPr>
          <w:rFonts w:hint="eastAsia" w:ascii="宋体" w:hAnsi="宋体"/>
          <w:color w:val="000000" w:themeColor="text1"/>
          <w:szCs w:val="21"/>
          <w:highlight w:val="none"/>
          <w:lang w:val="zh-TW"/>
          <w14:textFill>
            <w14:solidFill>
              <w14:schemeClr w14:val="tx1"/>
            </w14:solidFill>
          </w14:textFill>
        </w:rPr>
        <w:t>性评审</w:t>
      </w:r>
      <w:r>
        <w:rPr>
          <w:rFonts w:ascii="宋体" w:hAnsi="宋体"/>
          <w:color w:val="000000" w:themeColor="text1"/>
          <w:szCs w:val="21"/>
          <w:highlight w:val="none"/>
          <w:lang w:val="zh-TW"/>
          <w14:textFill>
            <w14:solidFill>
              <w14:schemeClr w14:val="tx1"/>
            </w14:solidFill>
          </w14:textFill>
        </w:rPr>
        <w:t>的单一</w:t>
      </w:r>
      <w:r>
        <w:rPr>
          <w:rFonts w:hint="eastAsia" w:ascii="宋体" w:hAnsi="宋体"/>
          <w:color w:val="000000" w:themeColor="text1"/>
          <w:szCs w:val="21"/>
          <w:highlight w:val="none"/>
          <w:lang w:val="zh-TW" w:eastAsia="zh-CN"/>
          <w14:textFill>
            <w14:solidFill>
              <w14:schemeClr w14:val="tx1"/>
            </w14:solidFill>
          </w14:textFill>
        </w:rPr>
        <w:t>供应商</w:t>
      </w:r>
      <w:r>
        <w:rPr>
          <w:rFonts w:ascii="宋体" w:hAnsi="宋体"/>
          <w:color w:val="000000" w:themeColor="text1"/>
          <w:szCs w:val="21"/>
          <w:highlight w:val="none"/>
          <w:lang w:val="zh-TW"/>
          <w14:textFill>
            <w14:solidFill>
              <w14:schemeClr w14:val="tx1"/>
            </w14:solidFill>
          </w14:textFill>
        </w:rPr>
        <w:t>分别进行磋商，并给予所有参加磋商的</w:t>
      </w:r>
      <w:r>
        <w:rPr>
          <w:rFonts w:hint="eastAsia" w:ascii="宋体" w:hAnsi="宋体"/>
          <w:color w:val="000000" w:themeColor="text1"/>
          <w:szCs w:val="21"/>
          <w:highlight w:val="none"/>
          <w:lang w:val="zh-TW" w:eastAsia="zh-CN"/>
          <w14:textFill>
            <w14:solidFill>
              <w14:schemeClr w14:val="tx1"/>
            </w14:solidFill>
          </w14:textFill>
        </w:rPr>
        <w:t>供应商</w:t>
      </w:r>
      <w:r>
        <w:rPr>
          <w:rFonts w:ascii="宋体" w:hAnsi="宋体"/>
          <w:color w:val="000000" w:themeColor="text1"/>
          <w:szCs w:val="21"/>
          <w:highlight w:val="none"/>
          <w:lang w:val="zh-TW"/>
          <w14:textFill>
            <w14:solidFill>
              <w14:schemeClr w14:val="tx1"/>
            </w14:solidFill>
          </w14:textFill>
        </w:rPr>
        <w:t>平等的磋商机会。</w:t>
      </w:r>
      <w:r>
        <w:rPr>
          <w:rFonts w:hint="eastAsia" w:ascii="宋体" w:hAnsi="宋体"/>
          <w:color w:val="000000" w:themeColor="text1"/>
          <w:szCs w:val="21"/>
          <w:highlight w:val="none"/>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w:t>
      </w:r>
    </w:p>
    <w:p w14:paraId="5A80412F">
      <w:pPr>
        <w:overflowPunct/>
        <w:bidi w:val="0"/>
        <w:spacing w:line="360" w:lineRule="auto"/>
        <w:ind w:firstLine="420" w:firstLineChars="200"/>
        <w:outlineLvl w:val="9"/>
        <w:rPr>
          <w:rFonts w:ascii="宋体" w:hAnsi="宋体"/>
          <w:color w:val="000000" w:themeColor="text1"/>
          <w:szCs w:val="21"/>
          <w:highlight w:val="none"/>
          <w:lang w:val="zh-TW"/>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对磋商文件作出的实质性变动是磋商文件的有效组成部分，磋商小组应当及时以书面形式同时通知所有参加磋商的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w:t>
      </w:r>
    </w:p>
    <w:p w14:paraId="238C8003">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应当按照磋商文件的变动情况和磋商小组的要求重新提交响应文件，并由其法定代表人或授权代表签字或者加盖公章。由授权代表签字的，应当附法定代表人授权书。</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为自然人的，应当由本人签字并附身份证明。</w:t>
      </w:r>
    </w:p>
    <w:p w14:paraId="584B08FC">
      <w:pPr>
        <w:overflowPunct/>
        <w:bidi w:val="0"/>
        <w:spacing w:line="360" w:lineRule="auto"/>
        <w:ind w:firstLine="42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6.3.3</w:t>
      </w:r>
      <w:r>
        <w:rPr>
          <w:rFonts w:hint="eastAsia" w:ascii="宋体" w:hAnsi="宋体" w:cs="宋体"/>
          <w:color w:val="000000" w:themeColor="text1"/>
          <w:highlight w:val="none"/>
          <w14:textFill>
            <w14:solidFill>
              <w14:schemeClr w14:val="tx1"/>
            </w14:solidFill>
          </w14:textFill>
        </w:rPr>
        <w:t>磋商文件能够详细列明采购标的的技术、服务要求的，磋商结束后，磋商小组应当要求所有实质性响应的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在规定时间内提交最后报价，提交最后报价的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不得少于3家。</w:t>
      </w:r>
    </w:p>
    <w:p w14:paraId="4687E66A">
      <w:pPr>
        <w:overflowPunct/>
        <w:bidi w:val="0"/>
        <w:spacing w:line="360" w:lineRule="auto"/>
        <w:ind w:firstLine="420" w:firstLineChars="200"/>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磋商文件不能详细列明采购标的的技术、服务要求，需经磋商由</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提供最终设计方案或解决方案的，磋商结束后，磋商小组应当按照少数服从多数的原则投票推荐3家以上</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的设计方案或者解决方案，并要求其在规定时间内提交最后报价。最后报价是</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响应文件的有效组成部分。</w:t>
      </w:r>
    </w:p>
    <w:p w14:paraId="76C82044">
      <w:pPr>
        <w:overflowPunct/>
        <w:bidi w:val="0"/>
        <w:spacing w:line="360" w:lineRule="auto"/>
        <w:ind w:firstLine="420" w:firstLineChars="200"/>
        <w:outlineLvl w:val="9"/>
        <w:rPr>
          <w:rFonts w:ascii="宋体" w:hAnsi="宋体"/>
          <w:color w:val="000000" w:themeColor="text1"/>
          <w:szCs w:val="21"/>
          <w:highlight w:val="none"/>
          <w:lang w:val="zh-TW"/>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已提交响应文件的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，在提交最后报价之前，可以根据磋商情况退出磋商。采购人、采购代理机构应当退还退出磋商的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的磋商保证金。</w:t>
      </w:r>
    </w:p>
    <w:p w14:paraId="2F82FB9A">
      <w:pPr>
        <w:overflowPunct/>
        <w:bidi w:val="0"/>
        <w:spacing w:line="360" w:lineRule="auto"/>
        <w:ind w:firstLine="420" w:firstLineChars="200"/>
        <w:outlineLvl w:val="9"/>
        <w:rPr>
          <w:rFonts w:ascii="宋体" w:hAnsi="宋体"/>
          <w:color w:val="000000" w:themeColor="text1"/>
          <w:szCs w:val="21"/>
          <w:highlight w:val="none"/>
          <w:lang w:val="zh-TW"/>
          <w14:textFill>
            <w14:solidFill>
              <w14:schemeClr w14:val="tx1"/>
            </w14:solidFill>
          </w14:textFill>
        </w:rPr>
      </w:pPr>
      <w:r>
        <w:rPr>
          <w:rFonts w:hint="eastAsia" w:ascii="宋体" w:hAnsi="宋体"/>
          <w:color w:val="000000" w:themeColor="text1"/>
          <w:szCs w:val="21"/>
          <w:highlight w:val="none"/>
          <w:lang w:val="zh-TW"/>
          <w14:textFill>
            <w14:solidFill>
              <w14:schemeClr w14:val="tx1"/>
            </w14:solidFill>
          </w14:textFill>
        </w:rPr>
        <w:t>6.3.4</w:t>
      </w:r>
      <w:r>
        <w:rPr>
          <w:rFonts w:hint="eastAsia" w:ascii="宋体" w:hAnsi="宋体"/>
          <w:color w:val="000000" w:themeColor="text1"/>
          <w:szCs w:val="21"/>
          <w:highlight w:val="none"/>
          <w14:textFill>
            <w14:solidFill>
              <w14:schemeClr w14:val="tx1"/>
            </w14:solidFill>
          </w14:textFill>
        </w:rPr>
        <w:t>经磋商确定最终采购需求和提交最后报价的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后，由磋商小组采用综合评分法对提交最后报价的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的响应文件和最后报价进行综合评分</w:t>
      </w:r>
      <w:r>
        <w:rPr>
          <w:rFonts w:ascii="宋体" w:hAnsi="宋体"/>
          <w:color w:val="000000" w:themeColor="text1"/>
          <w:szCs w:val="21"/>
          <w:highlight w:val="none"/>
          <w:lang w:val="zh-TW"/>
          <w14:textFill>
            <w14:solidFill>
              <w14:schemeClr w14:val="tx1"/>
            </w14:solidFill>
          </w14:textFill>
        </w:rPr>
        <w:t>；</w:t>
      </w:r>
    </w:p>
    <w:p w14:paraId="33886428">
      <w:pPr>
        <w:overflowPunct/>
        <w:bidi w:val="0"/>
        <w:spacing w:line="360" w:lineRule="auto"/>
        <w:ind w:firstLine="420" w:firstLineChars="200"/>
        <w:outlineLvl w:val="9"/>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zh-TW"/>
          <w14:textFill>
            <w14:solidFill>
              <w14:schemeClr w14:val="tx1"/>
            </w14:solidFill>
          </w14:textFill>
        </w:rPr>
        <w:t>6.3.5</w:t>
      </w:r>
      <w:r>
        <w:rPr>
          <w:rFonts w:hint="eastAsia"/>
          <w:color w:val="000000" w:themeColor="text1"/>
          <w:szCs w:val="21"/>
          <w:highlight w:val="none"/>
          <w14:textFill>
            <w14:solidFill>
              <w14:schemeClr w14:val="tx1"/>
            </w14:solidFill>
          </w14:textFill>
        </w:rPr>
        <w:t>磋商小组应当根据综合评分情况，按照评审得分由高到低顺序推荐3名成交候选人，并编写评审报告。评审得分相同的，按照最后报价由低到高的顺序推荐。评审得分且最后报价相同的，按照技术指标优劣顺序推荐。</w:t>
      </w:r>
    </w:p>
    <w:p w14:paraId="4324E6E2">
      <w:pPr>
        <w:overflowPunct/>
        <w:bidi w:val="0"/>
        <w:outlineLvl w:val="9"/>
        <w:rPr>
          <w:rFonts w:ascii="宋体" w:hAnsi="宋体"/>
          <w:color w:val="000000" w:themeColor="text1"/>
          <w:highlight w:val="none"/>
          <w14:textFill>
            <w14:solidFill>
              <w14:schemeClr w14:val="tx1"/>
            </w14:solidFill>
          </w14:textFill>
        </w:rPr>
      </w:pPr>
      <w:bookmarkStart w:id="32" w:name="_Toc184635077"/>
      <w:r>
        <w:rPr>
          <w:rFonts w:hint="eastAsia" w:ascii="宋体" w:hAnsi="宋体"/>
          <w:color w:val="000000" w:themeColor="text1"/>
          <w:highlight w:val="none"/>
          <w14:textFill>
            <w14:solidFill>
              <w14:schemeClr w14:val="tx1"/>
            </w14:solidFill>
          </w14:textFill>
        </w:rPr>
        <w:t>7．合同授予</w:t>
      </w:r>
      <w:bookmarkEnd w:id="32"/>
    </w:p>
    <w:p w14:paraId="6FB84B40">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7.1 定标方式</w:t>
      </w:r>
    </w:p>
    <w:p w14:paraId="14EA68E5">
      <w:pPr>
        <w:overflowPunct/>
        <w:bidi w:val="0"/>
        <w:spacing w:line="400" w:lineRule="exact"/>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除</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须知前附表规定磋商小组直接确定成交单位外，采购人依据磋商小组推荐的成交候选人确定中标成交单位，磋商小组推荐成交候选人的人数见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5053E86D">
      <w:pPr>
        <w:overflowPunct/>
        <w:bidi w:val="0"/>
        <w:spacing w:line="400" w:lineRule="exact"/>
        <w:ind w:firstLine="420" w:firstLineChars="20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采购代理机构应当在评审结束后2个工作日内将评审报告送采购人确认。</w:t>
      </w:r>
    </w:p>
    <w:p w14:paraId="16BF1587">
      <w:pPr>
        <w:overflowPunct/>
        <w:bidi w:val="0"/>
        <w:spacing w:line="400" w:lineRule="exact"/>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采购人应当在收到评审报告后5个工作日内，从评审报告</w:t>
      </w:r>
      <w:r>
        <w:rPr>
          <w:rFonts w:hint="eastAsia"/>
          <w:color w:val="000000" w:themeColor="text1"/>
          <w:highlight w:val="none"/>
          <w:lang w:val="en-US" w:eastAsia="zh-CN"/>
          <w14:textFill>
            <w14:solidFill>
              <w14:schemeClr w14:val="tx1"/>
            </w14:solidFill>
          </w14:textFill>
        </w:rPr>
        <w:t>推荐</w:t>
      </w:r>
      <w:r>
        <w:rPr>
          <w:rFonts w:hint="eastAsia"/>
          <w:color w:val="000000" w:themeColor="text1"/>
          <w:highlight w:val="none"/>
          <w14:textFill>
            <w14:solidFill>
              <w14:schemeClr w14:val="tx1"/>
            </w14:solidFill>
          </w14:textFill>
        </w:rPr>
        <w:t>的成交候选</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中，按照排序由高到低的原则确定</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，也可以书面授权磋商小组直接确定</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。采购人逾期未确定</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且不提出异议的，视为确定评审报告提出的排序第一的</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为</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w:t>
      </w:r>
    </w:p>
    <w:p w14:paraId="7F9F8FEE">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7.2 成交通知</w:t>
      </w:r>
    </w:p>
    <w:p w14:paraId="2E5F29B5">
      <w:pPr>
        <w:overflowPunct/>
        <w:bidi w:val="0"/>
        <w:spacing w:line="400" w:lineRule="exact"/>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采购人或者采购代理机构应当在</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确定后2个工作日内，在省级以上财政部门指定的政府采购信息发布媒体上公告成交结果，同时向</w:t>
      </w:r>
      <w:r>
        <w:rPr>
          <w:rFonts w:hint="eastAsia"/>
          <w:color w:val="000000" w:themeColor="text1"/>
          <w:highlight w:val="none"/>
          <w:lang w:eastAsia="zh-CN"/>
          <w14:textFill>
            <w14:solidFill>
              <w14:schemeClr w14:val="tx1"/>
            </w14:solidFill>
          </w14:textFill>
        </w:rPr>
        <w:t>成交人</w:t>
      </w:r>
      <w:r>
        <w:rPr>
          <w:rFonts w:hint="eastAsia"/>
          <w:color w:val="000000" w:themeColor="text1"/>
          <w:highlight w:val="none"/>
          <w14:textFill>
            <w14:solidFill>
              <w14:schemeClr w14:val="tx1"/>
            </w14:solidFill>
          </w14:textFill>
        </w:rPr>
        <w:t>发出成交通知书，并将磋商文件随成交结果同时公告。</w:t>
      </w:r>
    </w:p>
    <w:p w14:paraId="05A29995">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7.3 履约担保</w:t>
      </w:r>
      <w:r>
        <w:rPr>
          <w:rFonts w:hint="eastAsia" w:ascii="宋体" w:hAnsi="宋体" w:eastAsia="宋体"/>
          <w:color w:val="000000" w:themeColor="text1"/>
          <w:highlight w:val="none"/>
          <w:lang w:val="zh-CN"/>
          <w14:textFill>
            <w14:solidFill>
              <w14:schemeClr w14:val="tx1"/>
            </w14:solidFill>
          </w14:textFill>
        </w:rPr>
        <w:t>（</w:t>
      </w:r>
      <w:r>
        <w:rPr>
          <w:rFonts w:hint="eastAsia" w:ascii="宋体" w:hAnsi="宋体" w:eastAsia="宋体"/>
          <w:color w:val="000000" w:themeColor="text1"/>
          <w:highlight w:val="none"/>
          <w:lang w:val="en-US" w:eastAsia="zh-CN"/>
          <w14:textFill>
            <w14:solidFill>
              <w14:schemeClr w14:val="tx1"/>
            </w14:solidFill>
          </w14:textFill>
        </w:rPr>
        <w:t>本项目不收取</w:t>
      </w:r>
      <w:r>
        <w:rPr>
          <w:rFonts w:hint="eastAsia" w:ascii="宋体" w:hAnsi="宋体" w:eastAsia="宋体"/>
          <w:color w:val="000000" w:themeColor="text1"/>
          <w:highlight w:val="none"/>
          <w:lang w:val="zh-CN"/>
          <w14:textFill>
            <w14:solidFill>
              <w14:schemeClr w14:val="tx1"/>
            </w14:solidFill>
          </w14:textFill>
        </w:rPr>
        <w:t>）</w:t>
      </w:r>
    </w:p>
    <w:p w14:paraId="17063F86">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7.3.1 在签订合同前，中标人应按</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须知前附表规定的金额、担保形式和磋商文件第四章“合同条款及格式”规定的履约担保格式向采购人提交履约担保。联合体中标的，其履约担保由牵头人递交，并应符合</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须知前附表规定的金额、担保形式和磋商文件第四章“合同条款及格式”规定的履约担保格式要求。</w:t>
      </w:r>
    </w:p>
    <w:p w14:paraId="6C17BB0C">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7.3.2 中标人不能按本章第7.3.1 项要求提交履约担保的，视为放弃中标，其磋商保证金不予退还，给采购人造成的损失超过磋商保证金数额的，中标人还应当对超过部分予以赔偿。</w:t>
      </w:r>
    </w:p>
    <w:p w14:paraId="3FF4BC40">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7.4 签订合同</w:t>
      </w:r>
    </w:p>
    <w:p w14:paraId="3F7DCE66">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7.4.1 采购人和中标人应当自成交通知书发出之日起30 天内，根据磋商文件和中标人的响应文件订立书面合同。中标人无正当理由拒签合同的，采购人取消其中标资格，其磋商保证金不予退还；给采购人造成的损失超过磋商保证金数额的，中标人还应当对超过部分予以赔偿。</w:t>
      </w:r>
    </w:p>
    <w:p w14:paraId="3010D050">
      <w:pPr>
        <w:overflowPunct/>
        <w:bidi w:val="0"/>
        <w:spacing w:line="400" w:lineRule="exact"/>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7.4.2 发出成交通知书后，采购人无正当理由拒签合同的，采购人向中标人退还磋商保证金；给中标人造成损失的，还应当赔偿损失。</w:t>
      </w:r>
    </w:p>
    <w:p w14:paraId="1EFA2366">
      <w:pPr>
        <w:overflowPunct/>
        <w:bidi w:val="0"/>
        <w:spacing w:line="400" w:lineRule="exact"/>
        <w:ind w:firstLine="420" w:firstLineChars="200"/>
        <w:outlineLvl w:val="9"/>
        <w:rPr>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7.4.3</w:t>
      </w:r>
      <w:r>
        <w:rPr>
          <w:rFonts w:hint="eastAsia"/>
          <w:color w:val="000000" w:themeColor="text1"/>
          <w:szCs w:val="21"/>
          <w:highlight w:val="none"/>
          <w14:textFill>
            <w14:solidFill>
              <w14:schemeClr w14:val="tx1"/>
            </w14:solidFill>
          </w14:textFill>
        </w:rPr>
        <w:t>采购人应当确定排名第一的成交候选人为成标人。排名第一的成交候选人放弃中标、因不可抗力不能履行合同、不按照磋商文件要求提交履约保证金，或者被查实存在影响中标结果的违法行为等情形，不符合中标条件的，采购人可以按照磋商小组提出的成交候选人名单排序依次确定其他成交候选人为中标人，也可以重新招标。</w:t>
      </w:r>
    </w:p>
    <w:p w14:paraId="1A22694F">
      <w:pPr>
        <w:overflowPunct/>
        <w:bidi w:val="0"/>
        <w:outlineLvl w:val="9"/>
        <w:rPr>
          <w:rFonts w:ascii="宋体" w:hAnsi="宋体"/>
          <w:color w:val="000000" w:themeColor="text1"/>
          <w:highlight w:val="none"/>
          <w14:textFill>
            <w14:solidFill>
              <w14:schemeClr w14:val="tx1"/>
            </w14:solidFill>
          </w14:textFill>
        </w:rPr>
      </w:pPr>
      <w:bookmarkStart w:id="33" w:name="_Toc184635078"/>
      <w:r>
        <w:rPr>
          <w:rFonts w:hint="eastAsia" w:ascii="宋体" w:hAnsi="宋体"/>
          <w:color w:val="000000" w:themeColor="text1"/>
          <w:highlight w:val="none"/>
          <w14:textFill>
            <w14:solidFill>
              <w14:schemeClr w14:val="tx1"/>
            </w14:solidFill>
          </w14:textFill>
        </w:rPr>
        <w:t>8．重新招标和不再招标</w:t>
      </w:r>
      <w:bookmarkEnd w:id="33"/>
    </w:p>
    <w:p w14:paraId="4515169D">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8.1 重新招标</w:t>
      </w:r>
    </w:p>
    <w:p w14:paraId="3A683AF9">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有下列情形之一的，采购人将重新招标：</w:t>
      </w:r>
    </w:p>
    <w:p w14:paraId="5C6086E8">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(l）投标截止时间止，</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少于3 个的；</w:t>
      </w:r>
    </w:p>
    <w:p w14:paraId="2C1E69A2">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(2）经磋商小组评审后否决所有投标的。</w:t>
      </w:r>
    </w:p>
    <w:p w14:paraId="58AB9A31">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8.2 不再招标</w:t>
      </w:r>
    </w:p>
    <w:p w14:paraId="47A1D94A">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重新招标后</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仍少于3 个或者所有投标被否决的，属于必须审批或核准的工程建设项目，经原审批或核准部门批准后不再进行招标。</w:t>
      </w:r>
    </w:p>
    <w:p w14:paraId="6CA25E04">
      <w:pPr>
        <w:overflowPunct/>
        <w:bidi w:val="0"/>
        <w:outlineLvl w:val="9"/>
        <w:rPr>
          <w:rFonts w:ascii="宋体" w:hAnsi="宋体"/>
          <w:color w:val="000000" w:themeColor="text1"/>
          <w:highlight w:val="none"/>
          <w14:textFill>
            <w14:solidFill>
              <w14:schemeClr w14:val="tx1"/>
            </w14:solidFill>
          </w14:textFill>
        </w:rPr>
      </w:pPr>
      <w:bookmarkStart w:id="34" w:name="_Toc184635079"/>
      <w:r>
        <w:rPr>
          <w:rFonts w:hint="eastAsia" w:ascii="宋体" w:hAnsi="宋体"/>
          <w:color w:val="000000" w:themeColor="text1"/>
          <w:highlight w:val="none"/>
          <w14:textFill>
            <w14:solidFill>
              <w14:schemeClr w14:val="tx1"/>
            </w14:solidFill>
          </w14:textFill>
        </w:rPr>
        <w:t>9．纪律和监督</w:t>
      </w:r>
      <w:bookmarkEnd w:id="34"/>
    </w:p>
    <w:p w14:paraId="098E6442">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9.1 对采购人的纪律要求</w:t>
      </w:r>
    </w:p>
    <w:p w14:paraId="4F57FCF0">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采购人不得泄漏磋商活动中应当保密的情况和资料，不得与</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串通损害国家利益、社会公共利益或者他人合法权益。</w:t>
      </w:r>
    </w:p>
    <w:p w14:paraId="58319E33">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9.2 对</w:t>
      </w:r>
      <w:r>
        <w:rPr>
          <w:rFonts w:hint="eastAsia" w:ascii="宋体" w:hAnsi="宋体" w:eastAsia="宋体"/>
          <w:color w:val="000000" w:themeColor="text1"/>
          <w:highlight w:val="none"/>
          <w:lang w:eastAsia="zh-CN"/>
          <w14:textFill>
            <w14:solidFill>
              <w14:schemeClr w14:val="tx1"/>
            </w14:solidFill>
          </w14:textFill>
        </w:rPr>
        <w:t>供应商</w:t>
      </w:r>
      <w:r>
        <w:rPr>
          <w:rFonts w:hint="eastAsia" w:ascii="宋体" w:hAnsi="宋体" w:eastAsia="宋体"/>
          <w:color w:val="000000" w:themeColor="text1"/>
          <w:highlight w:val="none"/>
          <w14:textFill>
            <w14:solidFill>
              <w14:schemeClr w14:val="tx1"/>
            </w14:solidFill>
          </w14:textFill>
        </w:rPr>
        <w:t>的纪律要求</w:t>
      </w:r>
    </w:p>
    <w:p w14:paraId="3E813704">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不得相互串通投标或者与采购人串通投标，不得向采购人或者磋商小组成员行贿谋取中标，不得以他人名义投标或者以其他方式弄虚作假骗取中标；</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不得以任何方式干扰、影响评审工作工作。</w:t>
      </w:r>
    </w:p>
    <w:p w14:paraId="69C7A0EA">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9.3 对磋商小组成员的纪律要求</w:t>
      </w:r>
    </w:p>
    <w:p w14:paraId="7B3B542C">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小组成员不得收受他人的财物或者其他好处，不得向他人透漏对响应文件的评审和比较、成交候选人的推荐情况以及评审工作有关的其他情况。在评审工作活动中，磋商小组成员不得擅离职守，影响评审工作程序正常进行，不得使用第三章“评审办法”没有规定的评审因素和标准进行评审工作。</w:t>
      </w:r>
    </w:p>
    <w:p w14:paraId="6388A51B">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9.4 对与评审活动有关的工作人员的纪律要求</w:t>
      </w:r>
    </w:p>
    <w:p w14:paraId="243BC3B5">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与评审活动有关的工作人员不得收受他人的财物或者其他好处，不得向他人透漏对响应文件的评审和比较、成交候选人的推荐情况以及评审工作有关的其他情况。在评审活动中，与评审活动有关的工作人员不得擅离职守，影响评审工作程序正常进行。</w:t>
      </w:r>
    </w:p>
    <w:p w14:paraId="70F023E8">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9.5 投诉</w:t>
      </w:r>
    </w:p>
    <w:p w14:paraId="476AE290">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和其他利害关系人认为本次</w:t>
      </w:r>
      <w:r>
        <w:rPr>
          <w:rFonts w:hint="eastAsia" w:ascii="宋体" w:hAnsi="宋体"/>
          <w:color w:val="000000" w:themeColor="text1"/>
          <w:szCs w:val="21"/>
          <w:highlight w:val="none"/>
          <w:lang w:val="en-US" w:eastAsia="zh-CN"/>
          <w14:textFill>
            <w14:solidFill>
              <w14:schemeClr w14:val="tx1"/>
            </w14:solidFill>
          </w14:textFill>
        </w:rPr>
        <w:t>采购</w:t>
      </w:r>
      <w:r>
        <w:rPr>
          <w:rFonts w:hint="eastAsia" w:ascii="宋体" w:hAnsi="宋体"/>
          <w:color w:val="000000" w:themeColor="text1"/>
          <w:szCs w:val="21"/>
          <w:highlight w:val="none"/>
          <w14:textFill>
            <w14:solidFill>
              <w14:schemeClr w14:val="tx1"/>
            </w14:solidFill>
          </w14:textFill>
        </w:rPr>
        <w:t>活动违反法律、法规和规章规定的，有权向有关行政监督部门投诉。</w:t>
      </w:r>
    </w:p>
    <w:p w14:paraId="6CE030CF">
      <w:pPr>
        <w:overflowPunct/>
        <w:bidi w:val="0"/>
        <w:outlineLvl w:val="9"/>
        <w:rPr>
          <w:rFonts w:ascii="宋体" w:hAnsi="宋体"/>
          <w:color w:val="000000" w:themeColor="text1"/>
          <w:highlight w:val="none"/>
          <w14:textFill>
            <w14:solidFill>
              <w14:schemeClr w14:val="tx1"/>
            </w14:solidFill>
          </w14:textFill>
        </w:rPr>
      </w:pPr>
      <w:bookmarkStart w:id="35" w:name="_Toc184635080"/>
      <w:r>
        <w:rPr>
          <w:rFonts w:hint="eastAsia" w:ascii="宋体" w:hAnsi="宋体"/>
          <w:color w:val="000000" w:themeColor="text1"/>
          <w:highlight w:val="none"/>
          <w14:textFill>
            <w14:solidFill>
              <w14:schemeClr w14:val="tx1"/>
            </w14:solidFill>
          </w14:textFill>
        </w:rPr>
        <w:t>10</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需要补充的其他内容</w:t>
      </w:r>
      <w:bookmarkEnd w:id="35"/>
    </w:p>
    <w:p w14:paraId="3A6E6D67">
      <w:pPr>
        <w:overflowPunct/>
        <w:bidi w:val="0"/>
        <w:spacing w:line="360" w:lineRule="auto"/>
        <w:ind w:firstLine="420" w:firstLineChars="200"/>
        <w:outlineLvl w:val="9"/>
        <w:rPr>
          <w:rFonts w:ascii="宋体" w:hAnsi="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需要补充的其他内容：见</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w:t>
      </w:r>
    </w:p>
    <w:p w14:paraId="0EA2DE4C">
      <w:pPr>
        <w:keepNext w:val="0"/>
        <w:keepLines w:val="0"/>
        <w:pageBreakBefore w:val="0"/>
        <w:widowControl w:val="0"/>
        <w:kinsoku/>
        <w:wordWrap/>
        <w:overflowPunct/>
        <w:topLinePunct w:val="0"/>
        <w:autoSpaceDE/>
        <w:autoSpaceDN/>
        <w:bidi w:val="0"/>
        <w:adjustRightInd/>
        <w:snapToGrid/>
        <w:jc w:val="center"/>
        <w:textAlignment w:val="auto"/>
        <w:outlineLvl w:val="0"/>
        <w:rPr>
          <w:rFonts w:ascii="宋体" w:hAnsi="宋体"/>
          <w:b/>
          <w:color w:val="000000" w:themeColor="text1"/>
          <w:sz w:val="32"/>
          <w:szCs w:val="32"/>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bookmarkStart w:id="36" w:name="_Toc30908"/>
      <w:bookmarkStart w:id="37" w:name="_Toc7816"/>
      <w:r>
        <w:rPr>
          <w:rFonts w:hint="eastAsia" w:ascii="宋体" w:hAnsi="宋体"/>
          <w:b/>
          <w:bCs/>
          <w:color w:val="000000" w:themeColor="text1"/>
          <w:sz w:val="36"/>
          <w:szCs w:val="36"/>
          <w:highlight w:val="none"/>
          <w:lang w:eastAsia="zh-CN"/>
          <w14:textFill>
            <w14:solidFill>
              <w14:schemeClr w14:val="tx1"/>
            </w14:solidFill>
          </w14:textFill>
        </w:rPr>
        <w:t>第二章</w:t>
      </w:r>
      <w:r>
        <w:rPr>
          <w:rFonts w:hint="eastAsia" w:ascii="宋体" w:hAnsi="宋体"/>
          <w:b/>
          <w:bCs/>
          <w:color w:val="000000" w:themeColor="text1"/>
          <w:sz w:val="36"/>
          <w:szCs w:val="36"/>
          <w:highlight w:val="none"/>
          <w:lang w:val="en-US" w:eastAsia="zh-CN"/>
          <w14:textFill>
            <w14:solidFill>
              <w14:schemeClr w14:val="tx1"/>
            </w14:solidFill>
          </w14:textFill>
        </w:rPr>
        <w:t xml:space="preserve"> </w:t>
      </w:r>
      <w:r>
        <w:rPr>
          <w:rFonts w:hint="eastAsia" w:eastAsia="宋体"/>
          <w:b/>
          <w:bCs/>
          <w:color w:val="000000" w:themeColor="text1"/>
          <w:sz w:val="36"/>
          <w:szCs w:val="36"/>
          <w:highlight w:val="none"/>
          <w:lang w:val="en-US" w:eastAsia="zh-CN"/>
          <w14:textFill>
            <w14:solidFill>
              <w14:schemeClr w14:val="tx1"/>
            </w14:solidFill>
          </w14:textFill>
        </w:rPr>
        <w:t>评审办法（综合评分法）</w:t>
      </w:r>
      <w:bookmarkEnd w:id="36"/>
      <w:bookmarkEnd w:id="37"/>
    </w:p>
    <w:p w14:paraId="3978C675">
      <w:pPr>
        <w:overflowPunct/>
        <w:bidi w:val="0"/>
        <w:spacing w:afterLines="50"/>
        <w:jc w:val="center"/>
        <w:outlineLvl w:val="9"/>
        <w:rPr>
          <w:rFonts w:ascii="宋体" w:hAnsi="宋体"/>
          <w:b/>
          <w:color w:val="000000" w:themeColor="text1"/>
          <w:sz w:val="32"/>
          <w:szCs w:val="32"/>
          <w:highlight w:val="none"/>
          <w14:textFill>
            <w14:solidFill>
              <w14:schemeClr w14:val="tx1"/>
            </w14:solidFill>
          </w14:textFill>
        </w:rPr>
      </w:pPr>
      <w:bookmarkStart w:id="38" w:name="_Toc184635093"/>
      <w:r>
        <w:rPr>
          <w:rFonts w:hint="eastAsia" w:ascii="宋体" w:hAnsi="宋体"/>
          <w:b/>
          <w:color w:val="000000" w:themeColor="text1"/>
          <w:sz w:val="32"/>
          <w:szCs w:val="32"/>
          <w:highlight w:val="none"/>
          <w14:textFill>
            <w14:solidFill>
              <w14:schemeClr w14:val="tx1"/>
            </w14:solidFill>
          </w14:textFill>
        </w:rPr>
        <w:t>评审办法前附表</w:t>
      </w:r>
    </w:p>
    <w:p w14:paraId="28F28640">
      <w:pPr>
        <w:overflowPunct/>
        <w:bidi w:val="0"/>
        <w:spacing w:afterLines="50"/>
        <w:jc w:val="center"/>
        <w:outlineLvl w:val="9"/>
        <w:rPr>
          <w:rFonts w:hint="eastAsia" w:ascii="宋体" w:hAnsi="宋体" w:eastAsia="宋体"/>
          <w:b/>
          <w:color w:val="000000" w:themeColor="text1"/>
          <w:szCs w:val="21"/>
          <w:highlight w:val="none"/>
          <w:lang w:val="en-US" w:eastAsia="zh-CN"/>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初步评审</w:t>
      </w:r>
      <w:r>
        <w:rPr>
          <w:rFonts w:hint="eastAsia" w:ascii="宋体" w:hAnsi="宋体"/>
          <w:b/>
          <w:color w:val="000000" w:themeColor="text1"/>
          <w:szCs w:val="21"/>
          <w:highlight w:val="none"/>
          <w:lang w:val="en-US" w:eastAsia="zh-CN"/>
          <w14:textFill>
            <w14:solidFill>
              <w14:schemeClr w14:val="tx1"/>
            </w14:solidFill>
          </w14:textFill>
        </w:rPr>
        <w:t>标准</w:t>
      </w:r>
    </w:p>
    <w:tbl>
      <w:tblPr>
        <w:tblStyle w:val="3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49"/>
        <w:gridCol w:w="1710"/>
        <w:gridCol w:w="6039"/>
      </w:tblGrid>
      <w:tr w14:paraId="58E9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890" w:type="dxa"/>
            <w:gridSpan w:val="2"/>
            <w:vAlign w:val="center"/>
          </w:tcPr>
          <w:p w14:paraId="1B9B4719">
            <w:pPr>
              <w:overflowPunct/>
              <w:bidi w:val="0"/>
              <w:jc w:val="center"/>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条款号</w:t>
            </w:r>
          </w:p>
        </w:tc>
        <w:tc>
          <w:tcPr>
            <w:tcW w:w="1710" w:type="dxa"/>
            <w:vAlign w:val="center"/>
          </w:tcPr>
          <w:p w14:paraId="2D0DC9CF">
            <w:pPr>
              <w:overflowPunct/>
              <w:bidi w:val="0"/>
              <w:jc w:val="center"/>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评审因素</w:t>
            </w:r>
          </w:p>
        </w:tc>
        <w:tc>
          <w:tcPr>
            <w:tcW w:w="6039" w:type="dxa"/>
            <w:vAlign w:val="center"/>
          </w:tcPr>
          <w:p w14:paraId="487FED17">
            <w:pPr>
              <w:overflowPunct/>
              <w:bidi w:val="0"/>
              <w:jc w:val="center"/>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评审标准</w:t>
            </w:r>
          </w:p>
        </w:tc>
      </w:tr>
      <w:tr w14:paraId="1CA5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restart"/>
            <w:vAlign w:val="center"/>
          </w:tcPr>
          <w:p w14:paraId="5E748101">
            <w:pPr>
              <w:overflowPunct/>
              <w:bidi w:val="0"/>
              <w:jc w:val="center"/>
              <w:outlineLvl w:val="9"/>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r>
              <w:rPr>
                <w:rFonts w:hint="eastAsia" w:ascii="宋体" w:hAnsi="宋体"/>
                <w:color w:val="000000" w:themeColor="text1"/>
                <w:szCs w:val="21"/>
                <w:highlight w:val="none"/>
                <w:lang w:val="en-US" w:eastAsia="zh-CN"/>
                <w14:textFill>
                  <w14:solidFill>
                    <w14:schemeClr w14:val="tx1"/>
                  </w14:solidFill>
                </w14:textFill>
              </w:rPr>
              <w:t>1</w:t>
            </w:r>
          </w:p>
        </w:tc>
        <w:tc>
          <w:tcPr>
            <w:tcW w:w="1149" w:type="dxa"/>
            <w:vMerge w:val="restart"/>
            <w:vAlign w:val="center"/>
          </w:tcPr>
          <w:p w14:paraId="574EEB7F">
            <w:pPr>
              <w:overflowPunct/>
              <w:bidi w:val="0"/>
              <w:jc w:val="center"/>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资格评审标  准</w:t>
            </w:r>
          </w:p>
        </w:tc>
        <w:tc>
          <w:tcPr>
            <w:tcW w:w="1710" w:type="dxa"/>
            <w:vAlign w:val="center"/>
          </w:tcPr>
          <w:p w14:paraId="7E5C4E6D">
            <w:pPr>
              <w:overflowPunct/>
              <w:bidi w:val="0"/>
              <w:jc w:val="center"/>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营业执照</w:t>
            </w:r>
          </w:p>
        </w:tc>
        <w:tc>
          <w:tcPr>
            <w:tcW w:w="6039" w:type="dxa"/>
            <w:vAlign w:val="center"/>
          </w:tcPr>
          <w:p w14:paraId="47048385">
            <w:pPr>
              <w:overflowPunct/>
              <w:bidi w:val="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具备有效的营业执照</w:t>
            </w:r>
          </w:p>
          <w:p w14:paraId="5286A15E">
            <w:pPr>
              <w:overflowPunct/>
              <w:bidi w:val="0"/>
              <w:outlineLvl w:val="9"/>
              <w:rPr>
                <w:rFonts w:ascii="宋体" w:hAnsi="宋体"/>
                <w:b w:val="0"/>
                <w:bCs w:val="0"/>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（提供营业执照副本</w:t>
            </w:r>
            <w:r>
              <w:rPr>
                <w:rFonts w:hint="eastAsia" w:ascii="宋体" w:hAnsi="宋体" w:eastAsia="宋体" w:cs="宋体"/>
                <w:color w:val="000000" w:themeColor="text1"/>
                <w:szCs w:val="21"/>
                <w:highlight w:val="none"/>
                <w:lang w:val="en-US" w:eastAsia="zh-CN"/>
                <w14:textFill>
                  <w14:solidFill>
                    <w14:schemeClr w14:val="tx1"/>
                  </w14:solidFill>
                </w14:textFill>
              </w:rPr>
              <w:t>复印件</w:t>
            </w:r>
            <w:r>
              <w:rPr>
                <w:rFonts w:hint="eastAsia" w:ascii="宋体" w:hAnsi="宋体" w:eastAsia="宋体" w:cs="宋体"/>
                <w:color w:val="000000" w:themeColor="text1"/>
                <w:szCs w:val="21"/>
                <w:highlight w:val="none"/>
                <w14:textFill>
                  <w14:solidFill>
                    <w14:schemeClr w14:val="tx1"/>
                  </w14:solidFill>
                </w14:textFill>
              </w:rPr>
              <w:t>加盖公章）。</w:t>
            </w:r>
          </w:p>
        </w:tc>
      </w:tr>
      <w:tr w14:paraId="1D4D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41" w:type="dxa"/>
            <w:vMerge w:val="continue"/>
            <w:vAlign w:val="center"/>
          </w:tcPr>
          <w:p w14:paraId="32B89323">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1E35CA26">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vAlign w:val="center"/>
          </w:tcPr>
          <w:p w14:paraId="202F48FD">
            <w:pPr>
              <w:pStyle w:val="106"/>
              <w:overflowPunct/>
              <w:bidi w:val="0"/>
              <w:spacing w:line="240" w:lineRule="auto"/>
              <w:jc w:val="center"/>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落实政府采购政策需满足的资格要求</w:t>
            </w:r>
          </w:p>
        </w:tc>
        <w:tc>
          <w:tcPr>
            <w:tcW w:w="6039" w:type="dxa"/>
            <w:vAlign w:val="center"/>
          </w:tcPr>
          <w:p w14:paraId="74DC78E3">
            <w:pPr>
              <w:overflowPunct/>
              <w:autoSpaceDE w:val="0"/>
              <w:autoSpaceDN w:val="0"/>
              <w:bidi w:val="0"/>
              <w:adjustRightInd w:val="0"/>
              <w:spacing w:line="240" w:lineRule="auto"/>
              <w:jc w:val="both"/>
              <w:outlineLvl w:val="9"/>
              <w:rPr>
                <w:rFonts w:hint="eastAsia" w:ascii="宋体" w:hAnsi="宋体"/>
                <w:b w:val="0"/>
                <w:bCs w:val="0"/>
                <w:color w:val="000000" w:themeColor="text1"/>
                <w:highlight w:val="none"/>
                <w14:textFill>
                  <w14:solidFill>
                    <w14:schemeClr w14:val="tx1"/>
                  </w14:solidFill>
                </w14:textFill>
              </w:rPr>
            </w:pPr>
            <w:r>
              <w:rPr>
                <w:rFonts w:hint="eastAsia" w:ascii="宋体" w:hAnsi="宋体"/>
                <w:b w:val="0"/>
                <w:bCs w:val="0"/>
                <w:color w:val="000000" w:themeColor="text1"/>
                <w:highlight w:val="none"/>
                <w14:textFill>
                  <w14:solidFill>
                    <w14:schemeClr w14:val="tx1"/>
                  </w14:solidFill>
                </w14:textFill>
              </w:rPr>
              <w:t>本项目</w:t>
            </w:r>
            <w:r>
              <w:rPr>
                <w:rFonts w:hint="eastAsia" w:ascii="宋体" w:hAnsi="宋体"/>
                <w:b w:val="0"/>
                <w:bCs w:val="0"/>
                <w:color w:val="000000" w:themeColor="text1"/>
                <w:highlight w:val="none"/>
                <w:lang w:eastAsia="zh-CN"/>
                <w14:textFill>
                  <w14:solidFill>
                    <w14:schemeClr w14:val="tx1"/>
                  </w14:solidFill>
                </w14:textFill>
              </w:rPr>
              <w:t>不</w:t>
            </w:r>
            <w:r>
              <w:rPr>
                <w:rFonts w:hint="eastAsia" w:ascii="宋体" w:hAnsi="宋体"/>
                <w:b w:val="0"/>
                <w:bCs w:val="0"/>
                <w:color w:val="000000" w:themeColor="text1"/>
                <w:highlight w:val="none"/>
                <w14:textFill>
                  <w14:solidFill>
                    <w14:schemeClr w14:val="tx1"/>
                  </w14:solidFill>
                </w14:textFill>
              </w:rPr>
              <w:t>专门面向中小企业采购</w:t>
            </w:r>
            <w:r>
              <w:rPr>
                <w:rFonts w:hint="eastAsia" w:ascii="宋体" w:hAnsi="宋体"/>
                <w:b w:val="0"/>
                <w:bCs w:val="0"/>
                <w:color w:val="000000" w:themeColor="text1"/>
                <w:highlight w:val="none"/>
                <w:lang w:eastAsia="zh-CN"/>
                <w14:textFill>
                  <w14:solidFill>
                    <w14:schemeClr w14:val="tx1"/>
                  </w14:solidFill>
                </w14:textFill>
              </w:rPr>
              <w:t>。</w:t>
            </w:r>
            <w:r>
              <w:rPr>
                <w:rFonts w:hint="eastAsia" w:ascii="宋体" w:hAnsi="宋体"/>
                <w:b w:val="0"/>
                <w:bCs w:val="0"/>
                <w:color w:val="000000" w:themeColor="text1"/>
                <w:highlight w:val="none"/>
                <w14:textFill>
                  <w14:solidFill>
                    <w14:schemeClr w14:val="tx1"/>
                  </w14:solidFill>
                </w14:textFill>
              </w:rPr>
              <w:t>本项目中小企业划分标准所属行业为：</w:t>
            </w:r>
            <w:r>
              <w:rPr>
                <w:rFonts w:hint="eastAsia" w:ascii="宋体" w:hAnsi="宋体"/>
                <w:b w:val="0"/>
                <w:bCs w:val="0"/>
                <w:color w:val="000000" w:themeColor="text1"/>
                <w:highlight w:val="none"/>
                <w:lang w:val="en-US" w:eastAsia="zh-CN"/>
                <w14:textFill>
                  <w14:solidFill>
                    <w14:schemeClr w14:val="tx1"/>
                  </w14:solidFill>
                </w14:textFill>
              </w:rPr>
              <w:t>工业</w:t>
            </w:r>
            <w:r>
              <w:rPr>
                <w:rFonts w:hint="eastAsia" w:ascii="宋体" w:hAnsi="宋体"/>
                <w:b w:val="0"/>
                <w:bCs w:val="0"/>
                <w:color w:val="000000" w:themeColor="text1"/>
                <w:highlight w:val="none"/>
                <w14:textFill>
                  <w14:solidFill>
                    <w14:schemeClr w14:val="tx1"/>
                  </w14:solidFill>
                </w14:textFill>
              </w:rPr>
              <w:t>。</w:t>
            </w:r>
          </w:p>
          <w:p w14:paraId="15262C29">
            <w:pPr>
              <w:overflowPunct/>
              <w:autoSpaceDE w:val="0"/>
              <w:autoSpaceDN w:val="0"/>
              <w:bidi w:val="0"/>
              <w:adjustRightInd w:val="0"/>
              <w:spacing w:line="240" w:lineRule="auto"/>
              <w:jc w:val="both"/>
              <w:outlineLvl w:val="9"/>
              <w:rPr>
                <w:rFonts w:hint="eastAsia" w:ascii="宋体" w:hAnsi="宋体"/>
                <w:b w:val="0"/>
                <w:bCs w:val="0"/>
                <w:color w:val="000000" w:themeColor="text1"/>
                <w:highlight w:val="none"/>
                <w14:textFill>
                  <w14:solidFill>
                    <w14:schemeClr w14:val="tx1"/>
                  </w14:solidFill>
                </w14:textFill>
              </w:rPr>
            </w:pPr>
            <w:r>
              <w:rPr>
                <w:rFonts w:hint="eastAsia" w:ascii="宋体" w:hAnsi="宋体"/>
                <w:b w:val="0"/>
                <w:bCs w:val="0"/>
                <w:color w:val="000000" w:themeColor="text1"/>
                <w:highlight w:val="none"/>
                <w14:textFill>
                  <w14:solidFill>
                    <w14:schemeClr w14:val="tx1"/>
                  </w14:solidFill>
                </w14:textFill>
              </w:rPr>
              <w:t>提供中小企业声明函或残疾人福利性单位、监狱企业证明原件于投标文件正本内。</w:t>
            </w:r>
          </w:p>
        </w:tc>
      </w:tr>
      <w:tr w14:paraId="4B31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41" w:type="dxa"/>
            <w:vMerge w:val="continue"/>
            <w:vAlign w:val="center"/>
          </w:tcPr>
          <w:p w14:paraId="7A5A4A24">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271126B3">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shd w:val="clear" w:color="auto" w:fill="auto"/>
            <w:vAlign w:val="center"/>
          </w:tcPr>
          <w:p w14:paraId="2679E14A">
            <w:pPr>
              <w:pStyle w:val="106"/>
              <w:overflowPunct/>
              <w:bidi w:val="0"/>
              <w:spacing w:line="240" w:lineRule="auto"/>
              <w:jc w:val="center"/>
              <w:outlineLvl w:val="9"/>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资格条件承诺函及信用承诺书</w:t>
            </w:r>
          </w:p>
        </w:tc>
        <w:tc>
          <w:tcPr>
            <w:tcW w:w="6039" w:type="dxa"/>
            <w:shd w:val="clear" w:color="auto" w:fill="auto"/>
            <w:vAlign w:val="center"/>
          </w:tcPr>
          <w:p w14:paraId="171C055F">
            <w:pPr>
              <w:overflowPunct/>
              <w:autoSpaceDE w:val="0"/>
              <w:autoSpaceDN w:val="0"/>
              <w:bidi w:val="0"/>
              <w:adjustRightInd w:val="0"/>
              <w:spacing w:line="240" w:lineRule="auto"/>
              <w:jc w:val="both"/>
              <w:outlineLvl w:val="9"/>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hAnsi="宋体" w:cs="宋体"/>
                <w:color w:val="000000" w:themeColor="text1"/>
                <w:szCs w:val="21"/>
                <w:highlight w:val="none"/>
                <w:lang w:eastAsia="zh-CN"/>
                <w14:textFill>
                  <w14:solidFill>
                    <w14:schemeClr w14:val="tx1"/>
                  </w14:solidFill>
                </w14:textFill>
              </w:rPr>
              <w:t>供应商应按照磋商文件要求在响应文件中提交反映其财务状况、依法缴纳税收和社保保障资金情况的资格条件承诺函，并对资格条件承诺函有关内容的真实性、有效性、合法性负责</w:t>
            </w:r>
            <w:r>
              <w:rPr>
                <w:rFonts w:hint="eastAsia" w:ascii="宋体" w:hAnsi="宋体" w:cs="宋体"/>
                <w:color w:val="000000" w:themeColor="text1"/>
                <w:szCs w:val="21"/>
                <w:highlight w:val="none"/>
                <w:lang w:eastAsia="zh-CN"/>
                <w14:textFill>
                  <w14:solidFill>
                    <w14:schemeClr w14:val="tx1"/>
                  </w14:solidFill>
                </w14:textFill>
              </w:rPr>
              <w:t>；</w:t>
            </w:r>
          </w:p>
          <w:p w14:paraId="0B073058">
            <w:pPr>
              <w:overflowPunct/>
              <w:autoSpaceDE w:val="0"/>
              <w:autoSpaceDN w:val="0"/>
              <w:bidi w:val="0"/>
              <w:adjustRightInd w:val="0"/>
              <w:spacing w:line="240" w:lineRule="auto"/>
              <w:jc w:val="both"/>
              <w:outlineLvl w:val="9"/>
              <w:rPr>
                <w:rFonts w:hint="eastAsia" w:ascii="宋体" w:hAnsi="宋体" w:eastAsia="宋体" w:cs="Times New Roman"/>
                <w:b w:val="0"/>
                <w:bCs w:val="0"/>
                <w:color w:val="000000" w:themeColor="text1"/>
                <w:kern w:val="2"/>
                <w:sz w:val="21"/>
                <w:szCs w:val="24"/>
                <w:highlight w:val="none"/>
                <w:lang w:val="zh-CN" w:eastAsia="zh-CN" w:bidi="ar-SA"/>
                <w14:textFill>
                  <w14:solidFill>
                    <w14:schemeClr w14:val="tx1"/>
                  </w14:solidFill>
                </w14:textFill>
              </w:rPr>
            </w:pPr>
            <w:r>
              <w:rPr>
                <w:rFonts w:hint="eastAsia" w:ascii="Times New Roman" w:hAnsi="Times New Roman" w:eastAsia="宋体" w:cs="Times New Roman"/>
                <w:b/>
                <w:bCs/>
                <w:color w:val="000000" w:themeColor="text1"/>
                <w:highlight w:val="none"/>
                <w:lang w:val="zh-CN" w:eastAsia="zh-CN"/>
                <w14:textFill>
                  <w14:solidFill>
                    <w14:schemeClr w14:val="tx1"/>
                  </w14:solidFill>
                </w14:textFill>
              </w:rPr>
              <w:t>响应文件中提供由法定代表人或其授权委托人签字并加盖公章的</w:t>
            </w:r>
            <w:r>
              <w:rPr>
                <w:rFonts w:hint="eastAsia" w:hAnsi="宋体" w:cs="宋体"/>
                <w:b/>
                <w:bCs/>
                <w:color w:val="000000" w:themeColor="text1"/>
                <w:szCs w:val="21"/>
                <w:highlight w:val="none"/>
                <w:lang w:eastAsia="zh-CN"/>
                <w14:textFill>
                  <w14:solidFill>
                    <w14:schemeClr w14:val="tx1"/>
                  </w14:solidFill>
                </w14:textFill>
              </w:rPr>
              <w:t>资格条件承诺函及符合提供资格条件承诺函的信用承诺书</w:t>
            </w:r>
            <w:r>
              <w:rPr>
                <w:rFonts w:hint="eastAsia" w:ascii="Times New Roman" w:hAnsi="Times New Roman" w:eastAsia="宋体" w:cs="Times New Roman"/>
                <w:b/>
                <w:bCs/>
                <w:color w:val="000000" w:themeColor="text1"/>
                <w:highlight w:val="none"/>
                <w:lang w:val="zh-CN" w:eastAsia="zh-CN"/>
                <w14:textFill>
                  <w14:solidFill>
                    <w14:schemeClr w14:val="tx1"/>
                  </w14:solidFill>
                </w14:textFill>
              </w:rPr>
              <w:t>。</w:t>
            </w:r>
          </w:p>
        </w:tc>
      </w:tr>
      <w:tr w14:paraId="4605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41" w:type="dxa"/>
            <w:vMerge w:val="continue"/>
            <w:vAlign w:val="center"/>
          </w:tcPr>
          <w:p w14:paraId="3D8F0875">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372C1103">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vAlign w:val="center"/>
          </w:tcPr>
          <w:p w14:paraId="43276B5F">
            <w:pPr>
              <w:tabs>
                <w:tab w:val="left" w:pos="200"/>
              </w:tabs>
              <w:overflowPunct/>
              <w:bidi w:val="0"/>
              <w:jc w:val="center"/>
              <w:outlineLvl w:val="9"/>
              <w:rPr>
                <w:rFonts w:hint="default"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联合体要求</w:t>
            </w:r>
          </w:p>
        </w:tc>
        <w:tc>
          <w:tcPr>
            <w:tcW w:w="6039" w:type="dxa"/>
            <w:vAlign w:val="center"/>
          </w:tcPr>
          <w:p w14:paraId="270711EC">
            <w:pPr>
              <w:overflowPunct/>
              <w:bidi w:val="0"/>
              <w:outlineLvl w:val="9"/>
              <w:rPr>
                <w:rFonts w:hint="default" w:ascii="宋体" w:hAnsi="宋体" w:eastAsia="宋体"/>
                <w:b w:val="0"/>
                <w:bCs w:val="0"/>
                <w:color w:val="000000" w:themeColor="text1"/>
                <w:highlight w:val="none"/>
                <w:lang w:val="en-US" w:eastAsia="zh-CN"/>
                <w14:textFill>
                  <w14:solidFill>
                    <w14:schemeClr w14:val="tx1"/>
                  </w14:solidFill>
                </w14:textFill>
              </w:rPr>
            </w:pPr>
            <w:r>
              <w:rPr>
                <w:rFonts w:hint="eastAsia" w:ascii="宋体" w:hAnsi="宋体"/>
                <w:b w:val="0"/>
                <w:bCs w:val="0"/>
                <w:color w:val="000000" w:themeColor="text1"/>
                <w:highlight w:val="none"/>
                <w:lang w:val="en-US" w:eastAsia="zh-CN"/>
                <w14:textFill>
                  <w14:solidFill>
                    <w14:schemeClr w14:val="tx1"/>
                  </w14:solidFill>
                </w14:textFill>
              </w:rPr>
              <w:t>供应商不得为联合体</w:t>
            </w:r>
          </w:p>
        </w:tc>
      </w:tr>
      <w:tr w14:paraId="6BA1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41" w:type="dxa"/>
            <w:vMerge w:val="continue"/>
            <w:vAlign w:val="center"/>
          </w:tcPr>
          <w:p w14:paraId="39EA0813">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0DB6B15B">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vAlign w:val="center"/>
          </w:tcPr>
          <w:p w14:paraId="4173772B">
            <w:pPr>
              <w:overflowPunct/>
              <w:bidi w:val="0"/>
              <w:jc w:val="center"/>
              <w:outlineLvl w:val="9"/>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信誉要求</w:t>
            </w:r>
          </w:p>
        </w:tc>
        <w:tc>
          <w:tcPr>
            <w:tcW w:w="6039" w:type="dxa"/>
            <w:vAlign w:val="center"/>
          </w:tcPr>
          <w:p w14:paraId="1C645084">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1.拒绝列入政府取消投标资格记录期间的企业或个人投标；</w:t>
            </w:r>
          </w:p>
          <w:p w14:paraId="24217E7E">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zh-CN" w:eastAsia="zh-CN"/>
                <w14:textFill>
                  <w14:solidFill>
                    <w14:schemeClr w14:val="tx1"/>
                  </w14:solidFill>
                </w14:textFill>
              </w:rPr>
              <w:t>响应文件中</w:t>
            </w:r>
            <w:r>
              <w:rPr>
                <w:rFonts w:hint="eastAsia" w:ascii="宋体" w:hAnsi="宋体" w:cs="宋体"/>
                <w:color w:val="000000" w:themeColor="text1"/>
                <w:szCs w:val="21"/>
                <w:highlight w:val="none"/>
                <w:lang w:val="en-US" w:eastAsia="zh-CN"/>
                <w14:textFill>
                  <w14:solidFill>
                    <w14:schemeClr w14:val="tx1"/>
                  </w14:solidFill>
                </w14:textFill>
              </w:rPr>
              <w:t>提供由法定代表人或其授权委托人签字并加盖公章的承诺书。</w:t>
            </w:r>
          </w:p>
          <w:p w14:paraId="024889C7">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供应商不得为“信用中国”网站（www.creditchina.gov.cn）中列入失信被执行人、重大税收违法失信主体和企业经营异常名录的供应商，不得为中国政府采购网（www.ccgp.gov.cn）政府采购严重违法失信行为记录名单中被财政部门禁止参加政府采购活动的供应商（在处罚决定规定的时间和地域范围内）（详见财库【2016】125 号），响应文件中提供相关证明材料截图并加盖单位公章。</w:t>
            </w:r>
          </w:p>
          <w:p w14:paraId="6336798C">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3.供应商需提供中国裁判文书网（http://wenshu.court.gov.cn/）的无行贿犯罪查询证明网站截图并加盖单位公章（提供的查询结果网页截图需体现企业及法定代表人）。</w:t>
            </w:r>
          </w:p>
          <w:p w14:paraId="428CA527">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4.供应商参加政府采购活动近3年内（2022年至今）在经营活动中没有重大违法记录。</w:t>
            </w:r>
            <w:r>
              <w:rPr>
                <w:rFonts w:hint="eastAsia" w:ascii="宋体" w:hAnsi="宋体" w:cs="宋体"/>
                <w:color w:val="000000" w:themeColor="text1"/>
                <w:szCs w:val="21"/>
                <w:highlight w:val="none"/>
                <w:lang w:val="zh-CN" w:eastAsia="zh-CN"/>
                <w14:textFill>
                  <w14:solidFill>
                    <w14:schemeClr w14:val="tx1"/>
                  </w14:solidFill>
                </w14:textFill>
              </w:rPr>
              <w:t>响应文件中</w:t>
            </w:r>
            <w:r>
              <w:rPr>
                <w:rFonts w:hint="eastAsia" w:ascii="宋体" w:hAnsi="宋体" w:cs="宋体"/>
                <w:color w:val="000000" w:themeColor="text1"/>
                <w:szCs w:val="21"/>
                <w:highlight w:val="none"/>
                <w:lang w:val="en-US" w:eastAsia="zh-CN"/>
                <w14:textFill>
                  <w14:solidFill>
                    <w14:schemeClr w14:val="tx1"/>
                  </w14:solidFill>
                </w14:textFill>
              </w:rPr>
              <w:t>提供由法定代表人或其授权委托人签字并加盖公章的承诺书。</w:t>
            </w:r>
          </w:p>
          <w:p w14:paraId="664F5D25">
            <w:pPr>
              <w:overflowPunct/>
              <w:autoSpaceDE w:val="0"/>
              <w:autoSpaceDN w:val="0"/>
              <w:bidi w:val="0"/>
              <w:adjustRightInd w:val="0"/>
              <w:spacing w:line="240" w:lineRule="auto"/>
              <w:jc w:val="both"/>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不存在第二章“供应商须知”第1.4.2及1.4.3项规定的任何一种情形，</w:t>
            </w:r>
            <w:r>
              <w:rPr>
                <w:rFonts w:hint="eastAsia" w:ascii="宋体" w:hAnsi="宋体" w:eastAsia="宋体" w:cs="宋体"/>
                <w:b/>
                <w:bCs/>
                <w:color w:val="000000" w:themeColor="text1"/>
                <w:szCs w:val="21"/>
                <w:highlight w:val="none"/>
                <w:lang w:eastAsia="zh-CN"/>
                <w14:textFill>
                  <w14:solidFill>
                    <w14:schemeClr w14:val="tx1"/>
                  </w14:solidFill>
                </w14:textFill>
              </w:rPr>
              <w:t>响应文件中提供由法定代表人或其授权委托人签字并加盖公章的承诺书。</w:t>
            </w:r>
          </w:p>
          <w:p w14:paraId="3BA650FE">
            <w:pPr>
              <w:overflowPunct/>
              <w:bidi w:val="0"/>
              <w:jc w:val="left"/>
              <w:outlineLvl w:val="9"/>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zh-CN" w:eastAsia="zh-CN"/>
                <w14:textFill>
                  <w14:solidFill>
                    <w14:schemeClr w14:val="tx1"/>
                  </w14:solidFill>
                </w14:textFill>
              </w:rPr>
              <w:t>供应商</w:t>
            </w:r>
            <w:r>
              <w:rPr>
                <w:rFonts w:hint="eastAsia" w:ascii="宋体" w:hAnsi="宋体" w:eastAsia="宋体" w:cs="宋体"/>
                <w:color w:val="000000" w:themeColor="text1"/>
                <w:szCs w:val="21"/>
                <w:highlight w:val="none"/>
                <w:lang w:eastAsia="zh-CN"/>
                <w14:textFill>
                  <w14:solidFill>
                    <w14:schemeClr w14:val="tx1"/>
                  </w14:solidFill>
                </w14:textFill>
              </w:rPr>
              <w:t>需对公司材料和响应文件的真实性进行承诺，不得提供伪造、变造的材料，否则后果自负。</w:t>
            </w:r>
            <w:r>
              <w:rPr>
                <w:rFonts w:hint="eastAsia" w:ascii="宋体" w:hAnsi="宋体" w:eastAsia="宋体" w:cs="宋体"/>
                <w:b/>
                <w:bCs/>
                <w:color w:val="000000" w:themeColor="text1"/>
                <w:szCs w:val="21"/>
                <w:highlight w:val="none"/>
                <w:lang w:eastAsia="zh-CN"/>
                <w14:textFill>
                  <w14:solidFill>
                    <w14:schemeClr w14:val="tx1"/>
                  </w14:solidFill>
                </w14:textFill>
              </w:rPr>
              <w:t>响应文件中提供由法定代表人或其授权委托人签字并加盖公章的承诺书。</w:t>
            </w:r>
          </w:p>
        </w:tc>
      </w:tr>
      <w:tr w14:paraId="67A2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restart"/>
            <w:vAlign w:val="center"/>
          </w:tcPr>
          <w:p w14:paraId="1DA6C15B">
            <w:pPr>
              <w:overflowPunct/>
              <w:bidi w:val="0"/>
              <w:jc w:val="center"/>
              <w:outlineLvl w:val="9"/>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r>
              <w:rPr>
                <w:rFonts w:hint="eastAsia" w:ascii="宋体" w:hAnsi="宋体"/>
                <w:color w:val="000000" w:themeColor="text1"/>
                <w:szCs w:val="21"/>
                <w:highlight w:val="none"/>
                <w:lang w:val="en-US" w:eastAsia="zh-CN"/>
                <w14:textFill>
                  <w14:solidFill>
                    <w14:schemeClr w14:val="tx1"/>
                  </w14:solidFill>
                </w14:textFill>
              </w:rPr>
              <w:t>2</w:t>
            </w:r>
          </w:p>
        </w:tc>
        <w:tc>
          <w:tcPr>
            <w:tcW w:w="1149" w:type="dxa"/>
            <w:vMerge w:val="restart"/>
            <w:vAlign w:val="center"/>
          </w:tcPr>
          <w:p w14:paraId="5749E3B8">
            <w:pPr>
              <w:overflowPunct/>
              <w:bidi w:val="0"/>
              <w:jc w:val="center"/>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符合</w:t>
            </w:r>
            <w:r>
              <w:rPr>
                <w:rFonts w:hint="eastAsia" w:ascii="宋体" w:hAnsi="宋体"/>
                <w:color w:val="000000" w:themeColor="text1"/>
                <w:szCs w:val="21"/>
                <w:highlight w:val="none"/>
                <w14:textFill>
                  <w14:solidFill>
                    <w14:schemeClr w14:val="tx1"/>
                  </w14:solidFill>
                </w14:textFill>
              </w:rPr>
              <w:t>性</w:t>
            </w:r>
          </w:p>
          <w:p w14:paraId="36183D85">
            <w:pPr>
              <w:overflowPunct/>
              <w:bidi w:val="0"/>
              <w:jc w:val="center"/>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评审标准</w:t>
            </w:r>
          </w:p>
        </w:tc>
        <w:tc>
          <w:tcPr>
            <w:tcW w:w="1710" w:type="dxa"/>
            <w:shd w:val="clear" w:color="auto" w:fill="auto"/>
            <w:vAlign w:val="center"/>
          </w:tcPr>
          <w:p w14:paraId="658FCBA7">
            <w:pPr>
              <w:overflowPunct/>
              <w:bidi w:val="0"/>
              <w:jc w:val="center"/>
              <w:outlineLvl w:val="9"/>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名称</w:t>
            </w:r>
          </w:p>
        </w:tc>
        <w:tc>
          <w:tcPr>
            <w:tcW w:w="6039" w:type="dxa"/>
            <w:shd w:val="clear" w:color="auto" w:fill="auto"/>
            <w:vAlign w:val="center"/>
          </w:tcPr>
          <w:p w14:paraId="1D5B0252">
            <w:pPr>
              <w:overflowPunct/>
              <w:bidi w:val="0"/>
              <w:outlineLvl w:val="9"/>
              <w:rPr>
                <w:rFonts w:hint="eastAsia" w:ascii="宋体" w:hAnsi="宋体"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b w:val="0"/>
                <w:bCs w:val="0"/>
                <w:color w:val="000000" w:themeColor="text1"/>
                <w:szCs w:val="21"/>
                <w:highlight w:val="none"/>
                <w:lang w:val="zh-CN"/>
                <w14:textFill>
                  <w14:solidFill>
                    <w14:schemeClr w14:val="tx1"/>
                  </w14:solidFill>
                </w14:textFill>
              </w:rPr>
              <w:t>与营业执照一致</w:t>
            </w:r>
          </w:p>
        </w:tc>
      </w:tr>
      <w:tr w14:paraId="62AE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02D49C5D">
            <w:pPr>
              <w:overflowPunct/>
              <w:bidi w:val="0"/>
              <w:jc w:val="center"/>
              <w:outlineLvl w:val="9"/>
              <w:rPr>
                <w:rFonts w:hint="eastAsia" w:ascii="宋体" w:hAnsi="宋体"/>
                <w:color w:val="000000" w:themeColor="text1"/>
                <w:szCs w:val="21"/>
                <w:highlight w:val="none"/>
                <w14:textFill>
                  <w14:solidFill>
                    <w14:schemeClr w14:val="tx1"/>
                  </w14:solidFill>
                </w14:textFill>
              </w:rPr>
            </w:pPr>
          </w:p>
        </w:tc>
        <w:tc>
          <w:tcPr>
            <w:tcW w:w="1149" w:type="dxa"/>
            <w:vMerge w:val="continue"/>
            <w:vAlign w:val="center"/>
          </w:tcPr>
          <w:p w14:paraId="6248FF59">
            <w:pPr>
              <w:overflowPunct/>
              <w:bidi w:val="0"/>
              <w:jc w:val="center"/>
              <w:outlineLvl w:val="9"/>
              <w:rPr>
                <w:rFonts w:hint="eastAsia" w:ascii="宋体" w:hAnsi="宋体"/>
                <w:color w:val="000000" w:themeColor="text1"/>
                <w:szCs w:val="21"/>
                <w:highlight w:val="none"/>
                <w14:textFill>
                  <w14:solidFill>
                    <w14:schemeClr w14:val="tx1"/>
                  </w14:solidFill>
                </w14:textFill>
              </w:rPr>
            </w:pPr>
          </w:p>
        </w:tc>
        <w:tc>
          <w:tcPr>
            <w:tcW w:w="1710" w:type="dxa"/>
            <w:vAlign w:val="center"/>
          </w:tcPr>
          <w:p w14:paraId="626A56EF">
            <w:pPr>
              <w:overflowPunct/>
              <w:bidi w:val="0"/>
              <w:jc w:val="center"/>
              <w:outlineLvl w:val="9"/>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磋商函签字盖章</w:t>
            </w:r>
          </w:p>
        </w:tc>
        <w:tc>
          <w:tcPr>
            <w:tcW w:w="6039" w:type="dxa"/>
            <w:vAlign w:val="center"/>
          </w:tcPr>
          <w:p w14:paraId="1C1389F2">
            <w:pPr>
              <w:overflowPunct/>
              <w:bidi w:val="0"/>
              <w:outlineLvl w:val="9"/>
              <w:rPr>
                <w:rFonts w:hint="eastAsia"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报价函均应加盖投标供应商印章并经法定代表人或其委托代理人签字或盖章。</w:t>
            </w:r>
          </w:p>
        </w:tc>
      </w:tr>
      <w:tr w14:paraId="13C1D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753946E0">
            <w:pPr>
              <w:overflowPunct/>
              <w:bidi w:val="0"/>
              <w:jc w:val="center"/>
              <w:outlineLvl w:val="9"/>
              <w:rPr>
                <w:rFonts w:hint="eastAsia" w:ascii="宋体" w:hAnsi="宋体"/>
                <w:color w:val="000000" w:themeColor="text1"/>
                <w:szCs w:val="21"/>
                <w:highlight w:val="none"/>
                <w14:textFill>
                  <w14:solidFill>
                    <w14:schemeClr w14:val="tx1"/>
                  </w14:solidFill>
                </w14:textFill>
              </w:rPr>
            </w:pPr>
          </w:p>
        </w:tc>
        <w:tc>
          <w:tcPr>
            <w:tcW w:w="1149" w:type="dxa"/>
            <w:vMerge w:val="continue"/>
            <w:vAlign w:val="center"/>
          </w:tcPr>
          <w:p w14:paraId="74733F33">
            <w:pPr>
              <w:overflowPunct/>
              <w:bidi w:val="0"/>
              <w:jc w:val="center"/>
              <w:outlineLvl w:val="9"/>
              <w:rPr>
                <w:rFonts w:hint="eastAsia" w:ascii="宋体" w:hAnsi="宋体"/>
                <w:color w:val="000000" w:themeColor="text1"/>
                <w:szCs w:val="21"/>
                <w:highlight w:val="none"/>
                <w14:textFill>
                  <w14:solidFill>
                    <w14:schemeClr w14:val="tx1"/>
                  </w14:solidFill>
                </w14:textFill>
              </w:rPr>
            </w:pPr>
          </w:p>
        </w:tc>
        <w:tc>
          <w:tcPr>
            <w:tcW w:w="1710" w:type="dxa"/>
            <w:vAlign w:val="center"/>
          </w:tcPr>
          <w:p w14:paraId="2CF85C42">
            <w:pPr>
              <w:overflowPunct/>
              <w:bidi w:val="0"/>
              <w:jc w:val="center"/>
              <w:outlineLvl w:val="9"/>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响应文件格式</w:t>
            </w:r>
          </w:p>
        </w:tc>
        <w:tc>
          <w:tcPr>
            <w:tcW w:w="6039" w:type="dxa"/>
            <w:vAlign w:val="center"/>
          </w:tcPr>
          <w:p w14:paraId="2CAE299F">
            <w:pPr>
              <w:overflowPunct/>
              <w:bidi w:val="0"/>
              <w:outlineLvl w:val="9"/>
              <w:rPr>
                <w:rFonts w:hint="eastAsia"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lang w:val="zh-CN"/>
                <w14:textFill>
                  <w14:solidFill>
                    <w14:schemeClr w14:val="tx1"/>
                  </w14:solidFill>
                </w14:textFill>
              </w:rPr>
              <w:t>符合磋商文件中 “响应文件格式”的要求，按磋商文件的要求盖章、签署</w:t>
            </w:r>
          </w:p>
        </w:tc>
      </w:tr>
      <w:tr w14:paraId="3D24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6FD4B293">
            <w:pPr>
              <w:overflowPunct/>
              <w:bidi w:val="0"/>
              <w:jc w:val="center"/>
              <w:outlineLvl w:val="9"/>
              <w:rPr>
                <w:rFonts w:hint="eastAsia" w:ascii="宋体" w:hAnsi="宋体"/>
                <w:color w:val="000000" w:themeColor="text1"/>
                <w:szCs w:val="21"/>
                <w:highlight w:val="none"/>
                <w14:textFill>
                  <w14:solidFill>
                    <w14:schemeClr w14:val="tx1"/>
                  </w14:solidFill>
                </w14:textFill>
              </w:rPr>
            </w:pPr>
          </w:p>
        </w:tc>
        <w:tc>
          <w:tcPr>
            <w:tcW w:w="1149" w:type="dxa"/>
            <w:vMerge w:val="continue"/>
            <w:vAlign w:val="center"/>
          </w:tcPr>
          <w:p w14:paraId="50204D57">
            <w:pPr>
              <w:overflowPunct/>
              <w:bidi w:val="0"/>
              <w:jc w:val="center"/>
              <w:outlineLvl w:val="9"/>
              <w:rPr>
                <w:rFonts w:hint="eastAsia" w:ascii="宋体" w:hAnsi="宋体"/>
                <w:color w:val="000000" w:themeColor="text1"/>
                <w:szCs w:val="21"/>
                <w:highlight w:val="none"/>
                <w14:textFill>
                  <w14:solidFill>
                    <w14:schemeClr w14:val="tx1"/>
                  </w14:solidFill>
                </w14:textFill>
              </w:rPr>
            </w:pPr>
          </w:p>
        </w:tc>
        <w:tc>
          <w:tcPr>
            <w:tcW w:w="1710" w:type="dxa"/>
            <w:vAlign w:val="center"/>
          </w:tcPr>
          <w:p w14:paraId="48DE216E">
            <w:pPr>
              <w:overflowPunct/>
              <w:bidi w:val="0"/>
              <w:jc w:val="center"/>
              <w:outlineLvl w:val="9"/>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报价唯一</w:t>
            </w:r>
          </w:p>
        </w:tc>
        <w:tc>
          <w:tcPr>
            <w:tcW w:w="6039" w:type="dxa"/>
            <w:vAlign w:val="center"/>
          </w:tcPr>
          <w:p w14:paraId="33AF8FC5">
            <w:pPr>
              <w:overflowPunct/>
              <w:bidi w:val="0"/>
              <w:outlineLvl w:val="9"/>
              <w:rPr>
                <w:rFonts w:hint="eastAsia"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只能有一个有效报价</w:t>
            </w:r>
          </w:p>
        </w:tc>
      </w:tr>
      <w:tr w14:paraId="01D4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1" w:type="dxa"/>
            <w:vMerge w:val="continue"/>
            <w:vAlign w:val="center"/>
          </w:tcPr>
          <w:p w14:paraId="68326195">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6CD1B3FF">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vAlign w:val="center"/>
          </w:tcPr>
          <w:p w14:paraId="400E564A">
            <w:pPr>
              <w:overflowPunct/>
              <w:bidi w:val="0"/>
              <w:jc w:val="center"/>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响应</w:t>
            </w:r>
            <w:r>
              <w:rPr>
                <w:rFonts w:hint="eastAsia" w:ascii="宋体" w:hAnsi="宋体"/>
                <w:color w:val="000000" w:themeColor="text1"/>
                <w:szCs w:val="21"/>
                <w:highlight w:val="none"/>
                <w14:textFill>
                  <w14:solidFill>
                    <w14:schemeClr w14:val="tx1"/>
                  </w14:solidFill>
                </w14:textFill>
              </w:rPr>
              <w:t>内容</w:t>
            </w:r>
          </w:p>
        </w:tc>
        <w:tc>
          <w:tcPr>
            <w:tcW w:w="6039" w:type="dxa"/>
            <w:vAlign w:val="center"/>
          </w:tcPr>
          <w:p w14:paraId="2F8C4E56">
            <w:pPr>
              <w:overflowPunct/>
              <w:bidi w:val="0"/>
              <w:spacing w:line="240" w:lineRule="exact"/>
              <w:outlineLvl w:val="9"/>
              <w:rPr>
                <w:rFonts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符合磋商文件规定</w:t>
            </w:r>
          </w:p>
        </w:tc>
      </w:tr>
      <w:tr w14:paraId="0B78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41" w:type="dxa"/>
            <w:vMerge w:val="continue"/>
            <w:vAlign w:val="center"/>
          </w:tcPr>
          <w:p w14:paraId="180FE6BF">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1A4F4CF8">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vAlign w:val="center"/>
          </w:tcPr>
          <w:p w14:paraId="0F555482">
            <w:pPr>
              <w:overflowPunct/>
              <w:bidi w:val="0"/>
              <w:jc w:val="center"/>
              <w:outlineLvl w:val="9"/>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供货期限</w:t>
            </w:r>
          </w:p>
        </w:tc>
        <w:tc>
          <w:tcPr>
            <w:tcW w:w="6039" w:type="dxa"/>
            <w:vAlign w:val="center"/>
          </w:tcPr>
          <w:p w14:paraId="4C32F259">
            <w:pPr>
              <w:overflowPunct/>
              <w:bidi w:val="0"/>
              <w:outlineLvl w:val="9"/>
              <w:rPr>
                <w:rFonts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符合磋商文件规定</w:t>
            </w:r>
          </w:p>
        </w:tc>
      </w:tr>
      <w:tr w14:paraId="754D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dxa"/>
            <w:vMerge w:val="continue"/>
            <w:vAlign w:val="center"/>
          </w:tcPr>
          <w:p w14:paraId="570B6A24">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55EFB5EE">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vAlign w:val="center"/>
          </w:tcPr>
          <w:p w14:paraId="755DBC60">
            <w:pPr>
              <w:overflowPunct/>
              <w:bidi w:val="0"/>
              <w:jc w:val="center"/>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质量标准</w:t>
            </w:r>
          </w:p>
        </w:tc>
        <w:tc>
          <w:tcPr>
            <w:tcW w:w="6039" w:type="dxa"/>
            <w:vAlign w:val="center"/>
          </w:tcPr>
          <w:p w14:paraId="7F949EF6">
            <w:pPr>
              <w:overflowPunct/>
              <w:bidi w:val="0"/>
              <w:outlineLvl w:val="9"/>
              <w:rPr>
                <w:rFonts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lang w:val="en-US" w:eastAsia="zh-CN"/>
                <w14:textFill>
                  <w14:solidFill>
                    <w14:schemeClr w14:val="tx1"/>
                  </w14:solidFill>
                </w14:textFill>
              </w:rPr>
              <w:t>符合现行国家、行业、地方或者其他相关标准的合格要求</w:t>
            </w:r>
          </w:p>
        </w:tc>
      </w:tr>
      <w:tr w14:paraId="7D34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Merge w:val="continue"/>
            <w:vAlign w:val="center"/>
          </w:tcPr>
          <w:p w14:paraId="67AD0870">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7E685D3B">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vAlign w:val="center"/>
          </w:tcPr>
          <w:p w14:paraId="3159942D">
            <w:pPr>
              <w:overflowPunct/>
              <w:bidi w:val="0"/>
              <w:jc w:val="center"/>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响应有效期</w:t>
            </w:r>
          </w:p>
        </w:tc>
        <w:tc>
          <w:tcPr>
            <w:tcW w:w="6039" w:type="dxa"/>
            <w:vAlign w:val="center"/>
          </w:tcPr>
          <w:p w14:paraId="1BFFDC0D">
            <w:pPr>
              <w:overflowPunct/>
              <w:bidi w:val="0"/>
              <w:outlineLvl w:val="9"/>
              <w:rPr>
                <w:rFonts w:ascii="宋体" w:hAnsi="宋体"/>
                <w:b w:val="0"/>
                <w:bCs w:val="0"/>
                <w:color w:val="000000" w:themeColor="text1"/>
                <w:szCs w:val="21"/>
                <w:highlight w:val="none"/>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投标截止之日后90天（日历天）</w:t>
            </w:r>
          </w:p>
        </w:tc>
      </w:tr>
      <w:tr w14:paraId="00FB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41" w:type="dxa"/>
            <w:vMerge w:val="continue"/>
            <w:vAlign w:val="center"/>
          </w:tcPr>
          <w:p w14:paraId="5F8BA905">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5C4C247B">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vAlign w:val="center"/>
          </w:tcPr>
          <w:p w14:paraId="21BA3983">
            <w:pPr>
              <w:overflowPunct/>
              <w:bidi w:val="0"/>
              <w:jc w:val="center"/>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采购需</w:t>
            </w:r>
            <w:r>
              <w:rPr>
                <w:rFonts w:hint="eastAsia" w:ascii="宋体" w:hAnsi="宋体"/>
                <w:color w:val="000000" w:themeColor="text1"/>
                <w:szCs w:val="21"/>
                <w:highlight w:val="none"/>
                <w14:textFill>
                  <w14:solidFill>
                    <w14:schemeClr w14:val="tx1"/>
                  </w14:solidFill>
                </w14:textFill>
              </w:rPr>
              <w:t>求</w:t>
            </w:r>
          </w:p>
        </w:tc>
        <w:tc>
          <w:tcPr>
            <w:tcW w:w="6039" w:type="dxa"/>
            <w:vAlign w:val="center"/>
          </w:tcPr>
          <w:p w14:paraId="6B44B1BF">
            <w:pPr>
              <w:overflowPunct/>
              <w:bidi w:val="0"/>
              <w:outlineLvl w:val="9"/>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符合第</w:t>
            </w:r>
            <w:r>
              <w:rPr>
                <w:rFonts w:hint="eastAsia" w:ascii="宋体" w:hAnsi="宋体"/>
                <w:color w:val="000000" w:themeColor="text1"/>
                <w:szCs w:val="21"/>
                <w:highlight w:val="none"/>
                <w:lang w:val="en-US" w:eastAsia="zh-CN"/>
                <w14:textFill>
                  <w14:solidFill>
                    <w14:schemeClr w14:val="tx1"/>
                  </w14:solidFill>
                </w14:textFill>
              </w:rPr>
              <w:t>四</w:t>
            </w:r>
            <w:r>
              <w:rPr>
                <w:rFonts w:hint="eastAsia" w:ascii="宋体" w:hAnsi="宋体"/>
                <w:color w:val="000000" w:themeColor="text1"/>
                <w:szCs w:val="21"/>
                <w:highlight w:val="none"/>
                <w14:textFill>
                  <w14:solidFill>
                    <w14:schemeClr w14:val="tx1"/>
                  </w14:solidFill>
                </w14:textFill>
              </w:rPr>
              <w:t>章“技术标准和要求”规定</w:t>
            </w:r>
            <w:r>
              <w:rPr>
                <w:rFonts w:hint="eastAsia" w:ascii="宋体" w:hAnsi="宋体"/>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szCs w:val="21"/>
              </w:rPr>
              <w:t>技术指标</w:t>
            </w:r>
            <w:r>
              <w:rPr>
                <w:rFonts w:hint="eastAsia" w:asciiTheme="minorEastAsia" w:hAnsiTheme="minorEastAsia" w:eastAsiaTheme="minorEastAsia"/>
                <w:szCs w:val="21"/>
                <w:lang w:val="zh-CN"/>
              </w:rPr>
              <w:t>带“</w:t>
            </w:r>
            <w:r>
              <w:rPr>
                <w:rFonts w:hint="eastAsia" w:ascii="宋体" w:hAnsi="宋体"/>
                <w:szCs w:val="21"/>
              </w:rPr>
              <w:t>★</w:t>
            </w:r>
            <w:r>
              <w:rPr>
                <w:rFonts w:hint="eastAsia" w:asciiTheme="minorEastAsia" w:hAnsiTheme="minorEastAsia" w:eastAsiaTheme="minorEastAsia"/>
                <w:szCs w:val="21"/>
                <w:lang w:val="zh-CN"/>
              </w:rPr>
              <w:t>”指标为强制性指标，不满足的一项按无效投标处理。</w:t>
            </w:r>
          </w:p>
        </w:tc>
      </w:tr>
      <w:tr w14:paraId="1440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41" w:type="dxa"/>
            <w:vMerge w:val="continue"/>
            <w:vAlign w:val="center"/>
          </w:tcPr>
          <w:p w14:paraId="59740DA1">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149" w:type="dxa"/>
            <w:vMerge w:val="continue"/>
            <w:vAlign w:val="center"/>
          </w:tcPr>
          <w:p w14:paraId="481D0CCC">
            <w:pPr>
              <w:overflowPunct/>
              <w:bidi w:val="0"/>
              <w:jc w:val="center"/>
              <w:outlineLvl w:val="9"/>
              <w:rPr>
                <w:rFonts w:ascii="宋体" w:hAnsi="宋体"/>
                <w:color w:val="000000" w:themeColor="text1"/>
                <w:szCs w:val="21"/>
                <w:highlight w:val="none"/>
                <w14:textFill>
                  <w14:solidFill>
                    <w14:schemeClr w14:val="tx1"/>
                  </w14:solidFill>
                </w14:textFill>
              </w:rPr>
            </w:pPr>
          </w:p>
        </w:tc>
        <w:tc>
          <w:tcPr>
            <w:tcW w:w="1710" w:type="dxa"/>
            <w:vAlign w:val="center"/>
          </w:tcPr>
          <w:p w14:paraId="5EA1C6B8">
            <w:pPr>
              <w:overflowPunct/>
              <w:bidi w:val="0"/>
              <w:jc w:val="center"/>
              <w:outlineLvl w:val="9"/>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w:t>
            </w:r>
            <w:r>
              <w:rPr>
                <w:rFonts w:hint="eastAsia" w:ascii="宋体" w:hAnsi="宋体"/>
                <w:color w:val="000000" w:themeColor="text1"/>
                <w:szCs w:val="21"/>
                <w:highlight w:val="none"/>
                <w:lang w:val="en-US" w:eastAsia="zh-CN"/>
                <w14:textFill>
                  <w14:solidFill>
                    <w14:schemeClr w14:val="tx1"/>
                  </w14:solidFill>
                </w14:textFill>
              </w:rPr>
              <w:t>报价</w:t>
            </w:r>
          </w:p>
        </w:tc>
        <w:tc>
          <w:tcPr>
            <w:tcW w:w="6039" w:type="dxa"/>
            <w:vAlign w:val="center"/>
          </w:tcPr>
          <w:p w14:paraId="2787E378">
            <w:pPr>
              <w:overflowPunct/>
              <w:bidi w:val="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低于（含等于）第二章“</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须知”前附表载明的</w:t>
            </w:r>
            <w:r>
              <w:rPr>
                <w:rFonts w:hint="eastAsia" w:ascii="宋体" w:hAnsi="宋体"/>
                <w:color w:val="000000" w:themeColor="text1"/>
                <w:szCs w:val="21"/>
                <w:highlight w:val="none"/>
                <w:lang w:eastAsia="zh-CN"/>
                <w14:textFill>
                  <w14:solidFill>
                    <w14:schemeClr w14:val="tx1"/>
                  </w14:solidFill>
                </w14:textFill>
              </w:rPr>
              <w:t>预算金额（最高限制价）</w:t>
            </w:r>
            <w:r>
              <w:rPr>
                <w:rFonts w:hint="eastAsia" w:ascii="宋体" w:hAnsi="宋体"/>
                <w:color w:val="000000" w:themeColor="text1"/>
                <w:szCs w:val="21"/>
                <w:highlight w:val="none"/>
                <w14:textFill>
                  <w14:solidFill>
                    <w14:schemeClr w14:val="tx1"/>
                  </w14:solidFill>
                </w14:textFill>
              </w:rPr>
              <w:t>。</w:t>
            </w:r>
          </w:p>
        </w:tc>
      </w:tr>
    </w:tbl>
    <w:p w14:paraId="64706281">
      <w:pPr>
        <w:overflowPunct/>
        <w:bidi w:val="0"/>
        <w:spacing w:beforeLines="100"/>
        <w:ind w:right="-496" w:rightChars="-236"/>
        <w:outlineLvl w:val="9"/>
        <w:rPr>
          <w:rFonts w:ascii="宋体" w:hAnsi="宋体" w:cs="宋体"/>
          <w:b/>
          <w:bCs/>
          <w:color w:val="000000" w:themeColor="text1"/>
          <w:sz w:val="18"/>
          <w:szCs w:val="18"/>
          <w:highlight w:val="none"/>
          <w:lang w:val="zh-CN"/>
          <w14:textFill>
            <w14:solidFill>
              <w14:schemeClr w14:val="tx1"/>
            </w14:solidFill>
          </w14:textFill>
        </w:rPr>
      </w:pPr>
      <w:r>
        <w:rPr>
          <w:rFonts w:hint="eastAsia" w:ascii="宋体" w:hAnsi="宋体" w:cs="宋体"/>
          <w:b/>
          <w:bCs/>
          <w:color w:val="000000" w:themeColor="text1"/>
          <w:sz w:val="18"/>
          <w:szCs w:val="18"/>
          <w:highlight w:val="none"/>
          <w:lang w:val="zh-CN"/>
          <w14:textFill>
            <w14:solidFill>
              <w14:schemeClr w14:val="tx1"/>
            </w14:solidFill>
          </w14:textFill>
        </w:rPr>
        <w:t>注：1</w:t>
      </w:r>
      <w:r>
        <w:rPr>
          <w:rFonts w:hint="eastAsia" w:ascii="宋体" w:hAnsi="宋体" w:cs="宋体"/>
          <w:b/>
          <w:bCs/>
          <w:color w:val="000000" w:themeColor="text1"/>
          <w:sz w:val="18"/>
          <w:szCs w:val="18"/>
          <w:highlight w:val="none"/>
          <w:lang w:val="en-US" w:eastAsia="zh-CN"/>
          <w14:textFill>
            <w14:solidFill>
              <w14:schemeClr w14:val="tx1"/>
            </w14:solidFill>
          </w14:textFill>
        </w:rPr>
        <w:t>.</w:t>
      </w:r>
      <w:r>
        <w:rPr>
          <w:rFonts w:hint="eastAsia" w:ascii="宋体" w:hAnsi="宋体" w:cs="宋体"/>
          <w:b/>
          <w:bCs/>
          <w:color w:val="000000" w:themeColor="text1"/>
          <w:sz w:val="18"/>
          <w:szCs w:val="18"/>
          <w:highlight w:val="none"/>
          <w:lang w:val="zh-CN"/>
          <w14:textFill>
            <w14:solidFill>
              <w14:schemeClr w14:val="tx1"/>
            </w14:solidFill>
          </w14:textFill>
        </w:rPr>
        <w:t>上述表中要求提供的证书、合同文件和相关证明文件等证件的复印件加盖公章装订在响应文件中。</w:t>
      </w:r>
    </w:p>
    <w:p w14:paraId="035CF559">
      <w:pPr>
        <w:overflowPunct/>
        <w:bidi w:val="0"/>
        <w:ind w:right="-496" w:rightChars="-236" w:firstLine="361" w:firstLineChars="200"/>
        <w:outlineLvl w:val="9"/>
        <w:rPr>
          <w:rFonts w:hint="eastAsia" w:ascii="宋体" w:hAnsi="宋体" w:cs="宋体"/>
          <w:b/>
          <w:bCs/>
          <w:color w:val="000000" w:themeColor="text1"/>
          <w:sz w:val="18"/>
          <w:szCs w:val="18"/>
          <w:highlight w:val="none"/>
          <w:lang w:val="zh-CN"/>
          <w14:textFill>
            <w14:solidFill>
              <w14:schemeClr w14:val="tx1"/>
            </w14:solidFill>
          </w14:textFill>
        </w:rPr>
      </w:pPr>
      <w:r>
        <w:rPr>
          <w:rFonts w:hint="eastAsia" w:ascii="宋体" w:hAnsi="宋体" w:cs="宋体"/>
          <w:b/>
          <w:bCs/>
          <w:color w:val="000000" w:themeColor="text1"/>
          <w:sz w:val="18"/>
          <w:szCs w:val="18"/>
          <w:highlight w:val="none"/>
          <w:lang w:val="zh-CN"/>
          <w14:textFill>
            <w14:solidFill>
              <w14:schemeClr w14:val="tx1"/>
            </w14:solidFill>
          </w14:textFill>
        </w:rPr>
        <w:t>2</w:t>
      </w:r>
      <w:r>
        <w:rPr>
          <w:rFonts w:hint="eastAsia" w:ascii="宋体" w:hAnsi="宋体" w:cs="宋体"/>
          <w:b/>
          <w:bCs/>
          <w:color w:val="000000" w:themeColor="text1"/>
          <w:sz w:val="18"/>
          <w:szCs w:val="18"/>
          <w:highlight w:val="none"/>
          <w:lang w:val="en-US" w:eastAsia="zh-CN"/>
          <w14:textFill>
            <w14:solidFill>
              <w14:schemeClr w14:val="tx1"/>
            </w14:solidFill>
          </w14:textFill>
        </w:rPr>
        <w:t>.</w:t>
      </w:r>
      <w:r>
        <w:rPr>
          <w:rFonts w:hint="eastAsia" w:ascii="宋体" w:hAnsi="宋体" w:cs="宋体"/>
          <w:b/>
          <w:bCs/>
          <w:color w:val="000000" w:themeColor="text1"/>
          <w:sz w:val="18"/>
          <w:szCs w:val="18"/>
          <w:highlight w:val="none"/>
          <w:lang w:val="zh-CN"/>
          <w14:textFill>
            <w14:solidFill>
              <w14:schemeClr w14:val="tx1"/>
            </w14:solidFill>
          </w14:textFill>
        </w:rPr>
        <w:t>上述内容中如某一证件正在年检或换证，需年检或换证部门出具有效证明方可确认。</w:t>
      </w:r>
    </w:p>
    <w:p w14:paraId="6D74671E">
      <w:pPr>
        <w:overflowPunct/>
        <w:bidi w:val="0"/>
        <w:ind w:firstLine="361"/>
        <w:outlineLvl w:val="9"/>
        <w:rPr>
          <w:rFonts w:hint="eastAsia" w:ascii="宋体" w:hAnsi="宋体" w:cs="宋体"/>
          <w:b/>
          <w:bCs/>
          <w:color w:val="000000" w:themeColor="text1"/>
          <w:sz w:val="18"/>
          <w:szCs w:val="18"/>
          <w:highlight w:val="none"/>
          <w:lang w:val="en-US" w:eastAsia="zh-CN"/>
          <w14:textFill>
            <w14:solidFill>
              <w14:schemeClr w14:val="tx1"/>
            </w14:solidFill>
          </w14:textFill>
        </w:rPr>
      </w:pPr>
      <w:r>
        <w:rPr>
          <w:rFonts w:hint="eastAsia" w:ascii="宋体" w:hAnsi="宋体" w:cs="宋体"/>
          <w:b/>
          <w:bCs/>
          <w:color w:val="000000" w:themeColor="text1"/>
          <w:sz w:val="18"/>
          <w:szCs w:val="18"/>
          <w:highlight w:val="none"/>
          <w:lang w:val="en-US" w:eastAsia="zh-CN"/>
          <w14:textFill>
            <w14:solidFill>
              <w14:schemeClr w14:val="tx1"/>
            </w14:solidFill>
          </w14:textFill>
        </w:rPr>
        <w:t>3.初步评审因素中有一项评审结果为不合格的，其响应作无效响应处理，不再进行下一步评审。</w:t>
      </w:r>
    </w:p>
    <w:p w14:paraId="1564B499">
      <w:pPr>
        <w:overflowPunct/>
        <w:bidi w:val="0"/>
        <w:ind w:firstLine="361"/>
        <w:outlineLvl w:val="9"/>
        <w:rPr>
          <w:rFonts w:hint="eastAsia" w:ascii="宋体" w:hAnsi="宋体" w:cs="宋体"/>
          <w:b/>
          <w:bCs/>
          <w:color w:val="000000" w:themeColor="text1"/>
          <w:sz w:val="18"/>
          <w:szCs w:val="18"/>
          <w:highlight w:val="none"/>
          <w:lang w:val="en-US" w:eastAsia="zh-CN"/>
          <w14:textFill>
            <w14:solidFill>
              <w14:schemeClr w14:val="tx1"/>
            </w14:solidFill>
          </w14:textFill>
        </w:rPr>
      </w:pPr>
      <w:r>
        <w:rPr>
          <w:rFonts w:hint="eastAsia" w:ascii="宋体" w:hAnsi="宋体" w:cs="宋体"/>
          <w:b/>
          <w:bCs/>
          <w:color w:val="000000" w:themeColor="text1"/>
          <w:sz w:val="18"/>
          <w:szCs w:val="18"/>
          <w:highlight w:val="none"/>
          <w:lang w:val="en-US" w:eastAsia="zh-CN"/>
          <w14:textFill>
            <w14:solidFill>
              <w14:schemeClr w14:val="tx1"/>
            </w14:solidFill>
          </w14:textFill>
        </w:rPr>
        <w:t>4.提供相同品牌产品且通过资格审查、符合性审查的不同供应商参加同一合同项下投标的，按一家供应商计算,评审后得分最高的同品牌供应商获得中标人推荐资格。</w:t>
      </w:r>
    </w:p>
    <w:p w14:paraId="07B50ECE">
      <w:pPr>
        <w:overflowPunct/>
        <w:bidi w:val="0"/>
        <w:ind w:firstLine="361"/>
        <w:outlineLvl w:val="9"/>
        <w:rPr>
          <w:rFonts w:hint="default" w:ascii="宋体" w:hAnsi="宋体" w:cs="宋体"/>
          <w:b/>
          <w:bCs/>
          <w:color w:val="000000" w:themeColor="text1"/>
          <w:sz w:val="18"/>
          <w:szCs w:val="18"/>
          <w:highlight w:val="none"/>
          <w:lang w:val="en-US" w:eastAsia="zh-CN"/>
          <w14:textFill>
            <w14:solidFill>
              <w14:schemeClr w14:val="tx1"/>
            </w14:solidFill>
          </w14:textFill>
        </w:rPr>
      </w:pPr>
    </w:p>
    <w:p w14:paraId="67AD9BA8">
      <w:pPr>
        <w:overflowPunct/>
        <w:bidi w:val="0"/>
        <w:outlineLvl w:val="9"/>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7665CC53">
      <w:pPr>
        <w:overflowPunct/>
        <w:bidi w:val="0"/>
        <w:spacing w:afterLines="50"/>
        <w:jc w:val="center"/>
        <w:outlineLvl w:val="9"/>
        <w:rPr>
          <w:rFonts w:hint="eastAsia" w:ascii="宋体" w:hAnsi="宋体" w:eastAsia="宋体"/>
          <w:b/>
          <w:color w:val="000000" w:themeColor="text1"/>
          <w:szCs w:val="21"/>
          <w:highlight w:val="none"/>
          <w:lang w:val="en-US" w:eastAsia="zh-CN"/>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详细评审</w:t>
      </w:r>
      <w:r>
        <w:rPr>
          <w:rFonts w:hint="eastAsia" w:ascii="宋体" w:hAnsi="宋体"/>
          <w:b/>
          <w:color w:val="000000" w:themeColor="text1"/>
          <w:szCs w:val="21"/>
          <w:highlight w:val="none"/>
          <w:lang w:val="en-US" w:eastAsia="zh-CN"/>
          <w14:textFill>
            <w14:solidFill>
              <w14:schemeClr w14:val="tx1"/>
            </w14:solidFill>
          </w14:textFill>
        </w:rPr>
        <w:t>标准</w:t>
      </w:r>
    </w:p>
    <w:tbl>
      <w:tblPr>
        <w:tblStyle w:val="38"/>
        <w:tblW w:w="9639"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0"/>
        <w:gridCol w:w="939"/>
        <w:gridCol w:w="1737"/>
        <w:gridCol w:w="5606"/>
        <w:gridCol w:w="657"/>
      </w:tblGrid>
      <w:tr w14:paraId="45609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639" w:type="dxa"/>
            <w:gridSpan w:val="2"/>
            <w:vAlign w:val="center"/>
          </w:tcPr>
          <w:p w14:paraId="6C4C1734">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条款号</w:t>
            </w:r>
          </w:p>
        </w:tc>
        <w:tc>
          <w:tcPr>
            <w:tcW w:w="1737" w:type="dxa"/>
            <w:vAlign w:val="center"/>
          </w:tcPr>
          <w:p w14:paraId="03ED789C">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条款内容</w:t>
            </w:r>
          </w:p>
        </w:tc>
        <w:tc>
          <w:tcPr>
            <w:tcW w:w="6263" w:type="dxa"/>
            <w:gridSpan w:val="2"/>
            <w:vAlign w:val="center"/>
          </w:tcPr>
          <w:p w14:paraId="1ABEEB3F">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编列内容</w:t>
            </w:r>
          </w:p>
        </w:tc>
      </w:tr>
      <w:tr w14:paraId="4A4A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1639" w:type="dxa"/>
            <w:gridSpan w:val="2"/>
            <w:vAlign w:val="center"/>
          </w:tcPr>
          <w:p w14:paraId="3BB31DD7">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2.2.1</w:t>
            </w:r>
          </w:p>
        </w:tc>
        <w:tc>
          <w:tcPr>
            <w:tcW w:w="1737" w:type="dxa"/>
            <w:vAlign w:val="center"/>
          </w:tcPr>
          <w:p w14:paraId="2776CE65">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分值构成</w:t>
            </w:r>
          </w:p>
          <w:p w14:paraId="70316368">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（总分100分）</w:t>
            </w:r>
          </w:p>
        </w:tc>
        <w:tc>
          <w:tcPr>
            <w:tcW w:w="6263" w:type="dxa"/>
            <w:gridSpan w:val="2"/>
            <w:vAlign w:val="center"/>
          </w:tcPr>
          <w:p w14:paraId="332228C9">
            <w:pPr>
              <w:keepNext w:val="0"/>
              <w:keepLines w:val="0"/>
              <w:pageBreakBefore w:val="0"/>
              <w:widowControl w:val="0"/>
              <w:numPr>
                <w:ilvl w:val="0"/>
                <w:numId w:val="6"/>
              </w:numPr>
              <w:kinsoku/>
              <w:wordWrap/>
              <w:overflowPunct/>
              <w:topLinePunct w:val="0"/>
              <w:bidi w:val="0"/>
              <w:snapToGrid/>
              <w:spacing w:line="0" w:lineRule="atLeast"/>
              <w:jc w:val="left"/>
              <w:outlineLvl w:val="9"/>
              <w:rPr>
                <w:rFonts w:ascii="宋体" w:hAnsi="宋体" w:cs="微软雅黑"/>
                <w:color w:val="000000" w:themeColor="text1"/>
                <w:szCs w:val="21"/>
                <w:highlight w:val="none"/>
                <w14:textFill>
                  <w14:solidFill>
                    <w14:schemeClr w14:val="tx1"/>
                  </w14:solidFill>
                </w14:textFill>
              </w:rPr>
            </w:pPr>
            <w:r>
              <w:rPr>
                <w:rFonts w:ascii="宋体" w:hAnsi="宋体" w:cs="微软雅黑"/>
                <w:color w:val="000000" w:themeColor="text1"/>
                <w:szCs w:val="21"/>
                <w:highlight w:val="none"/>
                <w:lang w:val="zh-CN"/>
                <w14:textFill>
                  <w14:solidFill>
                    <w14:schemeClr w14:val="tx1"/>
                  </w14:solidFill>
                </w14:textFill>
              </w:rPr>
              <w:t>投标报价：</w:t>
            </w:r>
            <w:r>
              <w:rPr>
                <w:rFonts w:hint="eastAsia" w:ascii="宋体" w:hAnsi="宋体" w:cs="微软雅黑"/>
                <w:color w:val="000000" w:themeColor="text1"/>
                <w:szCs w:val="21"/>
                <w:highlight w:val="none"/>
                <w14:textFill>
                  <w14:solidFill>
                    <w14:schemeClr w14:val="tx1"/>
                  </w14:solidFill>
                </w14:textFill>
              </w:rPr>
              <w:t>30</w:t>
            </w:r>
            <w:r>
              <w:rPr>
                <w:rFonts w:ascii="宋体" w:hAnsi="宋体" w:cs="微软雅黑"/>
                <w:color w:val="000000" w:themeColor="text1"/>
                <w:szCs w:val="21"/>
                <w:highlight w:val="none"/>
                <w14:textFill>
                  <w14:solidFill>
                    <w14:schemeClr w14:val="tx1"/>
                  </w14:solidFill>
                </w14:textFill>
              </w:rPr>
              <w:t>分；</w:t>
            </w:r>
          </w:p>
          <w:p w14:paraId="14ED0F2C">
            <w:pPr>
              <w:keepNext w:val="0"/>
              <w:keepLines w:val="0"/>
              <w:pageBreakBefore w:val="0"/>
              <w:widowControl w:val="0"/>
              <w:numPr>
                <w:ilvl w:val="0"/>
                <w:numId w:val="6"/>
              </w:numPr>
              <w:kinsoku/>
              <w:wordWrap/>
              <w:overflowPunct/>
              <w:topLinePunct w:val="0"/>
              <w:bidi w:val="0"/>
              <w:snapToGrid/>
              <w:spacing w:line="0" w:lineRule="atLeast"/>
              <w:ind w:left="0" w:leftChars="0" w:firstLine="0" w:firstLineChars="0"/>
              <w:jc w:val="left"/>
              <w:outlineLvl w:val="9"/>
              <w:rPr>
                <w:rFonts w:ascii="宋体" w:hAnsi="宋体" w:cs="微软雅黑"/>
                <w:color w:val="000000" w:themeColor="text1"/>
                <w:szCs w:val="21"/>
                <w:highlight w:val="none"/>
                <w:lang w:val="zh-CN"/>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商务因素</w:t>
            </w:r>
            <w:r>
              <w:rPr>
                <w:rFonts w:ascii="宋体" w:hAnsi="宋体" w:cs="微软雅黑"/>
                <w:color w:val="000000" w:themeColor="text1"/>
                <w:szCs w:val="21"/>
                <w:highlight w:val="none"/>
                <w:lang w:val="zh-CN"/>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6</w:t>
            </w:r>
            <w:r>
              <w:rPr>
                <w:rFonts w:ascii="宋体" w:hAnsi="宋体" w:cs="微软雅黑"/>
                <w:color w:val="000000" w:themeColor="text1"/>
                <w:szCs w:val="21"/>
                <w:highlight w:val="none"/>
                <w:lang w:val="zh-CN"/>
                <w14:textFill>
                  <w14:solidFill>
                    <w14:schemeClr w14:val="tx1"/>
                  </w14:solidFill>
                </w14:textFill>
              </w:rPr>
              <w:t>分；</w:t>
            </w:r>
          </w:p>
          <w:p w14:paraId="689554DE">
            <w:pPr>
              <w:keepNext w:val="0"/>
              <w:keepLines w:val="0"/>
              <w:pageBreakBefore w:val="0"/>
              <w:widowControl w:val="0"/>
              <w:numPr>
                <w:ilvl w:val="0"/>
                <w:numId w:val="6"/>
              </w:numPr>
              <w:kinsoku/>
              <w:wordWrap/>
              <w:overflowPunct/>
              <w:topLinePunct w:val="0"/>
              <w:bidi w:val="0"/>
              <w:snapToGrid/>
              <w:spacing w:line="0" w:lineRule="atLeast"/>
              <w:ind w:left="0" w:leftChars="0" w:firstLine="0" w:firstLineChars="0"/>
              <w:jc w:val="left"/>
              <w:outlineLvl w:val="9"/>
              <w:rPr>
                <w:rFonts w:ascii="宋体" w:hAnsi="宋体" w:cs="微软雅黑"/>
                <w:color w:val="000000" w:themeColor="text1"/>
                <w:szCs w:val="21"/>
                <w:highlight w:val="none"/>
                <w:lang w:val="zh-CN"/>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技术因素</w:t>
            </w:r>
            <w:r>
              <w:rPr>
                <w:rFonts w:ascii="宋体" w:hAnsi="宋体" w:cs="微软雅黑"/>
                <w:color w:val="000000" w:themeColor="text1"/>
                <w:szCs w:val="21"/>
                <w:highlight w:val="none"/>
                <w:lang w:val="zh-CN"/>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5</w:t>
            </w:r>
            <w:r>
              <w:rPr>
                <w:rFonts w:hint="eastAsia" w:ascii="宋体" w:hAnsi="宋体" w:cs="微软雅黑"/>
                <w:color w:val="000000" w:themeColor="text1"/>
                <w:szCs w:val="21"/>
                <w:highlight w:val="none"/>
                <w14:textFill>
                  <w14:solidFill>
                    <w14:schemeClr w14:val="tx1"/>
                  </w14:solidFill>
                </w14:textFill>
              </w:rPr>
              <w:t>0</w:t>
            </w:r>
            <w:r>
              <w:rPr>
                <w:rFonts w:ascii="宋体" w:hAnsi="宋体" w:cs="微软雅黑"/>
                <w:color w:val="000000" w:themeColor="text1"/>
                <w:szCs w:val="21"/>
                <w:highlight w:val="none"/>
                <w:lang w:val="zh-CN"/>
                <w14:textFill>
                  <w14:solidFill>
                    <w14:schemeClr w14:val="tx1"/>
                  </w14:solidFill>
                </w14:textFill>
              </w:rPr>
              <w:t>分；</w:t>
            </w:r>
          </w:p>
          <w:p w14:paraId="1E6947DA">
            <w:pPr>
              <w:keepNext w:val="0"/>
              <w:keepLines w:val="0"/>
              <w:pageBreakBefore w:val="0"/>
              <w:widowControl w:val="0"/>
              <w:numPr>
                <w:ilvl w:val="0"/>
                <w:numId w:val="0"/>
              </w:numPr>
              <w:kinsoku/>
              <w:wordWrap/>
              <w:overflowPunct/>
              <w:topLinePunct w:val="0"/>
              <w:bidi w:val="0"/>
              <w:snapToGrid/>
              <w:spacing w:line="0" w:lineRule="atLeast"/>
              <w:ind w:leftChars="0"/>
              <w:jc w:val="left"/>
              <w:outlineLvl w:val="9"/>
              <w:rPr>
                <w:rFonts w:ascii="宋体" w:hAnsi="宋体" w:cs="微软雅黑"/>
                <w:color w:val="000000" w:themeColor="text1"/>
                <w:szCs w:val="21"/>
                <w:highlight w:val="none"/>
                <w14:textFill>
                  <w14:solidFill>
                    <w14:schemeClr w14:val="tx1"/>
                  </w14:solidFill>
                </w14:textFill>
              </w:rPr>
            </w:pPr>
            <w:r>
              <w:rPr>
                <w:rFonts w:ascii="宋体" w:hAnsi="宋体" w:cs="微软雅黑"/>
                <w:color w:val="000000" w:themeColor="text1"/>
                <w:szCs w:val="21"/>
                <w:highlight w:val="none"/>
                <w:lang w:val="zh-CN"/>
                <w14:textFill>
                  <w14:solidFill>
                    <w14:schemeClr w14:val="tx1"/>
                  </w14:solidFill>
                </w14:textFill>
              </w:rPr>
              <w:t>（</w:t>
            </w:r>
            <w:r>
              <w:rPr>
                <w:rFonts w:ascii="宋体" w:hAnsi="宋体" w:cs="微软雅黑"/>
                <w:color w:val="000000" w:themeColor="text1"/>
                <w:szCs w:val="21"/>
                <w:highlight w:val="none"/>
                <w14:textFill>
                  <w14:solidFill>
                    <w14:schemeClr w14:val="tx1"/>
                  </w14:solidFill>
                </w14:textFill>
              </w:rPr>
              <w:t>4</w:t>
            </w:r>
            <w:r>
              <w:rPr>
                <w:rFonts w:ascii="宋体" w:hAnsi="宋体" w:cs="微软雅黑"/>
                <w:color w:val="000000" w:themeColor="text1"/>
                <w:szCs w:val="21"/>
                <w:highlight w:val="none"/>
                <w:lang w:val="zh-CN"/>
                <w14:textFill>
                  <w14:solidFill>
                    <w14:schemeClr w14:val="tx1"/>
                  </w14:solidFill>
                </w14:textFill>
              </w:rPr>
              <w:t>）</w:t>
            </w:r>
            <w:r>
              <w:rPr>
                <w:rFonts w:hint="eastAsia" w:ascii="宋体" w:hAnsi="宋体" w:cs="微软雅黑"/>
                <w:color w:val="000000" w:themeColor="text1"/>
                <w:szCs w:val="21"/>
                <w:highlight w:val="none"/>
                <w14:textFill>
                  <w14:solidFill>
                    <w14:schemeClr w14:val="tx1"/>
                  </w14:solidFill>
                </w14:textFill>
              </w:rPr>
              <w:t>其他因素</w:t>
            </w:r>
            <w:r>
              <w:rPr>
                <w:rFonts w:ascii="宋体" w:hAnsi="宋体" w:cs="微软雅黑"/>
                <w:color w:val="000000" w:themeColor="text1"/>
                <w:szCs w:val="21"/>
                <w:highlight w:val="none"/>
                <w:lang w:val="zh-CN"/>
                <w14:textFill>
                  <w14:solidFill>
                    <w14:schemeClr w14:val="tx1"/>
                  </w14:solidFill>
                </w14:textFill>
              </w:rPr>
              <w:t>：</w:t>
            </w:r>
            <w:r>
              <w:rPr>
                <w:rFonts w:ascii="宋体" w:hAnsi="宋体" w:cs="微软雅黑"/>
                <w:color w:val="000000" w:themeColor="text1"/>
                <w:szCs w:val="21"/>
                <w:highlight w:val="none"/>
                <w14:textFill>
                  <w14:solidFill>
                    <w14:schemeClr w14:val="tx1"/>
                  </w14:solidFill>
                </w14:textFill>
              </w:rPr>
              <w:t>10</w:t>
            </w:r>
            <w:r>
              <w:rPr>
                <w:rFonts w:ascii="宋体" w:hAnsi="宋体" w:cs="微软雅黑"/>
                <w:color w:val="000000" w:themeColor="text1"/>
                <w:szCs w:val="21"/>
                <w:highlight w:val="none"/>
                <w:lang w:val="zh-CN"/>
                <w14:textFill>
                  <w14:solidFill>
                    <w14:schemeClr w14:val="tx1"/>
                  </w14:solidFill>
                </w14:textFill>
              </w:rPr>
              <w:t>分</w:t>
            </w:r>
            <w:r>
              <w:rPr>
                <w:rFonts w:hint="eastAsia" w:ascii="宋体" w:hAnsi="宋体" w:cs="微软雅黑"/>
                <w:color w:val="000000" w:themeColor="text1"/>
                <w:szCs w:val="21"/>
                <w:highlight w:val="none"/>
                <w:lang w:val="zh-CN"/>
                <w14:textFill>
                  <w14:solidFill>
                    <w14:schemeClr w14:val="tx1"/>
                  </w14:solidFill>
                </w14:textFill>
              </w:rPr>
              <w:t>。</w:t>
            </w:r>
          </w:p>
        </w:tc>
      </w:tr>
      <w:tr w14:paraId="7EBF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8" w:hRule="atLeast"/>
        </w:trPr>
        <w:tc>
          <w:tcPr>
            <w:tcW w:w="1639" w:type="dxa"/>
            <w:gridSpan w:val="2"/>
            <w:vAlign w:val="center"/>
          </w:tcPr>
          <w:p w14:paraId="73D8FBE8">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2.2.2</w:t>
            </w:r>
          </w:p>
        </w:tc>
        <w:tc>
          <w:tcPr>
            <w:tcW w:w="1737" w:type="dxa"/>
            <w:vAlign w:val="center"/>
          </w:tcPr>
          <w:p w14:paraId="298430E1">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基准价计算方法</w:t>
            </w:r>
          </w:p>
        </w:tc>
        <w:tc>
          <w:tcPr>
            <w:tcW w:w="6263" w:type="dxa"/>
            <w:gridSpan w:val="2"/>
            <w:vAlign w:val="center"/>
          </w:tcPr>
          <w:p w14:paraId="48267229">
            <w:pPr>
              <w:keepNext w:val="0"/>
              <w:keepLines w:val="0"/>
              <w:pageBreakBefore w:val="0"/>
              <w:widowControl w:val="0"/>
              <w:kinsoku/>
              <w:wordWrap/>
              <w:overflowPunct/>
              <w:topLinePunct w:val="0"/>
              <w:bidi w:val="0"/>
              <w:snapToGrid/>
              <w:spacing w:line="0" w:lineRule="atLeast"/>
              <w:jc w:val="left"/>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价格分统一采用低价优先法计算，即满足磋商文件要求且最后报价最低的供应商的价格为磋商基准价，其价格分为满分。其他供应商的价格分统一按照下列公式计算：</w:t>
            </w:r>
          </w:p>
          <w:p w14:paraId="6B499C30">
            <w:pPr>
              <w:keepNext w:val="0"/>
              <w:keepLines w:val="0"/>
              <w:pageBreakBefore w:val="0"/>
              <w:widowControl w:val="0"/>
              <w:kinsoku/>
              <w:wordWrap/>
              <w:overflowPunct/>
              <w:topLinePunct w:val="0"/>
              <w:bidi w:val="0"/>
              <w:snapToGrid/>
              <w:spacing w:line="0" w:lineRule="atLeast"/>
              <w:jc w:val="left"/>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磋商报价得分=（磋商基准价/最后磋商报价）×价格权值30%×100</w:t>
            </w:r>
          </w:p>
          <w:p w14:paraId="40710B28">
            <w:pPr>
              <w:keepNext w:val="0"/>
              <w:keepLines w:val="0"/>
              <w:pageBreakBefore w:val="0"/>
              <w:widowControl w:val="0"/>
              <w:kinsoku/>
              <w:wordWrap/>
              <w:overflowPunct/>
              <w:topLinePunct w:val="0"/>
              <w:bidi w:val="0"/>
              <w:snapToGrid/>
              <w:spacing w:line="0" w:lineRule="atLeast"/>
              <w:jc w:val="left"/>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超出</w:t>
            </w:r>
            <w:r>
              <w:rPr>
                <w:rFonts w:hint="eastAsia" w:ascii="宋体" w:hAnsi="宋体" w:cs="微软雅黑"/>
                <w:color w:val="000000" w:themeColor="text1"/>
                <w:szCs w:val="21"/>
                <w:highlight w:val="none"/>
                <w:lang w:val="en-US" w:eastAsia="zh-CN"/>
                <w14:textFill>
                  <w14:solidFill>
                    <w14:schemeClr w14:val="tx1"/>
                  </w14:solidFill>
                </w14:textFill>
              </w:rPr>
              <w:t>最高限价</w:t>
            </w:r>
            <w:r>
              <w:rPr>
                <w:rFonts w:hint="eastAsia" w:ascii="宋体" w:hAnsi="宋体" w:cs="微软雅黑"/>
                <w:color w:val="000000" w:themeColor="text1"/>
                <w:szCs w:val="21"/>
                <w:highlight w:val="none"/>
                <w14:textFill>
                  <w14:solidFill>
                    <w14:schemeClr w14:val="tx1"/>
                  </w14:solidFill>
                </w14:textFill>
              </w:rPr>
              <w:t>的磋商响应报价按</w:t>
            </w:r>
            <w:r>
              <w:rPr>
                <w:rFonts w:hint="eastAsia" w:ascii="宋体" w:hAnsi="宋体" w:cs="微软雅黑"/>
                <w:color w:val="000000" w:themeColor="text1"/>
                <w:szCs w:val="21"/>
                <w:highlight w:val="none"/>
                <w:lang w:val="en-US" w:eastAsia="zh-CN"/>
                <w14:textFill>
                  <w14:solidFill>
                    <w14:schemeClr w14:val="tx1"/>
                  </w14:solidFill>
                </w14:textFill>
              </w:rPr>
              <w:t>无效报价</w:t>
            </w:r>
            <w:r>
              <w:rPr>
                <w:rFonts w:hint="eastAsia" w:ascii="宋体" w:hAnsi="宋体" w:cs="微软雅黑"/>
                <w:color w:val="000000" w:themeColor="text1"/>
                <w:szCs w:val="21"/>
                <w:highlight w:val="none"/>
                <w14:textFill>
                  <w14:solidFill>
                    <w14:schemeClr w14:val="tx1"/>
                  </w14:solidFill>
                </w14:textFill>
              </w:rPr>
              <w:t>处理。</w:t>
            </w:r>
          </w:p>
          <w:p w14:paraId="606FAC7A">
            <w:pPr>
              <w:keepNext w:val="0"/>
              <w:keepLines w:val="0"/>
              <w:pageBreakBefore w:val="0"/>
              <w:widowControl w:val="0"/>
              <w:kinsoku/>
              <w:wordWrap/>
              <w:overflowPunct/>
              <w:topLinePunct w:val="0"/>
              <w:bidi w:val="0"/>
              <w:snapToGrid/>
              <w:spacing w:line="0" w:lineRule="atLeast"/>
              <w:jc w:val="left"/>
              <w:outlineLvl w:val="9"/>
              <w:rPr>
                <w:rFonts w:hint="eastAsia" w:ascii="宋体" w:hAnsi="宋体" w:eastAsia="宋体"/>
                <w:bCs/>
                <w:color w:val="000000" w:themeColor="text1"/>
                <w:szCs w:val="21"/>
                <w:highlight w:val="none"/>
                <w:lang w:eastAsia="zh-CN"/>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注：报价得分保留小数点后两位。</w:t>
            </w:r>
            <w:r>
              <w:rPr>
                <w:rFonts w:hint="eastAsia" w:ascii="宋体" w:hAnsi="宋体" w:cs="微软雅黑"/>
                <w:color w:val="000000" w:themeColor="text1"/>
                <w:szCs w:val="21"/>
                <w:highlight w:val="none"/>
                <w:lang w:eastAsia="zh-CN"/>
                <w14:textFill>
                  <w14:solidFill>
                    <w14:schemeClr w14:val="tx1"/>
                  </w14:solidFill>
                </w14:textFill>
              </w:rPr>
              <w:t>如有中小企业则按扣除后报价计算。</w:t>
            </w:r>
          </w:p>
        </w:tc>
      </w:tr>
      <w:tr w14:paraId="32E4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trPr>
        <w:tc>
          <w:tcPr>
            <w:tcW w:w="1639" w:type="dxa"/>
            <w:gridSpan w:val="2"/>
            <w:vAlign w:val="center"/>
          </w:tcPr>
          <w:p w14:paraId="2B6CF709">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条款号</w:t>
            </w:r>
          </w:p>
        </w:tc>
        <w:tc>
          <w:tcPr>
            <w:tcW w:w="1737" w:type="dxa"/>
            <w:vAlign w:val="center"/>
          </w:tcPr>
          <w:p w14:paraId="233BF754">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评分因素</w:t>
            </w:r>
          </w:p>
        </w:tc>
        <w:tc>
          <w:tcPr>
            <w:tcW w:w="5606" w:type="dxa"/>
            <w:vAlign w:val="center"/>
          </w:tcPr>
          <w:p w14:paraId="05A4234A">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评分标准</w:t>
            </w:r>
          </w:p>
        </w:tc>
        <w:tc>
          <w:tcPr>
            <w:tcW w:w="657" w:type="dxa"/>
            <w:vAlign w:val="center"/>
          </w:tcPr>
          <w:p w14:paraId="0B3519BB">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得分</w:t>
            </w:r>
          </w:p>
        </w:tc>
      </w:tr>
      <w:tr w14:paraId="20DE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trPr>
        <w:tc>
          <w:tcPr>
            <w:tcW w:w="700" w:type="dxa"/>
            <w:vAlign w:val="center"/>
          </w:tcPr>
          <w:p w14:paraId="2DD1F7D2">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2.2.3</w:t>
            </w:r>
          </w:p>
          <w:p w14:paraId="1DC3126B">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(1)</w:t>
            </w:r>
          </w:p>
        </w:tc>
        <w:tc>
          <w:tcPr>
            <w:tcW w:w="939" w:type="dxa"/>
            <w:vAlign w:val="center"/>
          </w:tcPr>
          <w:p w14:paraId="56D63098">
            <w:pPr>
              <w:keepNext w:val="0"/>
              <w:keepLines w:val="0"/>
              <w:pageBreakBefore w:val="0"/>
              <w:widowControl w:val="0"/>
              <w:kinsoku/>
              <w:wordWrap/>
              <w:overflowPunct/>
              <w:topLinePunct w:val="0"/>
              <w:bidi w:val="0"/>
              <w:snapToGrid/>
              <w:spacing w:line="0" w:lineRule="atLeast"/>
              <w:jc w:val="left"/>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磋商报价</w:t>
            </w:r>
          </w:p>
          <w:p w14:paraId="363439FD">
            <w:pPr>
              <w:keepNext w:val="0"/>
              <w:keepLines w:val="0"/>
              <w:pageBreakBefore w:val="0"/>
              <w:widowControl w:val="0"/>
              <w:kinsoku/>
              <w:wordWrap/>
              <w:overflowPunct/>
              <w:topLinePunct w:val="0"/>
              <w:bidi w:val="0"/>
              <w:snapToGrid/>
              <w:spacing w:line="0" w:lineRule="atLeast"/>
              <w:jc w:val="left"/>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评分标准</w:t>
            </w:r>
          </w:p>
          <w:p w14:paraId="08071715">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30分</w:t>
            </w:r>
          </w:p>
        </w:tc>
        <w:tc>
          <w:tcPr>
            <w:tcW w:w="1737" w:type="dxa"/>
            <w:vAlign w:val="center"/>
          </w:tcPr>
          <w:p w14:paraId="2357E204">
            <w:pPr>
              <w:overflowPunct/>
              <w:bidi w:val="0"/>
              <w:spacing w:line="0" w:lineRule="atLeast"/>
              <w:ind w:right="69" w:rightChars="33" w:firstLine="100" w:firstLineChars="48"/>
              <w:jc w:val="center"/>
              <w:outlineLvl w:val="9"/>
              <w:rPr>
                <w:rFonts w:hint="eastAsia"/>
                <w:color w:val="000000" w:themeColor="text1"/>
                <w:sz w:val="21"/>
                <w:highlight w:val="none"/>
                <w:lang w:val="en-US"/>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磋商报价得分</w:t>
            </w:r>
          </w:p>
        </w:tc>
        <w:tc>
          <w:tcPr>
            <w:tcW w:w="5606" w:type="dxa"/>
            <w:vAlign w:val="center"/>
          </w:tcPr>
          <w:p w14:paraId="13F173DD">
            <w:pPr>
              <w:overflowPunct/>
              <w:bidi w:val="0"/>
              <w:spacing w:line="0" w:lineRule="atLeast"/>
              <w:outlineLvl w:val="9"/>
              <w:rPr>
                <w:rFonts w:hint="eastAsia"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以第二次磋商报价（最终报价）为依据进行计算，通过初步评审的有效磋商报价的最低报价为磋商基准价。</w:t>
            </w:r>
          </w:p>
          <w:p w14:paraId="158B0526">
            <w:pPr>
              <w:overflowPunct/>
              <w:bidi w:val="0"/>
              <w:spacing w:line="0" w:lineRule="atLeast"/>
              <w:outlineLvl w:val="9"/>
              <w:rPr>
                <w:rFonts w:ascii="Times New Roman" w:hAnsi="Times New Roman" w:cs="Times New Roman"/>
                <w:color w:val="000000" w:themeColor="text1"/>
                <w:sz w:val="2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最终报价得分=（磋商基准价/最终磋商报价）×30%×100，四舍五入保留小数点后两位有效数字。</w:t>
            </w:r>
          </w:p>
        </w:tc>
        <w:tc>
          <w:tcPr>
            <w:tcW w:w="657" w:type="dxa"/>
            <w:vAlign w:val="center"/>
          </w:tcPr>
          <w:p w14:paraId="788E5725">
            <w:pPr>
              <w:overflowPunct/>
              <w:bidi w:val="0"/>
              <w:spacing w:line="0" w:lineRule="atLeast"/>
              <w:ind w:right="84" w:rightChars="40" w:firstLine="54" w:firstLineChars="26"/>
              <w:jc w:val="center"/>
              <w:outlineLvl w:val="9"/>
              <w:rPr>
                <w:rFonts w:hint="eastAsia"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0-30</w:t>
            </w:r>
          </w:p>
        </w:tc>
      </w:tr>
      <w:tr w14:paraId="16A5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trPr>
        <w:tc>
          <w:tcPr>
            <w:tcW w:w="700" w:type="dxa"/>
            <w:vAlign w:val="center"/>
          </w:tcPr>
          <w:p w14:paraId="186BED4A">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2.2.3</w:t>
            </w:r>
          </w:p>
          <w:p w14:paraId="3161BE67">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2</w:t>
            </w:r>
            <w:r>
              <w:rPr>
                <w:rFonts w:hint="eastAsia" w:ascii="宋体" w:hAnsi="宋体" w:cs="微软雅黑"/>
                <w:color w:val="000000" w:themeColor="text1"/>
                <w:szCs w:val="21"/>
                <w:highlight w:val="none"/>
                <w14:textFill>
                  <w14:solidFill>
                    <w14:schemeClr w14:val="tx1"/>
                  </w14:solidFill>
                </w14:textFill>
              </w:rPr>
              <w:t>)</w:t>
            </w:r>
          </w:p>
        </w:tc>
        <w:tc>
          <w:tcPr>
            <w:tcW w:w="939" w:type="dxa"/>
            <w:vAlign w:val="center"/>
          </w:tcPr>
          <w:p w14:paraId="5DA1942D">
            <w:pPr>
              <w:keepNext w:val="0"/>
              <w:keepLines w:val="0"/>
              <w:pageBreakBefore w:val="0"/>
              <w:widowControl w:val="0"/>
              <w:kinsoku/>
              <w:wordWrap/>
              <w:overflowPunct/>
              <w:topLinePunct w:val="0"/>
              <w:bidi w:val="0"/>
              <w:snapToGrid/>
              <w:spacing w:line="0" w:lineRule="atLeast"/>
              <w:jc w:val="center"/>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商务因素6分</w:t>
            </w:r>
          </w:p>
        </w:tc>
        <w:tc>
          <w:tcPr>
            <w:tcW w:w="1737" w:type="dxa"/>
            <w:vAlign w:val="center"/>
          </w:tcPr>
          <w:p w14:paraId="5B9F5622">
            <w:pPr>
              <w:pStyle w:val="106"/>
              <w:overflowPunct/>
              <w:bidi w:val="0"/>
              <w:spacing w:line="0" w:lineRule="atLeast"/>
              <w:jc w:val="center"/>
              <w:outlineLvl w:val="9"/>
              <w:rPr>
                <w:rFonts w:hint="eastAsia" w:ascii="宋体" w:hAnsi="宋体" w:eastAsia="宋体" w:cs="微软雅黑"/>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 w:val="21"/>
                <w:highlight w:val="none"/>
                <w:lang w:val="en-US"/>
                <w14:textFill>
                  <w14:solidFill>
                    <w14:schemeClr w14:val="tx1"/>
                  </w14:solidFill>
                </w14:textFill>
              </w:rPr>
              <w:t>企业业绩</w:t>
            </w:r>
            <w:r>
              <w:rPr>
                <w:rFonts w:hint="eastAsia"/>
                <w:color w:val="000000" w:themeColor="text1"/>
                <w:sz w:val="21"/>
                <w:highlight w:val="none"/>
                <w:lang w:val="en-US" w:eastAsia="zh-CN"/>
                <w14:textFill>
                  <w14:solidFill>
                    <w14:schemeClr w14:val="tx1"/>
                  </w14:solidFill>
                </w14:textFill>
              </w:rPr>
              <w:t>（6分）</w:t>
            </w:r>
          </w:p>
        </w:tc>
        <w:tc>
          <w:tcPr>
            <w:tcW w:w="5606" w:type="dxa"/>
            <w:vAlign w:val="center"/>
          </w:tcPr>
          <w:p w14:paraId="36819841">
            <w:pPr>
              <w:pStyle w:val="106"/>
              <w:overflowPunct/>
              <w:bidi w:val="0"/>
              <w:spacing w:line="0" w:lineRule="atLeast"/>
              <w:jc w:val="both"/>
              <w:outlineLvl w:val="9"/>
              <w:rPr>
                <w:rFonts w:hint="eastAsia"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eastAsia="zh-CN"/>
                <w14:textFill>
                  <w14:solidFill>
                    <w14:schemeClr w14:val="tx1"/>
                  </w14:solidFill>
                </w14:textFill>
              </w:rPr>
              <w:t>供应商或所投产品生产商</w:t>
            </w:r>
            <w:r>
              <w:rPr>
                <w:rFonts w:hint="eastAsia" w:ascii="Times New Roman" w:hAnsi="Times New Roman" w:cs="Times New Roman"/>
                <w:color w:val="000000" w:themeColor="text1"/>
                <w:sz w:val="21"/>
                <w:szCs w:val="21"/>
                <w:highlight w:val="none"/>
                <w14:textFill>
                  <w14:solidFill>
                    <w14:schemeClr w14:val="tx1"/>
                  </w14:solidFill>
                </w14:textFill>
              </w:rPr>
              <w:t>每提供</w:t>
            </w:r>
            <w:r>
              <w:rPr>
                <w:rFonts w:hint="eastAsia" w:ascii="Times New Roman" w:hAnsi="Times New Roman" w:cs="Times New Roman"/>
                <w:color w:val="000000" w:themeColor="text1"/>
                <w:sz w:val="21"/>
                <w:szCs w:val="21"/>
                <w:highlight w:val="none"/>
                <w:lang w:val="en-US"/>
                <w14:textFill>
                  <w14:solidFill>
                    <w14:schemeClr w14:val="tx1"/>
                  </w14:solidFill>
                </w14:textFill>
              </w:rPr>
              <w:t>一</w:t>
            </w:r>
            <w:r>
              <w:rPr>
                <w:rFonts w:hint="eastAsia" w:ascii="Times New Roman" w:hAnsi="Times New Roman" w:cs="Times New Roman"/>
                <w:color w:val="000000" w:themeColor="text1"/>
                <w:sz w:val="21"/>
                <w:szCs w:val="21"/>
                <w:highlight w:val="none"/>
                <w14:textFill>
                  <w14:solidFill>
                    <w14:schemeClr w14:val="tx1"/>
                  </w14:solidFill>
                </w14:textFill>
              </w:rPr>
              <w:t>项20</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20</w:t>
            </w:r>
            <w:r>
              <w:rPr>
                <w:rFonts w:hint="eastAsia" w:ascii="Times New Roman" w:hAnsi="Times New Roman" w:cs="Times New Roman"/>
                <w:color w:val="000000" w:themeColor="text1"/>
                <w:sz w:val="21"/>
                <w:szCs w:val="21"/>
                <w:highlight w:val="none"/>
                <w14:textFill>
                  <w14:solidFill>
                    <w14:schemeClr w14:val="tx1"/>
                  </w14:solidFill>
                </w14:textFill>
              </w:rPr>
              <w:t>年以来</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类似</w:t>
            </w:r>
            <w:r>
              <w:rPr>
                <w:rFonts w:hint="eastAsia" w:ascii="Times New Roman" w:hAnsi="Times New Roman" w:cs="Times New Roman"/>
                <w:color w:val="000000" w:themeColor="text1"/>
                <w:sz w:val="21"/>
                <w:szCs w:val="21"/>
                <w:highlight w:val="none"/>
                <w14:textFill>
                  <w14:solidFill>
                    <w14:schemeClr w14:val="tx1"/>
                  </w14:solidFill>
                </w14:textFill>
              </w:rPr>
              <w:t>业绩得</w:t>
            </w:r>
            <w:r>
              <w:rPr>
                <w:rFonts w:hint="eastAsia" w:ascii="Times New Roman" w:hAnsi="Times New Roman" w:cs="Times New Roman"/>
                <w:color w:val="000000" w:themeColor="text1"/>
                <w:sz w:val="21"/>
                <w:szCs w:val="21"/>
                <w:highlight w:val="none"/>
                <w:lang w:val="en-US"/>
                <w14:textFill>
                  <w14:solidFill>
                    <w14:schemeClr w14:val="tx1"/>
                  </w14:solidFill>
                </w14:textFill>
              </w:rPr>
              <w:t>2</w:t>
            </w:r>
            <w:r>
              <w:rPr>
                <w:rFonts w:hint="eastAsia" w:ascii="Times New Roman" w:hAnsi="Times New Roman" w:cs="Times New Roman"/>
                <w:color w:val="000000" w:themeColor="text1"/>
                <w:sz w:val="21"/>
                <w:szCs w:val="21"/>
                <w:highlight w:val="none"/>
                <w14:textFill>
                  <w14:solidFill>
                    <w14:schemeClr w14:val="tx1"/>
                  </w14:solidFill>
                </w14:textFill>
              </w:rPr>
              <w:t>分，最高得</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6</w:t>
            </w:r>
            <w:r>
              <w:rPr>
                <w:rFonts w:hint="eastAsia" w:ascii="Times New Roman" w:hAnsi="Times New Roman" w:cs="Times New Roman"/>
                <w:color w:val="000000" w:themeColor="text1"/>
                <w:sz w:val="21"/>
                <w:szCs w:val="21"/>
                <w:highlight w:val="none"/>
                <w14:textFill>
                  <w14:solidFill>
                    <w14:schemeClr w14:val="tx1"/>
                  </w14:solidFill>
                </w14:textFill>
              </w:rPr>
              <w:t>分。</w:t>
            </w:r>
          </w:p>
          <w:p w14:paraId="43DEAC91">
            <w:pPr>
              <w:pStyle w:val="106"/>
              <w:overflowPunct/>
              <w:bidi w:val="0"/>
              <w:spacing w:line="0" w:lineRule="atLeast"/>
              <w:jc w:val="both"/>
              <w:outlineLvl w:val="9"/>
              <w:rPr>
                <w:rFonts w:ascii="宋体" w:hAnsi="宋体" w:eastAsia="宋体" w:cs="微软雅黑"/>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bCs/>
                <w:color w:val="000000" w:themeColor="text1"/>
                <w:sz w:val="21"/>
                <w:szCs w:val="21"/>
                <w:highlight w:val="none"/>
                <w14:textFill>
                  <w14:solidFill>
                    <w14:schemeClr w14:val="tx1"/>
                  </w14:solidFill>
                </w14:textFill>
              </w:rPr>
              <w:t>评分依据：</w:t>
            </w:r>
            <w:r>
              <w:rPr>
                <w:rFonts w:ascii="Times New Roman" w:hAnsi="Times New Roman" w:cs="Times New Roman"/>
                <w:b/>
                <w:bCs/>
                <w:color w:val="000000" w:themeColor="text1"/>
                <w:sz w:val="21"/>
                <w:szCs w:val="21"/>
                <w:highlight w:val="none"/>
                <w14:textFill>
                  <w14:solidFill>
                    <w14:schemeClr w14:val="tx1"/>
                  </w14:solidFill>
                </w14:textFill>
              </w:rPr>
              <w:t>提供中标</w:t>
            </w:r>
            <w:r>
              <w:rPr>
                <w:rFonts w:hint="eastAsia" w:ascii="Times New Roman" w:hAnsi="Times New Roman" w:cs="Times New Roman"/>
                <w:b/>
                <w:bCs/>
                <w:color w:val="000000" w:themeColor="text1"/>
                <w:sz w:val="21"/>
                <w:szCs w:val="21"/>
                <w:highlight w:val="none"/>
                <w:lang w:val="en-US"/>
                <w14:textFill>
                  <w14:solidFill>
                    <w14:schemeClr w14:val="tx1"/>
                  </w14:solidFill>
                </w14:textFill>
              </w:rPr>
              <w:t>/成交</w:t>
            </w:r>
            <w:r>
              <w:rPr>
                <w:rFonts w:ascii="Times New Roman" w:hAnsi="Times New Roman" w:cs="Times New Roman"/>
                <w:b/>
                <w:bCs/>
                <w:color w:val="000000" w:themeColor="text1"/>
                <w:sz w:val="21"/>
                <w:szCs w:val="21"/>
                <w:highlight w:val="none"/>
                <w14:textFill>
                  <w14:solidFill>
                    <w14:schemeClr w14:val="tx1"/>
                  </w14:solidFill>
                </w14:textFill>
              </w:rPr>
              <w:t>通知书或合同协议书</w:t>
            </w:r>
            <w:r>
              <w:rPr>
                <w:rFonts w:hint="eastAsia" w:ascii="Times New Roman" w:hAnsi="Times New Roman" w:cs="Times New Roman"/>
                <w:b/>
                <w:bCs/>
                <w:color w:val="000000" w:themeColor="text1"/>
                <w:sz w:val="21"/>
                <w:szCs w:val="21"/>
                <w:highlight w:val="none"/>
                <w14:textFill>
                  <w14:solidFill>
                    <w14:schemeClr w14:val="tx1"/>
                  </w14:solidFill>
                </w14:textFill>
              </w:rPr>
              <w:t>复印件加盖投标单位公章</w:t>
            </w:r>
          </w:p>
        </w:tc>
        <w:tc>
          <w:tcPr>
            <w:tcW w:w="657" w:type="dxa"/>
            <w:vAlign w:val="center"/>
          </w:tcPr>
          <w:p w14:paraId="3C119E20">
            <w:pPr>
              <w:overflowPunct/>
              <w:bidi w:val="0"/>
              <w:spacing w:line="0" w:lineRule="atLeast"/>
              <w:jc w:val="center"/>
              <w:outlineLvl w:val="9"/>
              <w:rPr>
                <w:rFonts w:hint="default" w:ascii="宋体" w:hAnsi="宋体" w:eastAsia="宋体" w:cs="微软雅黑"/>
                <w:color w:val="000000" w:themeColor="text1"/>
                <w:kern w:val="2"/>
                <w:sz w:val="21"/>
                <w:szCs w:val="21"/>
                <w:highlight w:val="none"/>
                <w:lang w:val="en-US" w:eastAsia="zh-CN" w:bidi="ar-SA"/>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0-</w:t>
            </w:r>
            <w:r>
              <w:rPr>
                <w:rFonts w:hint="eastAsia" w:ascii="宋体" w:hAnsi="宋体" w:cs="微软雅黑"/>
                <w:color w:val="000000" w:themeColor="text1"/>
                <w:szCs w:val="21"/>
                <w:highlight w:val="none"/>
                <w:lang w:val="en-US" w:eastAsia="zh-CN"/>
                <w14:textFill>
                  <w14:solidFill>
                    <w14:schemeClr w14:val="tx1"/>
                  </w14:solidFill>
                </w14:textFill>
              </w:rPr>
              <w:t>6</w:t>
            </w:r>
          </w:p>
        </w:tc>
      </w:tr>
      <w:tr w14:paraId="2249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trPr>
        <w:tc>
          <w:tcPr>
            <w:tcW w:w="700" w:type="dxa"/>
            <w:vAlign w:val="center"/>
          </w:tcPr>
          <w:p w14:paraId="38AF9F0D">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14:textFill>
                  <w14:solidFill>
                    <w14:schemeClr w14:val="tx1"/>
                  </w14:solidFill>
                </w14:textFill>
              </w:rPr>
            </w:pPr>
          </w:p>
        </w:tc>
        <w:tc>
          <w:tcPr>
            <w:tcW w:w="939" w:type="dxa"/>
            <w:vAlign w:val="center"/>
          </w:tcPr>
          <w:p w14:paraId="3BE8EE86">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lang w:val="en-US" w:eastAsia="zh-CN"/>
                <w14:textFill>
                  <w14:solidFill>
                    <w14:schemeClr w14:val="tx1"/>
                  </w14:solidFill>
                </w14:textFill>
              </w:rPr>
            </w:pPr>
          </w:p>
        </w:tc>
        <w:tc>
          <w:tcPr>
            <w:tcW w:w="1737" w:type="dxa"/>
            <w:vAlign w:val="center"/>
          </w:tcPr>
          <w:p w14:paraId="0B4FDBA9">
            <w:pPr>
              <w:pStyle w:val="106"/>
              <w:overflowPunct/>
              <w:bidi w:val="0"/>
              <w:spacing w:line="0" w:lineRule="atLeast"/>
              <w:jc w:val="center"/>
              <w:outlineLvl w:val="9"/>
              <w:rPr>
                <w:rFonts w:hint="eastAsia"/>
                <w:color w:val="000000" w:themeColor="text1"/>
                <w:sz w:val="21"/>
                <w:highlight w:val="none"/>
                <w:lang w:val="en-US"/>
                <w14:textFill>
                  <w14:solidFill>
                    <w14:schemeClr w14:val="tx1"/>
                  </w14:solidFill>
                </w14:textFill>
              </w:rPr>
            </w:pPr>
            <w:r>
              <w:rPr>
                <w:rFonts w:hint="eastAsia" w:asciiTheme="minorEastAsia" w:hAnsiTheme="minorEastAsia" w:eastAsiaTheme="minorEastAsia"/>
                <w:szCs w:val="21"/>
              </w:rPr>
              <w:t>技术指标符合性</w:t>
            </w:r>
          </w:p>
        </w:tc>
        <w:tc>
          <w:tcPr>
            <w:tcW w:w="5606" w:type="dxa"/>
            <w:vAlign w:val="center"/>
          </w:tcPr>
          <w:p w14:paraId="56CDE7BD">
            <w:pPr>
              <w:pStyle w:val="106"/>
              <w:overflowPunct/>
              <w:bidi w:val="0"/>
              <w:spacing w:line="0" w:lineRule="atLeast"/>
              <w:jc w:val="both"/>
              <w:outlineLvl w:val="9"/>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投标产品技术参数和配置完全满足或优于招标文件要求的，得</w:t>
            </w:r>
            <w:r>
              <w:rPr>
                <w:rFonts w:asciiTheme="minorEastAsia" w:hAnsiTheme="minorEastAsia" w:eastAsiaTheme="minorEastAsia"/>
                <w:szCs w:val="21"/>
                <w:lang w:val="zh-CN"/>
              </w:rPr>
              <w:t>2</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lang w:val="zh-CN"/>
              </w:rPr>
              <w:t>分；其中带“▲”指标为重要指标，不满足的一项扣</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val="zh-CN"/>
              </w:rPr>
              <w:t>分；其他指标不满足的一项扣</w:t>
            </w:r>
            <w:r>
              <w:rPr>
                <w:rFonts w:asciiTheme="minorEastAsia" w:hAnsiTheme="minorEastAsia" w:eastAsiaTheme="minorEastAsia"/>
                <w:szCs w:val="21"/>
                <w:lang w:val="zh-CN"/>
              </w:rPr>
              <w:t>1</w:t>
            </w:r>
            <w:r>
              <w:rPr>
                <w:rFonts w:hint="eastAsia" w:asciiTheme="minorEastAsia" w:hAnsiTheme="minorEastAsia" w:eastAsiaTheme="minorEastAsia"/>
                <w:szCs w:val="21"/>
                <w:lang w:val="zh-CN"/>
              </w:rPr>
              <w:t>分，最多扣</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lang w:val="zh-CN"/>
              </w:rPr>
              <w:t>分。</w:t>
            </w:r>
          </w:p>
          <w:p w14:paraId="13D4DD0F">
            <w:pPr>
              <w:pStyle w:val="106"/>
              <w:overflowPunct/>
              <w:bidi w:val="0"/>
              <w:spacing w:line="0" w:lineRule="atLeast"/>
              <w:jc w:val="both"/>
              <w:outlineLvl w:val="9"/>
              <w:rPr>
                <w:rFonts w:hint="eastAsia" w:asciiTheme="minorEastAsia" w:hAnsiTheme="minorEastAsia" w:eastAsiaTheme="minorEastAsia"/>
                <w:szCs w:val="21"/>
                <w:lang w:val="zh-CN"/>
              </w:rPr>
            </w:pPr>
            <w:r>
              <w:rPr>
                <w:rFonts w:hint="eastAsia" w:asciiTheme="minorEastAsia" w:hAnsiTheme="minorEastAsia" w:eastAsiaTheme="minorEastAsia"/>
                <w:b/>
                <w:bCs/>
                <w:szCs w:val="21"/>
                <w:lang w:val="zh-CN"/>
              </w:rPr>
              <w:t>评分依据：提供相关佐证材料，包含但不限于产品彩页或技术参数确认函。</w:t>
            </w:r>
          </w:p>
        </w:tc>
        <w:tc>
          <w:tcPr>
            <w:tcW w:w="657" w:type="dxa"/>
            <w:vAlign w:val="center"/>
          </w:tcPr>
          <w:p w14:paraId="17E4CF5B">
            <w:pPr>
              <w:overflowPunct/>
              <w:bidi w:val="0"/>
              <w:spacing w:line="0" w:lineRule="atLeast"/>
              <w:jc w:val="center"/>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0-20</w:t>
            </w:r>
          </w:p>
        </w:tc>
      </w:tr>
      <w:tr w14:paraId="68BE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trPr>
        <w:tc>
          <w:tcPr>
            <w:tcW w:w="700" w:type="dxa"/>
            <w:vAlign w:val="center"/>
          </w:tcPr>
          <w:p w14:paraId="4B0FDA6B">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14:textFill>
                  <w14:solidFill>
                    <w14:schemeClr w14:val="tx1"/>
                  </w14:solidFill>
                </w14:textFill>
              </w:rPr>
            </w:pPr>
          </w:p>
        </w:tc>
        <w:tc>
          <w:tcPr>
            <w:tcW w:w="939" w:type="dxa"/>
            <w:vAlign w:val="center"/>
          </w:tcPr>
          <w:p w14:paraId="0B7768CA">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lang w:val="en-US" w:eastAsia="zh-CN"/>
                <w14:textFill>
                  <w14:solidFill>
                    <w14:schemeClr w14:val="tx1"/>
                  </w14:solidFill>
                </w14:textFill>
              </w:rPr>
            </w:pPr>
          </w:p>
        </w:tc>
        <w:tc>
          <w:tcPr>
            <w:tcW w:w="1737" w:type="dxa"/>
            <w:vAlign w:val="center"/>
          </w:tcPr>
          <w:p w14:paraId="19866ECE">
            <w:pPr>
              <w:pStyle w:val="106"/>
              <w:overflowPunct/>
              <w:bidi w:val="0"/>
              <w:spacing w:line="0" w:lineRule="atLeast"/>
              <w:jc w:val="center"/>
              <w:outlineLvl w:val="9"/>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产品质量评价（</w:t>
            </w:r>
            <w:r>
              <w:rPr>
                <w:rFonts w:hint="eastAsia" w:asciiTheme="minorEastAsia" w:hAnsiTheme="minorEastAsia" w:eastAsiaTheme="minorEastAsia"/>
                <w:szCs w:val="21"/>
                <w:lang w:val="en-US" w:eastAsia="zh-CN"/>
              </w:rPr>
              <w:t>10分</w:t>
            </w:r>
            <w:r>
              <w:rPr>
                <w:rFonts w:hint="eastAsia" w:asciiTheme="minorEastAsia" w:hAnsiTheme="minorEastAsia" w:eastAsiaTheme="minorEastAsia"/>
                <w:szCs w:val="21"/>
                <w:lang w:eastAsia="zh-CN"/>
              </w:rPr>
              <w:t>）</w:t>
            </w:r>
          </w:p>
        </w:tc>
        <w:tc>
          <w:tcPr>
            <w:tcW w:w="5606" w:type="dxa"/>
            <w:vAlign w:val="center"/>
          </w:tcPr>
          <w:p w14:paraId="3EBB35A0">
            <w:pPr>
              <w:wordWrap w:val="0"/>
              <w:overflowPunct/>
              <w:bidi w:val="0"/>
              <w:jc w:val="left"/>
              <w:outlineLvl w:val="9"/>
              <w:rPr>
                <w:rFonts w:cs="Arial" w:asciiTheme="minorEastAsia" w:hAnsiTheme="minorEastAsia" w:eastAsiaTheme="minorEastAsia"/>
                <w:szCs w:val="21"/>
              </w:rPr>
            </w:pPr>
            <w:r>
              <w:rPr>
                <w:rFonts w:hint="eastAsia" w:cs="Arial" w:asciiTheme="minorEastAsia" w:hAnsiTheme="minorEastAsia" w:eastAsiaTheme="minorEastAsia"/>
                <w:bCs/>
                <w:szCs w:val="21"/>
              </w:rPr>
              <w:t>1、</w:t>
            </w:r>
            <w:r>
              <w:rPr>
                <w:rFonts w:hint="eastAsia" w:asciiTheme="minorEastAsia" w:hAnsiTheme="minorEastAsia" w:eastAsiaTheme="minorEastAsia"/>
                <w:szCs w:val="21"/>
              </w:rPr>
              <w:t>所投智能LED教室灯</w:t>
            </w:r>
            <w:r>
              <w:rPr>
                <w:rFonts w:hint="eastAsia" w:cs="Arial" w:asciiTheme="minorEastAsia" w:hAnsiTheme="minorEastAsia" w:eastAsiaTheme="minorEastAsia"/>
                <w:szCs w:val="21"/>
              </w:rPr>
              <w:t>能达到：</w:t>
            </w:r>
          </w:p>
          <w:p w14:paraId="43231D25">
            <w:pPr>
              <w:wordWrap w:val="0"/>
              <w:overflowPunct/>
              <w:bidi w:val="0"/>
              <w:ind w:firstLine="210" w:firstLineChars="100"/>
              <w:jc w:val="left"/>
              <w:outlineLvl w:val="9"/>
              <w:rPr>
                <w:rFonts w:cs="Arial" w:asciiTheme="minorEastAsia" w:hAnsiTheme="minorEastAsia" w:eastAsiaTheme="minorEastAsia"/>
                <w:szCs w:val="21"/>
              </w:rPr>
            </w:pPr>
            <w:r>
              <w:rPr>
                <w:rFonts w:hint="eastAsia" w:cs="Arial" w:asciiTheme="minorEastAsia" w:hAnsiTheme="minorEastAsia" w:eastAsiaTheme="minorEastAsia"/>
                <w:szCs w:val="21"/>
              </w:rPr>
              <w:t>①一年后平均照度维持率≥9</w:t>
            </w:r>
            <w:r>
              <w:rPr>
                <w:rFonts w:cs="Arial" w:asciiTheme="minorEastAsia" w:hAnsiTheme="minorEastAsia" w:eastAsiaTheme="minorEastAsia"/>
                <w:szCs w:val="21"/>
              </w:rPr>
              <w:t>8</w:t>
            </w:r>
            <w:r>
              <w:rPr>
                <w:rFonts w:hint="eastAsia" w:cs="Arial" w:asciiTheme="minorEastAsia" w:hAnsiTheme="minorEastAsia" w:eastAsiaTheme="minorEastAsia"/>
                <w:szCs w:val="21"/>
              </w:rPr>
              <w:t>%的，得</w:t>
            </w:r>
            <w:r>
              <w:rPr>
                <w:rFonts w:hint="eastAsia" w:cs="Arial" w:asciiTheme="minorEastAsia" w:hAnsiTheme="minorEastAsia" w:eastAsiaTheme="minorEastAsia"/>
                <w:szCs w:val="21"/>
                <w:lang w:val="en-US" w:eastAsia="zh-CN"/>
              </w:rPr>
              <w:t>0.5</w:t>
            </w:r>
            <w:r>
              <w:rPr>
                <w:rFonts w:hint="eastAsia" w:cs="Arial" w:asciiTheme="minorEastAsia" w:hAnsiTheme="minorEastAsia" w:eastAsiaTheme="minorEastAsia"/>
                <w:szCs w:val="21"/>
              </w:rPr>
              <w:t>分；</w:t>
            </w:r>
          </w:p>
          <w:p w14:paraId="7B08E765">
            <w:pPr>
              <w:wordWrap w:val="0"/>
              <w:overflowPunct/>
              <w:bidi w:val="0"/>
              <w:ind w:firstLine="210" w:firstLineChars="100"/>
              <w:jc w:val="left"/>
              <w:outlineLvl w:val="9"/>
              <w:rPr>
                <w:rFonts w:cs="Arial" w:asciiTheme="minorEastAsia" w:hAnsiTheme="minorEastAsia" w:eastAsiaTheme="minorEastAsia"/>
                <w:szCs w:val="21"/>
              </w:rPr>
            </w:pPr>
            <w:r>
              <w:rPr>
                <w:rFonts w:hint="eastAsia" w:cs="Arial" w:asciiTheme="minorEastAsia" w:hAnsiTheme="minorEastAsia" w:eastAsiaTheme="minorEastAsia"/>
                <w:szCs w:val="21"/>
              </w:rPr>
              <w:t>②二年后平均照度维持率≥9</w:t>
            </w:r>
            <w:r>
              <w:rPr>
                <w:rFonts w:cs="Arial" w:asciiTheme="minorEastAsia" w:hAnsiTheme="minorEastAsia" w:eastAsiaTheme="minorEastAsia"/>
                <w:szCs w:val="21"/>
              </w:rPr>
              <w:t>8</w:t>
            </w:r>
            <w:r>
              <w:rPr>
                <w:rFonts w:hint="eastAsia" w:cs="Arial" w:asciiTheme="minorEastAsia" w:hAnsiTheme="minorEastAsia" w:eastAsiaTheme="minorEastAsia"/>
                <w:szCs w:val="21"/>
              </w:rPr>
              <w:t>%的，得</w:t>
            </w:r>
            <w:r>
              <w:rPr>
                <w:rFonts w:hint="eastAsia" w:cs="Arial" w:asciiTheme="minorEastAsia" w:hAnsiTheme="minorEastAsia" w:eastAsiaTheme="minorEastAsia"/>
                <w:szCs w:val="21"/>
                <w:lang w:val="en-US" w:eastAsia="zh-CN"/>
              </w:rPr>
              <w:t>1</w:t>
            </w:r>
            <w:r>
              <w:rPr>
                <w:rFonts w:hint="eastAsia" w:cs="Arial" w:asciiTheme="minorEastAsia" w:hAnsiTheme="minorEastAsia" w:eastAsiaTheme="minorEastAsia"/>
                <w:szCs w:val="21"/>
              </w:rPr>
              <w:t>分；</w:t>
            </w:r>
          </w:p>
          <w:p w14:paraId="7AD4FDDF">
            <w:pPr>
              <w:wordWrap w:val="0"/>
              <w:overflowPunct/>
              <w:bidi w:val="0"/>
              <w:ind w:firstLine="210" w:firstLineChars="100"/>
              <w:jc w:val="left"/>
              <w:outlineLvl w:val="9"/>
              <w:rPr>
                <w:rFonts w:cs="Arial" w:asciiTheme="minorEastAsia" w:hAnsiTheme="minorEastAsia" w:eastAsiaTheme="minorEastAsia"/>
                <w:szCs w:val="21"/>
              </w:rPr>
            </w:pPr>
            <w:r>
              <w:rPr>
                <w:rFonts w:hint="eastAsia" w:cs="Arial" w:asciiTheme="minorEastAsia" w:hAnsiTheme="minorEastAsia" w:eastAsiaTheme="minorEastAsia"/>
                <w:szCs w:val="21"/>
              </w:rPr>
              <w:t>③三年后平均照度维持率≥9</w:t>
            </w:r>
            <w:r>
              <w:rPr>
                <w:rFonts w:cs="Arial" w:asciiTheme="minorEastAsia" w:hAnsiTheme="minorEastAsia" w:eastAsiaTheme="minorEastAsia"/>
                <w:szCs w:val="21"/>
              </w:rPr>
              <w:t>8</w:t>
            </w:r>
            <w:r>
              <w:rPr>
                <w:rFonts w:hint="eastAsia" w:cs="Arial" w:asciiTheme="minorEastAsia" w:hAnsiTheme="minorEastAsia" w:eastAsiaTheme="minorEastAsia"/>
                <w:szCs w:val="21"/>
              </w:rPr>
              <w:t>%的，得</w:t>
            </w:r>
            <w:r>
              <w:rPr>
                <w:rFonts w:hint="eastAsia" w:cs="Arial" w:asciiTheme="minorEastAsia" w:hAnsiTheme="minorEastAsia" w:eastAsiaTheme="minorEastAsia"/>
                <w:szCs w:val="21"/>
                <w:lang w:val="en-US" w:eastAsia="zh-CN"/>
              </w:rPr>
              <w:t>2</w:t>
            </w:r>
            <w:r>
              <w:rPr>
                <w:rFonts w:hint="eastAsia" w:cs="Arial" w:asciiTheme="minorEastAsia" w:hAnsiTheme="minorEastAsia" w:eastAsiaTheme="minorEastAsia"/>
                <w:szCs w:val="21"/>
              </w:rPr>
              <w:t>分；满分</w:t>
            </w:r>
            <w:r>
              <w:rPr>
                <w:rFonts w:hint="eastAsia" w:cs="Arial" w:asciiTheme="minorEastAsia" w:hAnsiTheme="minorEastAsia" w:eastAsiaTheme="minorEastAsia"/>
                <w:szCs w:val="21"/>
                <w:lang w:val="en-US" w:eastAsia="zh-CN"/>
              </w:rPr>
              <w:t>2</w:t>
            </w:r>
            <w:r>
              <w:rPr>
                <w:rFonts w:hint="eastAsia" w:cs="Arial" w:asciiTheme="minorEastAsia" w:hAnsiTheme="minorEastAsia" w:eastAsiaTheme="minorEastAsia"/>
                <w:szCs w:val="21"/>
              </w:rPr>
              <w:t>分；</w:t>
            </w:r>
            <w:r>
              <w:rPr>
                <w:rFonts w:hint="eastAsia" w:cs="Arial" w:asciiTheme="minorEastAsia" w:hAnsiTheme="minorEastAsia" w:eastAsiaTheme="minorEastAsia"/>
                <w:szCs w:val="21"/>
              </w:rPr>
              <w:cr/>
            </w:r>
            <w:r>
              <w:rPr>
                <w:rFonts w:cs="Arial" w:asciiTheme="minorEastAsia" w:hAnsiTheme="minorEastAsia" w:eastAsiaTheme="minorEastAsia"/>
                <w:szCs w:val="21"/>
              </w:rPr>
              <w:t>2</w:t>
            </w:r>
            <w:r>
              <w:rPr>
                <w:rFonts w:hint="eastAsia" w:cs="Arial" w:asciiTheme="minorEastAsia" w:hAnsiTheme="minorEastAsia" w:eastAsiaTheme="minorEastAsia"/>
                <w:szCs w:val="21"/>
              </w:rPr>
              <w:t>、所投</w:t>
            </w:r>
            <w:r>
              <w:rPr>
                <w:rFonts w:hint="eastAsia" w:asciiTheme="minorEastAsia" w:hAnsiTheme="minorEastAsia" w:eastAsiaTheme="minorEastAsia"/>
                <w:szCs w:val="21"/>
              </w:rPr>
              <w:t>智能</w:t>
            </w:r>
            <w:r>
              <w:rPr>
                <w:rFonts w:hint="eastAsia" w:cs="Arial" w:asciiTheme="minorEastAsia" w:hAnsiTheme="minorEastAsia" w:eastAsiaTheme="minorEastAsia"/>
                <w:szCs w:val="21"/>
              </w:rPr>
              <w:t>LED黑板灯能达到：</w:t>
            </w:r>
          </w:p>
          <w:p w14:paraId="4B5BBE3C">
            <w:pPr>
              <w:wordWrap w:val="0"/>
              <w:overflowPunct/>
              <w:bidi w:val="0"/>
              <w:ind w:firstLine="210" w:firstLineChars="100"/>
              <w:jc w:val="left"/>
              <w:outlineLvl w:val="9"/>
              <w:rPr>
                <w:rFonts w:cs="Arial" w:asciiTheme="minorEastAsia" w:hAnsiTheme="minorEastAsia" w:eastAsiaTheme="minorEastAsia"/>
                <w:szCs w:val="21"/>
              </w:rPr>
            </w:pPr>
            <w:r>
              <w:rPr>
                <w:rFonts w:hint="eastAsia" w:cs="Arial" w:asciiTheme="minorEastAsia" w:hAnsiTheme="minorEastAsia" w:eastAsiaTheme="minorEastAsia"/>
                <w:szCs w:val="21"/>
              </w:rPr>
              <w:t>①一年后平均照度维持率≥9</w:t>
            </w:r>
            <w:r>
              <w:rPr>
                <w:rFonts w:cs="Arial" w:asciiTheme="minorEastAsia" w:hAnsiTheme="minorEastAsia" w:eastAsiaTheme="minorEastAsia"/>
                <w:szCs w:val="21"/>
              </w:rPr>
              <w:t>8</w:t>
            </w:r>
            <w:r>
              <w:rPr>
                <w:rFonts w:hint="eastAsia" w:cs="Arial" w:asciiTheme="minorEastAsia" w:hAnsiTheme="minorEastAsia" w:eastAsiaTheme="minorEastAsia"/>
                <w:szCs w:val="21"/>
              </w:rPr>
              <w:t>%的，得</w:t>
            </w:r>
            <w:r>
              <w:rPr>
                <w:rFonts w:hint="eastAsia" w:cs="Arial" w:asciiTheme="minorEastAsia" w:hAnsiTheme="minorEastAsia" w:eastAsiaTheme="minorEastAsia"/>
                <w:szCs w:val="21"/>
                <w:lang w:val="en-US" w:eastAsia="zh-CN"/>
              </w:rPr>
              <w:t>0.5</w:t>
            </w:r>
            <w:r>
              <w:rPr>
                <w:rFonts w:hint="eastAsia" w:cs="Arial" w:asciiTheme="minorEastAsia" w:hAnsiTheme="minorEastAsia" w:eastAsiaTheme="minorEastAsia"/>
                <w:szCs w:val="21"/>
              </w:rPr>
              <w:t>分；</w:t>
            </w:r>
          </w:p>
          <w:p w14:paraId="5C52C784">
            <w:pPr>
              <w:wordWrap w:val="0"/>
              <w:overflowPunct/>
              <w:bidi w:val="0"/>
              <w:ind w:firstLine="210" w:firstLineChars="100"/>
              <w:jc w:val="left"/>
              <w:outlineLvl w:val="9"/>
              <w:rPr>
                <w:rFonts w:cs="Arial" w:asciiTheme="minorEastAsia" w:hAnsiTheme="minorEastAsia" w:eastAsiaTheme="minorEastAsia"/>
                <w:szCs w:val="21"/>
              </w:rPr>
            </w:pPr>
            <w:r>
              <w:rPr>
                <w:rFonts w:hint="eastAsia" w:cs="Arial" w:asciiTheme="minorEastAsia" w:hAnsiTheme="minorEastAsia" w:eastAsiaTheme="minorEastAsia"/>
                <w:szCs w:val="21"/>
              </w:rPr>
              <w:t>②二年后平均照度维持率≥9</w:t>
            </w:r>
            <w:r>
              <w:rPr>
                <w:rFonts w:cs="Arial" w:asciiTheme="minorEastAsia" w:hAnsiTheme="minorEastAsia" w:eastAsiaTheme="minorEastAsia"/>
                <w:szCs w:val="21"/>
              </w:rPr>
              <w:t>8</w:t>
            </w:r>
            <w:r>
              <w:rPr>
                <w:rFonts w:hint="eastAsia" w:cs="Arial" w:asciiTheme="minorEastAsia" w:hAnsiTheme="minorEastAsia" w:eastAsiaTheme="minorEastAsia"/>
                <w:szCs w:val="21"/>
              </w:rPr>
              <w:t>%的，得</w:t>
            </w:r>
            <w:r>
              <w:rPr>
                <w:rFonts w:hint="eastAsia" w:cs="Arial" w:asciiTheme="minorEastAsia" w:hAnsiTheme="minorEastAsia" w:eastAsiaTheme="minorEastAsia"/>
                <w:szCs w:val="21"/>
                <w:lang w:val="en-US" w:eastAsia="zh-CN"/>
              </w:rPr>
              <w:t>1</w:t>
            </w:r>
            <w:r>
              <w:rPr>
                <w:rFonts w:hint="eastAsia" w:cs="Arial" w:asciiTheme="minorEastAsia" w:hAnsiTheme="minorEastAsia" w:eastAsiaTheme="minorEastAsia"/>
                <w:szCs w:val="21"/>
              </w:rPr>
              <w:t>分；</w:t>
            </w:r>
          </w:p>
          <w:p w14:paraId="7F268ED7">
            <w:pPr>
              <w:wordWrap w:val="0"/>
              <w:overflowPunct/>
              <w:bidi w:val="0"/>
              <w:ind w:firstLine="210" w:firstLineChars="100"/>
              <w:jc w:val="left"/>
              <w:outlineLvl w:val="9"/>
              <w:rPr>
                <w:rFonts w:cs="Arial" w:asciiTheme="minorEastAsia" w:hAnsiTheme="minorEastAsia" w:eastAsiaTheme="minorEastAsia"/>
                <w:szCs w:val="21"/>
              </w:rPr>
            </w:pPr>
            <w:r>
              <w:rPr>
                <w:rFonts w:hint="eastAsia" w:cs="Arial" w:asciiTheme="minorEastAsia" w:hAnsiTheme="minorEastAsia" w:eastAsiaTheme="minorEastAsia"/>
                <w:szCs w:val="21"/>
              </w:rPr>
              <w:t>③三年后平均照度维持率≥9</w:t>
            </w:r>
            <w:r>
              <w:rPr>
                <w:rFonts w:cs="Arial" w:asciiTheme="minorEastAsia" w:hAnsiTheme="minorEastAsia" w:eastAsiaTheme="minorEastAsia"/>
                <w:szCs w:val="21"/>
              </w:rPr>
              <w:t>8</w:t>
            </w:r>
            <w:r>
              <w:rPr>
                <w:rFonts w:hint="eastAsia" w:cs="Arial" w:asciiTheme="minorEastAsia" w:hAnsiTheme="minorEastAsia" w:eastAsiaTheme="minorEastAsia"/>
                <w:szCs w:val="21"/>
              </w:rPr>
              <w:t>%的，得</w:t>
            </w:r>
            <w:r>
              <w:rPr>
                <w:rFonts w:hint="eastAsia" w:cs="Arial" w:asciiTheme="minorEastAsia" w:hAnsiTheme="minorEastAsia" w:eastAsiaTheme="minorEastAsia"/>
                <w:szCs w:val="21"/>
                <w:lang w:val="en-US" w:eastAsia="zh-CN"/>
              </w:rPr>
              <w:t>2</w:t>
            </w:r>
            <w:r>
              <w:rPr>
                <w:rFonts w:hint="eastAsia" w:cs="Arial" w:asciiTheme="minorEastAsia" w:hAnsiTheme="minorEastAsia" w:eastAsiaTheme="minorEastAsia"/>
                <w:szCs w:val="21"/>
              </w:rPr>
              <w:t>分；满分</w:t>
            </w:r>
            <w:r>
              <w:rPr>
                <w:rFonts w:hint="eastAsia" w:cs="Arial" w:asciiTheme="minorEastAsia" w:hAnsiTheme="minorEastAsia" w:eastAsiaTheme="minorEastAsia"/>
                <w:szCs w:val="21"/>
                <w:lang w:val="en-US" w:eastAsia="zh-CN"/>
              </w:rPr>
              <w:t>2</w:t>
            </w:r>
            <w:r>
              <w:rPr>
                <w:rFonts w:hint="eastAsia" w:cs="Arial" w:asciiTheme="minorEastAsia" w:hAnsiTheme="minorEastAsia" w:eastAsiaTheme="minorEastAsia"/>
                <w:szCs w:val="21"/>
              </w:rPr>
              <w:t>分；</w:t>
            </w:r>
          </w:p>
          <w:p w14:paraId="69DAA5B8">
            <w:pPr>
              <w:wordWrap w:val="0"/>
              <w:overflowPunct/>
              <w:bidi w:val="0"/>
              <w:jc w:val="left"/>
              <w:outlineLvl w:val="9"/>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、所投智能LED教室灯能达到：</w:t>
            </w:r>
          </w:p>
          <w:p w14:paraId="38B6A42D">
            <w:pPr>
              <w:wordWrap w:val="0"/>
              <w:overflowPunct/>
              <w:bidi w:val="0"/>
              <w:ind w:firstLine="210" w:firstLineChars="100"/>
              <w:jc w:val="left"/>
              <w:outlineLvl w:val="9"/>
              <w:rPr>
                <w:rFonts w:asciiTheme="minorEastAsia" w:hAnsiTheme="minorEastAsia" w:eastAsiaTheme="minorEastAsia"/>
                <w:szCs w:val="21"/>
              </w:rPr>
            </w:pPr>
            <w:r>
              <w:rPr>
                <w:rFonts w:hint="eastAsia" w:asciiTheme="minorEastAsia" w:hAnsiTheme="minorEastAsia" w:eastAsiaTheme="minorEastAsia"/>
                <w:szCs w:val="21"/>
              </w:rPr>
              <w:t>①一年后照明功率密度增加值≤0.1W/㎡的，得</w:t>
            </w:r>
            <w:r>
              <w:rPr>
                <w:rFonts w:hint="eastAsia" w:asciiTheme="minorEastAsia" w:hAnsiTheme="minorEastAsia" w:eastAsiaTheme="minorEastAsia"/>
                <w:szCs w:val="21"/>
                <w:lang w:val="en-US" w:eastAsia="zh-CN"/>
              </w:rPr>
              <w:t>0.5</w:t>
            </w:r>
            <w:r>
              <w:rPr>
                <w:rFonts w:hint="eastAsia" w:asciiTheme="minorEastAsia" w:hAnsiTheme="minorEastAsia" w:eastAsiaTheme="minorEastAsia"/>
                <w:szCs w:val="21"/>
              </w:rPr>
              <w:t>分；</w:t>
            </w:r>
          </w:p>
          <w:p w14:paraId="08FEE099">
            <w:pPr>
              <w:wordWrap w:val="0"/>
              <w:overflowPunct/>
              <w:bidi w:val="0"/>
              <w:ind w:firstLine="210" w:firstLineChars="100"/>
              <w:jc w:val="left"/>
              <w:outlineLvl w:val="9"/>
              <w:rPr>
                <w:rFonts w:asciiTheme="minorEastAsia" w:hAnsiTheme="minorEastAsia" w:eastAsiaTheme="minorEastAsia"/>
                <w:szCs w:val="21"/>
              </w:rPr>
            </w:pPr>
            <w:r>
              <w:rPr>
                <w:rFonts w:hint="eastAsia" w:asciiTheme="minorEastAsia" w:hAnsiTheme="minorEastAsia" w:eastAsiaTheme="minorEastAsia"/>
                <w:szCs w:val="21"/>
              </w:rPr>
              <w:t>②二年后照明功率密度增加值≤0.1W/㎡的，得</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分；</w:t>
            </w:r>
          </w:p>
          <w:p w14:paraId="31502782">
            <w:pPr>
              <w:wordWrap w:val="0"/>
              <w:overflowPunct/>
              <w:bidi w:val="0"/>
              <w:ind w:firstLine="210" w:firstLineChars="100"/>
              <w:jc w:val="left"/>
              <w:outlineLvl w:val="9"/>
              <w:rPr>
                <w:rFonts w:asciiTheme="minorEastAsia" w:hAnsiTheme="minorEastAsia" w:eastAsiaTheme="minorEastAsia"/>
                <w:szCs w:val="21"/>
              </w:rPr>
            </w:pPr>
            <w:r>
              <w:rPr>
                <w:rFonts w:hint="eastAsia" w:asciiTheme="minorEastAsia" w:hAnsiTheme="minorEastAsia" w:eastAsiaTheme="minorEastAsia"/>
                <w:szCs w:val="21"/>
              </w:rPr>
              <w:t>③三年后照明功率密度增加值≤0.1W/㎡的，得</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分；满分</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分；</w:t>
            </w:r>
          </w:p>
          <w:p w14:paraId="5BD27E53">
            <w:pPr>
              <w:overflowPunct/>
              <w:bidi w:val="0"/>
              <w:outlineLvl w:val="9"/>
              <w:rPr>
                <w:rFonts w:cs="Arial" w:asciiTheme="minorEastAsia" w:hAnsiTheme="minorEastAsia" w:eastAsiaTheme="minorEastAsia"/>
                <w:b/>
                <w:szCs w:val="21"/>
              </w:rPr>
            </w:pPr>
            <w:r>
              <w:rPr>
                <w:rFonts w:hint="eastAsia" w:asciiTheme="minorEastAsia" w:hAnsiTheme="minorEastAsia" w:eastAsiaTheme="minorEastAsia"/>
                <w:b/>
                <w:bCs/>
                <w:szCs w:val="21"/>
                <w:lang w:val="zh-CN"/>
              </w:rPr>
              <w:t>评分依据</w:t>
            </w:r>
            <w:r>
              <w:rPr>
                <w:rFonts w:hint="eastAsia" w:cs="Arial" w:asciiTheme="minorEastAsia" w:hAnsiTheme="minorEastAsia" w:eastAsiaTheme="minorEastAsia"/>
                <w:b/>
                <w:szCs w:val="21"/>
              </w:rPr>
              <w:t>：序号</w:t>
            </w:r>
            <w:r>
              <w:rPr>
                <w:rFonts w:cs="Arial" w:asciiTheme="minorEastAsia" w:hAnsiTheme="minorEastAsia" w:eastAsiaTheme="minorEastAsia"/>
                <w:b/>
                <w:szCs w:val="21"/>
              </w:rPr>
              <w:t>1</w:t>
            </w:r>
            <w:r>
              <w:rPr>
                <w:rFonts w:hint="eastAsia" w:cs="Arial" w:asciiTheme="minorEastAsia" w:hAnsiTheme="minorEastAsia" w:eastAsiaTheme="minorEastAsia"/>
                <w:b/>
                <w:szCs w:val="21"/>
              </w:rPr>
              <w:t>至</w:t>
            </w:r>
            <w:r>
              <w:rPr>
                <w:rFonts w:cs="Arial" w:asciiTheme="minorEastAsia" w:hAnsiTheme="minorEastAsia" w:eastAsiaTheme="minorEastAsia"/>
                <w:b/>
                <w:szCs w:val="21"/>
              </w:rPr>
              <w:t>序号3须</w:t>
            </w:r>
            <w:r>
              <w:rPr>
                <w:rFonts w:hint="eastAsia" w:cs="Arial" w:asciiTheme="minorEastAsia" w:hAnsiTheme="minorEastAsia" w:eastAsiaTheme="minorEastAsia"/>
                <w:b/>
                <w:szCs w:val="21"/>
              </w:rPr>
              <w:t xml:space="preserve">提供第三方认证机构至少依据《GB </w:t>
            </w:r>
            <w:r>
              <w:rPr>
                <w:rFonts w:cs="Arial" w:asciiTheme="minorEastAsia" w:hAnsiTheme="minorEastAsia" w:eastAsiaTheme="minorEastAsia"/>
                <w:b/>
                <w:szCs w:val="21"/>
              </w:rPr>
              <w:t>50099</w:t>
            </w:r>
            <w:r>
              <w:rPr>
                <w:rFonts w:hint="eastAsia" w:cs="Arial" w:asciiTheme="minorEastAsia" w:hAnsiTheme="minorEastAsia" w:eastAsiaTheme="minorEastAsia"/>
                <w:b/>
                <w:szCs w:val="21"/>
              </w:rPr>
              <w:t>》、《GB 40070》、《GB/T33721》、《GB/T36876》、《GB/T</w:t>
            </w:r>
            <w:r>
              <w:rPr>
                <w:rFonts w:cs="Arial" w:asciiTheme="minorEastAsia" w:hAnsiTheme="minorEastAsia" w:eastAsiaTheme="minorEastAsia"/>
                <w:b/>
                <w:szCs w:val="21"/>
              </w:rPr>
              <w:t>17743</w:t>
            </w:r>
            <w:r>
              <w:rPr>
                <w:rFonts w:hint="eastAsia" w:cs="Arial" w:asciiTheme="minorEastAsia" w:hAnsiTheme="minorEastAsia" w:eastAsiaTheme="minorEastAsia"/>
                <w:b/>
                <w:szCs w:val="21"/>
              </w:rPr>
              <w:t>》、《GB/T 26572》、《</w:t>
            </w:r>
            <w:r>
              <w:rPr>
                <w:rFonts w:cs="Arial" w:asciiTheme="minorEastAsia" w:hAnsiTheme="minorEastAsia" w:eastAsiaTheme="minorEastAsia"/>
                <w:b/>
                <w:szCs w:val="21"/>
              </w:rPr>
              <w:t>QB</w:t>
            </w:r>
            <w:r>
              <w:rPr>
                <w:rFonts w:hint="eastAsia" w:cs="Arial" w:asciiTheme="minorEastAsia" w:hAnsiTheme="minorEastAsia" w:eastAsiaTheme="minorEastAsia"/>
                <w:b/>
                <w:szCs w:val="21"/>
              </w:rPr>
              <w:t>/T 5</w:t>
            </w:r>
            <w:r>
              <w:rPr>
                <w:rFonts w:cs="Arial" w:asciiTheme="minorEastAsia" w:hAnsiTheme="minorEastAsia" w:eastAsiaTheme="minorEastAsia"/>
                <w:b/>
                <w:szCs w:val="21"/>
              </w:rPr>
              <w:t>533</w:t>
            </w:r>
            <w:r>
              <w:rPr>
                <w:rFonts w:hint="eastAsia" w:cs="Arial" w:asciiTheme="minorEastAsia" w:hAnsiTheme="minorEastAsia" w:eastAsiaTheme="minorEastAsia"/>
                <w:b/>
                <w:szCs w:val="21"/>
              </w:rPr>
              <w:t xml:space="preserve">》、《T/JYBZ 005》及《GB </w:t>
            </w:r>
            <w:r>
              <w:rPr>
                <w:rFonts w:cs="Arial" w:asciiTheme="minorEastAsia" w:hAnsiTheme="minorEastAsia" w:eastAsiaTheme="minorEastAsia"/>
                <w:b/>
                <w:szCs w:val="21"/>
              </w:rPr>
              <w:t>17625.1</w:t>
            </w:r>
            <w:r>
              <w:rPr>
                <w:rFonts w:hint="eastAsia" w:cs="Arial" w:asciiTheme="minorEastAsia" w:hAnsiTheme="minorEastAsia" w:eastAsiaTheme="minorEastAsia"/>
                <w:b/>
                <w:szCs w:val="21"/>
              </w:rPr>
              <w:t>》标准出具的认证证书及全国认证认可信息公共服务平台证书状态为“有效”的查询截图（认证证书与查询截图均须同时体现产品型号及认证标准，使用年份从证书首次发证之日起计算）；认证结果不符合或提供材料不齐全不得分。</w:t>
            </w:r>
          </w:p>
          <w:p w14:paraId="243127D0">
            <w:pPr>
              <w:overflowPunct/>
              <w:bidi w:val="0"/>
              <w:outlineLvl w:val="9"/>
              <w:rPr>
                <w:rFonts w:asciiTheme="minorEastAsia" w:hAnsiTheme="minorEastAsia"/>
                <w:kern w:val="0"/>
                <w:szCs w:val="24"/>
              </w:rPr>
            </w:pPr>
            <w:r>
              <w:rPr>
                <w:rFonts w:asciiTheme="minorEastAsia" w:hAnsiTheme="minorEastAsia"/>
                <w:kern w:val="0"/>
                <w:szCs w:val="24"/>
              </w:rPr>
              <w:t>4</w:t>
            </w:r>
            <w:r>
              <w:rPr>
                <w:rFonts w:hint="eastAsia" w:asciiTheme="minorEastAsia" w:hAnsiTheme="minorEastAsia"/>
                <w:kern w:val="0"/>
                <w:szCs w:val="24"/>
              </w:rPr>
              <w:t>、</w:t>
            </w:r>
            <w:r>
              <w:rPr>
                <w:rFonts w:asciiTheme="minorEastAsia" w:hAnsiTheme="minorEastAsia"/>
                <w:kern w:val="0"/>
                <w:szCs w:val="24"/>
              </w:rPr>
              <w:t>所投</w:t>
            </w:r>
            <w:r>
              <w:rPr>
                <w:rFonts w:hint="eastAsia" w:asciiTheme="minorEastAsia" w:hAnsiTheme="minorEastAsia" w:eastAsiaTheme="minorEastAsia"/>
                <w:szCs w:val="21"/>
              </w:rPr>
              <w:t>智能</w:t>
            </w:r>
            <w:r>
              <w:rPr>
                <w:rFonts w:asciiTheme="minorEastAsia" w:hAnsiTheme="minorEastAsia"/>
                <w:kern w:val="0"/>
                <w:szCs w:val="24"/>
              </w:rPr>
              <w:t>LED</w:t>
            </w:r>
            <w:r>
              <w:rPr>
                <w:rFonts w:hint="eastAsia" w:asciiTheme="minorEastAsia" w:hAnsiTheme="minorEastAsia"/>
                <w:kern w:val="0"/>
                <w:szCs w:val="24"/>
              </w:rPr>
              <w:t>教室</w:t>
            </w:r>
            <w:r>
              <w:rPr>
                <w:rFonts w:asciiTheme="minorEastAsia" w:hAnsiTheme="minorEastAsia"/>
                <w:kern w:val="0"/>
                <w:szCs w:val="24"/>
              </w:rPr>
              <w:t>灯满足课桌面上的维持平均照度≥400lx，照度均匀度≥0.82，以保证良好、舒适的照明，并保障人员健康的得</w:t>
            </w:r>
            <w:r>
              <w:rPr>
                <w:rFonts w:hint="eastAsia" w:asciiTheme="minorEastAsia" w:hAnsiTheme="minorEastAsia"/>
                <w:kern w:val="0"/>
                <w:szCs w:val="24"/>
                <w:lang w:val="en-US" w:eastAsia="zh-CN"/>
              </w:rPr>
              <w:t>1</w:t>
            </w:r>
            <w:r>
              <w:rPr>
                <w:rFonts w:hint="eastAsia" w:asciiTheme="minorEastAsia" w:hAnsiTheme="minorEastAsia"/>
                <w:kern w:val="0"/>
                <w:szCs w:val="24"/>
              </w:rPr>
              <w:t>分；</w:t>
            </w:r>
            <w:r>
              <w:rPr>
                <w:rFonts w:asciiTheme="minorEastAsia" w:hAnsiTheme="minorEastAsia"/>
                <w:kern w:val="0"/>
                <w:szCs w:val="24"/>
              </w:rPr>
              <w:t xml:space="preserve"> </w:t>
            </w:r>
          </w:p>
          <w:p w14:paraId="0CD11189">
            <w:pPr>
              <w:overflowPunct/>
              <w:bidi w:val="0"/>
              <w:outlineLvl w:val="9"/>
              <w:rPr>
                <w:rFonts w:asciiTheme="minorEastAsia" w:hAnsiTheme="minorEastAsia"/>
                <w:kern w:val="0"/>
                <w:szCs w:val="24"/>
              </w:rPr>
            </w:pPr>
            <w:r>
              <w:rPr>
                <w:rFonts w:asciiTheme="minorEastAsia" w:hAnsiTheme="minorEastAsia"/>
                <w:kern w:val="0"/>
                <w:szCs w:val="24"/>
              </w:rPr>
              <w:t>5</w:t>
            </w:r>
            <w:r>
              <w:rPr>
                <w:rFonts w:hint="eastAsia" w:asciiTheme="minorEastAsia" w:hAnsiTheme="minorEastAsia"/>
                <w:kern w:val="0"/>
                <w:szCs w:val="24"/>
              </w:rPr>
              <w:t>、</w:t>
            </w:r>
            <w:r>
              <w:rPr>
                <w:rFonts w:asciiTheme="minorEastAsia" w:hAnsiTheme="minorEastAsia"/>
                <w:kern w:val="0"/>
                <w:szCs w:val="24"/>
              </w:rPr>
              <w:t>所投</w:t>
            </w:r>
            <w:r>
              <w:rPr>
                <w:rFonts w:hint="eastAsia" w:asciiTheme="minorEastAsia" w:hAnsiTheme="minorEastAsia" w:eastAsiaTheme="minorEastAsia"/>
                <w:szCs w:val="21"/>
              </w:rPr>
              <w:t>智能</w:t>
            </w:r>
            <w:r>
              <w:rPr>
                <w:rFonts w:asciiTheme="minorEastAsia" w:hAnsiTheme="minorEastAsia"/>
                <w:kern w:val="0"/>
                <w:szCs w:val="24"/>
              </w:rPr>
              <w:t>LED</w:t>
            </w:r>
            <w:r>
              <w:rPr>
                <w:rFonts w:hint="eastAsia" w:asciiTheme="minorEastAsia" w:hAnsiTheme="minorEastAsia"/>
                <w:kern w:val="0"/>
                <w:szCs w:val="24"/>
              </w:rPr>
              <w:t>黑板</w:t>
            </w:r>
            <w:r>
              <w:rPr>
                <w:rFonts w:asciiTheme="minorEastAsia" w:hAnsiTheme="minorEastAsia"/>
                <w:kern w:val="0"/>
                <w:szCs w:val="24"/>
              </w:rPr>
              <w:t>灯满足</w:t>
            </w:r>
            <w:r>
              <w:rPr>
                <w:rFonts w:hint="eastAsia" w:asciiTheme="minorEastAsia" w:hAnsiTheme="minorEastAsia"/>
                <w:kern w:val="0"/>
                <w:szCs w:val="24"/>
              </w:rPr>
              <w:t>黑板</w:t>
            </w:r>
            <w:r>
              <w:rPr>
                <w:rFonts w:asciiTheme="minorEastAsia" w:hAnsiTheme="minorEastAsia"/>
                <w:kern w:val="0"/>
                <w:szCs w:val="24"/>
              </w:rPr>
              <w:t>维持平均照度≥800lx</w:t>
            </w:r>
            <w:r>
              <w:rPr>
                <w:rFonts w:hint="eastAsia" w:asciiTheme="minorEastAsia" w:hAnsiTheme="minorEastAsia"/>
                <w:kern w:val="0"/>
                <w:szCs w:val="24"/>
              </w:rPr>
              <w:t>及</w:t>
            </w:r>
            <w:r>
              <w:rPr>
                <w:rFonts w:asciiTheme="minorEastAsia" w:hAnsiTheme="minorEastAsia"/>
                <w:kern w:val="0"/>
                <w:szCs w:val="24"/>
              </w:rPr>
              <w:t>照度均匀度≥0.82，以保证良好、舒适的照明，并保障人员健康的得</w:t>
            </w:r>
            <w:r>
              <w:rPr>
                <w:rFonts w:hint="eastAsia" w:asciiTheme="minorEastAsia" w:hAnsiTheme="minorEastAsia"/>
                <w:kern w:val="0"/>
                <w:szCs w:val="24"/>
                <w:lang w:val="en-US" w:eastAsia="zh-CN"/>
              </w:rPr>
              <w:t>1</w:t>
            </w:r>
            <w:r>
              <w:rPr>
                <w:rFonts w:hint="eastAsia" w:asciiTheme="minorEastAsia" w:hAnsiTheme="minorEastAsia"/>
                <w:kern w:val="0"/>
                <w:szCs w:val="24"/>
              </w:rPr>
              <w:t>分；</w:t>
            </w:r>
            <w:r>
              <w:rPr>
                <w:rFonts w:asciiTheme="minorEastAsia" w:hAnsiTheme="minorEastAsia"/>
                <w:kern w:val="0"/>
                <w:szCs w:val="24"/>
              </w:rPr>
              <w:t xml:space="preserve"> </w:t>
            </w:r>
          </w:p>
          <w:p w14:paraId="4B9A665F">
            <w:pPr>
              <w:overflowPunct/>
              <w:bidi w:val="0"/>
              <w:outlineLvl w:val="9"/>
              <w:rPr>
                <w:rFonts w:cs="Arial" w:asciiTheme="minorEastAsia" w:hAnsiTheme="minorEastAsia"/>
                <w:b/>
                <w:szCs w:val="21"/>
              </w:rPr>
            </w:pPr>
            <w:r>
              <w:rPr>
                <w:rFonts w:hint="eastAsia" w:asciiTheme="minorEastAsia" w:hAnsiTheme="minorEastAsia" w:eastAsiaTheme="minorEastAsia"/>
                <w:b/>
                <w:bCs/>
                <w:szCs w:val="21"/>
                <w:lang w:val="zh-CN"/>
              </w:rPr>
              <w:t>评分依据</w:t>
            </w:r>
            <w:r>
              <w:rPr>
                <w:rFonts w:hint="eastAsia" w:cs="Arial" w:asciiTheme="minorEastAsia" w:hAnsiTheme="minorEastAsia" w:eastAsiaTheme="minorEastAsia"/>
                <w:b/>
                <w:szCs w:val="21"/>
              </w:rPr>
              <w:t>：</w:t>
            </w:r>
            <w:r>
              <w:rPr>
                <w:rFonts w:hint="eastAsia" w:asciiTheme="minorEastAsia" w:hAnsiTheme="minorEastAsia"/>
                <w:b/>
                <w:kern w:val="0"/>
                <w:szCs w:val="21"/>
              </w:rPr>
              <w:t>序号</w:t>
            </w:r>
            <w:r>
              <w:rPr>
                <w:rFonts w:asciiTheme="minorEastAsia" w:hAnsiTheme="minorEastAsia"/>
                <w:b/>
                <w:kern w:val="0"/>
                <w:szCs w:val="21"/>
              </w:rPr>
              <w:t>4</w:t>
            </w:r>
            <w:r>
              <w:rPr>
                <w:rFonts w:hint="eastAsia" w:asciiTheme="minorEastAsia" w:hAnsiTheme="minorEastAsia"/>
                <w:b/>
                <w:kern w:val="0"/>
                <w:szCs w:val="21"/>
              </w:rPr>
              <w:t>至序号</w:t>
            </w:r>
            <w:r>
              <w:rPr>
                <w:rFonts w:asciiTheme="minorEastAsia" w:hAnsiTheme="minorEastAsia"/>
                <w:b/>
                <w:kern w:val="0"/>
                <w:szCs w:val="21"/>
              </w:rPr>
              <w:t>5</w:t>
            </w:r>
            <w:r>
              <w:rPr>
                <w:rFonts w:cs="Arial" w:asciiTheme="minorEastAsia" w:hAnsiTheme="minorEastAsia"/>
                <w:b/>
                <w:szCs w:val="21"/>
              </w:rPr>
              <w:t>须</w:t>
            </w:r>
            <w:r>
              <w:rPr>
                <w:rFonts w:hint="eastAsia" w:cs="Arial" w:asciiTheme="minorEastAsia" w:hAnsiTheme="minorEastAsia"/>
                <w:b/>
                <w:szCs w:val="21"/>
              </w:rPr>
              <w:t xml:space="preserve">提供第三方认证机构至少依据《GB </w:t>
            </w:r>
            <w:r>
              <w:rPr>
                <w:rFonts w:cs="Arial" w:asciiTheme="minorEastAsia" w:hAnsiTheme="minorEastAsia"/>
                <w:b/>
                <w:szCs w:val="21"/>
              </w:rPr>
              <w:t>7793</w:t>
            </w:r>
            <w:r>
              <w:rPr>
                <w:rFonts w:hint="eastAsia" w:cs="Arial" w:asciiTheme="minorEastAsia" w:hAnsiTheme="minorEastAsia"/>
                <w:b/>
                <w:szCs w:val="21"/>
              </w:rPr>
              <w:t>》、《GB/T</w:t>
            </w:r>
            <w:r>
              <w:rPr>
                <w:rFonts w:cs="Arial" w:asciiTheme="minorEastAsia" w:hAnsiTheme="minorEastAsia"/>
                <w:b/>
                <w:szCs w:val="21"/>
              </w:rPr>
              <w:t>50378</w:t>
            </w:r>
            <w:r>
              <w:rPr>
                <w:rFonts w:hint="eastAsia" w:cs="Arial" w:asciiTheme="minorEastAsia" w:hAnsiTheme="minorEastAsia"/>
                <w:b/>
                <w:szCs w:val="21"/>
              </w:rPr>
              <w:t>》、《GB/</w:t>
            </w:r>
            <w:r>
              <w:rPr>
                <w:rFonts w:cs="Arial" w:asciiTheme="minorEastAsia" w:hAnsiTheme="minorEastAsia"/>
                <w:b/>
                <w:szCs w:val="21"/>
              </w:rPr>
              <w:t>Z26212</w:t>
            </w:r>
            <w:r>
              <w:rPr>
                <w:rFonts w:hint="eastAsia" w:cs="Arial" w:asciiTheme="minorEastAsia" w:hAnsiTheme="minorEastAsia"/>
                <w:b/>
                <w:szCs w:val="21"/>
              </w:rPr>
              <w:t>》及《</w:t>
            </w:r>
            <w:r>
              <w:rPr>
                <w:rFonts w:cs="Arial" w:asciiTheme="minorEastAsia" w:hAnsiTheme="minorEastAsia"/>
                <w:b/>
                <w:szCs w:val="21"/>
              </w:rPr>
              <w:t>QB</w:t>
            </w:r>
            <w:r>
              <w:rPr>
                <w:rFonts w:hint="eastAsia" w:cs="Arial" w:asciiTheme="minorEastAsia" w:hAnsiTheme="minorEastAsia"/>
                <w:b/>
                <w:szCs w:val="21"/>
              </w:rPr>
              <w:t>/T 5</w:t>
            </w:r>
            <w:r>
              <w:rPr>
                <w:rFonts w:cs="Arial" w:asciiTheme="minorEastAsia" w:hAnsiTheme="minorEastAsia"/>
                <w:b/>
                <w:szCs w:val="21"/>
              </w:rPr>
              <w:t>533</w:t>
            </w:r>
            <w:r>
              <w:rPr>
                <w:rFonts w:hint="eastAsia" w:cs="Arial" w:asciiTheme="minorEastAsia" w:hAnsiTheme="minorEastAsia"/>
                <w:b/>
                <w:szCs w:val="21"/>
              </w:rPr>
              <w:t>》标准出具的认证证书及全国认证认可信息公共服务平台证书状态为“有效”的</w:t>
            </w:r>
            <w:r>
              <w:rPr>
                <w:rFonts w:hint="eastAsia" w:cs="Arial" w:asciiTheme="minorEastAsia" w:hAnsiTheme="minorEastAsia" w:eastAsiaTheme="minorEastAsia"/>
                <w:b/>
                <w:szCs w:val="21"/>
              </w:rPr>
              <w:t>查询截图（认证证书与查询截图均须同时体现产品型号及认证标准</w:t>
            </w:r>
            <w:r>
              <w:rPr>
                <w:rFonts w:hint="eastAsia" w:cs="Arial" w:asciiTheme="minorEastAsia" w:hAnsiTheme="minorEastAsia"/>
                <w:b/>
                <w:szCs w:val="21"/>
              </w:rPr>
              <w:t xml:space="preserve">）；认证结果不符合或提供材料不齐全不得分。 </w:t>
            </w:r>
          </w:p>
          <w:p w14:paraId="45156197">
            <w:pPr>
              <w:numPr>
                <w:ilvl w:val="0"/>
                <w:numId w:val="7"/>
              </w:numPr>
              <w:overflowPunct/>
              <w:bidi w:val="0"/>
              <w:outlineLvl w:val="9"/>
              <w:rPr>
                <w:rFonts w:hint="eastAsia" w:asciiTheme="minorEastAsia" w:hAnsiTheme="minorEastAsia"/>
                <w:bCs/>
                <w:szCs w:val="21"/>
              </w:rPr>
            </w:pPr>
            <w:r>
              <w:rPr>
                <w:rFonts w:hint="eastAsia" w:asciiTheme="minorEastAsia" w:hAnsiTheme="minorEastAsia"/>
                <w:color w:val="000000"/>
                <w:kern w:val="0"/>
                <w:szCs w:val="21"/>
              </w:rPr>
              <w:t>为了积极响应教育部等八部门印发的《综合防控儿童青少年近视实施方案》，降低近视率，</w:t>
            </w:r>
            <w:r>
              <w:rPr>
                <w:rFonts w:hint="eastAsia" w:cs="Arial" w:asciiTheme="minorEastAsia" w:hAnsiTheme="minorEastAsia"/>
                <w:szCs w:val="21"/>
              </w:rPr>
              <w:t>所投</w:t>
            </w:r>
            <w:r>
              <w:rPr>
                <w:rFonts w:hint="eastAsia" w:asciiTheme="minorEastAsia" w:hAnsiTheme="minorEastAsia" w:eastAsiaTheme="minorEastAsia"/>
                <w:szCs w:val="21"/>
              </w:rPr>
              <w:t>智能</w:t>
            </w:r>
            <w:r>
              <w:rPr>
                <w:rFonts w:hint="eastAsia" w:cs="Arial" w:asciiTheme="minorEastAsia" w:hAnsiTheme="minorEastAsia"/>
                <w:szCs w:val="21"/>
              </w:rPr>
              <w:t>LED教室灯、</w:t>
            </w:r>
            <w:r>
              <w:rPr>
                <w:rFonts w:hint="eastAsia" w:asciiTheme="minorEastAsia" w:hAnsiTheme="minorEastAsia" w:eastAsiaTheme="minorEastAsia"/>
                <w:szCs w:val="21"/>
              </w:rPr>
              <w:t>智能</w:t>
            </w:r>
            <w:r>
              <w:rPr>
                <w:rFonts w:hint="eastAsia" w:cs="Arial" w:asciiTheme="minorEastAsia" w:hAnsiTheme="minorEastAsia"/>
                <w:szCs w:val="21"/>
              </w:rPr>
              <w:t>LED黑板灯</w:t>
            </w:r>
            <w:r>
              <w:rPr>
                <w:rFonts w:asciiTheme="minorEastAsia" w:hAnsiTheme="minorEastAsia"/>
                <w:color w:val="000000"/>
                <w:kern w:val="0"/>
                <w:szCs w:val="21"/>
              </w:rPr>
              <w:t>环境适应性满足防护等级≥IP40，ta≥50℃</w:t>
            </w:r>
            <w:r>
              <w:rPr>
                <w:rFonts w:hint="eastAsia" w:asciiTheme="minorEastAsia" w:hAnsiTheme="minorEastAsia"/>
                <w:color w:val="000000"/>
                <w:kern w:val="0"/>
                <w:szCs w:val="21"/>
              </w:rPr>
              <w:t>，且</w:t>
            </w:r>
            <w:r>
              <w:rPr>
                <w:rFonts w:hint="eastAsia" w:cs="Arial" w:asciiTheme="minorEastAsia" w:hAnsiTheme="minorEastAsia"/>
                <w:szCs w:val="21"/>
              </w:rPr>
              <w:t>通过近视防控认证</w:t>
            </w:r>
            <w:r>
              <w:rPr>
                <w:rFonts w:hint="eastAsia" w:asciiTheme="minorEastAsia" w:hAnsiTheme="minorEastAsia"/>
                <w:bCs/>
                <w:szCs w:val="21"/>
              </w:rPr>
              <w:t>；每有一款产品全部满足以上要求的得</w:t>
            </w:r>
            <w:r>
              <w:rPr>
                <w:rFonts w:asciiTheme="minorEastAsia" w:hAnsiTheme="minorEastAsia"/>
                <w:bCs/>
                <w:szCs w:val="21"/>
              </w:rPr>
              <w:t>1</w:t>
            </w:r>
            <w:r>
              <w:rPr>
                <w:rFonts w:hint="eastAsia" w:asciiTheme="minorEastAsia" w:hAnsiTheme="minorEastAsia"/>
                <w:bCs/>
                <w:szCs w:val="21"/>
              </w:rPr>
              <w:t>分，满分</w:t>
            </w:r>
            <w:r>
              <w:rPr>
                <w:rFonts w:asciiTheme="minorEastAsia" w:hAnsiTheme="minorEastAsia"/>
                <w:bCs/>
                <w:szCs w:val="21"/>
              </w:rPr>
              <w:t>2</w:t>
            </w:r>
            <w:r>
              <w:rPr>
                <w:rFonts w:hint="eastAsia" w:asciiTheme="minorEastAsia" w:hAnsiTheme="minorEastAsia"/>
                <w:bCs/>
                <w:szCs w:val="21"/>
              </w:rPr>
              <w:t>分。</w:t>
            </w:r>
          </w:p>
          <w:p w14:paraId="42C9C400">
            <w:pPr>
              <w:numPr>
                <w:ilvl w:val="0"/>
                <w:numId w:val="0"/>
              </w:numPr>
              <w:overflowPunct/>
              <w:bidi w:val="0"/>
              <w:outlineLvl w:val="9"/>
              <w:rPr>
                <w:rFonts w:hint="eastAsia" w:asciiTheme="minorEastAsia" w:hAnsiTheme="minorEastAsia" w:eastAsiaTheme="minorEastAsia"/>
                <w:b/>
                <w:bCs/>
                <w:szCs w:val="21"/>
                <w:lang w:val="zh-CN"/>
              </w:rPr>
            </w:pPr>
            <w:r>
              <w:rPr>
                <w:rFonts w:hint="eastAsia" w:asciiTheme="minorEastAsia" w:hAnsiTheme="minorEastAsia" w:eastAsiaTheme="minorEastAsia"/>
                <w:b/>
                <w:bCs/>
                <w:szCs w:val="21"/>
                <w:lang w:val="zh-CN"/>
              </w:rPr>
              <w:t>评分依据</w:t>
            </w:r>
            <w:r>
              <w:rPr>
                <w:rFonts w:hint="eastAsia" w:cs="Arial" w:asciiTheme="minorEastAsia" w:hAnsiTheme="minorEastAsia" w:eastAsiaTheme="minorEastAsia"/>
                <w:b/>
                <w:szCs w:val="21"/>
              </w:rPr>
              <w:t>：</w:t>
            </w:r>
            <w:r>
              <w:rPr>
                <w:rFonts w:hint="eastAsia" w:cs="Arial" w:asciiTheme="minorEastAsia" w:hAnsiTheme="minorEastAsia" w:eastAsiaTheme="minorEastAsia"/>
                <w:b/>
                <w:szCs w:val="21"/>
                <w:lang w:eastAsia="zh-CN"/>
              </w:rPr>
              <w:t>序号</w:t>
            </w:r>
            <w:r>
              <w:rPr>
                <w:rFonts w:hint="eastAsia" w:cs="Arial" w:asciiTheme="minorEastAsia" w:hAnsiTheme="minorEastAsia" w:eastAsiaTheme="minorEastAsia"/>
                <w:b/>
                <w:szCs w:val="21"/>
                <w:lang w:val="en-US" w:eastAsia="zh-CN"/>
              </w:rPr>
              <w:t>6须</w:t>
            </w:r>
            <w:r>
              <w:rPr>
                <w:rFonts w:hint="eastAsia" w:cs="Arial" w:asciiTheme="minorEastAsia" w:hAnsiTheme="minorEastAsia"/>
                <w:b/>
                <w:szCs w:val="21"/>
              </w:rPr>
              <w:t>提供第三方认证机构出具的认证证书及全国认证认可信息公共服务平台证书状态为“有效”的</w:t>
            </w:r>
            <w:r>
              <w:rPr>
                <w:rFonts w:hint="eastAsia" w:cs="Arial" w:asciiTheme="minorEastAsia" w:hAnsiTheme="minorEastAsia" w:eastAsiaTheme="minorEastAsia"/>
                <w:b/>
                <w:szCs w:val="21"/>
              </w:rPr>
              <w:t>查询截图（认证证书与查询截图均须同时体现产品型号及认证标准</w:t>
            </w:r>
            <w:r>
              <w:rPr>
                <w:rFonts w:hint="eastAsia" w:cs="Arial" w:asciiTheme="minorEastAsia" w:hAnsiTheme="minorEastAsia"/>
                <w:b/>
                <w:szCs w:val="21"/>
              </w:rPr>
              <w:t xml:space="preserve">）；认证结果不符合或提供材料不齐全不得分。 </w:t>
            </w:r>
            <w:r>
              <w:rPr>
                <w:rFonts w:hint="eastAsia" w:asciiTheme="minorEastAsia" w:hAnsiTheme="minorEastAsia"/>
                <w:b/>
                <w:szCs w:val="21"/>
              </w:rPr>
              <w:t xml:space="preserve"> </w:t>
            </w:r>
          </w:p>
        </w:tc>
        <w:tc>
          <w:tcPr>
            <w:tcW w:w="657" w:type="dxa"/>
            <w:vAlign w:val="center"/>
          </w:tcPr>
          <w:p w14:paraId="3FF165D6">
            <w:pPr>
              <w:overflowPunct/>
              <w:bidi w:val="0"/>
              <w:spacing w:line="0" w:lineRule="atLeast"/>
              <w:jc w:val="center"/>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0-10</w:t>
            </w:r>
          </w:p>
        </w:tc>
      </w:tr>
      <w:tr w14:paraId="50546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trPr>
        <w:tc>
          <w:tcPr>
            <w:tcW w:w="700" w:type="dxa"/>
            <w:vAlign w:val="center"/>
          </w:tcPr>
          <w:p w14:paraId="498CE31C">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14:textFill>
                  <w14:solidFill>
                    <w14:schemeClr w14:val="tx1"/>
                  </w14:solidFill>
                </w14:textFill>
              </w:rPr>
            </w:pPr>
          </w:p>
        </w:tc>
        <w:tc>
          <w:tcPr>
            <w:tcW w:w="939" w:type="dxa"/>
            <w:vAlign w:val="center"/>
          </w:tcPr>
          <w:p w14:paraId="4BC72CD6">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lang w:val="en-US" w:eastAsia="zh-CN"/>
                <w14:textFill>
                  <w14:solidFill>
                    <w14:schemeClr w14:val="tx1"/>
                  </w14:solidFill>
                </w14:textFill>
              </w:rPr>
            </w:pPr>
          </w:p>
        </w:tc>
        <w:tc>
          <w:tcPr>
            <w:tcW w:w="1737" w:type="dxa"/>
            <w:vAlign w:val="center"/>
          </w:tcPr>
          <w:p w14:paraId="20DF5963">
            <w:pPr>
              <w:pStyle w:val="106"/>
              <w:overflowPunct/>
              <w:bidi w:val="0"/>
              <w:spacing w:line="0" w:lineRule="atLeast"/>
              <w:jc w:val="center"/>
              <w:outlineLvl w:val="9"/>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项目实施方案</w:t>
            </w:r>
          </w:p>
          <w:p w14:paraId="065AAF6D">
            <w:pPr>
              <w:pStyle w:val="106"/>
              <w:overflowPunct/>
              <w:bidi w:val="0"/>
              <w:spacing w:line="0" w:lineRule="atLeast"/>
              <w:jc w:val="center"/>
              <w:outlineLvl w:val="9"/>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10分</w:t>
            </w:r>
            <w:r>
              <w:rPr>
                <w:rFonts w:hint="eastAsia" w:asciiTheme="minorEastAsia" w:hAnsiTheme="minorEastAsia" w:eastAsiaTheme="minorEastAsia"/>
                <w:szCs w:val="21"/>
                <w:lang w:eastAsia="zh-CN"/>
              </w:rPr>
              <w:t>）</w:t>
            </w:r>
          </w:p>
        </w:tc>
        <w:tc>
          <w:tcPr>
            <w:tcW w:w="5606" w:type="dxa"/>
            <w:vAlign w:val="center"/>
          </w:tcPr>
          <w:p w14:paraId="04CEF88D">
            <w:pPr>
              <w:numPr>
                <w:ilvl w:val="0"/>
                <w:numId w:val="0"/>
              </w:numPr>
              <w:overflowPunct/>
              <w:bidi w:val="0"/>
              <w:outlineLvl w:val="9"/>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供应商</w:t>
            </w:r>
            <w:r>
              <w:rPr>
                <w:rFonts w:hint="eastAsia" w:ascii="宋体" w:hAnsi="宋体" w:eastAsia="宋体" w:cs="微软雅黑"/>
                <w:color w:val="000000" w:themeColor="text1"/>
                <w:szCs w:val="21"/>
                <w:highlight w:val="none"/>
                <w14:textFill>
                  <w14:solidFill>
                    <w14:schemeClr w14:val="tx1"/>
                  </w14:solidFill>
                </w14:textFill>
              </w:rPr>
              <w:t>针对于本项目制定相应的</w:t>
            </w:r>
            <w:r>
              <w:rPr>
                <w:rFonts w:hint="eastAsia" w:ascii="宋体" w:hAnsi="宋体" w:eastAsia="宋体" w:cs="微软雅黑"/>
                <w:color w:val="000000" w:themeColor="text1"/>
                <w:szCs w:val="21"/>
                <w:highlight w:val="none"/>
                <w:lang w:eastAsia="zh-CN"/>
                <w14:textFill>
                  <w14:solidFill>
                    <w14:schemeClr w14:val="tx1"/>
                  </w14:solidFill>
                </w14:textFill>
              </w:rPr>
              <w:t>实施</w:t>
            </w:r>
            <w:r>
              <w:rPr>
                <w:rFonts w:hint="eastAsia" w:ascii="宋体" w:hAnsi="宋体" w:eastAsia="宋体" w:cs="微软雅黑"/>
                <w:color w:val="000000" w:themeColor="text1"/>
                <w:szCs w:val="21"/>
                <w:highlight w:val="none"/>
                <w14:textFill>
                  <w14:solidFill>
                    <w14:schemeClr w14:val="tx1"/>
                  </w14:solidFill>
                </w14:textFill>
              </w:rPr>
              <w:t>方案</w:t>
            </w:r>
            <w:r>
              <w:rPr>
                <w:rFonts w:hint="eastAsia" w:asciiTheme="minorEastAsia" w:hAnsiTheme="minorEastAsia" w:eastAsiaTheme="minorEastAsia"/>
                <w:bCs/>
                <w:szCs w:val="21"/>
              </w:rPr>
              <w:t>进行综合打分</w:t>
            </w:r>
            <w:r>
              <w:rPr>
                <w:rFonts w:hint="eastAsia" w:ascii="宋体" w:hAnsi="宋体" w:eastAsia="宋体" w:cs="微软雅黑"/>
                <w:color w:val="000000" w:themeColor="text1"/>
                <w:szCs w:val="21"/>
                <w:highlight w:val="none"/>
                <w14:textFill>
                  <w14:solidFill>
                    <w14:schemeClr w14:val="tx1"/>
                  </w14:solidFill>
                </w14:textFill>
              </w:rPr>
              <w:t>，包含但不限于以下几个方面</w:t>
            </w:r>
            <w:r>
              <w:rPr>
                <w:rFonts w:hint="eastAsia" w:ascii="宋体" w:hAnsi="宋体" w:eastAsia="宋体" w:cs="微软雅黑"/>
                <w:color w:val="000000" w:themeColor="text1"/>
                <w:szCs w:val="21"/>
                <w:highlight w:val="none"/>
                <w:lang w:eastAsia="zh-CN"/>
                <w14:textFill>
                  <w14:solidFill>
                    <w14:schemeClr w14:val="tx1"/>
                  </w14:solidFill>
                </w14:textFill>
              </w:rPr>
              <w:t>：</w:t>
            </w:r>
          </w:p>
          <w:p w14:paraId="5986D21E">
            <w:pPr>
              <w:overflowPunct/>
              <w:bidi w:val="0"/>
              <w:jc w:val="left"/>
              <w:outlineLvl w:val="9"/>
              <w:rPr>
                <w:rFonts w:hint="eastAsia" w:asciiTheme="minorEastAsia" w:hAnsiTheme="minorEastAsia" w:eastAsiaTheme="minorEastAsia"/>
                <w:bCs/>
                <w:szCs w:val="21"/>
              </w:rPr>
            </w:pPr>
            <w:r>
              <w:rPr>
                <w:rFonts w:hint="eastAsia" w:asciiTheme="minorEastAsia" w:hAnsiTheme="minorEastAsia" w:eastAsiaTheme="minorEastAsia"/>
                <w:szCs w:val="21"/>
                <w:lang w:val="zh-CN"/>
              </w:rPr>
              <w:t>①</w:t>
            </w:r>
            <w:r>
              <w:rPr>
                <w:rFonts w:hint="eastAsia" w:asciiTheme="minorEastAsia" w:hAnsiTheme="minorEastAsia" w:eastAsiaTheme="minorEastAsia"/>
                <w:bCs/>
                <w:szCs w:val="21"/>
              </w:rPr>
              <w:t>项目实施安排；</w:t>
            </w:r>
          </w:p>
          <w:p w14:paraId="64D6D178">
            <w:pPr>
              <w:overflowPunct/>
              <w:bidi w:val="0"/>
              <w:jc w:val="left"/>
              <w:outlineLvl w:val="9"/>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②工作进度计划；</w:t>
            </w:r>
          </w:p>
          <w:p w14:paraId="7D00EECD">
            <w:pPr>
              <w:overflowPunct/>
              <w:bidi w:val="0"/>
              <w:jc w:val="left"/>
              <w:outlineLvl w:val="9"/>
              <w:rPr>
                <w:rFonts w:hint="eastAsia" w:asciiTheme="minorEastAsia" w:hAnsiTheme="minorEastAsia" w:eastAsiaTheme="minorEastAsia"/>
                <w:bCs/>
                <w:szCs w:val="21"/>
              </w:rPr>
            </w:pPr>
            <w:r>
              <w:rPr>
                <w:rFonts w:hint="eastAsia" w:asciiTheme="minorEastAsia" w:hAnsiTheme="minorEastAsia" w:eastAsiaTheme="minorEastAsia"/>
                <w:szCs w:val="21"/>
                <w:lang w:val="zh-CN"/>
              </w:rPr>
              <w:t>③</w:t>
            </w:r>
            <w:r>
              <w:rPr>
                <w:rFonts w:hint="eastAsia" w:asciiTheme="minorEastAsia" w:hAnsiTheme="minorEastAsia" w:eastAsiaTheme="minorEastAsia"/>
                <w:bCs/>
                <w:szCs w:val="21"/>
              </w:rPr>
              <w:t>服务人员架构；</w:t>
            </w:r>
          </w:p>
          <w:p w14:paraId="6CAE1E51">
            <w:pPr>
              <w:overflowPunct/>
              <w:bidi w:val="0"/>
              <w:jc w:val="left"/>
              <w:outlineLvl w:val="9"/>
              <w:rPr>
                <w:rFonts w:hint="eastAsia" w:asciiTheme="minorEastAsia" w:hAnsiTheme="minorEastAsia" w:eastAsiaTheme="minorEastAsia"/>
                <w:bCs/>
                <w:szCs w:val="21"/>
              </w:rPr>
            </w:pPr>
            <w:r>
              <w:rPr>
                <w:rFonts w:hint="eastAsia" w:asciiTheme="minorEastAsia" w:hAnsiTheme="minorEastAsia" w:eastAsiaTheme="minorEastAsia"/>
                <w:bCs/>
                <w:szCs w:val="21"/>
              </w:rPr>
              <w:t>④服务保障措施；</w:t>
            </w:r>
          </w:p>
          <w:p w14:paraId="45017840">
            <w:pPr>
              <w:overflowPunct/>
              <w:bidi w:val="0"/>
              <w:jc w:val="left"/>
              <w:outlineLvl w:val="9"/>
              <w:rPr>
                <w:rFonts w:asciiTheme="minorEastAsia" w:hAnsiTheme="minorEastAsia" w:eastAsiaTheme="minorEastAsia"/>
                <w:bCs/>
                <w:szCs w:val="21"/>
              </w:rPr>
            </w:pPr>
            <w:r>
              <w:rPr>
                <w:rFonts w:hint="eastAsia" w:ascii="宋体" w:hAnsi="宋体"/>
                <w:bCs/>
                <w:szCs w:val="21"/>
              </w:rPr>
              <w:t>⑤应急保障措施</w:t>
            </w:r>
            <w:r>
              <w:rPr>
                <w:rFonts w:hint="eastAsia" w:asciiTheme="minorEastAsia" w:hAnsiTheme="minorEastAsia" w:eastAsiaTheme="minorEastAsia"/>
                <w:bCs/>
                <w:szCs w:val="21"/>
              </w:rPr>
              <w:t>等；</w:t>
            </w:r>
          </w:p>
          <w:p w14:paraId="6B968BDA">
            <w:pPr>
              <w:overflowPunct/>
              <w:bidi w:val="0"/>
              <w:spacing w:line="0" w:lineRule="atLeast"/>
              <w:outlineLvl w:val="9"/>
              <w:rPr>
                <w:rFonts w:hint="eastAsia" w:ascii="宋体" w:hAnsi="宋体" w:eastAsia="宋体" w:cs="微软雅黑"/>
                <w:b w:val="0"/>
                <w:bCs w:val="0"/>
                <w:color w:val="000000" w:themeColor="text1"/>
                <w:szCs w:val="21"/>
                <w:highlight w:val="none"/>
                <w14:textFill>
                  <w14:solidFill>
                    <w14:schemeClr w14:val="tx1"/>
                  </w14:solidFill>
                </w14:textFill>
              </w:rPr>
            </w:pPr>
            <w:r>
              <w:rPr>
                <w:rFonts w:hint="eastAsia" w:ascii="宋体" w:hAnsi="宋体" w:eastAsia="宋体" w:cs="微软雅黑"/>
                <w:b/>
                <w:bCs/>
                <w:color w:val="000000" w:themeColor="text1"/>
                <w:szCs w:val="21"/>
                <w:highlight w:val="none"/>
                <w:lang w:eastAsia="zh-CN"/>
                <w14:textFill>
                  <w14:solidFill>
                    <w14:schemeClr w14:val="tx1"/>
                  </w14:solidFill>
                </w14:textFill>
              </w:rPr>
              <w:t>评分依据：</w:t>
            </w:r>
            <w:r>
              <w:rPr>
                <w:rFonts w:hint="eastAsia" w:ascii="宋体" w:hAnsi="宋体" w:eastAsia="宋体" w:cs="微软雅黑"/>
                <w:b w:val="0"/>
                <w:bCs w:val="0"/>
                <w:color w:val="000000" w:themeColor="text1"/>
                <w:szCs w:val="21"/>
                <w:highlight w:val="none"/>
                <w14:textFill>
                  <w14:solidFill>
                    <w14:schemeClr w14:val="tx1"/>
                  </w14:solidFill>
                </w14:textFill>
              </w:rPr>
              <w:t>以上</w:t>
            </w:r>
            <w:r>
              <w:rPr>
                <w:rFonts w:hint="eastAsia" w:ascii="宋体" w:hAnsi="宋体" w:eastAsia="宋体" w:cs="微软雅黑"/>
                <w:b w:val="0"/>
                <w:bCs w:val="0"/>
                <w:color w:val="000000" w:themeColor="text1"/>
                <w:szCs w:val="21"/>
                <w:highlight w:val="none"/>
                <w:lang w:eastAsia="zh-CN"/>
                <w14:textFill>
                  <w14:solidFill>
                    <w14:schemeClr w14:val="tx1"/>
                  </w14:solidFill>
                </w14:textFill>
              </w:rPr>
              <w:t>五</w:t>
            </w:r>
            <w:r>
              <w:rPr>
                <w:rFonts w:hint="eastAsia" w:ascii="宋体" w:hAnsi="宋体" w:eastAsia="宋体" w:cs="微软雅黑"/>
                <w:b w:val="0"/>
                <w:bCs w:val="0"/>
                <w:color w:val="000000" w:themeColor="text1"/>
                <w:szCs w:val="21"/>
                <w:highlight w:val="none"/>
                <w14:textFill>
                  <w14:solidFill>
                    <w14:schemeClr w14:val="tx1"/>
                  </w14:solidFill>
                </w14:textFill>
              </w:rPr>
              <w:t>项方案每提供一小项内容适用于项目且无缺失的方案得</w:t>
            </w:r>
            <w:r>
              <w:rPr>
                <w:rFonts w:hint="eastAsia" w:ascii="宋体" w:hAnsi="宋体" w:eastAsia="宋体" w:cs="微软雅黑"/>
                <w:b w:val="0"/>
                <w:bCs w:val="0"/>
                <w:color w:val="000000" w:themeColor="text1"/>
                <w:szCs w:val="21"/>
                <w:highlight w:val="none"/>
                <w:lang w:val="en-US" w:eastAsia="zh-CN"/>
                <w14:textFill>
                  <w14:solidFill>
                    <w14:schemeClr w14:val="tx1"/>
                  </w14:solidFill>
                </w14:textFill>
              </w:rPr>
              <w:t>2</w:t>
            </w:r>
            <w:r>
              <w:rPr>
                <w:rFonts w:hint="eastAsia" w:ascii="宋体" w:hAnsi="宋体" w:eastAsia="宋体" w:cs="微软雅黑"/>
                <w:b w:val="0"/>
                <w:bCs w:val="0"/>
                <w:color w:val="000000" w:themeColor="text1"/>
                <w:szCs w:val="21"/>
                <w:highlight w:val="none"/>
                <w14:textFill>
                  <w14:solidFill>
                    <w14:schemeClr w14:val="tx1"/>
                  </w14:solidFill>
                </w14:textFill>
              </w:rPr>
              <w:t>分，</w:t>
            </w:r>
            <w:r>
              <w:rPr>
                <w:rFonts w:hint="eastAsia" w:ascii="宋体" w:hAnsi="宋体" w:eastAsia="宋体" w:cs="微软雅黑"/>
                <w:b w:val="0"/>
                <w:bCs w:val="0"/>
                <w:color w:val="000000" w:themeColor="text1"/>
                <w:szCs w:val="21"/>
                <w:highlight w:val="none"/>
                <w:lang w:eastAsia="zh-CN"/>
                <w14:textFill>
                  <w14:solidFill>
                    <w14:schemeClr w14:val="tx1"/>
                  </w14:solidFill>
                </w14:textFill>
              </w:rPr>
              <w:t>满分为</w:t>
            </w:r>
            <w:r>
              <w:rPr>
                <w:rFonts w:hint="eastAsia" w:ascii="宋体" w:hAnsi="宋体" w:eastAsia="宋体" w:cs="微软雅黑"/>
                <w:b w:val="0"/>
                <w:bCs w:val="0"/>
                <w:color w:val="000000" w:themeColor="text1"/>
                <w:szCs w:val="21"/>
                <w:highlight w:val="none"/>
                <w:lang w:val="en-US" w:eastAsia="zh-CN"/>
                <w14:textFill>
                  <w14:solidFill>
                    <w14:schemeClr w14:val="tx1"/>
                  </w14:solidFill>
                </w14:textFill>
              </w:rPr>
              <w:t>10分，</w:t>
            </w:r>
            <w:r>
              <w:rPr>
                <w:rFonts w:hint="eastAsia" w:asciiTheme="minorEastAsia" w:hAnsiTheme="minorEastAsia" w:eastAsiaTheme="minorEastAsia"/>
                <w:b w:val="0"/>
                <w:bCs w:val="0"/>
                <w:szCs w:val="21"/>
              </w:rPr>
              <w:t>每缺少一项内容扣</w:t>
            </w:r>
            <w:r>
              <w:rPr>
                <w:rFonts w:hint="eastAsia" w:asciiTheme="minorEastAsia" w:hAnsiTheme="minorEastAsia" w:eastAsiaTheme="minorEastAsia"/>
                <w:b w:val="0"/>
                <w:bCs w:val="0"/>
                <w:szCs w:val="21"/>
                <w:lang w:val="en-US" w:eastAsia="zh-CN"/>
              </w:rPr>
              <w:t>2</w:t>
            </w:r>
            <w:r>
              <w:rPr>
                <w:rFonts w:hint="eastAsia" w:asciiTheme="minorEastAsia" w:hAnsiTheme="minorEastAsia" w:eastAsiaTheme="minorEastAsia"/>
                <w:b w:val="0"/>
                <w:bCs w:val="0"/>
                <w:szCs w:val="21"/>
              </w:rPr>
              <w:t>分</w:t>
            </w:r>
            <w:r>
              <w:rPr>
                <w:rFonts w:hint="eastAsia" w:ascii="宋体" w:hAnsi="宋体" w:eastAsia="宋体" w:cs="微软雅黑"/>
                <w:b w:val="0"/>
                <w:bCs w:val="0"/>
                <w:color w:val="000000" w:themeColor="text1"/>
                <w:szCs w:val="21"/>
                <w:highlight w:val="none"/>
                <w:lang w:val="en-US" w:eastAsia="zh-CN"/>
                <w14:textFill>
                  <w14:solidFill>
                    <w14:schemeClr w14:val="tx1"/>
                  </w14:solidFill>
                </w14:textFill>
              </w:rPr>
              <w:t>，每有一处缺陷扣1分，</w:t>
            </w:r>
            <w:r>
              <w:rPr>
                <w:rFonts w:hint="eastAsia" w:asciiTheme="minorEastAsia" w:hAnsiTheme="minorEastAsia" w:eastAsiaTheme="minorEastAsia"/>
                <w:bCs/>
                <w:szCs w:val="21"/>
              </w:rPr>
              <w:t>扣完为止</w:t>
            </w:r>
            <w:r>
              <w:rPr>
                <w:rFonts w:hint="eastAsia" w:ascii="宋体" w:hAnsi="宋体" w:eastAsia="宋体" w:cs="微软雅黑"/>
                <w:b w:val="0"/>
                <w:bCs w:val="0"/>
                <w:color w:val="000000" w:themeColor="text1"/>
                <w:szCs w:val="21"/>
                <w:highlight w:val="none"/>
                <w14:textFill>
                  <w14:solidFill>
                    <w14:schemeClr w14:val="tx1"/>
                  </w14:solidFill>
                </w14:textFill>
              </w:rPr>
              <w:t>。</w:t>
            </w:r>
          </w:p>
          <w:p w14:paraId="23F65181">
            <w:pPr>
              <w:numPr>
                <w:ilvl w:val="0"/>
                <w:numId w:val="0"/>
              </w:numPr>
              <w:overflowPunct/>
              <w:bidi w:val="0"/>
              <w:outlineLvl w:val="9"/>
              <w:rPr>
                <w:rFonts w:hint="eastAsia" w:ascii="宋体" w:hAnsi="宋体" w:eastAsia="宋体" w:cs="微软雅黑"/>
                <w:color w:val="000000" w:themeColor="text1"/>
                <w:szCs w:val="21"/>
                <w:highlight w:val="none"/>
                <w:lang w:val="zh-CN" w:eastAsia="zh-CN"/>
                <w14:textFill>
                  <w14:solidFill>
                    <w14:schemeClr w14:val="tx1"/>
                  </w14:solidFill>
                </w14:textFill>
              </w:rPr>
            </w:pPr>
            <w:r>
              <w:rPr>
                <w:rFonts w:hint="eastAsia" w:ascii="宋体" w:hAnsi="宋体" w:eastAsia="宋体" w:cs="微软雅黑"/>
                <w:b w:val="0"/>
                <w:bCs w:val="0"/>
                <w:color w:val="000000" w:themeColor="text1"/>
                <w:szCs w:val="21"/>
                <w:highlight w:val="none"/>
                <w14:textFill>
                  <w14:solidFill>
                    <w14:schemeClr w14:val="tx1"/>
                  </w14:solidFill>
                </w14:textFill>
              </w:rPr>
              <w:t>（</w:t>
            </w:r>
            <w:r>
              <w:rPr>
                <w:rFonts w:hint="eastAsia" w:ascii="宋体" w:hAnsi="宋体" w:eastAsia="宋体" w:cs="微软雅黑"/>
                <w:b w:val="0"/>
                <w:bCs w:val="0"/>
                <w:color w:val="000000" w:themeColor="text1"/>
                <w:szCs w:val="21"/>
                <w:highlight w:val="none"/>
                <w:lang w:val="en-US" w:eastAsia="zh-CN"/>
                <w14:textFill>
                  <w14:solidFill>
                    <w14:schemeClr w14:val="tx1"/>
                  </w14:solidFill>
                </w14:textFill>
              </w:rPr>
              <w:t>缺陷</w:t>
            </w:r>
            <w:r>
              <w:rPr>
                <w:rFonts w:hint="eastAsia" w:ascii="宋体" w:hAnsi="宋体" w:eastAsia="宋体" w:cs="微软雅黑"/>
                <w:b w:val="0"/>
                <w:bCs w:val="0"/>
                <w:color w:val="000000" w:themeColor="text1"/>
                <w:szCs w:val="21"/>
                <w:highlight w:val="none"/>
                <w14:textFill>
                  <w14:solidFill>
                    <w14:schemeClr w14:val="tx1"/>
                  </w14:solidFill>
                </w14:textFill>
              </w:rPr>
              <w:t>是指：</w:t>
            </w:r>
            <w:r>
              <w:rPr>
                <w:rFonts w:hint="eastAsia" w:asciiTheme="minorEastAsia" w:hAnsiTheme="minorEastAsia" w:eastAsiaTheme="minorEastAsia"/>
                <w:b w:val="0"/>
                <w:bCs w:val="0"/>
                <w:szCs w:val="21"/>
              </w:rPr>
              <w:t>在不适用项目实际情况的情形、凭空编造、笼统描述、内容前后不一致、内容无法连贯、前后逻辑错误、涉及的规范及标准错误、地点区域错误、直接套用其他项目方案、与项目实施特点不匹配、不符合或不满足采购需求实际等等任意一种不利于项目实施情况</w:t>
            </w:r>
            <w:r>
              <w:rPr>
                <w:rFonts w:hint="eastAsia" w:asciiTheme="minorEastAsia" w:hAnsiTheme="minorEastAsia" w:eastAsiaTheme="minorEastAsia"/>
                <w:b w:val="0"/>
                <w:bCs w:val="0"/>
                <w:szCs w:val="21"/>
                <w:lang w:eastAsia="zh-CN"/>
              </w:rPr>
              <w:t>。</w:t>
            </w:r>
            <w:r>
              <w:rPr>
                <w:rFonts w:hint="eastAsia" w:ascii="宋体" w:hAnsi="宋体" w:eastAsia="宋体" w:cs="微软雅黑"/>
                <w:b w:val="0"/>
                <w:bCs w:val="0"/>
                <w:color w:val="000000" w:themeColor="text1"/>
                <w:szCs w:val="21"/>
                <w:highlight w:val="none"/>
                <w14:textFill>
                  <w14:solidFill>
                    <w14:schemeClr w14:val="tx1"/>
                  </w14:solidFill>
                </w14:textFill>
              </w:rPr>
              <w:t>）</w:t>
            </w:r>
          </w:p>
        </w:tc>
        <w:tc>
          <w:tcPr>
            <w:tcW w:w="657" w:type="dxa"/>
            <w:vAlign w:val="center"/>
          </w:tcPr>
          <w:p w14:paraId="248447E1">
            <w:pPr>
              <w:overflowPunct/>
              <w:bidi w:val="0"/>
              <w:spacing w:line="0" w:lineRule="atLeast"/>
              <w:jc w:val="center"/>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0-10</w:t>
            </w:r>
          </w:p>
        </w:tc>
      </w:tr>
      <w:tr w14:paraId="336F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00" w:type="dxa"/>
            <w:vMerge w:val="restart"/>
            <w:vAlign w:val="center"/>
          </w:tcPr>
          <w:p w14:paraId="50C75B91">
            <w:pPr>
              <w:keepNext w:val="0"/>
              <w:keepLines w:val="0"/>
              <w:pageBreakBefore w:val="0"/>
              <w:widowControl w:val="0"/>
              <w:kinsoku/>
              <w:wordWrap/>
              <w:overflowPunct/>
              <w:topLinePunct w:val="0"/>
              <w:bidi w:val="0"/>
              <w:snapToGrid/>
              <w:spacing w:line="0" w:lineRule="atLeast"/>
              <w:jc w:val="both"/>
              <w:outlineLvl w:val="9"/>
              <w:rPr>
                <w:rFonts w:ascii="宋体" w:hAnsi="宋体" w:cs="微软雅黑"/>
                <w:color w:val="000000" w:themeColor="text1"/>
                <w:szCs w:val="21"/>
                <w:highlight w:val="none"/>
                <w14:textFill>
                  <w14:solidFill>
                    <w14:schemeClr w14:val="tx1"/>
                  </w14:solidFill>
                </w14:textFill>
              </w:rPr>
            </w:pPr>
          </w:p>
        </w:tc>
        <w:tc>
          <w:tcPr>
            <w:tcW w:w="939" w:type="dxa"/>
            <w:vMerge w:val="restart"/>
            <w:vAlign w:val="center"/>
          </w:tcPr>
          <w:p w14:paraId="79AF1926">
            <w:pPr>
              <w:keepNext w:val="0"/>
              <w:keepLines w:val="0"/>
              <w:pageBreakBefore w:val="0"/>
              <w:widowControl w:val="0"/>
              <w:kinsoku/>
              <w:wordWrap/>
              <w:overflowPunct/>
              <w:topLinePunct w:val="0"/>
              <w:bidi w:val="0"/>
              <w:snapToGrid/>
              <w:spacing w:line="0" w:lineRule="atLeast"/>
              <w:jc w:val="center"/>
              <w:outlineLvl w:val="9"/>
              <w:rPr>
                <w:rFonts w:hint="default" w:ascii="宋体" w:hAnsi="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技术因素50分</w:t>
            </w:r>
          </w:p>
        </w:tc>
        <w:tc>
          <w:tcPr>
            <w:tcW w:w="1737" w:type="dxa"/>
            <w:vAlign w:val="center"/>
          </w:tcPr>
          <w:p w14:paraId="180630B7">
            <w:pPr>
              <w:overflowPunct/>
              <w:bidi w:val="0"/>
              <w:spacing w:line="0" w:lineRule="atLeast"/>
              <w:jc w:val="center"/>
              <w:outlineLvl w:val="9"/>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质量保证措施</w:t>
            </w:r>
          </w:p>
          <w:p w14:paraId="3D6150D5">
            <w:pPr>
              <w:overflowPunct/>
              <w:bidi w:val="0"/>
              <w:spacing w:line="0" w:lineRule="atLeast"/>
              <w:jc w:val="center"/>
              <w:outlineLvl w:val="9"/>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6</w:t>
            </w:r>
            <w:r>
              <w:rPr>
                <w:rFonts w:hint="eastAsia" w:ascii="宋体" w:hAnsi="宋体" w:eastAsia="宋体" w:cs="微软雅黑"/>
                <w:color w:val="000000" w:themeColor="text1"/>
                <w:szCs w:val="21"/>
                <w:highlight w:val="none"/>
                <w:lang w:val="en-US" w:eastAsia="zh-CN"/>
                <w14:textFill>
                  <w14:solidFill>
                    <w14:schemeClr w14:val="tx1"/>
                  </w14:solidFill>
                </w14:textFill>
              </w:rPr>
              <w:t>分</w:t>
            </w:r>
            <w:r>
              <w:rPr>
                <w:rFonts w:hint="eastAsia" w:ascii="宋体" w:hAnsi="宋体" w:eastAsia="宋体" w:cs="微软雅黑"/>
                <w:color w:val="000000" w:themeColor="text1"/>
                <w:szCs w:val="21"/>
                <w:highlight w:val="none"/>
                <w:lang w:eastAsia="zh-CN"/>
                <w14:textFill>
                  <w14:solidFill>
                    <w14:schemeClr w14:val="tx1"/>
                  </w14:solidFill>
                </w14:textFill>
              </w:rPr>
              <w:t>）</w:t>
            </w:r>
          </w:p>
        </w:tc>
        <w:tc>
          <w:tcPr>
            <w:tcW w:w="5606" w:type="dxa"/>
            <w:vAlign w:val="center"/>
          </w:tcPr>
          <w:p w14:paraId="35C30019">
            <w:pPr>
              <w:overflowPunct/>
              <w:bidi w:val="0"/>
              <w:spacing w:line="0" w:lineRule="atLeast"/>
              <w:outlineLvl w:val="9"/>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供应商</w:t>
            </w:r>
            <w:r>
              <w:rPr>
                <w:rFonts w:hint="eastAsia" w:ascii="宋体" w:hAnsi="宋体" w:eastAsia="宋体" w:cs="微软雅黑"/>
                <w:color w:val="000000" w:themeColor="text1"/>
                <w:szCs w:val="21"/>
                <w:highlight w:val="none"/>
                <w14:textFill>
                  <w14:solidFill>
                    <w14:schemeClr w14:val="tx1"/>
                  </w14:solidFill>
                </w14:textFill>
              </w:rPr>
              <w:t>针对于本项目制定相应的产品质量保证措施方案</w:t>
            </w:r>
            <w:r>
              <w:rPr>
                <w:rFonts w:hint="eastAsia" w:asciiTheme="minorEastAsia" w:hAnsiTheme="minorEastAsia" w:eastAsiaTheme="minorEastAsia"/>
                <w:bCs/>
                <w:szCs w:val="21"/>
              </w:rPr>
              <w:t>进行综合打分</w:t>
            </w:r>
            <w:r>
              <w:rPr>
                <w:rFonts w:hint="eastAsia" w:ascii="宋体" w:hAnsi="宋体" w:eastAsia="宋体" w:cs="微软雅黑"/>
                <w:color w:val="000000" w:themeColor="text1"/>
                <w:szCs w:val="21"/>
                <w:highlight w:val="none"/>
                <w14:textFill>
                  <w14:solidFill>
                    <w14:schemeClr w14:val="tx1"/>
                  </w14:solidFill>
                </w14:textFill>
              </w:rPr>
              <w:t>，从产品的生产、运输、交付、使用、验收等方面为制做方案依据，包含但不限于以下几个方面：</w:t>
            </w:r>
          </w:p>
          <w:p w14:paraId="1890AD74">
            <w:pPr>
              <w:overflowPunct/>
              <w:bidi w:val="0"/>
              <w:spacing w:line="0" w:lineRule="atLeast"/>
              <w:outlineLvl w:val="9"/>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产品质量保证方案</w:t>
            </w:r>
          </w:p>
          <w:p w14:paraId="6B298DDC">
            <w:pPr>
              <w:overflowPunct/>
              <w:bidi w:val="0"/>
              <w:spacing w:line="0" w:lineRule="atLeast"/>
              <w:outlineLvl w:val="9"/>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cs="微软雅黑"/>
                <w:color w:val="000000" w:themeColor="text1"/>
                <w:szCs w:val="21"/>
                <w:highlight w:val="none"/>
                <w:lang w:eastAsia="zh-CN"/>
                <w14:textFill>
                  <w14:solidFill>
                    <w14:schemeClr w14:val="tx1"/>
                  </w14:solidFill>
                </w14:textFill>
              </w:rPr>
              <w:t>①</w:t>
            </w:r>
            <w:r>
              <w:rPr>
                <w:rFonts w:hint="eastAsia" w:ascii="宋体" w:hAnsi="宋体" w:eastAsia="宋体" w:cs="微软雅黑"/>
                <w:color w:val="000000" w:themeColor="text1"/>
                <w:szCs w:val="21"/>
                <w:highlight w:val="none"/>
                <w:lang w:eastAsia="zh-CN"/>
                <w14:textFill>
                  <w14:solidFill>
                    <w14:schemeClr w14:val="tx1"/>
                  </w14:solidFill>
                </w14:textFill>
              </w:rPr>
              <w:t>质量保障措施</w:t>
            </w:r>
          </w:p>
          <w:p w14:paraId="6B392DC6">
            <w:pPr>
              <w:overflowPunct/>
              <w:bidi w:val="0"/>
              <w:spacing w:line="0" w:lineRule="atLeast"/>
              <w:outlineLvl w:val="9"/>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cs="微软雅黑"/>
                <w:color w:val="000000" w:themeColor="text1"/>
                <w:szCs w:val="21"/>
                <w:highlight w:val="none"/>
                <w:lang w:eastAsia="zh-CN"/>
                <w14:textFill>
                  <w14:solidFill>
                    <w14:schemeClr w14:val="tx1"/>
                  </w14:solidFill>
                </w14:textFill>
              </w:rPr>
              <w:t>②</w:t>
            </w:r>
            <w:r>
              <w:rPr>
                <w:rFonts w:hint="eastAsia" w:ascii="宋体" w:hAnsi="宋体" w:eastAsia="宋体" w:cs="微软雅黑"/>
                <w:color w:val="000000" w:themeColor="text1"/>
                <w:szCs w:val="21"/>
                <w:highlight w:val="none"/>
                <w:lang w:eastAsia="zh-CN"/>
                <w14:textFill>
                  <w14:solidFill>
                    <w14:schemeClr w14:val="tx1"/>
                  </w14:solidFill>
                </w14:textFill>
              </w:rPr>
              <w:t>质量方针</w:t>
            </w:r>
          </w:p>
          <w:p w14:paraId="29ACEA06">
            <w:pPr>
              <w:overflowPunct/>
              <w:bidi w:val="0"/>
              <w:spacing w:line="0" w:lineRule="atLeast"/>
              <w:outlineLvl w:val="9"/>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cs="微软雅黑"/>
                <w:color w:val="000000" w:themeColor="text1"/>
                <w:szCs w:val="21"/>
                <w:highlight w:val="none"/>
                <w:lang w:eastAsia="zh-CN"/>
                <w14:textFill>
                  <w14:solidFill>
                    <w14:schemeClr w14:val="tx1"/>
                  </w14:solidFill>
                </w14:textFill>
              </w:rPr>
              <w:t>③</w:t>
            </w:r>
            <w:r>
              <w:rPr>
                <w:rFonts w:hint="eastAsia" w:ascii="宋体" w:hAnsi="宋体" w:eastAsia="宋体" w:cs="微软雅黑"/>
                <w:color w:val="000000" w:themeColor="text1"/>
                <w:szCs w:val="21"/>
                <w:highlight w:val="none"/>
                <w:lang w:eastAsia="zh-CN"/>
                <w14:textFill>
                  <w14:solidFill>
                    <w14:schemeClr w14:val="tx1"/>
                  </w14:solidFill>
                </w14:textFill>
              </w:rPr>
              <w:t>质量目标</w:t>
            </w:r>
          </w:p>
          <w:p w14:paraId="54C5E931">
            <w:pPr>
              <w:overflowPunct/>
              <w:bidi w:val="0"/>
              <w:spacing w:line="0" w:lineRule="atLeast"/>
              <w:outlineLvl w:val="9"/>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cs="微软雅黑"/>
                <w:color w:val="000000" w:themeColor="text1"/>
                <w:szCs w:val="21"/>
                <w:highlight w:val="none"/>
                <w:lang w:eastAsia="zh-CN"/>
                <w14:textFill>
                  <w14:solidFill>
                    <w14:schemeClr w14:val="tx1"/>
                  </w14:solidFill>
                </w14:textFill>
              </w:rPr>
              <w:t>④</w:t>
            </w:r>
            <w:r>
              <w:rPr>
                <w:rFonts w:hint="eastAsia" w:ascii="宋体" w:hAnsi="宋体" w:eastAsia="宋体" w:cs="微软雅黑"/>
                <w:color w:val="000000" w:themeColor="text1"/>
                <w:szCs w:val="21"/>
                <w:highlight w:val="none"/>
                <w:lang w:eastAsia="zh-CN"/>
                <w14:textFill>
                  <w14:solidFill>
                    <w14:schemeClr w14:val="tx1"/>
                  </w14:solidFill>
                </w14:textFill>
              </w:rPr>
              <w:t>质量标准及技术响应</w:t>
            </w:r>
          </w:p>
          <w:p w14:paraId="3A5124E3">
            <w:pPr>
              <w:overflowPunct/>
              <w:bidi w:val="0"/>
              <w:spacing w:line="0" w:lineRule="atLeast"/>
              <w:outlineLvl w:val="9"/>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cs="微软雅黑"/>
                <w:color w:val="000000" w:themeColor="text1"/>
                <w:szCs w:val="21"/>
                <w:highlight w:val="none"/>
                <w:lang w:eastAsia="zh-CN"/>
                <w14:textFill>
                  <w14:solidFill>
                    <w14:schemeClr w14:val="tx1"/>
                  </w14:solidFill>
                </w14:textFill>
              </w:rPr>
              <w:t>⑤</w:t>
            </w:r>
            <w:r>
              <w:rPr>
                <w:rFonts w:hint="eastAsia" w:ascii="宋体" w:hAnsi="宋体" w:eastAsia="宋体" w:cs="微软雅黑"/>
                <w:color w:val="000000" w:themeColor="text1"/>
                <w:szCs w:val="21"/>
                <w:highlight w:val="none"/>
                <w:lang w:eastAsia="zh-CN"/>
                <w14:textFill>
                  <w14:solidFill>
                    <w14:schemeClr w14:val="tx1"/>
                  </w14:solidFill>
                </w14:textFill>
              </w:rPr>
              <w:t>质量保证依据</w:t>
            </w:r>
          </w:p>
          <w:p w14:paraId="1F150577">
            <w:pPr>
              <w:overflowPunct/>
              <w:bidi w:val="0"/>
              <w:spacing w:line="0" w:lineRule="atLeast"/>
              <w:outlineLvl w:val="9"/>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cs="微软雅黑"/>
                <w:color w:val="000000" w:themeColor="text1"/>
                <w:szCs w:val="21"/>
                <w:highlight w:val="none"/>
                <w:lang w:eastAsia="zh-CN"/>
                <w14:textFill>
                  <w14:solidFill>
                    <w14:schemeClr w14:val="tx1"/>
                  </w14:solidFill>
                </w14:textFill>
              </w:rPr>
              <w:t>⑥</w:t>
            </w:r>
            <w:r>
              <w:rPr>
                <w:rFonts w:hint="eastAsia" w:ascii="宋体" w:hAnsi="宋体" w:eastAsia="宋体" w:cs="微软雅黑"/>
                <w:color w:val="000000" w:themeColor="text1"/>
                <w:szCs w:val="21"/>
                <w:highlight w:val="none"/>
                <w:lang w:eastAsia="zh-CN"/>
                <w14:textFill>
                  <w14:solidFill>
                    <w14:schemeClr w14:val="tx1"/>
                  </w14:solidFill>
                </w14:textFill>
              </w:rPr>
              <w:t>质量保证原则</w:t>
            </w:r>
          </w:p>
          <w:p w14:paraId="74F940E4">
            <w:pPr>
              <w:overflowPunct/>
              <w:bidi w:val="0"/>
              <w:spacing w:line="0" w:lineRule="atLeast"/>
              <w:outlineLvl w:val="9"/>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以上六项方案每提供一小项内容适用于项目且无缺失的方案得</w:t>
            </w:r>
            <w:r>
              <w:rPr>
                <w:rFonts w:hint="eastAsia" w:ascii="宋体" w:hAnsi="宋体" w:cs="微软雅黑"/>
                <w:color w:val="000000" w:themeColor="text1"/>
                <w:szCs w:val="21"/>
                <w:highlight w:val="none"/>
                <w:lang w:val="en-US" w:eastAsia="zh-CN"/>
                <w14:textFill>
                  <w14:solidFill>
                    <w14:schemeClr w14:val="tx1"/>
                  </w14:solidFill>
                </w14:textFill>
              </w:rPr>
              <w:t>1</w:t>
            </w:r>
            <w:r>
              <w:rPr>
                <w:rFonts w:hint="eastAsia" w:ascii="宋体" w:hAnsi="宋体" w:eastAsia="宋体" w:cs="微软雅黑"/>
                <w:color w:val="000000" w:themeColor="text1"/>
                <w:szCs w:val="21"/>
                <w:highlight w:val="none"/>
                <w14:textFill>
                  <w14:solidFill>
                    <w14:schemeClr w14:val="tx1"/>
                  </w14:solidFill>
                </w14:textFill>
              </w:rPr>
              <w:t>分，</w:t>
            </w:r>
            <w:r>
              <w:rPr>
                <w:rFonts w:hint="eastAsia" w:ascii="宋体" w:hAnsi="宋体" w:cs="微软雅黑"/>
                <w:color w:val="000000" w:themeColor="text1"/>
                <w:szCs w:val="21"/>
                <w:highlight w:val="none"/>
                <w:lang w:eastAsia="zh-CN"/>
                <w14:textFill>
                  <w14:solidFill>
                    <w14:schemeClr w14:val="tx1"/>
                  </w14:solidFill>
                </w14:textFill>
              </w:rPr>
              <w:t>满分为</w:t>
            </w:r>
            <w:r>
              <w:rPr>
                <w:rFonts w:hint="eastAsia" w:ascii="宋体" w:hAnsi="宋体" w:cs="微软雅黑"/>
                <w:color w:val="000000" w:themeColor="text1"/>
                <w:szCs w:val="21"/>
                <w:highlight w:val="none"/>
                <w:lang w:val="en-US" w:eastAsia="zh-CN"/>
                <w14:textFill>
                  <w14:solidFill>
                    <w14:schemeClr w14:val="tx1"/>
                  </w14:solidFill>
                </w14:textFill>
              </w:rPr>
              <w:t>6分，</w:t>
            </w:r>
            <w:r>
              <w:rPr>
                <w:rFonts w:hint="eastAsia" w:asciiTheme="minorEastAsia" w:hAnsiTheme="minorEastAsia" w:eastAsiaTheme="minorEastAsia"/>
                <w:b w:val="0"/>
                <w:bCs w:val="0"/>
                <w:szCs w:val="21"/>
              </w:rPr>
              <w:t>每缺少一项内容扣</w:t>
            </w:r>
            <w:r>
              <w:rPr>
                <w:rFonts w:hint="eastAsia" w:asciiTheme="minorEastAsia" w:hAnsiTheme="minorEastAsia" w:eastAsiaTheme="minorEastAsia"/>
                <w:b w:val="0"/>
                <w:bCs w:val="0"/>
                <w:szCs w:val="21"/>
                <w:lang w:val="en-US" w:eastAsia="zh-CN"/>
              </w:rPr>
              <w:t>1</w:t>
            </w:r>
            <w:r>
              <w:rPr>
                <w:rFonts w:hint="eastAsia" w:asciiTheme="minorEastAsia" w:hAnsiTheme="minorEastAsia" w:eastAsiaTheme="minorEastAsia"/>
                <w:b w:val="0"/>
                <w:bCs w:val="0"/>
                <w:szCs w:val="21"/>
              </w:rPr>
              <w:t>分</w:t>
            </w:r>
            <w:r>
              <w:rPr>
                <w:rFonts w:hint="eastAsia" w:ascii="宋体" w:hAnsi="宋体" w:eastAsia="宋体" w:cs="微软雅黑"/>
                <w:b w:val="0"/>
                <w:bCs w:val="0"/>
                <w:color w:val="000000" w:themeColor="text1"/>
                <w:szCs w:val="21"/>
                <w:highlight w:val="none"/>
                <w:lang w:val="en-US" w:eastAsia="zh-CN"/>
                <w14:textFill>
                  <w14:solidFill>
                    <w14:schemeClr w14:val="tx1"/>
                  </w14:solidFill>
                </w14:textFill>
              </w:rPr>
              <w:t>，每有一处缺陷扣0.5分，</w:t>
            </w:r>
            <w:r>
              <w:rPr>
                <w:rFonts w:hint="eastAsia" w:asciiTheme="minorEastAsia" w:hAnsiTheme="minorEastAsia" w:eastAsiaTheme="minorEastAsia"/>
                <w:bCs/>
                <w:szCs w:val="21"/>
              </w:rPr>
              <w:t>扣完为止</w:t>
            </w:r>
            <w:r>
              <w:rPr>
                <w:rFonts w:hint="eastAsia" w:ascii="宋体" w:hAnsi="宋体" w:eastAsia="宋体" w:cs="微软雅黑"/>
                <w:b w:val="0"/>
                <w:bCs w:val="0"/>
                <w:color w:val="000000" w:themeColor="text1"/>
                <w:szCs w:val="21"/>
                <w:highlight w:val="none"/>
                <w14:textFill>
                  <w14:solidFill>
                    <w14:schemeClr w14:val="tx1"/>
                  </w14:solidFill>
                </w14:textFill>
              </w:rPr>
              <w:t>。</w:t>
            </w:r>
          </w:p>
          <w:p w14:paraId="5C94E405">
            <w:pPr>
              <w:overflowPunct/>
              <w:bidi w:val="0"/>
              <w:spacing w:line="0" w:lineRule="atLeast"/>
              <w:outlineLvl w:val="9"/>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b w:val="0"/>
                <w:bCs w:val="0"/>
                <w:color w:val="000000" w:themeColor="text1"/>
                <w:szCs w:val="21"/>
                <w:highlight w:val="none"/>
                <w14:textFill>
                  <w14:solidFill>
                    <w14:schemeClr w14:val="tx1"/>
                  </w14:solidFill>
                </w14:textFill>
              </w:rPr>
              <w:t>（</w:t>
            </w:r>
            <w:r>
              <w:rPr>
                <w:rFonts w:hint="eastAsia" w:ascii="宋体" w:hAnsi="宋体" w:eastAsia="宋体" w:cs="微软雅黑"/>
                <w:b w:val="0"/>
                <w:bCs w:val="0"/>
                <w:color w:val="000000" w:themeColor="text1"/>
                <w:szCs w:val="21"/>
                <w:highlight w:val="none"/>
                <w:lang w:val="en-US" w:eastAsia="zh-CN"/>
                <w14:textFill>
                  <w14:solidFill>
                    <w14:schemeClr w14:val="tx1"/>
                  </w14:solidFill>
                </w14:textFill>
              </w:rPr>
              <w:t>缺陷</w:t>
            </w:r>
            <w:r>
              <w:rPr>
                <w:rFonts w:hint="eastAsia" w:ascii="宋体" w:hAnsi="宋体" w:eastAsia="宋体" w:cs="微软雅黑"/>
                <w:b w:val="0"/>
                <w:bCs w:val="0"/>
                <w:color w:val="000000" w:themeColor="text1"/>
                <w:szCs w:val="21"/>
                <w:highlight w:val="none"/>
                <w14:textFill>
                  <w14:solidFill>
                    <w14:schemeClr w14:val="tx1"/>
                  </w14:solidFill>
                </w14:textFill>
              </w:rPr>
              <w:t>是指：</w:t>
            </w:r>
            <w:r>
              <w:rPr>
                <w:rFonts w:hint="eastAsia" w:asciiTheme="minorEastAsia" w:hAnsiTheme="minorEastAsia" w:eastAsiaTheme="minorEastAsia"/>
                <w:b w:val="0"/>
                <w:bCs w:val="0"/>
                <w:szCs w:val="21"/>
              </w:rPr>
              <w:t>在不适用项目实际情况的情形、凭空编造、笼统描述、内容前后不一致、内容无法连贯、前后逻辑错误、涉及的规范及标准错误、地点区域错误、直接套用其他项目方案、与项目实施特点不匹配、不符合或不满足采购需求实际等等任意一种不利于项目实施情况</w:t>
            </w:r>
            <w:r>
              <w:rPr>
                <w:rFonts w:hint="eastAsia" w:asciiTheme="minorEastAsia" w:hAnsiTheme="minorEastAsia" w:eastAsiaTheme="minorEastAsia"/>
                <w:b w:val="0"/>
                <w:bCs w:val="0"/>
                <w:szCs w:val="21"/>
                <w:lang w:eastAsia="zh-CN"/>
              </w:rPr>
              <w:t>。</w:t>
            </w:r>
            <w:r>
              <w:rPr>
                <w:rFonts w:hint="eastAsia" w:ascii="宋体" w:hAnsi="宋体" w:eastAsia="宋体" w:cs="微软雅黑"/>
                <w:b w:val="0"/>
                <w:bCs w:val="0"/>
                <w:color w:val="000000" w:themeColor="text1"/>
                <w:szCs w:val="21"/>
                <w:highlight w:val="none"/>
                <w14:textFill>
                  <w14:solidFill>
                    <w14:schemeClr w14:val="tx1"/>
                  </w14:solidFill>
                </w14:textFill>
              </w:rPr>
              <w:t>）</w:t>
            </w:r>
          </w:p>
        </w:tc>
        <w:tc>
          <w:tcPr>
            <w:tcW w:w="657" w:type="dxa"/>
            <w:vAlign w:val="center"/>
          </w:tcPr>
          <w:p w14:paraId="3105B459">
            <w:pPr>
              <w:overflowPunct/>
              <w:bidi w:val="0"/>
              <w:spacing w:line="0" w:lineRule="atLeast"/>
              <w:jc w:val="center"/>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0-</w:t>
            </w:r>
            <w:r>
              <w:rPr>
                <w:rFonts w:hint="eastAsia" w:ascii="宋体" w:hAnsi="宋体" w:cs="微软雅黑"/>
                <w:color w:val="000000" w:themeColor="text1"/>
                <w:szCs w:val="21"/>
                <w:highlight w:val="none"/>
                <w:lang w:val="en-US" w:eastAsia="zh-CN"/>
                <w14:textFill>
                  <w14:solidFill>
                    <w14:schemeClr w14:val="tx1"/>
                  </w14:solidFill>
                </w14:textFill>
              </w:rPr>
              <w:t>6</w:t>
            </w:r>
          </w:p>
        </w:tc>
      </w:tr>
      <w:tr w14:paraId="0B41A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00" w:type="dxa"/>
            <w:vMerge w:val="continue"/>
            <w:vAlign w:val="center"/>
          </w:tcPr>
          <w:p w14:paraId="1A8A9992">
            <w:pPr>
              <w:keepNext w:val="0"/>
              <w:keepLines w:val="0"/>
              <w:pageBreakBefore w:val="0"/>
              <w:widowControl w:val="0"/>
              <w:kinsoku/>
              <w:wordWrap/>
              <w:overflowPunct/>
              <w:topLinePunct w:val="0"/>
              <w:bidi w:val="0"/>
              <w:snapToGrid/>
              <w:spacing w:line="0" w:lineRule="atLeast"/>
              <w:jc w:val="both"/>
              <w:outlineLvl w:val="9"/>
              <w:rPr>
                <w:rFonts w:ascii="宋体" w:hAnsi="宋体" w:cs="微软雅黑"/>
                <w:color w:val="000000" w:themeColor="text1"/>
                <w:szCs w:val="21"/>
                <w:highlight w:val="none"/>
                <w14:textFill>
                  <w14:solidFill>
                    <w14:schemeClr w14:val="tx1"/>
                  </w14:solidFill>
                </w14:textFill>
              </w:rPr>
            </w:pPr>
          </w:p>
        </w:tc>
        <w:tc>
          <w:tcPr>
            <w:tcW w:w="939" w:type="dxa"/>
            <w:vMerge w:val="continue"/>
            <w:vAlign w:val="center"/>
          </w:tcPr>
          <w:p w14:paraId="5838A231">
            <w:pPr>
              <w:keepNext w:val="0"/>
              <w:keepLines w:val="0"/>
              <w:pageBreakBefore w:val="0"/>
              <w:widowControl w:val="0"/>
              <w:kinsoku/>
              <w:wordWrap/>
              <w:overflowPunct/>
              <w:topLinePunct w:val="0"/>
              <w:bidi w:val="0"/>
              <w:snapToGrid/>
              <w:spacing w:line="0" w:lineRule="atLeast"/>
              <w:jc w:val="center"/>
              <w:outlineLvl w:val="9"/>
              <w:rPr>
                <w:rFonts w:hint="eastAsia" w:ascii="宋体" w:hAnsi="宋体" w:cs="微软雅黑"/>
                <w:color w:val="000000" w:themeColor="text1"/>
                <w:szCs w:val="21"/>
                <w:highlight w:val="none"/>
                <w:lang w:val="en-US" w:eastAsia="zh-CN"/>
                <w14:textFill>
                  <w14:solidFill>
                    <w14:schemeClr w14:val="tx1"/>
                  </w14:solidFill>
                </w14:textFill>
              </w:rPr>
            </w:pPr>
          </w:p>
        </w:tc>
        <w:tc>
          <w:tcPr>
            <w:tcW w:w="1737" w:type="dxa"/>
            <w:vAlign w:val="center"/>
          </w:tcPr>
          <w:p w14:paraId="24D7AF03">
            <w:pPr>
              <w:overflowPunct/>
              <w:bidi w:val="0"/>
              <w:spacing w:line="0" w:lineRule="atLeast"/>
              <w:jc w:val="center"/>
              <w:outlineLvl w:val="9"/>
              <w:rPr>
                <w:rFonts w:hint="eastAsia" w:asciiTheme="minorEastAsia" w:hAnsiTheme="minorEastAsia"/>
                <w:szCs w:val="21"/>
              </w:rPr>
            </w:pPr>
            <w:r>
              <w:rPr>
                <w:rFonts w:hint="eastAsia" w:asciiTheme="minorEastAsia" w:hAnsiTheme="minorEastAsia"/>
                <w:bCs/>
                <w:szCs w:val="21"/>
              </w:rPr>
              <w:t>项目设计</w:t>
            </w:r>
            <w:r>
              <w:rPr>
                <w:rFonts w:hint="eastAsia" w:asciiTheme="minorEastAsia" w:hAnsiTheme="minorEastAsia"/>
                <w:szCs w:val="21"/>
              </w:rPr>
              <w:t>方案</w:t>
            </w:r>
          </w:p>
          <w:p w14:paraId="102655F1">
            <w:pPr>
              <w:overflowPunct/>
              <w:bidi w:val="0"/>
              <w:spacing w:line="0" w:lineRule="atLeast"/>
              <w:jc w:val="center"/>
              <w:outlineLvl w:val="9"/>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Theme="minorEastAsia" w:hAnsiTheme="minorEastAsia"/>
                <w:szCs w:val="21"/>
                <w:lang w:eastAsia="zh-CN"/>
              </w:rPr>
              <w:t>（</w:t>
            </w:r>
            <w:r>
              <w:rPr>
                <w:rFonts w:hint="eastAsia" w:asciiTheme="minorEastAsia" w:hAnsiTheme="minorEastAsia"/>
                <w:szCs w:val="21"/>
                <w:lang w:val="en-US" w:eastAsia="zh-CN"/>
              </w:rPr>
              <w:t>6分</w:t>
            </w:r>
            <w:r>
              <w:rPr>
                <w:rFonts w:hint="eastAsia" w:asciiTheme="minorEastAsia" w:hAnsiTheme="minorEastAsia"/>
                <w:szCs w:val="21"/>
                <w:lang w:eastAsia="zh-CN"/>
              </w:rPr>
              <w:t>）</w:t>
            </w:r>
          </w:p>
        </w:tc>
        <w:tc>
          <w:tcPr>
            <w:tcW w:w="5606" w:type="dxa"/>
            <w:vAlign w:val="center"/>
          </w:tcPr>
          <w:p w14:paraId="40D27E1C">
            <w:pPr>
              <w:numPr>
                <w:ilvl w:val="0"/>
                <w:numId w:val="0"/>
              </w:numPr>
              <w:overflowPunct/>
              <w:bidi w:val="0"/>
              <w:outlineLvl w:val="9"/>
              <w:rPr>
                <w:rFonts w:hint="eastAsia" w:ascii="宋体" w:hAnsi="宋体" w:eastAsia="宋体" w:cs="微软雅黑"/>
                <w:color w:val="000000" w:themeColor="text1"/>
                <w:szCs w:val="21"/>
                <w:highlight w:val="none"/>
                <w:lang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供应商</w:t>
            </w:r>
            <w:r>
              <w:rPr>
                <w:rFonts w:hint="eastAsia" w:ascii="宋体" w:hAnsi="宋体" w:eastAsia="宋体" w:cs="微软雅黑"/>
                <w:color w:val="000000" w:themeColor="text1"/>
                <w:szCs w:val="21"/>
                <w:highlight w:val="none"/>
                <w14:textFill>
                  <w14:solidFill>
                    <w14:schemeClr w14:val="tx1"/>
                  </w14:solidFill>
                </w14:textFill>
              </w:rPr>
              <w:t>针对于本项目制定相应的</w:t>
            </w:r>
            <w:r>
              <w:rPr>
                <w:rFonts w:hint="eastAsia" w:asciiTheme="minorEastAsia" w:hAnsiTheme="minorEastAsia"/>
                <w:bCs/>
                <w:szCs w:val="21"/>
              </w:rPr>
              <w:t>项目设计方案</w:t>
            </w:r>
            <w:r>
              <w:rPr>
                <w:rFonts w:hint="eastAsia" w:asciiTheme="minorEastAsia" w:hAnsiTheme="minorEastAsia" w:eastAsiaTheme="minorEastAsia"/>
                <w:bCs/>
                <w:szCs w:val="21"/>
              </w:rPr>
              <w:t>进行综合打分</w:t>
            </w:r>
            <w:r>
              <w:rPr>
                <w:rFonts w:hint="eastAsia" w:asciiTheme="minorEastAsia" w:hAnsiTheme="minorEastAsia"/>
                <w:bCs/>
                <w:szCs w:val="21"/>
                <w:lang w:eastAsia="zh-CN"/>
              </w:rPr>
              <w:t>，</w:t>
            </w:r>
            <w:r>
              <w:rPr>
                <w:rFonts w:hint="eastAsia" w:ascii="宋体" w:hAnsi="宋体" w:eastAsia="宋体" w:cs="微软雅黑"/>
                <w:color w:val="000000" w:themeColor="text1"/>
                <w:szCs w:val="21"/>
                <w:highlight w:val="none"/>
                <w14:textFill>
                  <w14:solidFill>
                    <w14:schemeClr w14:val="tx1"/>
                  </w14:solidFill>
                </w14:textFill>
              </w:rPr>
              <w:t>包含但不限于以下几个方面</w:t>
            </w:r>
            <w:r>
              <w:rPr>
                <w:rFonts w:hint="eastAsia" w:ascii="宋体" w:hAnsi="宋体" w:eastAsia="宋体" w:cs="微软雅黑"/>
                <w:color w:val="000000" w:themeColor="text1"/>
                <w:szCs w:val="21"/>
                <w:highlight w:val="none"/>
                <w:lang w:eastAsia="zh-CN"/>
                <w14:textFill>
                  <w14:solidFill>
                    <w14:schemeClr w14:val="tx1"/>
                  </w14:solidFill>
                </w14:textFill>
              </w:rPr>
              <w:t>：</w:t>
            </w:r>
          </w:p>
          <w:p w14:paraId="249666E8">
            <w:pPr>
              <w:overflowPunct/>
              <w:bidi w:val="0"/>
              <w:jc w:val="left"/>
              <w:outlineLvl w:val="9"/>
              <w:rPr>
                <w:rFonts w:asciiTheme="minorEastAsia" w:hAnsiTheme="minorEastAsia"/>
                <w:bCs/>
                <w:szCs w:val="21"/>
              </w:rPr>
            </w:pPr>
            <w:r>
              <w:rPr>
                <w:rFonts w:asciiTheme="minorEastAsia" w:hAnsiTheme="minorEastAsia"/>
                <w:bCs/>
                <w:szCs w:val="21"/>
              </w:rPr>
              <w:t>①选型依据；</w:t>
            </w:r>
          </w:p>
          <w:p w14:paraId="6357DD8E">
            <w:pPr>
              <w:overflowPunct/>
              <w:bidi w:val="0"/>
              <w:jc w:val="left"/>
              <w:outlineLvl w:val="9"/>
              <w:rPr>
                <w:rFonts w:asciiTheme="minorEastAsia" w:hAnsiTheme="minorEastAsia"/>
                <w:bCs/>
                <w:szCs w:val="21"/>
              </w:rPr>
            </w:pPr>
            <w:r>
              <w:rPr>
                <w:rFonts w:asciiTheme="minorEastAsia" w:hAnsiTheme="minorEastAsia"/>
                <w:bCs/>
                <w:szCs w:val="21"/>
              </w:rPr>
              <w:t>②维护便利性；</w:t>
            </w:r>
          </w:p>
          <w:p w14:paraId="4A39BBF0">
            <w:pPr>
              <w:overflowPunct/>
              <w:bidi w:val="0"/>
              <w:jc w:val="left"/>
              <w:outlineLvl w:val="9"/>
              <w:rPr>
                <w:rFonts w:asciiTheme="minorEastAsia" w:hAnsiTheme="minorEastAsia"/>
                <w:bCs/>
                <w:szCs w:val="21"/>
              </w:rPr>
            </w:pPr>
            <w:r>
              <w:rPr>
                <w:rFonts w:asciiTheme="minorEastAsia" w:hAnsiTheme="minorEastAsia"/>
                <w:bCs/>
                <w:szCs w:val="21"/>
              </w:rPr>
              <w:t>③模拟效果图；</w:t>
            </w:r>
          </w:p>
          <w:p w14:paraId="69C5B484">
            <w:pPr>
              <w:overflowPunct/>
              <w:bidi w:val="0"/>
              <w:jc w:val="left"/>
              <w:outlineLvl w:val="9"/>
              <w:rPr>
                <w:rFonts w:asciiTheme="minorEastAsia" w:hAnsiTheme="minorEastAsia"/>
                <w:bCs/>
                <w:szCs w:val="21"/>
              </w:rPr>
            </w:pPr>
            <w:r>
              <w:rPr>
                <w:rFonts w:asciiTheme="minorEastAsia" w:hAnsiTheme="minorEastAsia"/>
                <w:bCs/>
                <w:szCs w:val="21"/>
              </w:rPr>
              <w:t>④等照度图；</w:t>
            </w:r>
          </w:p>
          <w:p w14:paraId="4E153081">
            <w:pPr>
              <w:overflowPunct/>
              <w:bidi w:val="0"/>
              <w:jc w:val="left"/>
              <w:outlineLvl w:val="9"/>
              <w:rPr>
                <w:rFonts w:asciiTheme="minorEastAsia" w:hAnsiTheme="minorEastAsia"/>
                <w:bCs/>
                <w:szCs w:val="21"/>
              </w:rPr>
            </w:pPr>
            <w:r>
              <w:rPr>
                <w:rFonts w:asciiTheme="minorEastAsia" w:hAnsiTheme="minorEastAsia"/>
                <w:bCs/>
                <w:szCs w:val="21"/>
              </w:rPr>
              <w:t>⑤点照度图；</w:t>
            </w:r>
          </w:p>
          <w:p w14:paraId="5F037A3E">
            <w:pPr>
              <w:overflowPunct/>
              <w:bidi w:val="0"/>
              <w:jc w:val="left"/>
              <w:outlineLvl w:val="9"/>
              <w:rPr>
                <w:rFonts w:asciiTheme="minorEastAsia" w:hAnsiTheme="minorEastAsia"/>
                <w:bCs/>
                <w:szCs w:val="21"/>
              </w:rPr>
            </w:pPr>
            <w:r>
              <w:rPr>
                <w:rFonts w:asciiTheme="minorEastAsia" w:hAnsiTheme="minorEastAsia"/>
                <w:bCs/>
                <w:szCs w:val="21"/>
              </w:rPr>
              <w:t>⑥伪色图</w:t>
            </w:r>
            <w:r>
              <w:rPr>
                <w:rFonts w:hint="eastAsia" w:asciiTheme="minorEastAsia" w:hAnsiTheme="minorEastAsia"/>
                <w:bCs/>
                <w:szCs w:val="21"/>
              </w:rPr>
              <w:t xml:space="preserve">等进行综合打分； </w:t>
            </w:r>
          </w:p>
          <w:p w14:paraId="4672ADDB">
            <w:pPr>
              <w:overflowPunct/>
              <w:bidi w:val="0"/>
              <w:spacing w:line="0" w:lineRule="atLeast"/>
              <w:outlineLvl w:val="9"/>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以上六项方案每提供一小项内容适用于项目且无缺失的方案得</w:t>
            </w:r>
            <w:r>
              <w:rPr>
                <w:rFonts w:hint="eastAsia" w:ascii="宋体" w:hAnsi="宋体" w:cs="微软雅黑"/>
                <w:color w:val="000000" w:themeColor="text1"/>
                <w:szCs w:val="21"/>
                <w:highlight w:val="none"/>
                <w:lang w:val="en-US" w:eastAsia="zh-CN"/>
                <w14:textFill>
                  <w14:solidFill>
                    <w14:schemeClr w14:val="tx1"/>
                  </w14:solidFill>
                </w14:textFill>
              </w:rPr>
              <w:t>1</w:t>
            </w:r>
            <w:r>
              <w:rPr>
                <w:rFonts w:hint="eastAsia" w:ascii="宋体" w:hAnsi="宋体" w:eastAsia="宋体" w:cs="微软雅黑"/>
                <w:color w:val="000000" w:themeColor="text1"/>
                <w:szCs w:val="21"/>
                <w:highlight w:val="none"/>
                <w14:textFill>
                  <w14:solidFill>
                    <w14:schemeClr w14:val="tx1"/>
                  </w14:solidFill>
                </w14:textFill>
              </w:rPr>
              <w:t>分，</w:t>
            </w:r>
            <w:r>
              <w:rPr>
                <w:rFonts w:hint="eastAsia" w:ascii="宋体" w:hAnsi="宋体" w:cs="微软雅黑"/>
                <w:color w:val="000000" w:themeColor="text1"/>
                <w:szCs w:val="21"/>
                <w:highlight w:val="none"/>
                <w:lang w:eastAsia="zh-CN"/>
                <w14:textFill>
                  <w14:solidFill>
                    <w14:schemeClr w14:val="tx1"/>
                  </w14:solidFill>
                </w14:textFill>
              </w:rPr>
              <w:t>满分为</w:t>
            </w:r>
            <w:r>
              <w:rPr>
                <w:rFonts w:hint="eastAsia" w:ascii="宋体" w:hAnsi="宋体" w:cs="微软雅黑"/>
                <w:color w:val="000000" w:themeColor="text1"/>
                <w:szCs w:val="21"/>
                <w:highlight w:val="none"/>
                <w:lang w:val="en-US" w:eastAsia="zh-CN"/>
                <w14:textFill>
                  <w14:solidFill>
                    <w14:schemeClr w14:val="tx1"/>
                  </w14:solidFill>
                </w14:textFill>
              </w:rPr>
              <w:t>6分，</w:t>
            </w:r>
            <w:r>
              <w:rPr>
                <w:rFonts w:hint="eastAsia" w:asciiTheme="minorEastAsia" w:hAnsiTheme="minorEastAsia" w:eastAsiaTheme="minorEastAsia"/>
                <w:b w:val="0"/>
                <w:bCs w:val="0"/>
                <w:szCs w:val="21"/>
              </w:rPr>
              <w:t>每缺少一项内容扣</w:t>
            </w:r>
            <w:r>
              <w:rPr>
                <w:rFonts w:hint="eastAsia" w:asciiTheme="minorEastAsia" w:hAnsiTheme="minorEastAsia" w:eastAsiaTheme="minorEastAsia"/>
                <w:b w:val="0"/>
                <w:bCs w:val="0"/>
                <w:szCs w:val="21"/>
                <w:lang w:val="en-US" w:eastAsia="zh-CN"/>
              </w:rPr>
              <w:t>1</w:t>
            </w:r>
            <w:r>
              <w:rPr>
                <w:rFonts w:hint="eastAsia" w:asciiTheme="minorEastAsia" w:hAnsiTheme="minorEastAsia" w:eastAsiaTheme="minorEastAsia"/>
                <w:b w:val="0"/>
                <w:bCs w:val="0"/>
                <w:szCs w:val="21"/>
              </w:rPr>
              <w:t>分</w:t>
            </w:r>
            <w:r>
              <w:rPr>
                <w:rFonts w:hint="eastAsia" w:ascii="宋体" w:hAnsi="宋体" w:eastAsia="宋体" w:cs="微软雅黑"/>
                <w:b w:val="0"/>
                <w:bCs w:val="0"/>
                <w:color w:val="000000" w:themeColor="text1"/>
                <w:szCs w:val="21"/>
                <w:highlight w:val="none"/>
                <w:lang w:val="en-US" w:eastAsia="zh-CN"/>
                <w14:textFill>
                  <w14:solidFill>
                    <w14:schemeClr w14:val="tx1"/>
                  </w14:solidFill>
                </w14:textFill>
              </w:rPr>
              <w:t>，每有一处缺陷扣0.5分，</w:t>
            </w:r>
            <w:r>
              <w:rPr>
                <w:rFonts w:hint="eastAsia" w:asciiTheme="minorEastAsia" w:hAnsiTheme="minorEastAsia" w:eastAsiaTheme="minorEastAsia"/>
                <w:bCs/>
                <w:szCs w:val="21"/>
              </w:rPr>
              <w:t>扣完为止</w:t>
            </w:r>
            <w:r>
              <w:rPr>
                <w:rFonts w:hint="eastAsia" w:ascii="宋体" w:hAnsi="宋体" w:eastAsia="宋体" w:cs="微软雅黑"/>
                <w:b w:val="0"/>
                <w:bCs w:val="0"/>
                <w:color w:val="000000" w:themeColor="text1"/>
                <w:szCs w:val="21"/>
                <w:highlight w:val="none"/>
                <w14:textFill>
                  <w14:solidFill>
                    <w14:schemeClr w14:val="tx1"/>
                  </w14:solidFill>
                </w14:textFill>
              </w:rPr>
              <w:t>。</w:t>
            </w:r>
          </w:p>
          <w:p w14:paraId="34F64B5A">
            <w:pPr>
              <w:overflowPunct/>
              <w:bidi w:val="0"/>
              <w:spacing w:line="0" w:lineRule="atLeast"/>
              <w:outlineLvl w:val="9"/>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b w:val="0"/>
                <w:bCs w:val="0"/>
                <w:color w:val="000000" w:themeColor="text1"/>
                <w:szCs w:val="21"/>
                <w:highlight w:val="none"/>
                <w14:textFill>
                  <w14:solidFill>
                    <w14:schemeClr w14:val="tx1"/>
                  </w14:solidFill>
                </w14:textFill>
              </w:rPr>
              <w:t>（</w:t>
            </w:r>
            <w:r>
              <w:rPr>
                <w:rFonts w:hint="eastAsia" w:ascii="宋体" w:hAnsi="宋体" w:eastAsia="宋体" w:cs="微软雅黑"/>
                <w:b w:val="0"/>
                <w:bCs w:val="0"/>
                <w:color w:val="000000" w:themeColor="text1"/>
                <w:szCs w:val="21"/>
                <w:highlight w:val="none"/>
                <w:lang w:val="en-US" w:eastAsia="zh-CN"/>
                <w14:textFill>
                  <w14:solidFill>
                    <w14:schemeClr w14:val="tx1"/>
                  </w14:solidFill>
                </w14:textFill>
              </w:rPr>
              <w:t>缺陷</w:t>
            </w:r>
            <w:r>
              <w:rPr>
                <w:rFonts w:hint="eastAsia" w:ascii="宋体" w:hAnsi="宋体" w:eastAsia="宋体" w:cs="微软雅黑"/>
                <w:b w:val="0"/>
                <w:bCs w:val="0"/>
                <w:color w:val="000000" w:themeColor="text1"/>
                <w:szCs w:val="21"/>
                <w:highlight w:val="none"/>
                <w14:textFill>
                  <w14:solidFill>
                    <w14:schemeClr w14:val="tx1"/>
                  </w14:solidFill>
                </w14:textFill>
              </w:rPr>
              <w:t>是指：</w:t>
            </w:r>
            <w:r>
              <w:rPr>
                <w:rFonts w:hint="eastAsia" w:asciiTheme="minorEastAsia" w:hAnsiTheme="minorEastAsia" w:eastAsiaTheme="minorEastAsia"/>
                <w:b w:val="0"/>
                <w:bCs w:val="0"/>
                <w:szCs w:val="21"/>
              </w:rPr>
              <w:t>在不适用项目实际情况的情形、凭空编造、笼统描述、内容前后不一致、内容无法连贯、前后逻辑错误、涉及的规范及标准错误、地点区域错误、直接套用其他项目方案、与项目实施特点不匹配、不符合或不满足采购需求实际等等任意一种不利于项目实施情况</w:t>
            </w:r>
            <w:r>
              <w:rPr>
                <w:rFonts w:hint="eastAsia" w:asciiTheme="minorEastAsia" w:hAnsiTheme="minorEastAsia" w:eastAsiaTheme="minorEastAsia"/>
                <w:b w:val="0"/>
                <w:bCs w:val="0"/>
                <w:szCs w:val="21"/>
                <w:lang w:eastAsia="zh-CN"/>
              </w:rPr>
              <w:t>。</w:t>
            </w:r>
            <w:r>
              <w:rPr>
                <w:rFonts w:hint="eastAsia" w:ascii="宋体" w:hAnsi="宋体" w:eastAsia="宋体" w:cs="微软雅黑"/>
                <w:b w:val="0"/>
                <w:bCs w:val="0"/>
                <w:color w:val="000000" w:themeColor="text1"/>
                <w:szCs w:val="21"/>
                <w:highlight w:val="none"/>
                <w14:textFill>
                  <w14:solidFill>
                    <w14:schemeClr w14:val="tx1"/>
                  </w14:solidFill>
                </w14:textFill>
              </w:rPr>
              <w:t>）</w:t>
            </w:r>
          </w:p>
        </w:tc>
        <w:tc>
          <w:tcPr>
            <w:tcW w:w="657" w:type="dxa"/>
            <w:vAlign w:val="center"/>
          </w:tcPr>
          <w:p w14:paraId="46866230">
            <w:pPr>
              <w:overflowPunct/>
              <w:bidi w:val="0"/>
              <w:spacing w:line="0" w:lineRule="atLeast"/>
              <w:jc w:val="center"/>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0-</w:t>
            </w:r>
            <w:r>
              <w:rPr>
                <w:rFonts w:hint="eastAsia" w:ascii="宋体" w:hAnsi="宋体" w:cs="微软雅黑"/>
                <w:color w:val="000000" w:themeColor="text1"/>
                <w:szCs w:val="21"/>
                <w:highlight w:val="none"/>
                <w:lang w:val="en-US" w:eastAsia="zh-CN"/>
                <w14:textFill>
                  <w14:solidFill>
                    <w14:schemeClr w14:val="tx1"/>
                  </w14:solidFill>
                </w14:textFill>
              </w:rPr>
              <w:t>6</w:t>
            </w:r>
          </w:p>
        </w:tc>
      </w:tr>
      <w:tr w14:paraId="4F22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3" w:hRule="atLeast"/>
        </w:trPr>
        <w:tc>
          <w:tcPr>
            <w:tcW w:w="700" w:type="dxa"/>
            <w:vMerge w:val="continue"/>
            <w:vAlign w:val="center"/>
          </w:tcPr>
          <w:p w14:paraId="58DFA42A">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p>
        </w:tc>
        <w:tc>
          <w:tcPr>
            <w:tcW w:w="939" w:type="dxa"/>
            <w:vMerge w:val="continue"/>
            <w:vAlign w:val="center"/>
          </w:tcPr>
          <w:p w14:paraId="13267105">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p>
        </w:tc>
        <w:tc>
          <w:tcPr>
            <w:tcW w:w="1737" w:type="dxa"/>
            <w:vAlign w:val="center"/>
          </w:tcPr>
          <w:p w14:paraId="4F43FD60">
            <w:pPr>
              <w:overflowPunct/>
              <w:bidi w:val="0"/>
              <w:spacing w:line="0" w:lineRule="atLeast"/>
              <w:jc w:val="center"/>
              <w:outlineLvl w:val="9"/>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售后服务方案</w:t>
            </w:r>
          </w:p>
          <w:p w14:paraId="014C0DDC">
            <w:pPr>
              <w:overflowPunct/>
              <w:bidi w:val="0"/>
              <w:spacing w:line="0" w:lineRule="atLeast"/>
              <w:jc w:val="center"/>
              <w:outlineLvl w:val="9"/>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6</w:t>
            </w:r>
            <w:r>
              <w:rPr>
                <w:rFonts w:hint="eastAsia" w:ascii="宋体" w:hAnsi="宋体" w:eastAsia="宋体" w:cs="微软雅黑"/>
                <w:color w:val="000000" w:themeColor="text1"/>
                <w:szCs w:val="21"/>
                <w:highlight w:val="none"/>
                <w14:textFill>
                  <w14:solidFill>
                    <w14:schemeClr w14:val="tx1"/>
                  </w14:solidFill>
                </w14:textFill>
              </w:rPr>
              <w:t>分）</w:t>
            </w:r>
          </w:p>
        </w:tc>
        <w:tc>
          <w:tcPr>
            <w:tcW w:w="5606" w:type="dxa"/>
            <w:vAlign w:val="center"/>
          </w:tcPr>
          <w:p w14:paraId="3497BD13">
            <w:pPr>
              <w:overflowPunct/>
              <w:bidi w:val="0"/>
              <w:spacing w:line="0" w:lineRule="atLeast"/>
              <w:outlineLvl w:val="9"/>
              <w:rPr>
                <w:rFonts w:hint="eastAsia" w:ascii="宋体" w:hAnsi="宋体" w:eastAsia="宋体" w:cs="微软雅黑"/>
                <w:color w:val="000000" w:themeColor="text1"/>
                <w:szCs w:val="21"/>
                <w:highlight w:val="none"/>
                <w:lang w:val="zh-CN" w:eastAsia="zh-CN"/>
                <w14:textFill>
                  <w14:solidFill>
                    <w14:schemeClr w14:val="tx1"/>
                  </w14:solidFill>
                </w14:textFill>
              </w:rPr>
            </w:pPr>
            <w:r>
              <w:rPr>
                <w:rFonts w:hint="eastAsia" w:ascii="宋体" w:hAnsi="宋体" w:eastAsia="宋体" w:cs="微软雅黑"/>
                <w:color w:val="000000" w:themeColor="text1"/>
                <w:szCs w:val="21"/>
                <w:highlight w:val="none"/>
                <w:lang w:val="zh-CN" w:eastAsia="zh-CN"/>
                <w14:textFill>
                  <w14:solidFill>
                    <w14:schemeClr w14:val="tx1"/>
                  </w14:solidFill>
                </w14:textFill>
              </w:rPr>
              <w:t>供应商提供</w:t>
            </w:r>
            <w:r>
              <w:rPr>
                <w:rFonts w:hint="eastAsia" w:ascii="宋体" w:hAnsi="宋体" w:cs="微软雅黑"/>
                <w:color w:val="000000" w:themeColor="text1"/>
                <w:szCs w:val="21"/>
                <w:highlight w:val="none"/>
                <w:lang w:val="zh-CN" w:eastAsia="zh-CN"/>
                <w14:textFill>
                  <w14:solidFill>
                    <w14:schemeClr w14:val="tx1"/>
                  </w14:solidFill>
                </w14:textFill>
              </w:rPr>
              <w:t>售后服务方案</w:t>
            </w:r>
            <w:r>
              <w:rPr>
                <w:rFonts w:hint="eastAsia" w:ascii="宋体" w:hAnsi="宋体" w:eastAsia="宋体" w:cs="微软雅黑"/>
                <w:color w:val="000000" w:themeColor="text1"/>
                <w:szCs w:val="21"/>
                <w:highlight w:val="none"/>
                <w:lang w:val="zh-CN" w:eastAsia="zh-CN"/>
                <w14:textFill>
                  <w14:solidFill>
                    <w14:schemeClr w14:val="tx1"/>
                  </w14:solidFill>
                </w14:textFill>
              </w:rPr>
              <w:t>并承诺专人负责项目售后服务事宜</w:t>
            </w:r>
            <w:r>
              <w:rPr>
                <w:rFonts w:hint="eastAsia" w:asciiTheme="minorEastAsia" w:hAnsiTheme="minorEastAsia" w:eastAsiaTheme="minorEastAsia"/>
                <w:bCs/>
                <w:szCs w:val="21"/>
              </w:rPr>
              <w:t>进行综合打分</w:t>
            </w:r>
            <w:r>
              <w:rPr>
                <w:rFonts w:hint="eastAsia" w:ascii="宋体" w:hAnsi="宋体" w:eastAsia="宋体" w:cs="微软雅黑"/>
                <w:color w:val="000000" w:themeColor="text1"/>
                <w:szCs w:val="21"/>
                <w:highlight w:val="none"/>
                <w:lang w:val="zh-CN" w:eastAsia="zh-CN"/>
                <w14:textFill>
                  <w14:solidFill>
                    <w14:schemeClr w14:val="tx1"/>
                  </w14:solidFill>
                </w14:textFill>
              </w:rPr>
              <w:t>，</w:t>
            </w:r>
            <w:r>
              <w:rPr>
                <w:rFonts w:hint="eastAsia" w:ascii="宋体" w:hAnsi="宋体" w:eastAsia="宋体" w:cs="微软雅黑"/>
                <w:color w:val="000000" w:themeColor="text1"/>
                <w:szCs w:val="21"/>
                <w:highlight w:val="none"/>
                <w14:textFill>
                  <w14:solidFill>
                    <w14:schemeClr w14:val="tx1"/>
                  </w14:solidFill>
                </w14:textFill>
              </w:rPr>
              <w:t>包含但不限于以下几个方面</w:t>
            </w:r>
            <w:r>
              <w:rPr>
                <w:rFonts w:hint="eastAsia" w:ascii="宋体" w:hAnsi="宋体" w:eastAsia="宋体" w:cs="微软雅黑"/>
                <w:color w:val="000000" w:themeColor="text1"/>
                <w:szCs w:val="21"/>
                <w:highlight w:val="none"/>
                <w:lang w:eastAsia="zh-CN"/>
                <w14:textFill>
                  <w14:solidFill>
                    <w14:schemeClr w14:val="tx1"/>
                  </w14:solidFill>
                </w14:textFill>
              </w:rPr>
              <w:t>：</w:t>
            </w:r>
          </w:p>
          <w:p w14:paraId="384FAFDD">
            <w:pPr>
              <w:overflowPunct/>
              <w:bidi w:val="0"/>
              <w:jc w:val="left"/>
              <w:outlineLvl w:val="9"/>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①售后服务承诺，其中</w:t>
            </w:r>
            <w:r>
              <w:rPr>
                <w:rFonts w:hint="eastAsia" w:ascii="宋体" w:hAnsi="宋体" w:eastAsia="宋体" w:cs="微软雅黑"/>
                <w:color w:val="000000" w:themeColor="text1"/>
                <w:szCs w:val="21"/>
                <w:highlight w:val="none"/>
                <w:lang w:val="zh-CN" w:eastAsia="zh-CN"/>
                <w14:textFill>
                  <w14:solidFill>
                    <w14:schemeClr w14:val="tx1"/>
                  </w14:solidFill>
                </w14:textFill>
              </w:rPr>
              <w:t>能够实行“三包”服务（包保质量、包数量、包调换）</w:t>
            </w:r>
            <w:r>
              <w:rPr>
                <w:rFonts w:hint="eastAsia" w:asciiTheme="minorEastAsia" w:hAnsiTheme="minorEastAsia" w:eastAsiaTheme="minorEastAsia"/>
                <w:szCs w:val="21"/>
                <w:lang w:val="zh-CN"/>
              </w:rPr>
              <w:t>；</w:t>
            </w:r>
          </w:p>
          <w:p w14:paraId="0AEEA359">
            <w:pPr>
              <w:overflowPunct/>
              <w:bidi w:val="0"/>
              <w:jc w:val="left"/>
              <w:outlineLvl w:val="9"/>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②质保期内对维修、服务时间的响应情况；</w:t>
            </w:r>
          </w:p>
          <w:p w14:paraId="4F884DAA">
            <w:pPr>
              <w:overflowPunct/>
              <w:bidi w:val="0"/>
              <w:jc w:val="left"/>
              <w:outlineLvl w:val="9"/>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③售后服务体系机构科学性；</w:t>
            </w:r>
          </w:p>
          <w:p w14:paraId="7B19B5A6">
            <w:pPr>
              <w:overflowPunct/>
              <w:bidi w:val="0"/>
              <w:jc w:val="left"/>
              <w:outlineLvl w:val="9"/>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④服务及保障措施完善可行；</w:t>
            </w:r>
          </w:p>
          <w:p w14:paraId="2F453969">
            <w:pPr>
              <w:overflowPunct/>
              <w:bidi w:val="0"/>
              <w:jc w:val="left"/>
              <w:outlineLvl w:val="9"/>
              <w:rPr>
                <w:rFonts w:asciiTheme="minorEastAsia" w:hAnsiTheme="minorEastAsia" w:eastAsiaTheme="minorEastAsia"/>
                <w:szCs w:val="21"/>
                <w:lang w:val="zh-CN"/>
              </w:rPr>
            </w:pPr>
            <w:r>
              <w:rPr>
                <w:rFonts w:hint="eastAsia" w:ascii="宋体" w:hAnsi="宋体"/>
                <w:szCs w:val="21"/>
                <w:lang w:val="zh-CN"/>
              </w:rPr>
              <w:t>⑤培训方案</w:t>
            </w:r>
            <w:r>
              <w:rPr>
                <w:rFonts w:hint="eastAsia" w:asciiTheme="minorEastAsia" w:hAnsiTheme="minorEastAsia" w:eastAsiaTheme="minorEastAsia"/>
                <w:szCs w:val="21"/>
                <w:lang w:val="zh-CN"/>
              </w:rPr>
              <w:t>等进行综合打分；</w:t>
            </w:r>
            <w:r>
              <w:rPr>
                <w:rFonts w:asciiTheme="minorEastAsia" w:hAnsiTheme="minorEastAsia" w:eastAsiaTheme="minorEastAsia"/>
                <w:szCs w:val="21"/>
                <w:lang w:val="zh-CN"/>
              </w:rPr>
              <w:t xml:space="preserve"> </w:t>
            </w:r>
            <w:r>
              <w:rPr>
                <w:rFonts w:hint="eastAsia" w:asciiTheme="minorEastAsia" w:hAnsiTheme="minorEastAsia" w:eastAsiaTheme="minorEastAsia"/>
                <w:szCs w:val="21"/>
                <w:lang w:val="zh-CN"/>
              </w:rPr>
              <w:t xml:space="preserve"> </w:t>
            </w:r>
            <w:r>
              <w:rPr>
                <w:rFonts w:asciiTheme="minorEastAsia" w:hAnsiTheme="minorEastAsia" w:eastAsiaTheme="minorEastAsia"/>
                <w:szCs w:val="21"/>
                <w:lang w:val="zh-CN"/>
              </w:rPr>
              <w:t xml:space="preserve"> </w:t>
            </w:r>
          </w:p>
          <w:p w14:paraId="5475C8B9">
            <w:pPr>
              <w:overflowPunct/>
              <w:bidi w:val="0"/>
              <w:spacing w:line="0" w:lineRule="atLeast"/>
              <w:outlineLvl w:val="9"/>
              <w:rPr>
                <w:rFonts w:hint="eastAsia" w:ascii="宋体" w:hAnsi="宋体" w:eastAsia="宋体" w:cs="微软雅黑"/>
                <w:color w:val="000000" w:themeColor="text1"/>
                <w:szCs w:val="21"/>
                <w:highlight w:val="none"/>
                <w:lang w:val="zh-CN" w:eastAsia="zh-CN"/>
                <w14:textFill>
                  <w14:solidFill>
                    <w14:schemeClr w14:val="tx1"/>
                  </w14:solidFill>
                </w14:textFill>
              </w:rPr>
            </w:pPr>
            <w:r>
              <w:rPr>
                <w:rFonts w:hint="eastAsia" w:ascii="宋体" w:hAnsi="宋体" w:cs="微软雅黑"/>
                <w:color w:val="000000" w:themeColor="text1"/>
                <w:szCs w:val="21"/>
                <w:highlight w:val="none"/>
                <w:lang w:val="zh-CN" w:eastAsia="zh-CN"/>
                <w14:textFill>
                  <w14:solidFill>
                    <w14:schemeClr w14:val="tx1"/>
                  </w14:solidFill>
                </w14:textFill>
              </w:rPr>
              <w:t>⑥</w:t>
            </w:r>
            <w:r>
              <w:rPr>
                <w:rFonts w:hint="default" w:ascii="宋体" w:hAnsi="宋体" w:eastAsia="宋体" w:cs="微软雅黑"/>
                <w:color w:val="000000" w:themeColor="text1"/>
                <w:szCs w:val="21"/>
                <w:highlight w:val="none"/>
                <w:lang w:val="en-US" w:eastAsia="zh-CN"/>
                <w14:textFill>
                  <w14:solidFill>
                    <w14:schemeClr w14:val="tx1"/>
                  </w14:solidFill>
                </w14:textFill>
              </w:rPr>
              <w:t>售后服务流程</w:t>
            </w:r>
            <w:r>
              <w:rPr>
                <w:rFonts w:hint="eastAsia" w:ascii="宋体" w:hAnsi="宋体" w:eastAsia="宋体" w:cs="微软雅黑"/>
                <w:color w:val="000000" w:themeColor="text1"/>
                <w:szCs w:val="21"/>
                <w:highlight w:val="none"/>
                <w:lang w:val="en-US" w:eastAsia="zh-CN"/>
                <w14:textFill>
                  <w14:solidFill>
                    <w14:schemeClr w14:val="tx1"/>
                  </w14:solidFill>
                </w14:textFill>
              </w:rPr>
              <w:t>；</w:t>
            </w:r>
          </w:p>
          <w:p w14:paraId="50617F18">
            <w:pPr>
              <w:overflowPunct/>
              <w:bidi w:val="0"/>
              <w:spacing w:line="0" w:lineRule="atLeast"/>
              <w:outlineLvl w:val="9"/>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以上六项方案每提供一小项内容适用于项目且无缺失的方案得</w:t>
            </w:r>
            <w:r>
              <w:rPr>
                <w:rFonts w:hint="eastAsia" w:ascii="宋体" w:hAnsi="宋体" w:cs="微软雅黑"/>
                <w:color w:val="000000" w:themeColor="text1"/>
                <w:szCs w:val="21"/>
                <w:highlight w:val="none"/>
                <w:lang w:val="en-US" w:eastAsia="zh-CN"/>
                <w14:textFill>
                  <w14:solidFill>
                    <w14:schemeClr w14:val="tx1"/>
                  </w14:solidFill>
                </w14:textFill>
              </w:rPr>
              <w:t>1</w:t>
            </w:r>
            <w:r>
              <w:rPr>
                <w:rFonts w:hint="eastAsia" w:ascii="宋体" w:hAnsi="宋体" w:eastAsia="宋体" w:cs="微软雅黑"/>
                <w:color w:val="000000" w:themeColor="text1"/>
                <w:szCs w:val="21"/>
                <w:highlight w:val="none"/>
                <w14:textFill>
                  <w14:solidFill>
                    <w14:schemeClr w14:val="tx1"/>
                  </w14:solidFill>
                </w14:textFill>
              </w:rPr>
              <w:t>分，</w:t>
            </w:r>
            <w:r>
              <w:rPr>
                <w:rFonts w:hint="eastAsia" w:ascii="宋体" w:hAnsi="宋体" w:cs="微软雅黑"/>
                <w:color w:val="000000" w:themeColor="text1"/>
                <w:szCs w:val="21"/>
                <w:highlight w:val="none"/>
                <w:lang w:eastAsia="zh-CN"/>
                <w14:textFill>
                  <w14:solidFill>
                    <w14:schemeClr w14:val="tx1"/>
                  </w14:solidFill>
                </w14:textFill>
              </w:rPr>
              <w:t>满分为</w:t>
            </w:r>
            <w:r>
              <w:rPr>
                <w:rFonts w:hint="eastAsia" w:ascii="宋体" w:hAnsi="宋体" w:cs="微软雅黑"/>
                <w:color w:val="000000" w:themeColor="text1"/>
                <w:szCs w:val="21"/>
                <w:highlight w:val="none"/>
                <w:lang w:val="en-US" w:eastAsia="zh-CN"/>
                <w14:textFill>
                  <w14:solidFill>
                    <w14:schemeClr w14:val="tx1"/>
                  </w14:solidFill>
                </w14:textFill>
              </w:rPr>
              <w:t>6分，</w:t>
            </w:r>
            <w:r>
              <w:rPr>
                <w:rFonts w:hint="eastAsia" w:asciiTheme="minorEastAsia" w:hAnsiTheme="minorEastAsia" w:eastAsiaTheme="minorEastAsia"/>
                <w:b w:val="0"/>
                <w:bCs w:val="0"/>
                <w:szCs w:val="21"/>
              </w:rPr>
              <w:t>每缺少一项内容扣</w:t>
            </w:r>
            <w:r>
              <w:rPr>
                <w:rFonts w:hint="eastAsia" w:asciiTheme="minorEastAsia" w:hAnsiTheme="minorEastAsia" w:eastAsiaTheme="minorEastAsia"/>
                <w:b w:val="0"/>
                <w:bCs w:val="0"/>
                <w:szCs w:val="21"/>
                <w:lang w:val="en-US" w:eastAsia="zh-CN"/>
              </w:rPr>
              <w:t>1</w:t>
            </w:r>
            <w:r>
              <w:rPr>
                <w:rFonts w:hint="eastAsia" w:asciiTheme="minorEastAsia" w:hAnsiTheme="minorEastAsia" w:eastAsiaTheme="minorEastAsia"/>
                <w:b w:val="0"/>
                <w:bCs w:val="0"/>
                <w:szCs w:val="21"/>
              </w:rPr>
              <w:t>分</w:t>
            </w:r>
            <w:r>
              <w:rPr>
                <w:rFonts w:hint="eastAsia" w:ascii="宋体" w:hAnsi="宋体" w:eastAsia="宋体" w:cs="微软雅黑"/>
                <w:b w:val="0"/>
                <w:bCs w:val="0"/>
                <w:color w:val="000000" w:themeColor="text1"/>
                <w:szCs w:val="21"/>
                <w:highlight w:val="none"/>
                <w:lang w:val="en-US" w:eastAsia="zh-CN"/>
                <w14:textFill>
                  <w14:solidFill>
                    <w14:schemeClr w14:val="tx1"/>
                  </w14:solidFill>
                </w14:textFill>
              </w:rPr>
              <w:t>，每有一处缺陷扣0.5分，</w:t>
            </w:r>
            <w:r>
              <w:rPr>
                <w:rFonts w:hint="eastAsia" w:asciiTheme="minorEastAsia" w:hAnsiTheme="minorEastAsia" w:eastAsiaTheme="minorEastAsia"/>
                <w:bCs/>
                <w:szCs w:val="21"/>
              </w:rPr>
              <w:t>扣完为止</w:t>
            </w:r>
            <w:r>
              <w:rPr>
                <w:rFonts w:hint="eastAsia" w:ascii="宋体" w:hAnsi="宋体" w:eastAsia="宋体" w:cs="微软雅黑"/>
                <w:b w:val="0"/>
                <w:bCs w:val="0"/>
                <w:color w:val="000000" w:themeColor="text1"/>
                <w:szCs w:val="21"/>
                <w:highlight w:val="none"/>
                <w14:textFill>
                  <w14:solidFill>
                    <w14:schemeClr w14:val="tx1"/>
                  </w14:solidFill>
                </w14:textFill>
              </w:rPr>
              <w:t>。</w:t>
            </w:r>
          </w:p>
          <w:p w14:paraId="6F4884CC">
            <w:pPr>
              <w:overflowPunct/>
              <w:bidi w:val="0"/>
              <w:spacing w:line="0" w:lineRule="atLeast"/>
              <w:outlineLvl w:val="9"/>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b w:val="0"/>
                <w:bCs w:val="0"/>
                <w:color w:val="000000" w:themeColor="text1"/>
                <w:szCs w:val="21"/>
                <w:highlight w:val="none"/>
                <w14:textFill>
                  <w14:solidFill>
                    <w14:schemeClr w14:val="tx1"/>
                  </w14:solidFill>
                </w14:textFill>
              </w:rPr>
              <w:t>（</w:t>
            </w:r>
            <w:r>
              <w:rPr>
                <w:rFonts w:hint="eastAsia" w:ascii="宋体" w:hAnsi="宋体" w:eastAsia="宋体" w:cs="微软雅黑"/>
                <w:b w:val="0"/>
                <w:bCs w:val="0"/>
                <w:color w:val="000000" w:themeColor="text1"/>
                <w:szCs w:val="21"/>
                <w:highlight w:val="none"/>
                <w:lang w:val="en-US" w:eastAsia="zh-CN"/>
                <w14:textFill>
                  <w14:solidFill>
                    <w14:schemeClr w14:val="tx1"/>
                  </w14:solidFill>
                </w14:textFill>
              </w:rPr>
              <w:t>缺陷</w:t>
            </w:r>
            <w:r>
              <w:rPr>
                <w:rFonts w:hint="eastAsia" w:ascii="宋体" w:hAnsi="宋体" w:eastAsia="宋体" w:cs="微软雅黑"/>
                <w:b w:val="0"/>
                <w:bCs w:val="0"/>
                <w:color w:val="000000" w:themeColor="text1"/>
                <w:szCs w:val="21"/>
                <w:highlight w:val="none"/>
                <w14:textFill>
                  <w14:solidFill>
                    <w14:schemeClr w14:val="tx1"/>
                  </w14:solidFill>
                </w14:textFill>
              </w:rPr>
              <w:t>是指：</w:t>
            </w:r>
            <w:r>
              <w:rPr>
                <w:rFonts w:hint="eastAsia" w:asciiTheme="minorEastAsia" w:hAnsiTheme="minorEastAsia" w:eastAsiaTheme="minorEastAsia"/>
                <w:b w:val="0"/>
                <w:bCs w:val="0"/>
                <w:szCs w:val="21"/>
              </w:rPr>
              <w:t>在不适用项目实际情况的情形、凭空编造、笼统描述、内容前后不一致、内容无法连贯、前后逻辑错误、涉及的规范及标准错误、地点区域错误、直接套用其他项目方案、与项目实施特点不匹配、不符合或不满足采购需求实际等等任意一种不利于项目实施情况</w:t>
            </w:r>
            <w:r>
              <w:rPr>
                <w:rFonts w:hint="eastAsia" w:asciiTheme="minorEastAsia" w:hAnsiTheme="minorEastAsia" w:eastAsiaTheme="minorEastAsia"/>
                <w:b w:val="0"/>
                <w:bCs w:val="0"/>
                <w:szCs w:val="21"/>
                <w:lang w:eastAsia="zh-CN"/>
              </w:rPr>
              <w:t>。</w:t>
            </w:r>
            <w:r>
              <w:rPr>
                <w:rFonts w:hint="eastAsia" w:ascii="宋体" w:hAnsi="宋体" w:eastAsia="宋体" w:cs="微软雅黑"/>
                <w:b w:val="0"/>
                <w:bCs w:val="0"/>
                <w:color w:val="000000" w:themeColor="text1"/>
                <w:szCs w:val="21"/>
                <w:highlight w:val="none"/>
                <w14:textFill>
                  <w14:solidFill>
                    <w14:schemeClr w14:val="tx1"/>
                  </w14:solidFill>
                </w14:textFill>
              </w:rPr>
              <w:t>）</w:t>
            </w:r>
          </w:p>
        </w:tc>
        <w:tc>
          <w:tcPr>
            <w:tcW w:w="657" w:type="dxa"/>
            <w:vAlign w:val="center"/>
          </w:tcPr>
          <w:p w14:paraId="3CCC0508">
            <w:pPr>
              <w:overflowPunct/>
              <w:bidi w:val="0"/>
              <w:spacing w:line="0" w:lineRule="atLeast"/>
              <w:jc w:val="center"/>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0-</w:t>
            </w:r>
            <w:r>
              <w:rPr>
                <w:rFonts w:hint="eastAsia" w:ascii="宋体" w:hAnsi="宋体" w:cs="微软雅黑"/>
                <w:color w:val="000000" w:themeColor="text1"/>
                <w:szCs w:val="21"/>
                <w:highlight w:val="none"/>
                <w:lang w:val="en-US" w:eastAsia="zh-CN"/>
                <w14:textFill>
                  <w14:solidFill>
                    <w14:schemeClr w14:val="tx1"/>
                  </w14:solidFill>
                </w14:textFill>
              </w:rPr>
              <w:t>6</w:t>
            </w:r>
          </w:p>
        </w:tc>
      </w:tr>
      <w:tr w14:paraId="4176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3" w:hRule="atLeast"/>
        </w:trPr>
        <w:tc>
          <w:tcPr>
            <w:tcW w:w="700" w:type="dxa"/>
            <w:vMerge w:val="continue"/>
            <w:vAlign w:val="center"/>
          </w:tcPr>
          <w:p w14:paraId="1D551F49">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p>
        </w:tc>
        <w:tc>
          <w:tcPr>
            <w:tcW w:w="939" w:type="dxa"/>
            <w:vMerge w:val="continue"/>
            <w:vAlign w:val="center"/>
          </w:tcPr>
          <w:p w14:paraId="75A9049D">
            <w:pPr>
              <w:keepNext w:val="0"/>
              <w:keepLines w:val="0"/>
              <w:pageBreakBefore w:val="0"/>
              <w:widowControl w:val="0"/>
              <w:kinsoku/>
              <w:wordWrap/>
              <w:overflowPunct/>
              <w:topLinePunct w:val="0"/>
              <w:bidi w:val="0"/>
              <w:snapToGrid/>
              <w:spacing w:line="0" w:lineRule="atLeast"/>
              <w:jc w:val="center"/>
              <w:outlineLvl w:val="9"/>
              <w:rPr>
                <w:rFonts w:ascii="宋体" w:hAnsi="宋体" w:cs="微软雅黑"/>
                <w:color w:val="000000" w:themeColor="text1"/>
                <w:szCs w:val="21"/>
                <w:highlight w:val="none"/>
                <w14:textFill>
                  <w14:solidFill>
                    <w14:schemeClr w14:val="tx1"/>
                  </w14:solidFill>
                </w14:textFill>
              </w:rPr>
            </w:pPr>
          </w:p>
        </w:tc>
        <w:tc>
          <w:tcPr>
            <w:tcW w:w="1737" w:type="dxa"/>
            <w:vAlign w:val="center"/>
          </w:tcPr>
          <w:p w14:paraId="71F5989F">
            <w:pPr>
              <w:overflowPunct/>
              <w:bidi w:val="0"/>
              <w:spacing w:line="0" w:lineRule="atLeast"/>
              <w:jc w:val="center"/>
              <w:outlineLvl w:val="9"/>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调试使用方案</w:t>
            </w:r>
          </w:p>
          <w:p w14:paraId="333E3D60">
            <w:pPr>
              <w:overflowPunct/>
              <w:bidi w:val="0"/>
              <w:spacing w:line="0" w:lineRule="atLeast"/>
              <w:jc w:val="center"/>
              <w:outlineLvl w:val="9"/>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eastAsia="zh-CN"/>
                <w14:textFill>
                  <w14:solidFill>
                    <w14:schemeClr w14:val="tx1"/>
                  </w14:solidFill>
                </w14:textFill>
              </w:rPr>
              <w:t>（</w:t>
            </w:r>
            <w:r>
              <w:rPr>
                <w:rFonts w:hint="eastAsia" w:ascii="宋体" w:hAnsi="宋体" w:cs="微软雅黑"/>
                <w:color w:val="000000" w:themeColor="text1"/>
                <w:szCs w:val="21"/>
                <w:highlight w:val="none"/>
                <w:lang w:val="en-US" w:eastAsia="zh-CN"/>
                <w14:textFill>
                  <w14:solidFill>
                    <w14:schemeClr w14:val="tx1"/>
                  </w14:solidFill>
                </w14:textFill>
              </w:rPr>
              <w:t>6</w:t>
            </w:r>
            <w:r>
              <w:rPr>
                <w:rFonts w:hint="eastAsia" w:ascii="宋体" w:hAnsi="宋体" w:eastAsia="宋体" w:cs="微软雅黑"/>
                <w:color w:val="000000" w:themeColor="text1"/>
                <w:szCs w:val="21"/>
                <w:highlight w:val="none"/>
                <w:lang w:val="en-US" w:eastAsia="zh-CN"/>
                <w14:textFill>
                  <w14:solidFill>
                    <w14:schemeClr w14:val="tx1"/>
                  </w14:solidFill>
                </w14:textFill>
              </w:rPr>
              <w:t>分</w:t>
            </w:r>
            <w:r>
              <w:rPr>
                <w:rFonts w:hint="eastAsia" w:ascii="宋体" w:hAnsi="宋体" w:eastAsia="宋体" w:cs="微软雅黑"/>
                <w:color w:val="000000" w:themeColor="text1"/>
                <w:szCs w:val="21"/>
                <w:highlight w:val="none"/>
                <w:lang w:eastAsia="zh-CN"/>
                <w14:textFill>
                  <w14:solidFill>
                    <w14:schemeClr w14:val="tx1"/>
                  </w14:solidFill>
                </w14:textFill>
              </w:rPr>
              <w:t>）</w:t>
            </w:r>
          </w:p>
        </w:tc>
        <w:tc>
          <w:tcPr>
            <w:tcW w:w="5606" w:type="dxa"/>
            <w:vAlign w:val="center"/>
          </w:tcPr>
          <w:p w14:paraId="24577884">
            <w:pPr>
              <w:overflowPunct/>
              <w:bidi w:val="0"/>
              <w:spacing w:line="0" w:lineRule="atLeast"/>
              <w:outlineLvl w:val="9"/>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lang w:val="zh-CN" w:eastAsia="zh-CN"/>
                <w14:textFill>
                  <w14:solidFill>
                    <w14:schemeClr w14:val="tx1"/>
                  </w14:solidFill>
                </w14:textFill>
              </w:rPr>
              <w:t>供应商</w:t>
            </w:r>
            <w:r>
              <w:rPr>
                <w:rFonts w:hint="eastAsia" w:ascii="宋体" w:hAnsi="宋体" w:eastAsia="宋体" w:cs="微软雅黑"/>
                <w:color w:val="000000" w:themeColor="text1"/>
                <w:szCs w:val="21"/>
                <w:highlight w:val="none"/>
                <w14:textFill>
                  <w14:solidFill>
                    <w14:schemeClr w14:val="tx1"/>
                  </w14:solidFill>
                </w14:textFill>
              </w:rPr>
              <w:t>针对本项目提供调试使用方案</w:t>
            </w:r>
            <w:r>
              <w:rPr>
                <w:rFonts w:hint="eastAsia" w:asciiTheme="minorEastAsia" w:hAnsiTheme="minorEastAsia" w:eastAsiaTheme="minorEastAsia"/>
                <w:bCs/>
                <w:szCs w:val="21"/>
              </w:rPr>
              <w:t>进行综合打分</w:t>
            </w:r>
            <w:r>
              <w:rPr>
                <w:rFonts w:hint="eastAsia" w:asciiTheme="minorEastAsia" w:hAnsiTheme="minorEastAsia" w:eastAsiaTheme="minorEastAsia"/>
                <w:bCs/>
                <w:szCs w:val="21"/>
                <w:lang w:eastAsia="zh-CN"/>
              </w:rPr>
              <w:t>，</w:t>
            </w:r>
            <w:r>
              <w:rPr>
                <w:rFonts w:hint="eastAsia" w:ascii="宋体" w:hAnsi="宋体" w:eastAsia="宋体" w:cs="微软雅黑"/>
                <w:color w:val="000000" w:themeColor="text1"/>
                <w:szCs w:val="21"/>
                <w:highlight w:val="none"/>
                <w14:textFill>
                  <w14:solidFill>
                    <w14:schemeClr w14:val="tx1"/>
                  </w14:solidFill>
                </w14:textFill>
              </w:rPr>
              <w:t>包含但不限于以下几个方面：</w:t>
            </w:r>
          </w:p>
          <w:p w14:paraId="4AB15F75">
            <w:pPr>
              <w:overflowPunct/>
              <w:bidi w:val="0"/>
              <w:spacing w:line="0" w:lineRule="atLeast"/>
              <w:outlineLvl w:val="9"/>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1.</w:t>
            </w:r>
            <w:r>
              <w:rPr>
                <w:rFonts w:hint="eastAsia" w:ascii="宋体" w:hAnsi="宋体" w:eastAsia="宋体" w:cs="微软雅黑"/>
                <w:color w:val="000000" w:themeColor="text1"/>
                <w:szCs w:val="21"/>
                <w:highlight w:val="none"/>
                <w14:textFill>
                  <w14:solidFill>
                    <w14:schemeClr w14:val="tx1"/>
                  </w14:solidFill>
                </w14:textFill>
              </w:rPr>
              <w:t>验收方案；</w:t>
            </w:r>
          </w:p>
          <w:p w14:paraId="19F2BFDA">
            <w:pPr>
              <w:overflowPunct/>
              <w:bidi w:val="0"/>
              <w:spacing w:line="0" w:lineRule="atLeast"/>
              <w:outlineLvl w:val="9"/>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2.产品使用方案</w:t>
            </w:r>
            <w:r>
              <w:rPr>
                <w:rFonts w:hint="eastAsia" w:ascii="宋体" w:hAnsi="宋体" w:cs="微软雅黑"/>
                <w:color w:val="000000" w:themeColor="text1"/>
                <w:szCs w:val="21"/>
                <w:highlight w:val="none"/>
                <w:lang w:val="en-US" w:eastAsia="zh-CN"/>
                <w14:textFill>
                  <w14:solidFill>
                    <w14:schemeClr w14:val="tx1"/>
                  </w14:solidFill>
                </w14:textFill>
              </w:rPr>
              <w:t>及</w:t>
            </w:r>
            <w:r>
              <w:rPr>
                <w:rFonts w:hint="eastAsia" w:ascii="宋体" w:hAnsi="宋体" w:eastAsia="宋体" w:cs="微软雅黑"/>
                <w:color w:val="000000" w:themeColor="text1"/>
                <w:szCs w:val="21"/>
                <w:highlight w:val="none"/>
                <w:lang w:val="en-US" w:eastAsia="zh-CN"/>
                <w14:textFill>
                  <w14:solidFill>
                    <w14:schemeClr w14:val="tx1"/>
                  </w14:solidFill>
                </w14:textFill>
              </w:rPr>
              <w:t>设备试运转方案；</w:t>
            </w:r>
          </w:p>
          <w:p w14:paraId="2EBDE2B6">
            <w:pPr>
              <w:overflowPunct/>
              <w:bidi w:val="0"/>
              <w:spacing w:line="0" w:lineRule="atLeast"/>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cs="微软雅黑"/>
                <w:color w:val="000000" w:themeColor="text1"/>
                <w:szCs w:val="21"/>
                <w:highlight w:val="none"/>
                <w:lang w:val="en-US" w:eastAsia="zh-CN"/>
                <w14:textFill>
                  <w14:solidFill>
                    <w14:schemeClr w14:val="tx1"/>
                  </w14:solidFill>
                </w14:textFill>
              </w:rPr>
              <w:t>3.</w:t>
            </w:r>
            <w:r>
              <w:rPr>
                <w:rFonts w:hint="eastAsia" w:ascii="宋体" w:hAnsi="宋体" w:eastAsia="宋体" w:cs="微软雅黑"/>
                <w:color w:val="000000" w:themeColor="text1"/>
                <w:szCs w:val="21"/>
                <w:highlight w:val="none"/>
                <w14:textFill>
                  <w14:solidFill>
                    <w14:schemeClr w14:val="tx1"/>
                  </w14:solidFill>
                </w14:textFill>
              </w:rPr>
              <w:t>调试</w:t>
            </w:r>
            <w:r>
              <w:rPr>
                <w:rFonts w:hint="eastAsia" w:ascii="宋体" w:hAnsi="宋体" w:cs="微软雅黑"/>
                <w:color w:val="000000" w:themeColor="text1"/>
                <w:szCs w:val="21"/>
                <w:highlight w:val="none"/>
                <w:lang w:val="en-US" w:eastAsia="zh-CN"/>
                <w14:textFill>
                  <w14:solidFill>
                    <w14:schemeClr w14:val="tx1"/>
                  </w14:solidFill>
                </w14:textFill>
              </w:rPr>
              <w:t>人员的安排；</w:t>
            </w:r>
          </w:p>
          <w:p w14:paraId="0FA578E5">
            <w:pPr>
              <w:overflowPunct/>
              <w:bidi w:val="0"/>
              <w:spacing w:line="0" w:lineRule="atLeast"/>
              <w:outlineLvl w:val="9"/>
              <w:rPr>
                <w:rFonts w:hint="eastAsia" w:ascii="宋体" w:hAnsi="宋体" w:eastAsia="宋体" w:cs="微软雅黑"/>
                <w:color w:val="000000" w:themeColor="text1"/>
                <w:szCs w:val="21"/>
                <w:highlight w:val="none"/>
                <w14:textFill>
                  <w14:solidFill>
                    <w14:schemeClr w14:val="tx1"/>
                  </w14:solidFill>
                </w14:textFill>
              </w:rPr>
            </w:pPr>
            <w:r>
              <w:rPr>
                <w:rFonts w:hint="eastAsia" w:ascii="宋体" w:hAnsi="宋体" w:eastAsia="宋体" w:cs="微软雅黑"/>
                <w:color w:val="000000" w:themeColor="text1"/>
                <w:szCs w:val="21"/>
                <w:highlight w:val="none"/>
                <w14:textFill>
                  <w14:solidFill>
                    <w14:schemeClr w14:val="tx1"/>
                  </w14:solidFill>
                </w14:textFill>
              </w:rPr>
              <w:t>以上</w:t>
            </w:r>
            <w:r>
              <w:rPr>
                <w:rFonts w:hint="eastAsia" w:ascii="宋体" w:hAnsi="宋体" w:eastAsia="宋体" w:cs="微软雅黑"/>
                <w:color w:val="000000" w:themeColor="text1"/>
                <w:szCs w:val="21"/>
                <w:highlight w:val="none"/>
                <w:lang w:eastAsia="zh-CN"/>
                <w14:textFill>
                  <w14:solidFill>
                    <w14:schemeClr w14:val="tx1"/>
                  </w14:solidFill>
                </w14:textFill>
              </w:rPr>
              <w:t>三</w:t>
            </w:r>
            <w:r>
              <w:rPr>
                <w:rFonts w:hint="eastAsia" w:ascii="宋体" w:hAnsi="宋体" w:eastAsia="宋体" w:cs="微软雅黑"/>
                <w:color w:val="000000" w:themeColor="text1"/>
                <w:szCs w:val="21"/>
                <w:highlight w:val="none"/>
                <w14:textFill>
                  <w14:solidFill>
                    <w14:schemeClr w14:val="tx1"/>
                  </w14:solidFill>
                </w14:textFill>
              </w:rPr>
              <w:t>项方案每提供一小项内容适用于项目且无缺失的方案得</w:t>
            </w:r>
            <w:r>
              <w:rPr>
                <w:rFonts w:hint="eastAsia" w:ascii="宋体" w:hAnsi="宋体" w:cs="微软雅黑"/>
                <w:color w:val="000000" w:themeColor="text1"/>
                <w:szCs w:val="21"/>
                <w:highlight w:val="none"/>
                <w:lang w:val="en-US" w:eastAsia="zh-CN"/>
                <w14:textFill>
                  <w14:solidFill>
                    <w14:schemeClr w14:val="tx1"/>
                  </w14:solidFill>
                </w14:textFill>
              </w:rPr>
              <w:t>2</w:t>
            </w:r>
            <w:r>
              <w:rPr>
                <w:rFonts w:hint="eastAsia" w:ascii="宋体" w:hAnsi="宋体" w:eastAsia="宋体" w:cs="微软雅黑"/>
                <w:color w:val="000000" w:themeColor="text1"/>
                <w:szCs w:val="21"/>
                <w:highlight w:val="none"/>
                <w14:textFill>
                  <w14:solidFill>
                    <w14:schemeClr w14:val="tx1"/>
                  </w14:solidFill>
                </w14:textFill>
              </w:rPr>
              <w:t>分，</w:t>
            </w:r>
            <w:r>
              <w:rPr>
                <w:rFonts w:hint="eastAsia" w:ascii="宋体" w:hAnsi="宋体" w:cs="微软雅黑"/>
                <w:color w:val="000000" w:themeColor="text1"/>
                <w:szCs w:val="21"/>
                <w:highlight w:val="none"/>
                <w:lang w:eastAsia="zh-CN"/>
                <w14:textFill>
                  <w14:solidFill>
                    <w14:schemeClr w14:val="tx1"/>
                  </w14:solidFill>
                </w14:textFill>
              </w:rPr>
              <w:t>满分为</w:t>
            </w:r>
            <w:r>
              <w:rPr>
                <w:rFonts w:hint="eastAsia" w:ascii="宋体" w:hAnsi="宋体" w:cs="微软雅黑"/>
                <w:color w:val="000000" w:themeColor="text1"/>
                <w:szCs w:val="21"/>
                <w:highlight w:val="none"/>
                <w:lang w:val="en-US" w:eastAsia="zh-CN"/>
                <w14:textFill>
                  <w14:solidFill>
                    <w14:schemeClr w14:val="tx1"/>
                  </w14:solidFill>
                </w14:textFill>
              </w:rPr>
              <w:t>6分，</w:t>
            </w:r>
            <w:r>
              <w:rPr>
                <w:rFonts w:hint="eastAsia" w:asciiTheme="minorEastAsia" w:hAnsiTheme="minorEastAsia" w:eastAsiaTheme="minorEastAsia"/>
                <w:b w:val="0"/>
                <w:bCs w:val="0"/>
                <w:szCs w:val="21"/>
              </w:rPr>
              <w:t>每缺少一项内容扣</w:t>
            </w:r>
            <w:r>
              <w:rPr>
                <w:rFonts w:hint="eastAsia" w:asciiTheme="minorEastAsia" w:hAnsiTheme="minorEastAsia" w:eastAsiaTheme="minorEastAsia"/>
                <w:b w:val="0"/>
                <w:bCs w:val="0"/>
                <w:szCs w:val="21"/>
                <w:lang w:val="en-US" w:eastAsia="zh-CN"/>
              </w:rPr>
              <w:t>2</w:t>
            </w:r>
            <w:r>
              <w:rPr>
                <w:rFonts w:hint="eastAsia" w:asciiTheme="minorEastAsia" w:hAnsiTheme="minorEastAsia" w:eastAsiaTheme="minorEastAsia"/>
                <w:b w:val="0"/>
                <w:bCs w:val="0"/>
                <w:szCs w:val="21"/>
              </w:rPr>
              <w:t>分</w:t>
            </w:r>
            <w:r>
              <w:rPr>
                <w:rFonts w:hint="eastAsia" w:ascii="宋体" w:hAnsi="宋体" w:eastAsia="宋体" w:cs="微软雅黑"/>
                <w:b w:val="0"/>
                <w:bCs w:val="0"/>
                <w:color w:val="000000" w:themeColor="text1"/>
                <w:szCs w:val="21"/>
                <w:highlight w:val="none"/>
                <w:lang w:val="en-US" w:eastAsia="zh-CN"/>
                <w14:textFill>
                  <w14:solidFill>
                    <w14:schemeClr w14:val="tx1"/>
                  </w14:solidFill>
                </w14:textFill>
              </w:rPr>
              <w:t>，每有一处缺陷扣0.5分，</w:t>
            </w:r>
            <w:r>
              <w:rPr>
                <w:rFonts w:hint="eastAsia" w:asciiTheme="minorEastAsia" w:hAnsiTheme="minorEastAsia" w:eastAsiaTheme="minorEastAsia"/>
                <w:bCs/>
                <w:szCs w:val="21"/>
              </w:rPr>
              <w:t>扣完为止</w:t>
            </w:r>
            <w:r>
              <w:rPr>
                <w:rFonts w:hint="eastAsia" w:ascii="宋体" w:hAnsi="宋体" w:eastAsia="宋体" w:cs="微软雅黑"/>
                <w:b w:val="0"/>
                <w:bCs w:val="0"/>
                <w:color w:val="000000" w:themeColor="text1"/>
                <w:szCs w:val="21"/>
                <w:highlight w:val="none"/>
                <w14:textFill>
                  <w14:solidFill>
                    <w14:schemeClr w14:val="tx1"/>
                  </w14:solidFill>
                </w14:textFill>
              </w:rPr>
              <w:t>。</w:t>
            </w:r>
          </w:p>
          <w:p w14:paraId="2B550B10">
            <w:pPr>
              <w:overflowPunct/>
              <w:bidi w:val="0"/>
              <w:spacing w:line="0" w:lineRule="atLeast"/>
              <w:outlineLvl w:val="9"/>
              <w:rPr>
                <w:rFonts w:hint="eastAsia"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b w:val="0"/>
                <w:bCs w:val="0"/>
                <w:color w:val="000000" w:themeColor="text1"/>
                <w:szCs w:val="21"/>
                <w:highlight w:val="none"/>
                <w14:textFill>
                  <w14:solidFill>
                    <w14:schemeClr w14:val="tx1"/>
                  </w14:solidFill>
                </w14:textFill>
              </w:rPr>
              <w:t>（</w:t>
            </w:r>
            <w:r>
              <w:rPr>
                <w:rFonts w:hint="eastAsia" w:ascii="宋体" w:hAnsi="宋体" w:eastAsia="宋体" w:cs="微软雅黑"/>
                <w:b w:val="0"/>
                <w:bCs w:val="0"/>
                <w:color w:val="000000" w:themeColor="text1"/>
                <w:szCs w:val="21"/>
                <w:highlight w:val="none"/>
                <w:lang w:val="en-US" w:eastAsia="zh-CN"/>
                <w14:textFill>
                  <w14:solidFill>
                    <w14:schemeClr w14:val="tx1"/>
                  </w14:solidFill>
                </w14:textFill>
              </w:rPr>
              <w:t>缺陷</w:t>
            </w:r>
            <w:r>
              <w:rPr>
                <w:rFonts w:hint="eastAsia" w:ascii="宋体" w:hAnsi="宋体" w:eastAsia="宋体" w:cs="微软雅黑"/>
                <w:b w:val="0"/>
                <w:bCs w:val="0"/>
                <w:color w:val="000000" w:themeColor="text1"/>
                <w:szCs w:val="21"/>
                <w:highlight w:val="none"/>
                <w14:textFill>
                  <w14:solidFill>
                    <w14:schemeClr w14:val="tx1"/>
                  </w14:solidFill>
                </w14:textFill>
              </w:rPr>
              <w:t>是指：</w:t>
            </w:r>
            <w:r>
              <w:rPr>
                <w:rFonts w:hint="eastAsia" w:asciiTheme="minorEastAsia" w:hAnsiTheme="minorEastAsia" w:eastAsiaTheme="minorEastAsia"/>
                <w:b w:val="0"/>
                <w:bCs w:val="0"/>
                <w:szCs w:val="21"/>
              </w:rPr>
              <w:t>在不适用项目实际情况的情形、凭空编造、笼统描述、内容前后不一致、内容无法连贯、前后逻辑错误、涉及的规范及标准错误、地点区域错误、直接套用其他项目方案、与项目实施特点不匹配、不符合或不满足采购需求实际等等任意一种不利于项目实施情况</w:t>
            </w:r>
            <w:r>
              <w:rPr>
                <w:rFonts w:hint="eastAsia" w:asciiTheme="minorEastAsia" w:hAnsiTheme="minorEastAsia" w:eastAsiaTheme="minorEastAsia"/>
                <w:b w:val="0"/>
                <w:bCs w:val="0"/>
                <w:szCs w:val="21"/>
                <w:lang w:eastAsia="zh-CN"/>
              </w:rPr>
              <w:t>。</w:t>
            </w:r>
            <w:r>
              <w:rPr>
                <w:rFonts w:hint="eastAsia" w:ascii="宋体" w:hAnsi="宋体" w:eastAsia="宋体" w:cs="微软雅黑"/>
                <w:b w:val="0"/>
                <w:bCs w:val="0"/>
                <w:color w:val="000000" w:themeColor="text1"/>
                <w:szCs w:val="21"/>
                <w:highlight w:val="none"/>
                <w14:textFill>
                  <w14:solidFill>
                    <w14:schemeClr w14:val="tx1"/>
                  </w14:solidFill>
                </w14:textFill>
              </w:rPr>
              <w:t>）</w:t>
            </w:r>
          </w:p>
        </w:tc>
        <w:tc>
          <w:tcPr>
            <w:tcW w:w="657" w:type="dxa"/>
            <w:vAlign w:val="center"/>
          </w:tcPr>
          <w:p w14:paraId="73A3EF00">
            <w:pPr>
              <w:overflowPunct/>
              <w:bidi w:val="0"/>
              <w:spacing w:line="0" w:lineRule="atLeast"/>
              <w:jc w:val="center"/>
              <w:outlineLvl w:val="9"/>
              <w:rPr>
                <w:rFonts w:hint="default" w:ascii="宋体" w:hAnsi="宋体" w:eastAsia="宋体" w:cs="微软雅黑"/>
                <w:color w:val="000000" w:themeColor="text1"/>
                <w:szCs w:val="21"/>
                <w:highlight w:val="none"/>
                <w:lang w:val="en-US" w:eastAsia="zh-CN"/>
                <w14:textFill>
                  <w14:solidFill>
                    <w14:schemeClr w14:val="tx1"/>
                  </w14:solidFill>
                </w14:textFill>
              </w:rPr>
            </w:pPr>
            <w:r>
              <w:rPr>
                <w:rFonts w:hint="eastAsia" w:ascii="宋体" w:hAnsi="宋体" w:eastAsia="宋体" w:cs="微软雅黑"/>
                <w:color w:val="000000" w:themeColor="text1"/>
                <w:szCs w:val="21"/>
                <w:highlight w:val="none"/>
                <w:lang w:val="en-US" w:eastAsia="zh-CN"/>
                <w14:textFill>
                  <w14:solidFill>
                    <w14:schemeClr w14:val="tx1"/>
                  </w14:solidFill>
                </w14:textFill>
              </w:rPr>
              <w:t>0-</w:t>
            </w:r>
            <w:r>
              <w:rPr>
                <w:rFonts w:hint="eastAsia" w:ascii="宋体" w:hAnsi="宋体" w:cs="微软雅黑"/>
                <w:color w:val="000000" w:themeColor="text1"/>
                <w:szCs w:val="21"/>
                <w:highlight w:val="none"/>
                <w:lang w:val="en-US" w:eastAsia="zh-CN"/>
                <w14:textFill>
                  <w14:solidFill>
                    <w14:schemeClr w14:val="tx1"/>
                  </w14:solidFill>
                </w14:textFill>
              </w:rPr>
              <w:t>6</w:t>
            </w:r>
          </w:p>
        </w:tc>
      </w:tr>
    </w:tbl>
    <w:p w14:paraId="7A71BD82">
      <w:pPr>
        <w:overflowPunct/>
        <w:bidi w:val="0"/>
        <w:outlineLvl w:val="9"/>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br w:type="page"/>
      </w:r>
    </w:p>
    <w:p w14:paraId="0275EF0C">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综合评估表：</w:t>
      </w:r>
    </w:p>
    <w:p w14:paraId="7FEA2CD0">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 xml:space="preserve"> (一) 说明</w:t>
      </w:r>
    </w:p>
    <w:p w14:paraId="239FCFD2">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1、 按最终得分由高到低的顺序推荐预中标候选人3名，最终推荐排名第1名的为中标候选人。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服务评分由高到低顺序排列；得分、投标报价（指投标报价经算术修正和落实政府采购政策需进行的价格扣除后的投标价格）且技术服务评分相同的，按所投产品列入政府优先采购产品类别认证证书多少顺序排列；以上均相同的，按解密投标文件时间先后顺序（以递交投标文件登记表为准）排列。分包采购的，每包评标结果按上述规则排列。提供相同品牌产品且通过资格审查、符合性审查的不同 投标人参加同一合同项下投标的，按一家投标人计算，评审后得分最高的同品牌投标人获得中标人推荐资格；评审得分相同的，由评标委员会采取随机抽取方式确定，其他同品牌投标人不作为中标候选人。</w:t>
      </w:r>
    </w:p>
    <w:p w14:paraId="6C233898">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pPr>
      <w:r>
        <w:rPr>
          <w:rFonts w:hint="eastAsia" w:ascii="宋体" w:hAnsi="宋体" w:cs="宋体"/>
          <w:b/>
          <w:bCs/>
          <w:caps w:val="0"/>
          <w:color w:val="000000" w:themeColor="text1"/>
          <w:kern w:val="2"/>
          <w:sz w:val="21"/>
          <w:szCs w:val="21"/>
          <w:highlight w:val="none"/>
          <w:vertAlign w:val="baseline"/>
          <w:lang w:val="en-US" w:eastAsia="zh-CN" w:bidi="ar"/>
          <w14:textFill>
            <w14:solidFill>
              <w14:schemeClr w14:val="tx1"/>
            </w14:solidFill>
          </w14:textFill>
        </w:rPr>
        <w:t>本项目</w:t>
      </w: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核心产品</w:t>
      </w:r>
      <w:r>
        <w:rPr>
          <w:rFonts w:hint="eastAsia" w:ascii="宋体" w:hAnsi="宋体" w:cs="宋体"/>
          <w:b/>
          <w:bCs/>
          <w:caps w:val="0"/>
          <w:color w:val="000000" w:themeColor="text1"/>
          <w:kern w:val="2"/>
          <w:sz w:val="21"/>
          <w:szCs w:val="21"/>
          <w:highlight w:val="none"/>
          <w:vertAlign w:val="baseline"/>
          <w:lang w:val="en-US" w:eastAsia="zh-CN" w:bidi="ar"/>
          <w14:textFill>
            <w14:solidFill>
              <w14:schemeClr w14:val="tx1"/>
            </w14:solidFill>
          </w14:textFill>
        </w:rPr>
        <w:t>：</w:t>
      </w: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智能LED教室灯。</w:t>
      </w:r>
    </w:p>
    <w:p w14:paraId="6A54EC09">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2、本办法未列内容，不作为本次评审依据。</w:t>
      </w:r>
    </w:p>
    <w:p w14:paraId="36037127">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val="0"/>
          <w:bCs w:val="0"/>
          <w:caps w:val="0"/>
          <w:color w:val="000000" w:themeColor="text1"/>
          <w:kern w:val="2"/>
          <w:sz w:val="21"/>
          <w:szCs w:val="21"/>
          <w:highlight w:val="none"/>
          <w:vertAlign w:val="baseline"/>
          <w:lang w:val="en-US" w:eastAsia="zh-CN" w:bidi="ar"/>
          <w14:textFill>
            <w14:solidFill>
              <w14:schemeClr w14:val="tx1"/>
            </w14:solidFill>
          </w14:textFill>
        </w:rPr>
        <w:t>纳入节能产品政府采购清单的的投标产品及纳入环境标志产品政府采购品目清单的投标产品的证明材料：</w:t>
      </w:r>
    </w:p>
    <w:tbl>
      <w:tblPr>
        <w:tblStyle w:val="38"/>
        <w:tblW w:w="4997" w:type="pct"/>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806"/>
        <w:gridCol w:w="806"/>
        <w:gridCol w:w="3019"/>
        <w:gridCol w:w="954"/>
        <w:gridCol w:w="3314"/>
        <w:gridCol w:w="955"/>
      </w:tblGrid>
      <w:tr w14:paraId="105222F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110"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A1958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项目名称</w:t>
            </w:r>
          </w:p>
        </w:tc>
        <w:tc>
          <w:tcPr>
            <w:tcW w:w="645" w:type="pct"/>
            <w:tcBorders>
              <w:top w:val="single" w:color="auto" w:sz="4" w:space="0"/>
              <w:left w:val="nil"/>
              <w:bottom w:val="single" w:color="auto" w:sz="4" w:space="0"/>
              <w:right w:val="single" w:color="auto" w:sz="4" w:space="0"/>
            </w:tcBorders>
            <w:shd w:val="clear" w:color="auto" w:fill="auto"/>
            <w:noWrap/>
            <w:vAlign w:val="center"/>
          </w:tcPr>
          <w:p w14:paraId="3763F99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项目编码</w:t>
            </w:r>
          </w:p>
        </w:tc>
        <w:tc>
          <w:tcPr>
            <w:tcW w:w="1004" w:type="pct"/>
            <w:tcBorders>
              <w:top w:val="single" w:color="auto" w:sz="4" w:space="0"/>
              <w:left w:val="nil"/>
              <w:bottom w:val="single" w:color="auto" w:sz="4" w:space="0"/>
              <w:right w:val="single" w:color="auto" w:sz="4" w:space="0"/>
            </w:tcBorders>
            <w:shd w:val="clear" w:color="auto" w:fill="auto"/>
            <w:noWrap/>
            <w:vAlign w:val="center"/>
          </w:tcPr>
          <w:p w14:paraId="5600F1C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是否纳入节能产品政府采购清单的投标产品</w:t>
            </w:r>
          </w:p>
        </w:tc>
        <w:tc>
          <w:tcPr>
            <w:tcW w:w="589" w:type="pct"/>
            <w:tcBorders>
              <w:top w:val="single" w:color="auto" w:sz="4" w:space="0"/>
              <w:left w:val="nil"/>
              <w:bottom w:val="single" w:color="auto" w:sz="4" w:space="0"/>
              <w:right w:val="single" w:color="auto" w:sz="4" w:space="0"/>
            </w:tcBorders>
            <w:shd w:val="clear" w:color="auto" w:fill="auto"/>
            <w:noWrap/>
            <w:vAlign w:val="center"/>
          </w:tcPr>
          <w:p w14:paraId="7B2A53D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金额（元）</w:t>
            </w:r>
          </w:p>
        </w:tc>
        <w:tc>
          <w:tcPr>
            <w:tcW w:w="1265" w:type="pct"/>
            <w:tcBorders>
              <w:top w:val="single" w:color="auto" w:sz="4" w:space="0"/>
              <w:left w:val="nil"/>
              <w:bottom w:val="single" w:color="auto" w:sz="4" w:space="0"/>
              <w:right w:val="single" w:color="auto" w:sz="4" w:space="0"/>
            </w:tcBorders>
            <w:shd w:val="clear" w:color="auto" w:fill="auto"/>
            <w:noWrap/>
            <w:vAlign w:val="center"/>
          </w:tcPr>
          <w:p w14:paraId="41CFAAD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是否环境标志产品政府采购品目清单的投标产品</w:t>
            </w:r>
          </w:p>
        </w:tc>
        <w:tc>
          <w:tcPr>
            <w:tcW w:w="666" w:type="pct"/>
            <w:tcBorders>
              <w:top w:val="single" w:color="auto" w:sz="4" w:space="0"/>
              <w:left w:val="nil"/>
              <w:bottom w:val="single" w:color="auto" w:sz="4" w:space="0"/>
              <w:right w:val="single" w:color="auto" w:sz="4" w:space="0"/>
            </w:tcBorders>
            <w:shd w:val="clear" w:color="auto" w:fill="auto"/>
            <w:noWrap/>
            <w:vAlign w:val="center"/>
          </w:tcPr>
          <w:p w14:paraId="3DC335D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金额（元）</w:t>
            </w:r>
          </w:p>
        </w:tc>
      </w:tr>
      <w:tr w14:paraId="10B36D2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0"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top"/>
          </w:tcPr>
          <w:p w14:paraId="2DF1262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645" w:type="pct"/>
            <w:tcBorders>
              <w:top w:val="single" w:color="auto" w:sz="4" w:space="0"/>
              <w:left w:val="nil"/>
              <w:bottom w:val="single" w:color="auto" w:sz="4" w:space="0"/>
              <w:right w:val="single" w:color="auto" w:sz="4" w:space="0"/>
            </w:tcBorders>
            <w:shd w:val="clear" w:color="auto" w:fill="auto"/>
            <w:noWrap/>
            <w:vAlign w:val="top"/>
          </w:tcPr>
          <w:p w14:paraId="3F2711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1004" w:type="pct"/>
            <w:tcBorders>
              <w:top w:val="single" w:color="auto" w:sz="4" w:space="0"/>
              <w:left w:val="nil"/>
              <w:bottom w:val="single" w:color="auto" w:sz="4" w:space="0"/>
              <w:right w:val="single" w:color="auto" w:sz="4" w:space="0"/>
            </w:tcBorders>
            <w:shd w:val="clear" w:color="auto" w:fill="auto"/>
            <w:noWrap/>
            <w:vAlign w:val="top"/>
          </w:tcPr>
          <w:p w14:paraId="6B75F8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589" w:type="pct"/>
            <w:tcBorders>
              <w:top w:val="single" w:color="auto" w:sz="4" w:space="0"/>
              <w:left w:val="nil"/>
              <w:bottom w:val="single" w:color="auto" w:sz="4" w:space="0"/>
              <w:right w:val="single" w:color="auto" w:sz="4" w:space="0"/>
            </w:tcBorders>
            <w:shd w:val="clear" w:color="auto" w:fill="auto"/>
            <w:noWrap/>
            <w:vAlign w:val="top"/>
          </w:tcPr>
          <w:p w14:paraId="6DFBAAA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1265" w:type="pct"/>
            <w:tcBorders>
              <w:top w:val="single" w:color="auto" w:sz="4" w:space="0"/>
              <w:left w:val="nil"/>
              <w:bottom w:val="single" w:color="auto" w:sz="4" w:space="0"/>
              <w:right w:val="single" w:color="auto" w:sz="4" w:space="0"/>
            </w:tcBorders>
            <w:shd w:val="clear" w:color="auto" w:fill="auto"/>
            <w:noWrap/>
            <w:vAlign w:val="top"/>
          </w:tcPr>
          <w:p w14:paraId="1A16AA4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666" w:type="pct"/>
            <w:tcBorders>
              <w:top w:val="single" w:color="auto" w:sz="4" w:space="0"/>
              <w:left w:val="nil"/>
              <w:bottom w:val="single" w:color="auto" w:sz="4" w:space="0"/>
              <w:right w:val="single" w:color="auto" w:sz="4" w:space="0"/>
            </w:tcBorders>
            <w:shd w:val="clear" w:color="auto" w:fill="auto"/>
            <w:noWrap/>
            <w:vAlign w:val="top"/>
          </w:tcPr>
          <w:p w14:paraId="761F534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r>
      <w:tr w14:paraId="0D7FC0E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0"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top"/>
          </w:tcPr>
          <w:p w14:paraId="2C78A16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645" w:type="pct"/>
            <w:tcBorders>
              <w:top w:val="single" w:color="auto" w:sz="4" w:space="0"/>
              <w:left w:val="nil"/>
              <w:bottom w:val="single" w:color="auto" w:sz="4" w:space="0"/>
              <w:right w:val="single" w:color="auto" w:sz="4" w:space="0"/>
            </w:tcBorders>
            <w:shd w:val="clear" w:color="auto" w:fill="auto"/>
            <w:noWrap/>
            <w:vAlign w:val="top"/>
          </w:tcPr>
          <w:p w14:paraId="3C904B6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1004" w:type="pct"/>
            <w:tcBorders>
              <w:top w:val="single" w:color="auto" w:sz="4" w:space="0"/>
              <w:left w:val="nil"/>
              <w:bottom w:val="single" w:color="auto" w:sz="4" w:space="0"/>
              <w:right w:val="single" w:color="auto" w:sz="4" w:space="0"/>
            </w:tcBorders>
            <w:shd w:val="clear" w:color="auto" w:fill="auto"/>
            <w:noWrap/>
            <w:vAlign w:val="top"/>
          </w:tcPr>
          <w:p w14:paraId="2707BD5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589" w:type="pct"/>
            <w:tcBorders>
              <w:top w:val="single" w:color="auto" w:sz="4" w:space="0"/>
              <w:left w:val="nil"/>
              <w:bottom w:val="single" w:color="auto" w:sz="4" w:space="0"/>
              <w:right w:val="single" w:color="auto" w:sz="4" w:space="0"/>
            </w:tcBorders>
            <w:shd w:val="clear" w:color="auto" w:fill="auto"/>
            <w:noWrap/>
            <w:vAlign w:val="top"/>
          </w:tcPr>
          <w:p w14:paraId="36FBC56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1265" w:type="pct"/>
            <w:tcBorders>
              <w:top w:val="single" w:color="auto" w:sz="4" w:space="0"/>
              <w:left w:val="nil"/>
              <w:bottom w:val="single" w:color="auto" w:sz="4" w:space="0"/>
              <w:right w:val="single" w:color="auto" w:sz="4" w:space="0"/>
            </w:tcBorders>
            <w:shd w:val="clear" w:color="auto" w:fill="auto"/>
            <w:noWrap/>
            <w:vAlign w:val="top"/>
          </w:tcPr>
          <w:p w14:paraId="557E8B2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666" w:type="pct"/>
            <w:tcBorders>
              <w:top w:val="single" w:color="auto" w:sz="4" w:space="0"/>
              <w:left w:val="nil"/>
              <w:bottom w:val="single" w:color="auto" w:sz="4" w:space="0"/>
              <w:right w:val="single" w:color="auto" w:sz="4" w:space="0"/>
            </w:tcBorders>
            <w:shd w:val="clear" w:color="auto" w:fill="auto"/>
            <w:noWrap/>
            <w:vAlign w:val="top"/>
          </w:tcPr>
          <w:p w14:paraId="275CB04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r>
      <w:tr w14:paraId="6B67C41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0"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top"/>
          </w:tcPr>
          <w:p w14:paraId="2935B29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645" w:type="pct"/>
            <w:tcBorders>
              <w:top w:val="single" w:color="auto" w:sz="4" w:space="0"/>
              <w:left w:val="nil"/>
              <w:bottom w:val="single" w:color="auto" w:sz="4" w:space="0"/>
              <w:right w:val="single" w:color="auto" w:sz="4" w:space="0"/>
            </w:tcBorders>
            <w:shd w:val="clear" w:color="auto" w:fill="auto"/>
            <w:noWrap/>
            <w:vAlign w:val="top"/>
          </w:tcPr>
          <w:p w14:paraId="353CE9D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1004" w:type="pct"/>
            <w:tcBorders>
              <w:top w:val="single" w:color="auto" w:sz="4" w:space="0"/>
              <w:left w:val="nil"/>
              <w:bottom w:val="single" w:color="auto" w:sz="4" w:space="0"/>
              <w:right w:val="single" w:color="auto" w:sz="4" w:space="0"/>
            </w:tcBorders>
            <w:shd w:val="clear" w:color="auto" w:fill="auto"/>
            <w:noWrap/>
            <w:vAlign w:val="top"/>
          </w:tcPr>
          <w:p w14:paraId="6491A06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589" w:type="pct"/>
            <w:tcBorders>
              <w:top w:val="single" w:color="auto" w:sz="4" w:space="0"/>
              <w:left w:val="nil"/>
              <w:bottom w:val="single" w:color="auto" w:sz="4" w:space="0"/>
              <w:right w:val="single" w:color="auto" w:sz="4" w:space="0"/>
            </w:tcBorders>
            <w:shd w:val="clear" w:color="auto" w:fill="auto"/>
            <w:noWrap/>
            <w:vAlign w:val="top"/>
          </w:tcPr>
          <w:p w14:paraId="4836865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1265" w:type="pct"/>
            <w:tcBorders>
              <w:top w:val="single" w:color="auto" w:sz="4" w:space="0"/>
              <w:left w:val="nil"/>
              <w:bottom w:val="single" w:color="auto" w:sz="4" w:space="0"/>
              <w:right w:val="single" w:color="auto" w:sz="4" w:space="0"/>
            </w:tcBorders>
            <w:shd w:val="clear" w:color="auto" w:fill="auto"/>
            <w:noWrap/>
            <w:vAlign w:val="top"/>
          </w:tcPr>
          <w:p w14:paraId="779464F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c>
          <w:tcPr>
            <w:tcW w:w="666" w:type="pct"/>
            <w:tcBorders>
              <w:top w:val="single" w:color="auto" w:sz="4" w:space="0"/>
              <w:left w:val="nil"/>
              <w:bottom w:val="single" w:color="auto" w:sz="4" w:space="0"/>
              <w:right w:val="single" w:color="auto" w:sz="4" w:space="0"/>
            </w:tcBorders>
            <w:shd w:val="clear" w:color="auto" w:fill="auto"/>
            <w:noWrap/>
            <w:vAlign w:val="top"/>
          </w:tcPr>
          <w:p w14:paraId="6171EC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tc>
      </w:tr>
      <w:tr w14:paraId="6610E9E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84" w:hRule="atLeast"/>
        </w:trPr>
        <w:tc>
          <w:tcPr>
            <w:tcW w:w="827" w:type="pct"/>
            <w:tcBorders>
              <w:top w:val="single" w:color="auto" w:sz="4" w:space="0"/>
              <w:left w:val="single" w:color="auto" w:sz="4" w:space="0"/>
              <w:bottom w:val="single" w:color="auto" w:sz="4" w:space="0"/>
              <w:right w:val="single" w:color="auto" w:sz="4" w:space="0"/>
            </w:tcBorders>
            <w:shd w:val="clear" w:color="auto" w:fill="auto"/>
            <w:noWrap/>
            <w:vAlign w:val="top"/>
          </w:tcPr>
          <w:p w14:paraId="12ABA80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合计</w:t>
            </w:r>
          </w:p>
        </w:tc>
        <w:tc>
          <w:tcPr>
            <w:tcW w:w="645" w:type="pct"/>
            <w:tcBorders>
              <w:top w:val="single" w:color="auto" w:sz="4" w:space="0"/>
              <w:left w:val="nil"/>
              <w:bottom w:val="single" w:color="auto" w:sz="4" w:space="0"/>
              <w:right w:val="single" w:color="auto" w:sz="4" w:space="0"/>
            </w:tcBorders>
            <w:shd w:val="clear" w:color="auto" w:fill="auto"/>
            <w:noWrap/>
            <w:vAlign w:val="top"/>
          </w:tcPr>
          <w:p w14:paraId="786BA6D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p>
        </w:tc>
        <w:tc>
          <w:tcPr>
            <w:tcW w:w="1004" w:type="pct"/>
            <w:tcBorders>
              <w:top w:val="single" w:color="auto" w:sz="4" w:space="0"/>
              <w:left w:val="nil"/>
              <w:bottom w:val="single" w:color="auto" w:sz="4" w:space="0"/>
              <w:right w:val="single" w:color="auto" w:sz="4" w:space="0"/>
            </w:tcBorders>
            <w:shd w:val="clear" w:color="auto" w:fill="auto"/>
            <w:noWrap/>
            <w:vAlign w:val="top"/>
          </w:tcPr>
          <w:p w14:paraId="39FD904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p>
        </w:tc>
        <w:tc>
          <w:tcPr>
            <w:tcW w:w="589" w:type="pct"/>
            <w:tcBorders>
              <w:top w:val="single" w:color="auto" w:sz="4" w:space="0"/>
              <w:left w:val="nil"/>
              <w:bottom w:val="single" w:color="auto" w:sz="4" w:space="0"/>
              <w:right w:val="single" w:color="auto" w:sz="4" w:space="0"/>
            </w:tcBorders>
            <w:shd w:val="clear" w:color="auto" w:fill="auto"/>
            <w:noWrap/>
            <w:vAlign w:val="top"/>
          </w:tcPr>
          <w:p w14:paraId="3DE991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元</w:t>
            </w:r>
          </w:p>
        </w:tc>
        <w:tc>
          <w:tcPr>
            <w:tcW w:w="1265" w:type="pct"/>
            <w:tcBorders>
              <w:top w:val="single" w:color="auto" w:sz="4" w:space="0"/>
              <w:left w:val="nil"/>
              <w:bottom w:val="single" w:color="auto" w:sz="4" w:space="0"/>
              <w:right w:val="single" w:color="auto" w:sz="4" w:space="0"/>
            </w:tcBorders>
            <w:shd w:val="clear" w:color="auto" w:fill="auto"/>
            <w:noWrap/>
            <w:vAlign w:val="top"/>
          </w:tcPr>
          <w:p w14:paraId="20ABF9F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p>
        </w:tc>
        <w:tc>
          <w:tcPr>
            <w:tcW w:w="666" w:type="pct"/>
            <w:tcBorders>
              <w:top w:val="single" w:color="auto" w:sz="4" w:space="0"/>
              <w:left w:val="nil"/>
              <w:bottom w:val="single" w:color="auto" w:sz="4" w:space="0"/>
              <w:right w:val="single" w:color="auto" w:sz="4" w:space="0"/>
            </w:tcBorders>
            <w:shd w:val="clear" w:color="auto" w:fill="auto"/>
            <w:noWrap/>
            <w:vAlign w:val="top"/>
          </w:tcPr>
          <w:p w14:paraId="670F131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themeColor="text1"/>
                <w:kern w:val="2"/>
                <w:sz w:val="21"/>
                <w:szCs w:val="21"/>
                <w:highlight w:val="none"/>
                <w:vertAlign w:val="baseline"/>
                <w:lang w:bidi="ar"/>
                <w14:textFill>
                  <w14:solidFill>
                    <w14:schemeClr w14:val="tx1"/>
                  </w14:solidFill>
                </w14:textFill>
              </w:rPr>
            </w:pPr>
            <w:r>
              <w:rPr>
                <w:rFonts w:hint="eastAsia" w:ascii="宋体" w:hAnsi="宋体" w:eastAsia="宋体" w:cs="宋体"/>
                <w:b/>
                <w:bCs/>
                <w:caps w:val="0"/>
                <w:color w:val="000000" w:themeColor="text1"/>
                <w:kern w:val="2"/>
                <w:sz w:val="21"/>
                <w:szCs w:val="21"/>
                <w:highlight w:val="none"/>
                <w:vertAlign w:val="baseline"/>
                <w:lang w:val="en-US" w:eastAsia="zh-CN" w:bidi="ar"/>
                <w14:textFill>
                  <w14:solidFill>
                    <w14:schemeClr w14:val="tx1"/>
                  </w14:solidFill>
                </w14:textFill>
              </w:rPr>
              <w:t>元</w:t>
            </w:r>
          </w:p>
        </w:tc>
      </w:tr>
    </w:tbl>
    <w:p w14:paraId="3B37DFC1">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pPr>
    </w:p>
    <w:p w14:paraId="7D5D9629">
      <w:pPr>
        <w:pStyle w:val="35"/>
        <w:overflowPunct/>
        <w:bidi w:val="0"/>
        <w:jc w:val="left"/>
        <w:outlineLvl w:val="9"/>
        <w:rPr>
          <w:color w:val="000000" w:themeColor="text1"/>
          <w:sz w:val="21"/>
          <w:szCs w:val="21"/>
          <w:highlight w:val="none"/>
          <w14:textFill>
            <w14:solidFill>
              <w14:schemeClr w14:val="tx1"/>
            </w14:solidFill>
          </w14:textFill>
        </w:rPr>
        <w:sectPr>
          <w:pgSz w:w="11906" w:h="16838"/>
          <w:pgMar w:top="1134" w:right="1134" w:bottom="1134" w:left="1134" w:header="851" w:footer="851" w:gutter="0"/>
          <w:pgBorders>
            <w:top w:val="none" w:sz="0" w:space="0"/>
            <w:left w:val="none" w:sz="0" w:space="0"/>
            <w:bottom w:val="none" w:sz="0" w:space="0"/>
            <w:right w:val="none" w:sz="0" w:space="0"/>
          </w:pgBorders>
          <w:pgNumType w:fmt="decimal"/>
          <w:cols w:space="720" w:num="1"/>
          <w:docGrid w:linePitch="312" w:charSpace="0"/>
        </w:sectPr>
      </w:pPr>
      <w:bookmarkStart w:id="39" w:name="_Toc11273"/>
      <w:r>
        <w:rPr>
          <w:rFonts w:hint="eastAsia" w:ascii="宋体" w:hAnsi="宋体" w:eastAsia="宋体" w:cs="宋体"/>
          <w:caps w:val="0"/>
          <w:color w:val="000000" w:themeColor="text1"/>
          <w:kern w:val="2"/>
          <w:sz w:val="21"/>
          <w:szCs w:val="21"/>
          <w:highlight w:val="none"/>
          <w:vertAlign w:val="baseline"/>
          <w:lang w:bidi="ar"/>
          <w14:textFill>
            <w14:solidFill>
              <w14:schemeClr w14:val="tx1"/>
            </w14:solidFill>
          </w14:textFill>
        </w:rPr>
        <w:t>投标单位的投标报价明显低于其他通过符合性审查投标人的报价，有可能影响产品质量或者不能诚信履约的，须提供成本构成表及相应证明材料，内容包括但不限于生产成本（如原材成本、设备损耗成本等），管理成本（人员工资、福利、社保等），交通成本（汽油、过路费等），税费等，并列明计算过程。投标人不能证明其报价合理性的，未提供或内容不全面无法支持成本构成的，由评标委员会认定该投标人是否以低于成本价竞标，如果是，其报价分不得分。超过采购预算的投标报价将否决其投标。</w:t>
      </w:r>
      <w:bookmarkEnd w:id="39"/>
    </w:p>
    <w:p w14:paraId="64C7E8D5">
      <w:pPr>
        <w:overflowPunct/>
        <w:bidi w:val="0"/>
        <w:outlineLvl w:val="9"/>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评审方法</w:t>
      </w:r>
      <w:bookmarkEnd w:id="38"/>
    </w:p>
    <w:p w14:paraId="2810E26A">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本次评审办法采用综合评分法。磋商小组对满足磋商文件实质性要求的响应文件，按照本章第2.2 款规定的评分标准进行打分，并按得分由高到低顺序推荐成交候选人，或根据采购人授权直接确定中标成交单位，但磋商报价低于其成本的除外。评审得分相同的，按照最后报价由低到高的顺序推荐。评审得分且最后报价相同的，按照技术指标优劣顺序推荐。</w:t>
      </w:r>
    </w:p>
    <w:p w14:paraId="2BDE6A51">
      <w:pPr>
        <w:overflowPunct/>
        <w:bidi w:val="0"/>
        <w:outlineLvl w:val="9"/>
        <w:rPr>
          <w:rFonts w:ascii="宋体" w:hAnsi="宋体"/>
          <w:color w:val="000000" w:themeColor="text1"/>
          <w:highlight w:val="none"/>
          <w14:textFill>
            <w14:solidFill>
              <w14:schemeClr w14:val="tx1"/>
            </w14:solidFill>
          </w14:textFill>
        </w:rPr>
      </w:pPr>
      <w:bookmarkStart w:id="40" w:name="_Toc184635094"/>
      <w:r>
        <w:rPr>
          <w:rFonts w:hint="eastAsia"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评审标准</w:t>
      </w:r>
      <w:bookmarkEnd w:id="40"/>
    </w:p>
    <w:p w14:paraId="65F58989">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2.1 初步评审标准</w:t>
      </w:r>
    </w:p>
    <w:p w14:paraId="0E60C4F1">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 xml:space="preserve"> 资格评审标准：见评审办法前附表。</w:t>
      </w:r>
    </w:p>
    <w:p w14:paraId="43EE7191">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r>
        <w:rPr>
          <w:rFonts w:hint="eastAsia" w:ascii="宋体" w:hAnsi="宋体"/>
          <w:color w:val="000000" w:themeColor="text1"/>
          <w:szCs w:val="21"/>
          <w:highlight w:val="none"/>
          <w:lang w:val="en-US" w:eastAsia="zh-CN"/>
          <w14:textFill>
            <w14:solidFill>
              <w14:schemeClr w14:val="tx1"/>
            </w14:solidFill>
          </w14:textFill>
        </w:rPr>
        <w:t>2符合</w:t>
      </w:r>
      <w:r>
        <w:rPr>
          <w:rFonts w:hint="eastAsia" w:ascii="宋体" w:hAnsi="宋体"/>
          <w:color w:val="000000" w:themeColor="text1"/>
          <w:szCs w:val="21"/>
          <w:highlight w:val="none"/>
          <w14:textFill>
            <w14:solidFill>
              <w14:schemeClr w14:val="tx1"/>
            </w14:solidFill>
          </w14:textFill>
        </w:rPr>
        <w:t>性评审标准：见评审办法前附表。</w:t>
      </w:r>
    </w:p>
    <w:p w14:paraId="645D6DA9">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2.2 分值构成与评分标准</w:t>
      </w:r>
    </w:p>
    <w:p w14:paraId="2B0A4888">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2.2.1 分值构成</w:t>
      </w:r>
    </w:p>
    <w:p w14:paraId="48F880D7">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(l）</w:t>
      </w:r>
      <w:r>
        <w:rPr>
          <w:rFonts w:hint="eastAsia" w:ascii="宋体" w:hAnsi="宋体"/>
          <w:color w:val="000000" w:themeColor="text1"/>
          <w:szCs w:val="21"/>
          <w:highlight w:val="none"/>
          <w:lang w:val="en-US" w:eastAsia="zh-CN"/>
          <w14:textFill>
            <w14:solidFill>
              <w14:schemeClr w14:val="tx1"/>
            </w14:solidFill>
          </w14:textFill>
        </w:rPr>
        <w:t>商务因素</w:t>
      </w:r>
      <w:r>
        <w:rPr>
          <w:rFonts w:hint="eastAsia" w:ascii="宋体" w:hAnsi="宋体"/>
          <w:color w:val="000000" w:themeColor="text1"/>
          <w:szCs w:val="21"/>
          <w:highlight w:val="none"/>
          <w14:textFill>
            <w14:solidFill>
              <w14:schemeClr w14:val="tx1"/>
            </w14:solidFill>
          </w14:textFill>
        </w:rPr>
        <w:t>：见评审办法前附表；</w:t>
      </w:r>
    </w:p>
    <w:p w14:paraId="19A1EDF6">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(2）磋商报价：见评审办法前附表；</w:t>
      </w:r>
    </w:p>
    <w:p w14:paraId="67D4FCCE">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技术因素</w:t>
      </w:r>
      <w:r>
        <w:rPr>
          <w:rFonts w:hint="eastAsia" w:ascii="宋体" w:hAnsi="宋体"/>
          <w:color w:val="000000" w:themeColor="text1"/>
          <w:szCs w:val="21"/>
          <w:highlight w:val="none"/>
          <w14:textFill>
            <w14:solidFill>
              <w14:schemeClr w14:val="tx1"/>
            </w14:solidFill>
          </w14:textFill>
        </w:rPr>
        <w:t>：见评审办法前附表；</w:t>
      </w:r>
    </w:p>
    <w:p w14:paraId="73723C13">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(4）其他因素：见评审办法前附表。</w:t>
      </w:r>
    </w:p>
    <w:p w14:paraId="20739F69">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2.2.2 评审基准价计算</w:t>
      </w:r>
    </w:p>
    <w:p w14:paraId="56FC1235">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评审基准价计算方法：见评审办法前附表。</w:t>
      </w:r>
    </w:p>
    <w:p w14:paraId="10446C4A">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2.2.3 磋商报价计算公式</w:t>
      </w:r>
    </w:p>
    <w:p w14:paraId="55429BC6">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磋商报价计算公式：见评审办法前附表。</w:t>
      </w:r>
    </w:p>
    <w:p w14:paraId="594EA99A">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2.2.4 评分标准</w:t>
      </w:r>
    </w:p>
    <w:p w14:paraId="20DC460E">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商务因素</w:t>
      </w:r>
      <w:r>
        <w:rPr>
          <w:rFonts w:hint="eastAsia" w:ascii="宋体" w:hAnsi="宋体"/>
          <w:color w:val="000000" w:themeColor="text1"/>
          <w:szCs w:val="21"/>
          <w:highlight w:val="none"/>
          <w14:textFill>
            <w14:solidFill>
              <w14:schemeClr w14:val="tx1"/>
            </w14:solidFill>
          </w14:textFill>
        </w:rPr>
        <w:t>评分标准：见评审办法前附表；</w:t>
      </w:r>
    </w:p>
    <w:p w14:paraId="6A83A2AB">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(2）磋商报价评分标准：见评审办法前附表；</w:t>
      </w:r>
    </w:p>
    <w:p w14:paraId="3B1FAC0B">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技术因素</w:t>
      </w:r>
      <w:r>
        <w:rPr>
          <w:rFonts w:hint="eastAsia" w:ascii="宋体" w:hAnsi="宋体"/>
          <w:color w:val="000000" w:themeColor="text1"/>
          <w:szCs w:val="21"/>
          <w:highlight w:val="none"/>
          <w14:textFill>
            <w14:solidFill>
              <w14:schemeClr w14:val="tx1"/>
            </w14:solidFill>
          </w14:textFill>
        </w:rPr>
        <w:t>评分标准：见评审办法前附表；</w:t>
      </w:r>
    </w:p>
    <w:p w14:paraId="725BDB66">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(4）其他因素评分标准：见评审办法前附表。</w:t>
      </w:r>
    </w:p>
    <w:p w14:paraId="15CE5906">
      <w:pPr>
        <w:overflowPunct/>
        <w:bidi w:val="0"/>
        <w:outlineLvl w:val="9"/>
        <w:rPr>
          <w:rFonts w:ascii="宋体" w:hAnsi="宋体"/>
          <w:color w:val="000000" w:themeColor="text1"/>
          <w:highlight w:val="none"/>
          <w14:textFill>
            <w14:solidFill>
              <w14:schemeClr w14:val="tx1"/>
            </w14:solidFill>
          </w14:textFill>
        </w:rPr>
      </w:pPr>
      <w:bookmarkStart w:id="41" w:name="_Toc184635095"/>
      <w:r>
        <w:rPr>
          <w:rFonts w:hint="eastAsia"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评审工作程序</w:t>
      </w:r>
      <w:bookmarkEnd w:id="41"/>
    </w:p>
    <w:p w14:paraId="4B131CD4">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3.1 初步评审</w:t>
      </w:r>
    </w:p>
    <w:p w14:paraId="2147C703">
      <w:pPr>
        <w:overflowPunct/>
        <w:bidi w:val="0"/>
        <w:spacing w:line="360" w:lineRule="auto"/>
        <w:ind w:firstLine="420" w:firstLineChars="200"/>
        <w:outlineLvl w:val="9"/>
        <w:rPr>
          <w:rFonts w:ascii="宋体" w:hAnsi="宋体"/>
          <w:bCs/>
          <w:color w:val="000000" w:themeColor="text1"/>
          <w:szCs w:val="21"/>
          <w:highlight w:val="none"/>
          <w:lang w:val="zh-CN"/>
          <w14:textFill>
            <w14:solidFill>
              <w14:schemeClr w14:val="tx1"/>
            </w14:solidFill>
          </w14:textFill>
        </w:rPr>
      </w:pPr>
      <w:r>
        <w:rPr>
          <w:rFonts w:ascii="宋体" w:hAnsi="宋体"/>
          <w:bCs/>
          <w:color w:val="000000" w:themeColor="text1"/>
          <w:szCs w:val="21"/>
          <w:highlight w:val="none"/>
          <w:lang w:val="zh-CN"/>
          <w14:textFill>
            <w14:solidFill>
              <w14:schemeClr w14:val="tx1"/>
            </w14:solidFill>
          </w14:textFill>
        </w:rPr>
        <w:t>3.1.1</w:t>
      </w:r>
      <w:r>
        <w:rPr>
          <w:rFonts w:hint="eastAsia" w:ascii="宋体" w:hAnsi="宋体"/>
          <w:bCs/>
          <w:color w:val="000000" w:themeColor="text1"/>
          <w:szCs w:val="21"/>
          <w:highlight w:val="none"/>
          <w:lang w:val="zh-CN"/>
          <w14:textFill>
            <w14:solidFill>
              <w14:schemeClr w14:val="tx1"/>
            </w14:solidFill>
          </w14:textFill>
        </w:rPr>
        <w:t xml:space="preserve"> 磋商小组依据本章第</w:t>
      </w:r>
      <w:r>
        <w:rPr>
          <w:rFonts w:ascii="宋体" w:hAnsi="宋体"/>
          <w:bCs/>
          <w:color w:val="000000" w:themeColor="text1"/>
          <w:szCs w:val="21"/>
          <w:highlight w:val="none"/>
          <w:lang w:val="zh-CN"/>
          <w14:textFill>
            <w14:solidFill>
              <w14:schemeClr w14:val="tx1"/>
            </w14:solidFill>
          </w14:textFill>
        </w:rPr>
        <w:t>2.1</w:t>
      </w:r>
      <w:r>
        <w:rPr>
          <w:rFonts w:hint="eastAsia" w:ascii="宋体" w:hAnsi="宋体"/>
          <w:bCs/>
          <w:color w:val="000000" w:themeColor="text1"/>
          <w:szCs w:val="21"/>
          <w:highlight w:val="none"/>
          <w:lang w:val="zh-CN"/>
          <w14:textFill>
            <w14:solidFill>
              <w14:schemeClr w14:val="tx1"/>
            </w14:solidFill>
          </w14:textFill>
        </w:rPr>
        <w:t>款规定的标准对响应文件进行初步评审。有一项不符合评审标准的，磋商小组应当否决其投标，作废标处理。只有当通过初步评审的投标单位超过3家（包含3家）时，此次投标才能进入详细评审，否则视为具有竞争性投标单位不足3家，应当重新招标。</w:t>
      </w:r>
    </w:p>
    <w:p w14:paraId="3B65E6A7">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3.1.2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有以下情形之一的，其投标作废标处理：</w:t>
      </w:r>
    </w:p>
    <w:p w14:paraId="26923743">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(l）第二章“</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须知”第1.4.3 项规定的任何一种情形的：</w:t>
      </w:r>
    </w:p>
    <w:p w14:paraId="3E8DC2D6">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(2）串通投标或弄虚作假或有其他违法行为的；</w:t>
      </w:r>
    </w:p>
    <w:p w14:paraId="1BC376D7">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(3）不按磋商小组要求澄清、说明或补正的。</w:t>
      </w:r>
    </w:p>
    <w:p w14:paraId="386FE55A">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3.1.3 磋商报价有算术错误的，磋商小组按以下原则对磋商报价进行修正，修正的价格经</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书面确认后具有约束力。</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不接受修正价格的，其投标作废标处理。</w:t>
      </w:r>
    </w:p>
    <w:p w14:paraId="51981266">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(1）响应文件中的大写金额与小写金额不一致的，以大写金额为准；</w:t>
      </w:r>
    </w:p>
    <w:p w14:paraId="23020929">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(2）总价金额与依据单价计算出的结果不一致的，以单价金额为准修正总价，但单价金额小数点有明显错误的除外。</w:t>
      </w:r>
    </w:p>
    <w:p w14:paraId="26E330FD">
      <w:pPr>
        <w:overflowPunct/>
        <w:bidi w:val="0"/>
        <w:spacing w:line="360" w:lineRule="auto"/>
        <w:ind w:firstLine="420" w:firstLineChars="200"/>
        <w:outlineLvl w:val="9"/>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lang w:val="en-US" w:eastAsia="zh-CN"/>
          <w14:textFill>
            <w14:solidFill>
              <w14:schemeClr w14:val="tx1"/>
            </w14:solidFill>
          </w14:textFill>
        </w:rPr>
        <w:t>报价算术修正规则</w:t>
      </w:r>
    </w:p>
    <w:p w14:paraId="3E656C66">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非最终报价环节中，供应商的报价因明显的小数点位置错误或计价单位错误等原因超出了最高限价的，磋商小组可要求该供应商现场进行书面澄清，供应商拒绝澄清的，磋商小组应当将其作为无效报价处理。</w:t>
      </w:r>
    </w:p>
    <w:p w14:paraId="64CBED94">
      <w:pPr>
        <w:overflowPunct/>
        <w:bidi w:val="0"/>
        <w:outlineLvl w:val="9"/>
        <w:rPr>
          <w:rFonts w:ascii="宋体" w:hAnsi="宋体" w:eastAsia="宋体"/>
          <w:color w:val="000000" w:themeColor="text1"/>
          <w:highlight w:val="none"/>
          <w14:textFill>
            <w14:solidFill>
              <w14:schemeClr w14:val="tx1"/>
            </w14:solidFill>
          </w14:textFill>
        </w:rPr>
      </w:pPr>
      <w:bookmarkStart w:id="42" w:name="_Toc447010080"/>
      <w:r>
        <w:rPr>
          <w:rFonts w:hint="eastAsia" w:ascii="宋体" w:hAnsi="宋体" w:eastAsia="宋体"/>
          <w:color w:val="000000" w:themeColor="text1"/>
          <w:highlight w:val="none"/>
          <w14:textFill>
            <w14:solidFill>
              <w14:schemeClr w14:val="tx1"/>
            </w14:solidFill>
          </w14:textFill>
        </w:rPr>
        <w:t>3.</w:t>
      </w:r>
      <w:r>
        <w:rPr>
          <w:rFonts w:ascii="宋体" w:hAnsi="宋体" w:eastAsia="宋体"/>
          <w:color w:val="000000" w:themeColor="text1"/>
          <w:highlight w:val="none"/>
          <w14:textFill>
            <w14:solidFill>
              <w14:schemeClr w14:val="tx1"/>
            </w14:solidFill>
          </w14:textFill>
        </w:rPr>
        <w:t>2</w:t>
      </w:r>
      <w:r>
        <w:rPr>
          <w:rFonts w:hint="eastAsia" w:ascii="宋体" w:hAnsi="宋体" w:eastAsia="宋体"/>
          <w:color w:val="000000" w:themeColor="text1"/>
          <w:highlight w:val="none"/>
          <w14:textFill>
            <w14:solidFill>
              <w14:schemeClr w14:val="tx1"/>
            </w14:solidFill>
          </w14:textFill>
        </w:rPr>
        <w:t>响应文件的澄清</w:t>
      </w:r>
      <w:bookmarkEnd w:id="42"/>
    </w:p>
    <w:p w14:paraId="18998E50">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在评审过程中，磋商小组可以书面形式，要求</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对所提交的响应文件中不明确的内容进行必要的澄清或说明。</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的澄清或说明采用书面形式，并不得改变响应文件的实质性内容。</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的澄清和说明内容属于响应文件的组成部分。采购人和磋商小组不接受</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主动提出的澄清或说明。</w:t>
      </w:r>
    </w:p>
    <w:p w14:paraId="66D0745E">
      <w:pPr>
        <w:overflowPunct/>
        <w:bidi w:val="0"/>
        <w:outlineLvl w:val="9"/>
        <w:rPr>
          <w:rFonts w:ascii="宋体" w:hAnsi="宋体" w:eastAsia="宋体"/>
          <w:color w:val="000000" w:themeColor="text1"/>
          <w:highlight w:val="none"/>
          <w14:textFill>
            <w14:solidFill>
              <w14:schemeClr w14:val="tx1"/>
            </w14:solidFill>
          </w14:textFill>
        </w:rPr>
      </w:pPr>
      <w:bookmarkStart w:id="43" w:name="_Toc447010081"/>
      <w:r>
        <w:rPr>
          <w:rFonts w:hint="eastAsia" w:ascii="宋体" w:hAnsi="宋体" w:eastAsia="宋体"/>
          <w:color w:val="000000" w:themeColor="text1"/>
          <w:highlight w:val="none"/>
          <w14:textFill>
            <w14:solidFill>
              <w14:schemeClr w14:val="tx1"/>
            </w14:solidFill>
          </w14:textFill>
        </w:rPr>
        <w:t>3.</w:t>
      </w:r>
      <w:r>
        <w:rPr>
          <w:rFonts w:ascii="宋体" w:hAnsi="宋体" w:eastAsia="宋体"/>
          <w:color w:val="000000" w:themeColor="text1"/>
          <w:highlight w:val="none"/>
          <w14:textFill>
            <w14:solidFill>
              <w14:schemeClr w14:val="tx1"/>
            </w14:solidFill>
          </w14:textFill>
        </w:rPr>
        <w:t>3</w:t>
      </w:r>
      <w:r>
        <w:rPr>
          <w:rFonts w:hint="eastAsia" w:ascii="宋体" w:hAnsi="宋体" w:eastAsia="宋体"/>
          <w:color w:val="000000" w:themeColor="text1"/>
          <w:highlight w:val="none"/>
          <w14:textFill>
            <w14:solidFill>
              <w14:schemeClr w14:val="tx1"/>
            </w14:solidFill>
          </w14:textFill>
        </w:rPr>
        <w:t>确定最终采购需求方案</w:t>
      </w:r>
      <w:bookmarkEnd w:id="43"/>
    </w:p>
    <w:p w14:paraId="0C6A266A">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磋商小组可以与</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进行多轮磋商，磋商过程中可实质性修订磋商文件的技术、服务要求以及合同草案条款，</w:t>
      </w:r>
      <w:r>
        <w:rPr>
          <w:rFonts w:hint="eastAsia" w:ascii="宋体" w:hAnsi="宋体" w:cs="宋体"/>
          <w:color w:val="000000" w:themeColor="text1"/>
          <w:highlight w:val="none"/>
          <w14:textFill>
            <w14:solidFill>
              <w14:schemeClr w14:val="tx1"/>
            </w14:solidFill>
          </w14:textFill>
        </w:rPr>
        <w:t>但不得变动磋商文件中的其他内容。实质性变动的内容，须经采购人代表确认，</w:t>
      </w:r>
      <w:r>
        <w:rPr>
          <w:rFonts w:hint="eastAsia" w:ascii="宋体" w:hAnsi="宋体"/>
          <w:color w:val="000000" w:themeColor="text1"/>
          <w:szCs w:val="21"/>
          <w:highlight w:val="none"/>
          <w14:textFill>
            <w14:solidFill>
              <w14:schemeClr w14:val="tx1"/>
            </w14:solidFill>
          </w14:textFill>
        </w:rPr>
        <w:t>并及时以书面形式同时通知所有参与磋商的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w:t>
      </w:r>
    </w:p>
    <w:p w14:paraId="1AC7D72C">
      <w:pPr>
        <w:overflowPunct/>
        <w:bidi w:val="0"/>
        <w:outlineLvl w:val="9"/>
        <w:rPr>
          <w:rFonts w:ascii="宋体" w:hAnsi="宋体" w:eastAsia="宋体"/>
          <w:color w:val="000000" w:themeColor="text1"/>
          <w:highlight w:val="none"/>
          <w14:textFill>
            <w14:solidFill>
              <w14:schemeClr w14:val="tx1"/>
            </w14:solidFill>
          </w14:textFill>
        </w:rPr>
      </w:pPr>
      <w:bookmarkStart w:id="44" w:name="_Toc447010082"/>
      <w:r>
        <w:rPr>
          <w:rFonts w:hint="eastAsia" w:ascii="宋体" w:hAnsi="宋体" w:eastAsia="宋体"/>
          <w:color w:val="000000" w:themeColor="text1"/>
          <w:highlight w:val="none"/>
          <w14:textFill>
            <w14:solidFill>
              <w14:schemeClr w14:val="tx1"/>
            </w14:solidFill>
          </w14:textFill>
        </w:rPr>
        <w:t>3.</w:t>
      </w:r>
      <w:r>
        <w:rPr>
          <w:rFonts w:ascii="宋体" w:hAnsi="宋体" w:eastAsia="宋体"/>
          <w:color w:val="000000" w:themeColor="text1"/>
          <w:highlight w:val="none"/>
          <w14:textFill>
            <w14:solidFill>
              <w14:schemeClr w14:val="tx1"/>
            </w14:solidFill>
          </w14:textFill>
        </w:rPr>
        <w:t>4</w:t>
      </w:r>
      <w:r>
        <w:rPr>
          <w:rFonts w:hint="eastAsia" w:ascii="宋体" w:hAnsi="宋体" w:eastAsia="宋体"/>
          <w:color w:val="000000" w:themeColor="text1"/>
          <w:highlight w:val="none"/>
          <w14:textFill>
            <w14:solidFill>
              <w14:schemeClr w14:val="tx1"/>
            </w14:solidFill>
          </w14:textFill>
        </w:rPr>
        <w:t>重新提交响应文件和最后报价</w:t>
      </w:r>
      <w:bookmarkEnd w:id="44"/>
    </w:p>
    <w:p w14:paraId="24D3129E">
      <w:pPr>
        <w:overflowPunct/>
        <w:topLinePunct/>
        <w:bidi w:val="0"/>
        <w:spacing w:line="400" w:lineRule="exact"/>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应当按照磋商文件的变动情况和磋商小组的要求重新提交响应文件，并由其法定代表人或授权代表签字或者加盖公章。由授权代表签字的，应当附法定代表人授权书。</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为自然人的，应当由本人签字并附身份证明</w:t>
      </w:r>
      <w:r>
        <w:rPr>
          <w:rFonts w:hint="eastAsia" w:ascii="宋体" w:hAnsi="宋体"/>
          <w:color w:val="000000" w:themeColor="text1"/>
          <w:szCs w:val="21"/>
          <w:highlight w:val="none"/>
          <w:lang w:val="en-US" w:eastAsia="zh-CN"/>
          <w14:textFill>
            <w14:solidFill>
              <w14:schemeClr w14:val="tx1"/>
            </w14:solidFill>
          </w14:textFill>
        </w:rPr>
        <w:t>扫描件</w:t>
      </w:r>
      <w:r>
        <w:rPr>
          <w:rFonts w:hint="eastAsia" w:ascii="宋体" w:hAnsi="宋体"/>
          <w:color w:val="000000" w:themeColor="text1"/>
          <w:szCs w:val="21"/>
          <w:highlight w:val="none"/>
          <w14:textFill>
            <w14:solidFill>
              <w14:schemeClr w14:val="tx1"/>
            </w14:solidFill>
          </w14:textFill>
        </w:rPr>
        <w:t>。</w:t>
      </w:r>
    </w:p>
    <w:p w14:paraId="2AB2E1BC">
      <w:pPr>
        <w:overflowPunct/>
        <w:topLinePunct/>
        <w:bidi w:val="0"/>
        <w:spacing w:line="400" w:lineRule="exact"/>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磋商结束后，磋商小组应当要求所有实质性响应的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在规定时间内提交最后报价。</w:t>
      </w:r>
    </w:p>
    <w:p w14:paraId="2271284A">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3.5详细评审</w:t>
      </w:r>
    </w:p>
    <w:p w14:paraId="69AA10B5">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3.5.1最后报价结束后，磋商小组依据本章第2.2款规定的标准，对提交最后报价的</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的响应文件和最后报价进行综合评分。</w:t>
      </w:r>
    </w:p>
    <w:p w14:paraId="0AF2FC14">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(1）按本章第2.2.4(1）目规定的评审因素和分值对</w:t>
      </w:r>
      <w:r>
        <w:rPr>
          <w:rFonts w:hint="eastAsia" w:ascii="宋体" w:hAnsi="宋体"/>
          <w:color w:val="000000" w:themeColor="text1"/>
          <w:szCs w:val="21"/>
          <w:highlight w:val="none"/>
          <w:lang w:val="en-US" w:eastAsia="zh-CN"/>
          <w14:textFill>
            <w14:solidFill>
              <w14:schemeClr w14:val="tx1"/>
            </w14:solidFill>
          </w14:textFill>
        </w:rPr>
        <w:t>商务因素</w:t>
      </w:r>
      <w:r>
        <w:rPr>
          <w:rFonts w:hint="eastAsia" w:ascii="宋体" w:hAnsi="宋体"/>
          <w:color w:val="000000" w:themeColor="text1"/>
          <w:szCs w:val="21"/>
          <w:highlight w:val="none"/>
          <w14:textFill>
            <w14:solidFill>
              <w14:schemeClr w14:val="tx1"/>
            </w14:solidFill>
          </w14:textFill>
        </w:rPr>
        <w:t>计算出得分A ；</w:t>
      </w:r>
    </w:p>
    <w:p w14:paraId="2EAA95FE">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(2）按本章第2.2.4(2）目规定的评审因素和分值对</w:t>
      </w:r>
      <w:r>
        <w:rPr>
          <w:rFonts w:hint="eastAsia" w:ascii="宋体" w:hAnsi="宋体"/>
          <w:color w:val="000000" w:themeColor="text1"/>
          <w:szCs w:val="21"/>
          <w:highlight w:val="none"/>
          <w:lang w:val="en-US" w:eastAsia="zh-CN"/>
          <w14:textFill>
            <w14:solidFill>
              <w14:schemeClr w14:val="tx1"/>
            </w14:solidFill>
          </w14:textFill>
        </w:rPr>
        <w:t>磋商报价</w:t>
      </w:r>
      <w:r>
        <w:rPr>
          <w:rFonts w:hint="eastAsia" w:ascii="宋体" w:hAnsi="宋体"/>
          <w:color w:val="000000" w:themeColor="text1"/>
          <w:szCs w:val="21"/>
          <w:highlight w:val="none"/>
          <w14:textFill>
            <w14:solidFill>
              <w14:schemeClr w14:val="tx1"/>
            </w14:solidFill>
          </w14:textFill>
        </w:rPr>
        <w:t>计算出得分B；</w:t>
      </w:r>
    </w:p>
    <w:p w14:paraId="0F305C7A">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(3）按本章第2.2.4(3）目规定的评审因素和分值对</w:t>
      </w:r>
      <w:r>
        <w:rPr>
          <w:rFonts w:hint="eastAsia" w:ascii="宋体" w:hAnsi="宋体"/>
          <w:color w:val="000000" w:themeColor="text1"/>
          <w:szCs w:val="21"/>
          <w:highlight w:val="none"/>
          <w:lang w:val="en-US" w:eastAsia="zh-CN"/>
          <w14:textFill>
            <w14:solidFill>
              <w14:schemeClr w14:val="tx1"/>
            </w14:solidFill>
          </w14:textFill>
        </w:rPr>
        <w:t>技术因素</w:t>
      </w:r>
      <w:r>
        <w:rPr>
          <w:rFonts w:hint="eastAsia" w:ascii="宋体" w:hAnsi="宋体"/>
          <w:color w:val="000000" w:themeColor="text1"/>
          <w:szCs w:val="21"/>
          <w:highlight w:val="none"/>
          <w14:textFill>
            <w14:solidFill>
              <w14:schemeClr w14:val="tx1"/>
            </w14:solidFill>
          </w14:textFill>
        </w:rPr>
        <w:t>计算出得分C；</w:t>
      </w:r>
    </w:p>
    <w:p w14:paraId="09C472A0">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(4）按本章第2.2.4(4）目规定的评审因素和分值对其他</w:t>
      </w:r>
      <w:r>
        <w:rPr>
          <w:rFonts w:hint="eastAsia" w:ascii="宋体" w:hAnsi="宋体"/>
          <w:color w:val="000000" w:themeColor="text1"/>
          <w:szCs w:val="21"/>
          <w:highlight w:val="none"/>
          <w:lang w:val="en-US" w:eastAsia="zh-CN"/>
          <w14:textFill>
            <w14:solidFill>
              <w14:schemeClr w14:val="tx1"/>
            </w14:solidFill>
          </w14:textFill>
        </w:rPr>
        <w:t>因素</w:t>
      </w:r>
      <w:r>
        <w:rPr>
          <w:rFonts w:hint="eastAsia" w:ascii="宋体" w:hAnsi="宋体"/>
          <w:color w:val="000000" w:themeColor="text1"/>
          <w:szCs w:val="21"/>
          <w:highlight w:val="none"/>
          <w14:textFill>
            <w14:solidFill>
              <w14:schemeClr w14:val="tx1"/>
            </w14:solidFill>
          </w14:textFill>
        </w:rPr>
        <w:t>计算出得分D 。</w:t>
      </w:r>
    </w:p>
    <w:p w14:paraId="7DB8302E">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3.5.2 评分分值计算保留小数点后两位，小数点后第三位“四舍五入”。</w:t>
      </w:r>
    </w:p>
    <w:p w14:paraId="721D6194">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3.5.3 </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得分=A十B十C十D 。</w:t>
      </w:r>
    </w:p>
    <w:p w14:paraId="4B674B6C">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3.5.4 依据财政部第87号令第60条：评标委员会发现供应商的报价明显低于其他通过符合性审查供应商的报价，有可能影响产品质量或者不能诚信履约的，应当要求该供应商在评标现场四十分钟内作出书面说明证明其报价的合理性并提供相应的证明材料。供应商不能合理说明其报价的合理性或者不能提供相应证明材料的，由评标委员会认定该供应商以恶意畸低报价竞标，其投标将被否决。</w:t>
      </w:r>
    </w:p>
    <w:p w14:paraId="4B12B2E9">
      <w:pPr>
        <w:overflowPunct/>
        <w:bidi w:val="0"/>
        <w:outlineLvl w:val="9"/>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3.4 评审结果</w:t>
      </w:r>
    </w:p>
    <w:p w14:paraId="562B0951">
      <w:pPr>
        <w:overflowPunct/>
        <w:bidi w:val="0"/>
        <w:spacing w:line="360" w:lineRule="auto"/>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3.4.1 除第二章“</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须知”前附表授权直接确定中标成交单位外，磋商小组按照得分高到低的顺序推荐成交候选人。</w:t>
      </w:r>
    </w:p>
    <w:p w14:paraId="476E2698">
      <w:pPr>
        <w:overflowPunct/>
        <w:bidi w:val="0"/>
        <w:spacing w:line="360" w:lineRule="auto"/>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3.4.2 磋商小组完成评审工作后，应当向采购人提交书面评审报告。</w:t>
      </w:r>
    </w:p>
    <w:p w14:paraId="375A6D88">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b/>
          <w:bCs/>
          <w:color w:val="000000" w:themeColor="text1"/>
          <w:sz w:val="36"/>
          <w:szCs w:val="36"/>
          <w:highlight w:val="none"/>
          <w:lang w:val="en-US" w:eastAsia="zh-CN"/>
          <w14:textFill>
            <w14:solidFill>
              <w14:schemeClr w14:val="tx1"/>
            </w14:solidFill>
          </w14:textFill>
        </w:rPr>
      </w:pPr>
      <w:bookmarkStart w:id="45" w:name="_Toc5702"/>
      <w:bookmarkStart w:id="46" w:name="_Toc25189"/>
      <w:r>
        <w:rPr>
          <w:rFonts w:hint="eastAsia"/>
          <w:b/>
          <w:bCs/>
          <w:color w:val="000000" w:themeColor="text1"/>
          <w:sz w:val="36"/>
          <w:szCs w:val="36"/>
          <w:highlight w:val="none"/>
          <w:lang w:val="en-US" w:eastAsia="zh-CN"/>
          <w14:textFill>
            <w14:solidFill>
              <w14:schemeClr w14:val="tx1"/>
            </w14:solidFill>
          </w14:textFill>
        </w:rPr>
        <w:t>第三章 合同条款及格式</w:t>
      </w:r>
      <w:bookmarkEnd w:id="45"/>
      <w:bookmarkEnd w:id="46"/>
    </w:p>
    <w:p w14:paraId="2B8BD7EC">
      <w:pPr>
        <w:pStyle w:val="16"/>
        <w:overflowPunct/>
        <w:bidi w:val="0"/>
        <w:spacing w:line="360" w:lineRule="auto"/>
        <w:ind w:left="0" w:leftChars="0" w:firstLine="0" w:firstLineChars="0"/>
        <w:jc w:val="both"/>
        <w:outlineLvl w:val="9"/>
        <w:rPr>
          <w:color w:val="000000" w:themeColor="text1"/>
          <w:highlight w:val="none"/>
          <w14:textFill>
            <w14:solidFill>
              <w14:schemeClr w14:val="tx1"/>
            </w14:solidFill>
          </w14:textFill>
        </w:rPr>
      </w:pPr>
    </w:p>
    <w:p w14:paraId="2E51D829">
      <w:pPr>
        <w:keepNext/>
        <w:keepLines/>
        <w:pageBreakBefore w:val="0"/>
        <w:widowControl/>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color w:val="000000" w:themeColor="text1"/>
          <w:sz w:val="36"/>
          <w:szCs w:val="36"/>
          <w:highlight w:val="none"/>
          <w:lang w:eastAsia="zh-CN"/>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政府采购合同条款及格式</w:t>
      </w:r>
      <w:r>
        <w:rPr>
          <w:rFonts w:hint="eastAsia" w:ascii="宋体" w:hAnsi="宋体" w:eastAsia="宋体" w:cs="宋体"/>
          <w:color w:val="000000" w:themeColor="text1"/>
          <w:sz w:val="36"/>
          <w:szCs w:val="36"/>
          <w:highlight w:val="none"/>
          <w:lang w:eastAsia="zh-CN"/>
          <w14:textFill>
            <w14:solidFill>
              <w14:schemeClr w14:val="tx1"/>
            </w14:solidFill>
          </w14:textFill>
        </w:rPr>
        <w:t>（参考）</w:t>
      </w:r>
    </w:p>
    <w:p w14:paraId="35312B6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合同编号：</w:t>
      </w:r>
    </w:p>
    <w:p w14:paraId="47B8F696">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签订地点： </w:t>
      </w:r>
    </w:p>
    <w:p w14:paraId="25C31726">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签订日期：</w:t>
      </w:r>
    </w:p>
    <w:p w14:paraId="13BA4065">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采购任务编号：</w:t>
      </w:r>
    </w:p>
    <w:p w14:paraId="7529E28B">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（需方）需求的“             ”（货物名称）经        以编号为      的招标文件在国内公开招标，经评标委员会评定                        （供方）（包号）为中标单位。供需双方按照《中华人民共和国</w:t>
      </w:r>
      <w:r>
        <w:rPr>
          <w:rFonts w:hint="eastAsia" w:ascii="宋体" w:hAnsi="宋体" w:cs="Times New Roman"/>
          <w:color w:val="000000" w:themeColor="text1"/>
          <w:szCs w:val="21"/>
          <w:highlight w:val="none"/>
          <w:lang w:eastAsia="zh-CN"/>
          <w14:textFill>
            <w14:solidFill>
              <w14:schemeClr w14:val="tx1"/>
            </w14:solidFill>
          </w14:textFill>
        </w:rPr>
        <w:t>民法典</w:t>
      </w:r>
      <w:r>
        <w:rPr>
          <w:rFonts w:hint="eastAsia" w:ascii="宋体" w:hAnsi="宋体" w:eastAsia="宋体" w:cs="Times New Roman"/>
          <w:color w:val="000000" w:themeColor="text1"/>
          <w:szCs w:val="21"/>
          <w:highlight w:val="none"/>
          <w14:textFill>
            <w14:solidFill>
              <w14:schemeClr w14:val="tx1"/>
            </w14:solidFill>
          </w14:textFill>
        </w:rPr>
        <w:t>》和有关法律法规，遵循平等、自愿、公平和诚实信用原则，同意按照下面的条款和条件订立本合同，共同信守。</w:t>
      </w:r>
    </w:p>
    <w:p w14:paraId="7A486EF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一、货物名称、品牌、规格、数量</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48"/>
        <w:gridCol w:w="1152"/>
        <w:gridCol w:w="2520"/>
        <w:gridCol w:w="900"/>
        <w:gridCol w:w="1260"/>
        <w:gridCol w:w="2004"/>
      </w:tblGrid>
      <w:tr w14:paraId="2E7692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1548" w:type="dxa"/>
            <w:vAlign w:val="center"/>
          </w:tcPr>
          <w:p w14:paraId="1A146AB7">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货物名称</w:t>
            </w:r>
          </w:p>
        </w:tc>
        <w:tc>
          <w:tcPr>
            <w:tcW w:w="1152" w:type="dxa"/>
            <w:vAlign w:val="center"/>
          </w:tcPr>
          <w:p w14:paraId="0D217E0C">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品牌</w:t>
            </w:r>
          </w:p>
        </w:tc>
        <w:tc>
          <w:tcPr>
            <w:tcW w:w="2520" w:type="dxa"/>
            <w:vAlign w:val="center"/>
          </w:tcPr>
          <w:p w14:paraId="65F9A4F3">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规格型号及配置</w:t>
            </w:r>
          </w:p>
        </w:tc>
        <w:tc>
          <w:tcPr>
            <w:tcW w:w="900" w:type="dxa"/>
            <w:vAlign w:val="center"/>
          </w:tcPr>
          <w:p w14:paraId="33329C6F">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数量</w:t>
            </w:r>
          </w:p>
        </w:tc>
        <w:tc>
          <w:tcPr>
            <w:tcW w:w="1260" w:type="dxa"/>
            <w:vAlign w:val="center"/>
          </w:tcPr>
          <w:p w14:paraId="29C18F9F">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单价(元)</w:t>
            </w:r>
          </w:p>
        </w:tc>
        <w:tc>
          <w:tcPr>
            <w:tcW w:w="2004" w:type="dxa"/>
            <w:vAlign w:val="center"/>
          </w:tcPr>
          <w:p w14:paraId="5B4B96E1">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小计金额(元)</w:t>
            </w:r>
          </w:p>
        </w:tc>
      </w:tr>
      <w:tr w14:paraId="513AC6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2160EFBD">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p>
        </w:tc>
        <w:tc>
          <w:tcPr>
            <w:tcW w:w="1152" w:type="dxa"/>
            <w:vAlign w:val="center"/>
          </w:tcPr>
          <w:p w14:paraId="6ECD9C58">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p>
        </w:tc>
        <w:tc>
          <w:tcPr>
            <w:tcW w:w="2520" w:type="dxa"/>
            <w:vAlign w:val="center"/>
          </w:tcPr>
          <w:p w14:paraId="13252104">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p>
        </w:tc>
        <w:tc>
          <w:tcPr>
            <w:tcW w:w="900" w:type="dxa"/>
            <w:vAlign w:val="center"/>
          </w:tcPr>
          <w:p w14:paraId="02559675">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p>
        </w:tc>
        <w:tc>
          <w:tcPr>
            <w:tcW w:w="1260" w:type="dxa"/>
            <w:vAlign w:val="center"/>
          </w:tcPr>
          <w:p w14:paraId="631A4D04">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p>
        </w:tc>
        <w:tc>
          <w:tcPr>
            <w:tcW w:w="2004" w:type="dxa"/>
            <w:vAlign w:val="center"/>
          </w:tcPr>
          <w:p w14:paraId="4023358F">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p>
        </w:tc>
      </w:tr>
      <w:tr w14:paraId="6B0A08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28779F0D">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p>
        </w:tc>
        <w:tc>
          <w:tcPr>
            <w:tcW w:w="1152" w:type="dxa"/>
            <w:vAlign w:val="center"/>
          </w:tcPr>
          <w:p w14:paraId="0BFB306B">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p>
        </w:tc>
        <w:tc>
          <w:tcPr>
            <w:tcW w:w="2520" w:type="dxa"/>
            <w:vAlign w:val="center"/>
          </w:tcPr>
          <w:p w14:paraId="6E0F7E5E">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p>
        </w:tc>
        <w:tc>
          <w:tcPr>
            <w:tcW w:w="900" w:type="dxa"/>
            <w:vAlign w:val="center"/>
          </w:tcPr>
          <w:p w14:paraId="4A70E2F7">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p>
        </w:tc>
        <w:tc>
          <w:tcPr>
            <w:tcW w:w="1260" w:type="dxa"/>
            <w:vAlign w:val="center"/>
          </w:tcPr>
          <w:p w14:paraId="371E269E">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p>
        </w:tc>
        <w:tc>
          <w:tcPr>
            <w:tcW w:w="2004" w:type="dxa"/>
            <w:vAlign w:val="center"/>
          </w:tcPr>
          <w:p w14:paraId="5D7CACA3">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p>
        </w:tc>
      </w:tr>
      <w:tr w14:paraId="689625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477BDE43">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p>
        </w:tc>
        <w:tc>
          <w:tcPr>
            <w:tcW w:w="1152" w:type="dxa"/>
            <w:vAlign w:val="center"/>
          </w:tcPr>
          <w:p w14:paraId="551A9ED2">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p>
        </w:tc>
        <w:tc>
          <w:tcPr>
            <w:tcW w:w="2520" w:type="dxa"/>
            <w:vAlign w:val="center"/>
          </w:tcPr>
          <w:p w14:paraId="784C7A09">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p>
        </w:tc>
        <w:tc>
          <w:tcPr>
            <w:tcW w:w="900" w:type="dxa"/>
            <w:vAlign w:val="center"/>
          </w:tcPr>
          <w:p w14:paraId="15A25E7C">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p>
        </w:tc>
        <w:tc>
          <w:tcPr>
            <w:tcW w:w="1260" w:type="dxa"/>
            <w:vAlign w:val="center"/>
          </w:tcPr>
          <w:p w14:paraId="3E6D7A0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p>
        </w:tc>
        <w:tc>
          <w:tcPr>
            <w:tcW w:w="2004" w:type="dxa"/>
            <w:vAlign w:val="center"/>
          </w:tcPr>
          <w:p w14:paraId="31AD3682">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p>
        </w:tc>
      </w:tr>
    </w:tbl>
    <w:p w14:paraId="0D1FA9F3">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二、合同价款</w:t>
      </w:r>
    </w:p>
    <w:p w14:paraId="3852122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2.1合同总价：人民币（大写）              元，（小写）            元。</w:t>
      </w:r>
    </w:p>
    <w:p w14:paraId="64719048">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三、交货地点及交货时间</w:t>
      </w:r>
    </w:p>
    <w:p w14:paraId="456CBC64">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合同订立后   个工作日内，将相关设备送至需方指定位置，并负责相关要求安装调试。</w:t>
      </w:r>
      <w:r>
        <w:rPr>
          <w:rFonts w:hint="eastAsia" w:ascii="宋体" w:hAnsi="宋体" w:eastAsia="宋体" w:cs="Times New Roman"/>
          <w:color w:val="000000" w:themeColor="text1"/>
          <w:szCs w:val="21"/>
          <w:highlight w:val="none"/>
          <w:lang w:val="zh-CN"/>
          <w14:textFill>
            <w14:solidFill>
              <w14:schemeClr w14:val="tx1"/>
            </w14:solidFill>
          </w14:textFill>
        </w:rPr>
        <w:t>如果供方没有按照合同规定的时间交货和提供服务，供方应向需方支付误期赔偿费。误期赔偿费每天按迟交货物的交货价或延期服务的服务费用的百分之一（1%）计收，直至交货或提供服务为止。一天按24小时计算，不足一天按一天计算。但误期赔偿费的最高限额不超过合同价的百分之五（5%）。</w:t>
      </w:r>
    </w:p>
    <w:p w14:paraId="04C608ED">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付款 </w:t>
      </w:r>
    </w:p>
    <w:p w14:paraId="77469BBB">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 xml:space="preserve"> 4.1</w:t>
      </w:r>
      <w:r>
        <w:rPr>
          <w:rFonts w:hint="eastAsia" w:ascii="宋体" w:hAnsi="宋体" w:eastAsia="宋体" w:cs="Times New Roman"/>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szCs w:val="21"/>
          <w:highlight w:val="none"/>
          <w:lang w:val="zh-CN"/>
          <w14:textFill>
            <w14:solidFill>
              <w14:schemeClr w14:val="tx1"/>
            </w14:solidFill>
          </w14:textFill>
        </w:rPr>
        <w:t>货到验收合格后付</w:t>
      </w:r>
      <w:r>
        <w:rPr>
          <w:rFonts w:hint="eastAsia" w:ascii="宋体" w:hAnsi="宋体" w:eastAsia="宋体" w:cs="Times New Roman"/>
          <w:color w:val="000000" w:themeColor="text1"/>
          <w:szCs w:val="21"/>
          <w:highlight w:val="none"/>
          <w14:textFill>
            <w14:solidFill>
              <w14:schemeClr w14:val="tx1"/>
            </w14:solidFill>
          </w14:textFill>
        </w:rPr>
        <w:t xml:space="preserve">          货款</w:t>
      </w:r>
      <w:r>
        <w:rPr>
          <w:rFonts w:hint="eastAsia" w:ascii="宋体" w:hAnsi="宋体" w:eastAsia="宋体" w:cs="Times New Roman"/>
          <w:color w:val="000000" w:themeColor="text1"/>
          <w:szCs w:val="21"/>
          <w:highlight w:val="none"/>
          <w:lang w:val="zh-CN"/>
          <w14:textFill>
            <w14:solidFill>
              <w14:schemeClr w14:val="tx1"/>
            </w14:solidFill>
          </w14:textFill>
        </w:rPr>
        <w:t>。</w:t>
      </w:r>
    </w:p>
    <w:p w14:paraId="562D6437">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五、施工</w:t>
      </w:r>
    </w:p>
    <w:p w14:paraId="38381BF4">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六、验收（严格执行国家相关标准和招标文件要求）。</w:t>
      </w:r>
    </w:p>
    <w:p w14:paraId="3FAFA457">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七、知识产权及有关规定</w:t>
      </w:r>
    </w:p>
    <w:p w14:paraId="280631EB">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7.1 供方应保证需方在使用本合同项下的货物或其任何一部分时免受第三方提出侵犯其知识产权、商标权或工业设计权的起诉。如果发生此类问题，供方应负责交涉并承担一切费用和责任。</w:t>
      </w:r>
    </w:p>
    <w:p w14:paraId="4C3F9752">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7.2 供方应保证所供货物符合国家的有关规定。</w:t>
      </w:r>
    </w:p>
    <w:p w14:paraId="2F8F8B34">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八、伴随服务</w:t>
      </w:r>
    </w:p>
    <w:p w14:paraId="24BC0E75">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8.1供方应提供所交付货物的全套技术文件资料，包括产品目录、图纸、操作手册、使用说明、维护手册和服务指南等。</w:t>
      </w:r>
    </w:p>
    <w:p w14:paraId="0C42A9ED">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8.2供方还应提供下列服务：货物的运输、集成和试运行；提供货物组装和维修所需的工具；在质量保证期内对所交付货物提供运行监督、维修、保养等；在制造厂家和/或在项目现场就货物的安装调试、运行、维护等对需方人员进行培训。</w:t>
      </w:r>
    </w:p>
    <w:p w14:paraId="00AD6417">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8.3上述伴随服务的费用应包含在合同价中，不单独进行支付。</w:t>
      </w:r>
    </w:p>
    <w:p w14:paraId="40AF6DA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九、质量保证期及售后服务</w:t>
      </w:r>
    </w:p>
    <w:p w14:paraId="5D54CFBB">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9.1 质量保证期：  </w:t>
      </w:r>
    </w:p>
    <w:p w14:paraId="09D3D053">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9.2 售后服务要求：</w:t>
      </w:r>
    </w:p>
    <w:p w14:paraId="58E647B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十、质量保证</w:t>
      </w:r>
    </w:p>
    <w:p w14:paraId="47D06F81">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10.1 供方应保证所提供的货物是原制造厂商制造的、经过合法销售渠道取得的、全新的、未使用过的，并完全符合合同规定的品牌、规格型号、技术性能、配置、质量、数量等要求。供方应保证其所提供的货物在正常使用和保养条件下，在其使用寿命期内具有满意的性能。在货物最终验收合格交付后不少于本合同第八条约定的质量保证期内，供方应对其交付的货物由于设计、工艺或材料的缺陷而产生的故障负责。</w:t>
      </w:r>
    </w:p>
    <w:p w14:paraId="238A34D1">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10.2 在质量保证期内，如果货物的规格型号、技术性能、原产地及制造厂商以及其他质量技术指标与合同约定不符，或证实货物是有缺陷的，包括潜在的缺陷或使用不符合要求的材料等，需方应尽快以书面形式向供方提出本保证下的索赔。</w:t>
      </w:r>
    </w:p>
    <w:p w14:paraId="3A23DEA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10.3在质量保证期内，供方在接到需方的通知后，应在本合同第八条约定的响应时间内,免费维修和/或更换有缺陷的货物或部件。</w:t>
      </w:r>
    </w:p>
    <w:p w14:paraId="22140907">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10.4 如果供方在接到需方通知后，在本合同第八条约定的响应时间内没有弥补缺陷，需方可采取必要的补救措施，但其风险和费用将由供方负担，并且需方根据合同规定对供方行使的其他权利不受影响。</w:t>
      </w:r>
    </w:p>
    <w:p w14:paraId="0EDAC264">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十一、索赔</w:t>
      </w:r>
    </w:p>
    <w:p w14:paraId="7056E1DD">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11.1需方有权根据当地国家技术监督局、进出口商品检验局或其他具有法定资格的质检机构出具的检验证书向供方提出索赔。</w:t>
      </w:r>
    </w:p>
    <w:p w14:paraId="01D1E4CB">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11.2如果供方对缺陷负有责任而需方提出索赔，供方应按照需方同意的下列一种或多种方式解决索赔事宜：</w:t>
      </w:r>
    </w:p>
    <w:p w14:paraId="144FF48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（1）供方同意退货并用合同规定的货币将货款退还给需方，并承担由此发生的一切损失和费用，包括利息、银行手续费、运费、保险费、检验费、仓储费、装卸费以及为保护退回货物所需的其他必要费用。</w:t>
      </w:r>
    </w:p>
    <w:p w14:paraId="1F927D95">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（2）根据货物低劣、损坏程度以及需方所遭受损失的金额，经过供需双方商定降低货物的价格。</w:t>
      </w:r>
    </w:p>
    <w:p w14:paraId="61D8741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用符合合同规定的规格、质量和性能要求的新零件、部件和／或设备来更换有缺陷的部分和／或修补缺陷部分，供方应承担一切费用和风险，并负担需方蒙受的全部直接损失。供方应同时按合同第八条的规定，相应延长修补和／或更换件的质量保证期。</w:t>
      </w:r>
    </w:p>
    <w:p w14:paraId="32125865">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11.3如果在需方发出索赔通知后十天内，供方未作答复，上述索赔应视为已被供方接受。如供方未能在接到需方索赔通知后十天内或需方同意的延长期限内，按照本合同第10.2条规定的任何一种或多种方式解决索赔事宜并征得需方同意，需方有权通过采购方从应付货款或从供方提交的履约保证金中扣回索赔金额，并拥有对赔偿不足部分进一步索赔的权利。</w:t>
      </w:r>
    </w:p>
    <w:p w14:paraId="5A60FBF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十二、供方履约延误</w:t>
      </w:r>
    </w:p>
    <w:p w14:paraId="212F0F0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12.1 供方应按照合同规定的时间、地点交货和提供服务。</w:t>
      </w:r>
    </w:p>
    <w:p w14:paraId="730979FD">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12.2 如供方无正当理由拖延交货或不按投标文件提供服务，将受到以下制裁：没收履约保证金、加收误期赔偿和／或违约终止合同。</w:t>
      </w:r>
    </w:p>
    <w:p w14:paraId="1DD50C98">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12.3 在履行合同过程中，如果供方遇到可能妨碍其按时交货和提供服务的情况，应及时以书面形式将拖延的事实，可能拖延的期限和理由通知需方。需方在收到供方通知后，应尽快对情况进行评价，并确定是否通过修改合同，酌情延长交货时间和/或延期提供服务，或者终止合同。</w:t>
      </w:r>
    </w:p>
    <w:p w14:paraId="0B7259F6">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十三、误期赔偿</w:t>
      </w:r>
    </w:p>
    <w:p w14:paraId="696187E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13.1除合同第14条规定外，如果供方没有按照合同规定的时间交货和提供服务，供方应向需方支付误期赔偿费。误期赔偿费每天按迟交货物的交货价或延期服务的服务费用的百分之一（1%）计收，直至交货或提供服务为止。一天按24小时计算，不足一天按一一天计算。但误期赔偿费的最高限额不超过合同价的百分之五（5%）。</w:t>
      </w:r>
    </w:p>
    <w:p w14:paraId="1D6CC942">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13.2误期赔偿费可从应付货款和/或履约保证金中扣除。</w:t>
      </w:r>
    </w:p>
    <w:p w14:paraId="3F72BE3C">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13.3收取误期赔偿费不影响需方采取合同规定的其他补救措施的权利。</w:t>
      </w:r>
    </w:p>
    <w:p w14:paraId="4480921E">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13.4供方如未能按本合同第九条规定进行售后服务，在收到需方县级远程办书面故障处理通知之日起一个月内仍未能解决故障，需方将按出现故障设备供货价格扣除质量保证金。</w:t>
      </w:r>
    </w:p>
    <w:p w14:paraId="10FD8173">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13.5在收取误期赔偿费期间，需方有权决定是否终止合同。</w:t>
      </w:r>
    </w:p>
    <w:p w14:paraId="1F21674C">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十四、履约保证金</w:t>
      </w:r>
    </w:p>
    <w:p w14:paraId="24343991">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14.1 中标供应商接到中标通知书后，合同签订前向采购人缴纳中标金额的5%做为履约保证金。</w:t>
      </w:r>
    </w:p>
    <w:p w14:paraId="65FE52AF">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14.2 履约金返还的时间和条件：</w:t>
      </w:r>
      <w:r>
        <w:rPr>
          <w:rFonts w:hint="eastAsia" w:ascii="宋体" w:hAnsi="宋体" w:eastAsia="宋体" w:cs="Times New Roman"/>
          <w:color w:val="000000" w:themeColor="text1"/>
          <w:szCs w:val="21"/>
          <w:highlight w:val="none"/>
          <w:lang w:val="en-US" w:eastAsia="zh-CN"/>
          <w14:textFill>
            <w14:solidFill>
              <w14:schemeClr w14:val="tx1"/>
            </w14:solidFill>
          </w14:textFill>
        </w:rPr>
        <w:t>按相关规定执行</w:t>
      </w:r>
      <w:r>
        <w:rPr>
          <w:rFonts w:hint="eastAsia" w:ascii="宋体" w:hAnsi="宋体" w:eastAsia="宋体" w:cs="Times New Roman"/>
          <w:color w:val="000000" w:themeColor="text1"/>
          <w:szCs w:val="21"/>
          <w:highlight w:val="none"/>
          <w14:textFill>
            <w14:solidFill>
              <w14:schemeClr w14:val="tx1"/>
            </w14:solidFill>
          </w14:textFill>
        </w:rPr>
        <w:t>。</w:t>
      </w:r>
    </w:p>
    <w:p w14:paraId="580C1F3C">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十五、不可抗力</w:t>
      </w:r>
    </w:p>
    <w:p w14:paraId="6F1DBD72">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15.1 如果供需双方因不可抗力而导致合同实施延误或不能履行合同义务，不应该承担误期赔偿或不能履行合同义务的责任。</w:t>
      </w:r>
    </w:p>
    <w:p w14:paraId="082A149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15.2 本条所述的“不可抗力”系指那些双方无法控制，不可预见的事件，但不包括供需双方的违约或疏忽。这些事件包括但不限于：战争、严重火灾、洪水、台风、地震以及其它供需双方商定的事件(供需双方认定国家政策重大变化属不可抗力)。</w:t>
      </w:r>
    </w:p>
    <w:p w14:paraId="55C6144E">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15.3 在不可抗力事件发生后，当事方应尽快以书面形式将不可抗力的情况和原因通知对方。供需双方应尽实际可能继续履行合同义务，并积极寻求采取合理的方案履行不受不可抗力影响的其他事项。供需双方应通过友好协商在合理的时间内达成进一步履行合同的协议。</w:t>
      </w:r>
    </w:p>
    <w:p w14:paraId="1BFE23A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十六、税费</w:t>
      </w:r>
    </w:p>
    <w:p w14:paraId="747F402E">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16.1 根据现行法律规定对需方征收的与本合同有关的一切税费均由需方负担。</w:t>
      </w:r>
    </w:p>
    <w:p w14:paraId="2B37FCFB">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16.2 根据现行法律规定对供方征收的与本合同有关的一切税费均由供方负担。</w:t>
      </w:r>
    </w:p>
    <w:p w14:paraId="124C5D93">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16.3 在中国境外发生的与执行本合同有关的一切税费均由供方负担。</w:t>
      </w:r>
    </w:p>
    <w:p w14:paraId="15FFD273">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十七、争端的解决</w:t>
      </w:r>
    </w:p>
    <w:p w14:paraId="09B3C547">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17.1 供需双方应通过友好协商，解决在执行本合同过程中所发生的或与本合同有关的一切争端。如从协商开始十（10）天内仍不能解决，可以向有关合同管理部门提请调解。</w:t>
      </w:r>
    </w:p>
    <w:p w14:paraId="0225B57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17.2 如果调解不成，供需双方的任何一方可以向人民法院提起诉讼。诉讼由合同签订地人民法院管辖。</w:t>
      </w:r>
    </w:p>
    <w:p w14:paraId="393E19AD">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17.3诉讼费除法院另有裁决外均由败诉方负担。</w:t>
      </w:r>
    </w:p>
    <w:p w14:paraId="0C1C095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17.4在诉讼期间，除正在进行诉讼的部分外，本合同的其它部分应继续执行。</w:t>
      </w:r>
    </w:p>
    <w:p w14:paraId="34AA23A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十八、违约终止合同</w:t>
      </w:r>
    </w:p>
    <w:p w14:paraId="157AAC7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18.1 在需方因供方违约而按合同约定采取的任何补救措施不受影响的情况下，需方可在下列情况下向供方发出书面通知，提出终止部分或全部合同。</w:t>
      </w:r>
    </w:p>
    <w:p w14:paraId="75B69979">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（1）如果供方未能在合同规定的限期或需方同意延长的限期内提供部分或全部货物和服务。</w:t>
      </w:r>
    </w:p>
    <w:p w14:paraId="55CEAB8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（2）如果供方未能履行合同规定的其它任何义务。</w:t>
      </w:r>
    </w:p>
    <w:p w14:paraId="39B5B67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3）如果需方认为供方在本合同的竞争或实施中有腐败和欺诈行为。为此，定义如下：“腐败行为”是指提供、给予、接受或索取任何有价值的东西来影响采购人员在采购过程或合同实施过程中的行为；“欺诈行为”是指为了影响采购过程或合同实施过程而谎报事实，损害采购人的利益，包括供货单位之间串通，人为地使供货活动丧失竞争性，损害采购人所能获得的权益。</w:t>
      </w:r>
    </w:p>
    <w:p w14:paraId="1AF39323">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18.2 如果需方根据上述第18.1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3A0430F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十九、破产终止合同</w:t>
      </w:r>
    </w:p>
    <w:p w14:paraId="625D4F62">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19.1 如果供方破产或丧失清偿能力，需方可在任何时候以书面形式通知供方终止合同而不给供方补偿。该终止合同将不损害或影响需方已经采取或将要采取任何补救措施的权力。</w:t>
      </w:r>
    </w:p>
    <w:p w14:paraId="53E21BF4">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二十、合同转让和分包</w:t>
      </w:r>
    </w:p>
    <w:p w14:paraId="4659EEBC">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20.1 供方不得部分转让和分包或全部转让和分包其应履行的合同义务。</w:t>
      </w:r>
    </w:p>
    <w:p w14:paraId="465BBAB3">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二十一、需要补充的合同条款</w:t>
      </w:r>
    </w:p>
    <w:p w14:paraId="116F8EF9">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21.1 根据评标过程中或者商务谈判时商定的条款和条件在订立合同时标明。</w:t>
      </w:r>
    </w:p>
    <w:p w14:paraId="03C1C6B7">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二十二、适用法律</w:t>
      </w:r>
    </w:p>
    <w:p w14:paraId="06C607FF">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22.1 本合同按照中华人民共和国的现行法律进行解释。</w:t>
      </w:r>
    </w:p>
    <w:p w14:paraId="6727100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二十三、合同生效</w:t>
      </w:r>
    </w:p>
    <w:p w14:paraId="292BF168">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    23.1 本合同在供需双方法定代表人或其授权代理人签字并加盖公章并且采购方收到供方提交的履约保证金后生效。 </w:t>
      </w:r>
    </w:p>
    <w:p w14:paraId="6B822651">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二十四、合同附件</w:t>
      </w:r>
    </w:p>
    <w:p w14:paraId="39377C0C">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24.1下列文件构成本合同不可分割的组成部分，与本合同具有同等法律效力：</w:t>
      </w:r>
    </w:p>
    <w:p w14:paraId="2101BADF">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1、招标文件及澄清、补充文件；</w:t>
      </w:r>
    </w:p>
    <w:p w14:paraId="73278EA9">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2、供方的投标文件、在投标期间的书面承诺文件和售后服务承诺书；        </w:t>
      </w:r>
    </w:p>
    <w:p w14:paraId="151D7592">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3、产品样本、说明书、图纸（与合同配置不符之处，以合同为准）；</w:t>
      </w:r>
    </w:p>
    <w:p w14:paraId="30502ACC">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4、中标通知书；</w:t>
      </w:r>
    </w:p>
    <w:p w14:paraId="12F7C349">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5、政府采购验收报告单；</w:t>
      </w:r>
    </w:p>
    <w:p w14:paraId="31AD9619">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6、合同的其他附件：</w:t>
      </w:r>
    </w:p>
    <w:p w14:paraId="526D6316">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上述合同附件如果有不一致之处，以日期在后的和对需方有利的为准。</w:t>
      </w:r>
    </w:p>
    <w:p w14:paraId="0B40F912">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二十五、合同修改</w:t>
      </w:r>
    </w:p>
    <w:p w14:paraId="73815C0C">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25.1除供需双方和采购方签署书面修改、补充协议，并成为本合同不可分割的一部分之外，本合同条件不得有任何变化或修改。</w:t>
      </w:r>
    </w:p>
    <w:p w14:paraId="5EA42668">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二十六、合同备案</w:t>
      </w:r>
    </w:p>
    <w:p w14:paraId="48AF431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26.1自本合同订立之日起七个工作日内，向本级政府采购监督管理部门备案。</w:t>
      </w:r>
    </w:p>
    <w:p w14:paraId="2FCD466D">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十七、政府采购法对政府采购合同变更终止的规定：“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在本合同中，双方当事人指供需双方。</w:t>
      </w:r>
    </w:p>
    <w:p w14:paraId="20D8A314">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需方：                                  供方：</w:t>
      </w:r>
    </w:p>
    <w:p w14:paraId="52C21E33">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地址：                                  地址：</w:t>
      </w:r>
    </w:p>
    <w:p w14:paraId="3A54A7E4">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 xml:space="preserve">法定代表人 ：                           法定代表人 :              </w:t>
      </w:r>
    </w:p>
    <w:p w14:paraId="6D4C01C0">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或授权委托人：                          或授权代理人：</w:t>
      </w:r>
    </w:p>
    <w:p w14:paraId="7D3AFD35">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签字日期：                              签字日期：</w:t>
      </w:r>
    </w:p>
    <w:p w14:paraId="150315A1">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邮政编码：                              邮政编码：</w:t>
      </w:r>
    </w:p>
    <w:p w14:paraId="4D370BBC">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电话：                                  电话：</w:t>
      </w:r>
    </w:p>
    <w:p w14:paraId="6426CF72">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传真：                                  传真：</w:t>
      </w:r>
    </w:p>
    <w:p w14:paraId="43E7BDAB">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联系人：                                联系人：</w:t>
      </w:r>
    </w:p>
    <w:p w14:paraId="465147CB">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开户银行：                              开户银行：</w:t>
      </w:r>
    </w:p>
    <w:p w14:paraId="32694568">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帐户名称:                               帐户名称：</w:t>
      </w:r>
    </w:p>
    <w:p w14:paraId="7344D90A">
      <w:pPr>
        <w:overflowPunct/>
        <w:bidi w:val="0"/>
        <w:spacing w:line="360" w:lineRule="auto"/>
        <w:ind w:firstLine="420" w:firstLineChars="200"/>
        <w:outlineLvl w:val="9"/>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帐号：                                  帐号：</w:t>
      </w:r>
    </w:p>
    <w:p w14:paraId="6220158C">
      <w:pPr>
        <w:overflowPunct/>
        <w:bidi w:val="0"/>
        <w:outlineLvl w:val="9"/>
        <w:rPr>
          <w:rFonts w:hint="eastAsia" w:ascii="宋体" w:hAnsi="宋体" w:eastAsia="宋体" w:cs="宋体"/>
          <w:b/>
          <w:color w:val="000000" w:themeColor="text1"/>
          <w:kern w:val="44"/>
          <w:sz w:val="24"/>
          <w:szCs w:val="24"/>
          <w:highlight w:val="none"/>
          <w:lang w:eastAsia="zh-CN"/>
          <w14:textFill>
            <w14:solidFill>
              <w14:schemeClr w14:val="tx1"/>
            </w14:solidFill>
          </w14:textFill>
        </w:rPr>
      </w:pPr>
      <w:r>
        <w:rPr>
          <w:rFonts w:hint="eastAsia" w:ascii="宋体" w:hAnsi="宋体" w:eastAsia="宋体" w:cs="宋体"/>
          <w:b/>
          <w:color w:val="000000" w:themeColor="text1"/>
          <w:kern w:val="44"/>
          <w:sz w:val="24"/>
          <w:szCs w:val="24"/>
          <w:highlight w:val="none"/>
          <w:lang w:val="en-US" w:eastAsia="zh-CN"/>
          <w14:textFill>
            <w14:solidFill>
              <w14:schemeClr w14:val="tx1"/>
            </w14:solidFill>
          </w14:textFill>
        </w:rPr>
        <w:t>本合同为参考范本，</w:t>
      </w:r>
      <w:r>
        <w:rPr>
          <w:rFonts w:hint="eastAsia" w:ascii="宋体" w:hAnsi="宋体" w:eastAsia="宋体" w:cs="宋体"/>
          <w:b/>
          <w:color w:val="000000" w:themeColor="text1"/>
          <w:kern w:val="44"/>
          <w:sz w:val="24"/>
          <w:szCs w:val="24"/>
          <w:highlight w:val="none"/>
          <w:lang w:eastAsia="zh-CN"/>
          <w14:textFill>
            <w14:solidFill>
              <w14:schemeClr w14:val="tx1"/>
            </w14:solidFill>
          </w14:textFill>
        </w:rPr>
        <w:t>合同协议条款将由采购人（甲方）与成交人（乙方）结合磋商文件、响应文件和本项目具体情况协商后签订。具体以实际签订合同为准。</w:t>
      </w:r>
    </w:p>
    <w:p w14:paraId="696EAE3F">
      <w:pPr>
        <w:overflowPunct/>
        <w:bidi w:val="0"/>
        <w:outlineLvl w:val="9"/>
        <w:rPr>
          <w:rFonts w:hint="eastAsia" w:ascii="宋体" w:hAnsi="宋体" w:eastAsia="宋体" w:cs="宋体"/>
          <w:b/>
          <w:color w:val="000000" w:themeColor="text1"/>
          <w:kern w:val="44"/>
          <w:sz w:val="24"/>
          <w:szCs w:val="24"/>
          <w:highlight w:val="none"/>
          <w:lang w:eastAsia="zh-CN"/>
          <w14:textFill>
            <w14:solidFill>
              <w14:schemeClr w14:val="tx1"/>
            </w14:solidFill>
          </w14:textFill>
        </w:rPr>
      </w:pPr>
    </w:p>
    <w:p w14:paraId="3E1F8535">
      <w:pPr>
        <w:overflowPunct/>
        <w:bidi w:val="0"/>
        <w:spacing w:line="420" w:lineRule="exact"/>
        <w:jc w:val="center"/>
        <w:outlineLvl w:val="9"/>
        <w:rPr>
          <w:rFonts w:ascii="宋体" w:hAnsi="宋体"/>
          <w:color w:val="000000" w:themeColor="text1"/>
          <w:highlight w:val="none"/>
          <w14:textFill>
            <w14:solidFill>
              <w14:schemeClr w14:val="tx1"/>
            </w14:solidFill>
          </w14:textFill>
        </w:rPr>
      </w:pPr>
    </w:p>
    <w:p w14:paraId="3C1FA8F8">
      <w:pPr>
        <w:overflowPunct/>
        <w:bidi w:val="0"/>
        <w:outlineLvl w:val="9"/>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br w:type="page"/>
      </w:r>
    </w:p>
    <w:p w14:paraId="06C6B8CC">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eastAsia="宋体"/>
          <w:b/>
          <w:bCs/>
          <w:color w:val="000000" w:themeColor="text1"/>
          <w:sz w:val="36"/>
          <w:szCs w:val="36"/>
          <w:highlight w:val="none"/>
          <w:lang w:val="en-US" w:eastAsia="zh-CN"/>
          <w14:textFill>
            <w14:solidFill>
              <w14:schemeClr w14:val="tx1"/>
            </w14:solidFill>
          </w14:textFill>
        </w:rPr>
      </w:pPr>
      <w:bookmarkStart w:id="47" w:name="_Toc32019"/>
      <w:bookmarkStart w:id="48" w:name="_Toc9679"/>
      <w:r>
        <w:rPr>
          <w:rFonts w:hint="eastAsia"/>
          <w:b/>
          <w:bCs/>
          <w:color w:val="000000" w:themeColor="text1"/>
          <w:sz w:val="36"/>
          <w:szCs w:val="36"/>
          <w:highlight w:val="none"/>
          <w:lang w:val="en-US" w:eastAsia="zh-CN"/>
          <w14:textFill>
            <w14:solidFill>
              <w14:schemeClr w14:val="tx1"/>
            </w14:solidFill>
          </w14:textFill>
        </w:rPr>
        <w:t xml:space="preserve">第四章 </w:t>
      </w:r>
      <w:r>
        <w:rPr>
          <w:rFonts w:hint="eastAsia" w:eastAsia="宋体"/>
          <w:b/>
          <w:bCs/>
          <w:color w:val="000000" w:themeColor="text1"/>
          <w:sz w:val="36"/>
          <w:szCs w:val="36"/>
          <w:highlight w:val="none"/>
          <w:lang w:val="en-US" w:eastAsia="zh-CN"/>
          <w14:textFill>
            <w14:solidFill>
              <w14:schemeClr w14:val="tx1"/>
            </w14:solidFill>
          </w14:textFill>
        </w:rPr>
        <w:t>采购需求</w:t>
      </w:r>
      <w:bookmarkEnd w:id="47"/>
      <w:bookmarkEnd w:id="48"/>
    </w:p>
    <w:tbl>
      <w:tblPr>
        <w:tblStyle w:val="38"/>
        <w:tblW w:w="91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55"/>
        <w:gridCol w:w="5771"/>
        <w:gridCol w:w="550"/>
        <w:gridCol w:w="512"/>
        <w:gridCol w:w="810"/>
      </w:tblGrid>
      <w:tr w14:paraId="4DBA0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699E">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产品名称</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36BE">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技术参数</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91A5">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数量</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D2AA">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5D5A">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单价元</w:t>
            </w:r>
          </w:p>
        </w:tc>
      </w:tr>
      <w:tr w14:paraId="0E69C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5"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C6B6">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智能LED教室灯</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7DC2">
            <w:pPr>
              <w:keepNext w:val="0"/>
              <w:keepLines w:val="0"/>
              <w:widowControl/>
              <w:suppressLineNumbers w:val="0"/>
              <w:overflowPunct/>
              <w:bidi w:val="0"/>
              <w:spacing w:line="240" w:lineRule="auto"/>
              <w:jc w:val="lef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LED教室灯尺寸≥1220mm；为一体式电镀铝长方形格栅防眩灯具，小格栅尺寸长宽高30*15*12mm±1mm；背罩采用高分子复合材料，抗UV、耐黄变，材料边缘厚度不低于1.0mm；背均匀出光，背部可视发光面积占总背罩面积不低于50%，以确保教室天花板照度均匀，降低教室整体眩光，无吊杆阴影；采用一体式航空铝型材边框，四边角为圆弧，可减少尖锐磕碰风险，边框为一体化工艺，不使用拼接工艺，保证灯体安全牢靠。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2、LED教室灯采用大尺寸外置驱动电源，器件散热性能好；驱动不可徒手拆卸，保证安全；驱动电源置于灯体上居中对称，保证吊装安全稳固；金属边框与吊杆支架有防坠装置，防止掉落风险。</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3、LED教室灯色温（或相关色温）4300-5300K，显色指数Ra≥95、R9≥90，色容差≤5 SDCM。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4、LED教室灯通过人体电磁辐射测试。</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5、智能控制：无线组网和无线通讯；支持物联远程控制技术，如ZigBee无线组网等，支持室内情景面板调节，支持PC端等控制方式。场景控制器各场景模式的灯具亮度可根据实际需求调节，亮度设置范围0%~100%可调。根据教学场景配置≥4种默认场景模式，支持快速配置；场景快速切换，根据使用需求能够快速切换整体灯光照明状态，根据教学场景配置多种自定义场景模式。支持恒照度调光功能，支持集成安装恒照度模块，环境光发生变化时，每盏灯根据环境的变化，自动调光；功能开启后，设备能够根据检测到的照度值进行自动调节，功能关闭后，设备不再自动调光。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▲6、LED教室灯额定功率≤40W，单颗光源功率≥1W，光源额定总功率是灯具额定功率的5.5倍或以上。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7、LED教室灯至少依据《GB/T 26572》标准通过电器电子产品认证。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8、LED教室灯通过频闪无危害或无频闪危害或无显著影响认证。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9、LED教室灯蓝光危害等级为RG0（或0类危险）。</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▲10、LED教室灯在大气压力≥100kPa，平均湿度≥50%RH、极值空气温度≤-25℃及相对温差≥34℃的实地自然环境条件下至少持续运行360小时，至少依据《GB/T18595》标准满足浪涌性能为C或以上等级。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▲11、LED教室灯在大气压力≥100kPa，平均湿度≥50%RH、极值空气温度≤-25℃及相对温差≥34℃的实地自然环境条件下至少持续运行360小时，至少依据《GB/T36979》满足空间颜色非均匀性△u’v’≤0.007。</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LED教室灯在大气压力≥100kPa，平均湿度≥50%RH、极值空气温度≤-25℃及相对温差≥34℃的实地自然环境条件下至少持续运行360小时，至少依据《GB/T9468》标准满足光束角C0-C180及C90-C270的实测值与初始值偏差均不超过±10%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▲13、LED教室灯在大气压力≥100kPa，平均湿度≥50%RH、极值空气温度≤-25℃及相对温差≥34℃的实地自然环境条件下至少持续运行360小时，至少依据《GB/T31897.201》标准满足光效的实测值与初始值的偏差不超过-10%。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▲14、LED教室灯在大气压力≥100kPa，平均湿度≥50%RH、极值空气温度≤-25℃及相对温差≥34℃的实地自然环境条件下至少持续运行360小时，至少依据《GB/T6882》标准满足噪声＜17dB（A）。</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15、LED教室灯通过教室照明灯具性能认证。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16、LED教室灯至少依据《GB/T33721》标准满足光通维持寿命≥50000小时。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17、支持在LED教室灯搭载无线教学扩声音箱集成组合，可拓展扩音功能。</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4A84A">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954</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BFB4B">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盏</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5D443">
            <w:pPr>
              <w:keepNext w:val="0"/>
              <w:keepLines w:val="0"/>
              <w:widowControl/>
              <w:suppressLineNumbers w:val="0"/>
              <w:overflowPunct/>
              <w:bidi w:val="0"/>
              <w:spacing w:line="240" w:lineRule="auto"/>
              <w:jc w:val="righ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550</w:t>
            </w:r>
          </w:p>
        </w:tc>
      </w:tr>
      <w:tr w14:paraId="3C794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D3E0">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智能LED黑板灯</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A633">
            <w:pPr>
              <w:keepNext w:val="0"/>
              <w:keepLines w:val="0"/>
              <w:widowControl/>
              <w:suppressLineNumbers w:val="0"/>
              <w:overflowPunct/>
              <w:bidi w:val="0"/>
              <w:spacing w:line="240" w:lineRule="auto"/>
              <w:jc w:val="lef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LED黑板灯长度≥1220mm，为一体式电镀铝长方形格栅防眩灯具，小格栅尺寸长宽高17*27*8mm±1mm；采用一体式航空铝型材灯体，且灯体最小壁厚不低于0.65mm；为一体式挡光板设计，挡光板高度不低于50mm，能够有效遮挡眩光，能够使光线更集中分布在黑板表面，避免多余的光线入射到老师或学生的眼睛。</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2、LED黑板灯采用大尺寸外置驱动电源，器件散热性能好；驱动不可徒手拆卸，保证安全；驱动电源置于灯体上居中对称，保证吊装安全稳固。</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3、LED黑板灯色温（或相关色温）4300-5300K，显色指数Ra≥95、R9≥90，色容差≤5 SDCM。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4、LED黑板灯通过人体电磁辐射测试。</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智能控制：无线组网和无线通讯；支持物联远程控制技术，如ZigBee无线组网等，支持室内情景面板调节，支持PC端等控制方式。场景控制器各场景模式的灯具亮度可根据实际需求调节，亮度设置范围0%~100%可调。根据教学场景配置≥4种默认场景模式，支持快速配置；场景快速切换，根据使用需求能够快速切换整体灯光照明状态，根据教学场景配置多种自定义场景模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▲6、LED黑板灯额定功率≤40W，单颗光源功率≥1W，光源额定总功率是灯具额定功率的4.5倍或以上。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7、LED黑板灯至少依据《GB/T 26572》标准通过电器电子产品认证。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8、LED黑板灯通过频闪无危害或无频闪危害或无显著影响认证。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9、LED黑板灯蓝光危害等级为RG0（或0类危险）。</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▲10、LED黑板灯在大气压力≥100kPa，平均湿度≥50%RH、极值空气温度≤-25℃及相对温差≥34℃的实地自然环境条件下至少持续运行360小时，至少依据《GB/T18595》标准满足浪涌性能为C或以上等级。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▲11、LED黑板灯在大气压力≥100kPa，平均湿度≥50%RH、极值空气温度≤-25℃及相对温差≥34℃的实地自然环境条件下至少持续运行360小时，至少依据《GB/T36979》满足空间颜色非均匀性△u’v’≤0.007。</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LED黑板灯在大气压力≥100kPa，平均湿度≥50%RH、极值空气温度≤-25℃及相对温差≥34℃的实地自然环境条件下至少持续运行360小时，至少依据《GB/T9468》标准满足光束角C0-C180及C90-C270的实测值与初始值偏差均不超过±10%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▲13、LED黑板灯在大气压力≥100kPa，平均湿度≥50%RH、极值空气温度≤-25℃及相对温差≥34℃的实地自然环境条件下至少持续运行360小时，至少依据《GB/T31897.201》标准满足光效的实测值与初始值的偏差不超过-10%。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▲14、LED黑板灯在大气压力≥100kPa，平均湿度≥50%RH、极值空气温度≤-25℃及相对温差≥34℃的实地自然环境条件下至少持续运行360小时，至少依据《GB/T6882》标准满足噪声＜17dB（A）。</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15、LED黑板灯通过教室照明灯具性能认证。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16、LED黑板灯至少依据《GB/T33721》标准满足光通维持寿命≥50000小时。</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659C">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318</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A1CB7">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盏</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537B">
            <w:pPr>
              <w:keepNext w:val="0"/>
              <w:keepLines w:val="0"/>
              <w:widowControl/>
              <w:suppressLineNumbers w:val="0"/>
              <w:overflowPunct/>
              <w:bidi w:val="0"/>
              <w:spacing w:line="240" w:lineRule="auto"/>
              <w:jc w:val="righ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520</w:t>
            </w:r>
          </w:p>
        </w:tc>
      </w:tr>
      <w:tr w14:paraId="25B23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9FAC">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智能LED教室灯1</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23DB">
            <w:pPr>
              <w:keepNext w:val="0"/>
              <w:keepLines w:val="0"/>
              <w:widowControl/>
              <w:suppressLineNumbers w:val="0"/>
              <w:overflowPunct/>
              <w:bidi w:val="0"/>
              <w:spacing w:line="240" w:lineRule="auto"/>
              <w:jc w:val="lef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LED教室灯尺寸长宽1200*300±10mm；为一体式侧发光微晶防眩面板灯，采用长短边结合的棱锥体防眩微晶防眩设计，防眩效果好，长时间使用不变形；采用高性能光学板材辊压成型；至少有3种光学材料组成，包含反射纸，导光板，和微晶防眩板等，灯体表面发光均匀，无暗影。</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2、LED教室灯铝基板光源模组采用插槽方式固定于灯体，灯条和散热体均匀接触，保证灯体更好散热，延长使用寿命；吊架固定在灯体边框上面，单个支架的固定点≥4个，长时间使用无掉落的安全隐患。</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3、LED教室灯色温（或相关色温）4300-5300K，显色指数Ra≥95、R9≥90，色容差≤5 SDCM。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4、LED教室灯至少依据《GB/T 31275》及《GB/T 17743》标准通过人体电磁辐射测试，且灯具电源端传导骚扰电压（或电源接口骚扰电压）、辐射骚扰、感应电流密度检测结果皆为合格（或通过或符合或判定为P）。</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5、智能控制：无线组网和无线通讯；支持物联远程控制技术，如ZigBee无线组网等，支持室内情景面板调节，支持PC端等控制方式。场景控制器各场景模式的灯具亮度可根据实际需求调节，亮度设置范围0%~100%可调。根据教学场景配置≥4种默认场景模式，支持快速配置；场景快速切换，根据使用需求能够快速切换整体灯光照明状态，根据教学场景配置多种自定义场景模式。支持恒照度调光功能，支持集成安装恒照度模块，环境光发生变化时，每盏灯根据环境的变化，自动调光；功能开启后，设备能够根据检测到的照度值进行自动调节，功能关闭后，设备不再自动调光。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6、LED教室灯额定功率≤40W，单颗光源功率≥1W，光源额定总功率是灯具额定功率的3.5倍或以上。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7、LED教室灯至少依据《GB/T 26572》标准通过电器电子产品认证。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8、LED教室灯通过频闪无危害或无频闪危害或无显著影响认证。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9、LED教室灯蓝光危害等级为RG0（或0类危险）。</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▲10、LED教室灯在大气压力≥100kPa，平均湿度≥50%RH、极值空气温度≤-25℃及相对温差≥34℃的实地自然环境条件下至少持续运行360小时，至少依据《GB/T18595》标准满足浪涌性能为C或以上等级。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▲11、LED教室灯在大气压力≥100kPa，平均湿度≥50%RH、极值空气温度≤-25℃及相对温差≥34℃的实地自然环境条件下至少持续运行360小时，至少依据《GB/T36979》满足空间颜色非均匀性△u’v’≤0.007。</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LED教室灯在大气压力≥100kPa，平均湿度≥50%RH、极值空气温度≤-25℃及相对温差≥34℃的实地自然环境条件下至少持续运行360小时，至少依据《GB/T9468》标准满足光束角C0-C180及C90-C270的实测值与初始值偏差均不超过±10%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▲13、LED教室灯在大气压力≥100kPa，平均湿度≥50%RH、极值空气温度≤-25℃及相对温差≥34℃的实地自然环境条件下至少持续运行360小时，至少依据《GB/T31897.201》标准满足光效的实测值与初始值的偏差不超过-10%。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▲14、LED教室灯在大气压力≥100kPa，平均湿度≥50%RH、极值空气温度≤-25℃及相对温差≥34℃的实地自然环境条件下至少持续运行360小时，至少依据《GB/T6882》标准满足噪声＜17dB（A）。</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15、LED教室灯通过教室照明灯具性能认证。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16、LED教室灯至少依据《GB/T33721》标准满足光通维持寿命≥50000小时。</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116C7">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81</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87A9">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盏</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43C03">
            <w:pPr>
              <w:keepNext w:val="0"/>
              <w:keepLines w:val="0"/>
              <w:widowControl/>
              <w:suppressLineNumbers w:val="0"/>
              <w:overflowPunct/>
              <w:bidi w:val="0"/>
              <w:spacing w:line="240" w:lineRule="auto"/>
              <w:jc w:val="righ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w:t>
            </w:r>
          </w:p>
        </w:tc>
      </w:tr>
      <w:tr w14:paraId="0F493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8B94">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智能LED黑板灯1</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1D14">
            <w:pPr>
              <w:keepNext w:val="0"/>
              <w:keepLines w:val="0"/>
              <w:widowControl/>
              <w:suppressLineNumbers w:val="0"/>
              <w:overflowPunct/>
              <w:bidi w:val="0"/>
              <w:spacing w:line="240" w:lineRule="auto"/>
              <w:jc w:val="lef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LED黑板灯长度≥1220mm，为一体式透镜防眩灯具，透镜尺寸长宽高300*15*9mm±1mm，透镜为PC材质，耐高温，长时间使用无黄变，精准控制黑板灯的光线角度，光线集中均匀分布黑板面；采用一体式航空铝型材灯体，且灯体最小壁厚不低于0.65mm，灯具外形应平整、无凹陷和毛刺，焊缝无透光现象，表面均匀、光洁，无流挂现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2、LED黑板灯采用大尺寸外置驱动电源，器件散热性能好；驱动不可徒手拆卸，保证安全；驱动电源置于灯体上居中对称，保证吊装安全稳固；采用拔插式固定灯体和吊杆，不使用螺丝连接吊杆，安装便捷。</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3、LED黑板灯色温（或相关色温）4300-5300K，显色指数Ra≥95、R9≥90，色容差≤5 SDCM。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4、LED黑板灯至少依据《GB/T 31275》及《GB/T 17743》标准通过人体电磁辐射测试，且灯具电源端传导骚扰电压（或电源接口骚扰电压）、辐射骚扰、感应电流密度检测结果皆为合格（或通过或符合或判定为P）。</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智能控制：无线组网和无线通讯；支持物联远程控制技术，如ZigBee无线组网等，支持室内情景面板调节，支持PC端等控制方式。场景控制器各场景模式的灯具亮度可根据实际需求调节，亮度设置范围0%~100%可调。根据教学场景配置≥4种默认场景模式，支持快速配置；场景快速切换，根据使用需求能够快速切换整体灯光照明状态，根据教学场景配置多种自定义场景模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▲6、LED黑板灯额定功率≤40W，单颗光源功率≥1W，光源额定总功率是灯具额定功率的4.5倍或以上。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7、LED黑板灯至少依据《GB/T 26572》标准通过电器电子产品认证。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8、LED黑板灯通过频闪无危害或无频闪危害或无显著影响认证。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9、LED黑板灯蓝光危害等级为RG0（或0类危险）。</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▲10、LED黑板灯在大气压力≥100kPa，平均湿度≥50%RH、极值空气温度≤-25℃及相对温差≥34℃的实地自然环境条件下至少持续运行360小时，至少依据《GB/T18595》标准满足浪涌性能为C或以上等级。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▲11、LED黑板灯在大气压力≥100kPa，平均湿度≥50%RH、极值空气温度≤-25℃及相对温差≥34℃的实地自然环境条件下至少持续运行360小时，至少依据《GB/T36979》满足空间颜色非均匀性△u’v’≤0.007。</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LED黑板灯在大气压力≥100kPa，平均湿度≥50%RH、极值空气温度≤-25℃及相对温差≥34℃的实地自然环境条件下至少持续运行360小时，至少依据《GB/T9468》标准满足光束角C0-C180及C90-C270的实测值与初始值偏差均不超过±10%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▲13、LED黑板灯在大气压力≥100kPa，平均湿度≥50%RH、极值空气温度≤-25℃及相对温差≥34℃的实地自然环境条件下至少持续运行360小时，至少依据《GB/T31897.201》标准满足光效的实测值与初始值的偏差不超过-10%。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▲14、LED黑板灯在大气压力≥100kPa，平均湿度≥50%RH、极值空气温度≤-25℃及相对温差≥34℃的实地自然环境条件下至少持续运行360小时，至少依据《GB/T6882》标准满足噪声＜17dB（A）。</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15、LED黑板灯通过教室照明灯具性能认证。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16、LED黑板灯至少依据《GB/T33721》标准满足光通维持寿命≥50000小时。</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FD7CD">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F5B6B">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盏</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0887">
            <w:pPr>
              <w:keepNext w:val="0"/>
              <w:keepLines w:val="0"/>
              <w:widowControl/>
              <w:suppressLineNumbers w:val="0"/>
              <w:overflowPunct/>
              <w:bidi w:val="0"/>
              <w:spacing w:line="240" w:lineRule="auto"/>
              <w:jc w:val="righ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w:t>
            </w:r>
          </w:p>
        </w:tc>
      </w:tr>
      <w:tr w14:paraId="13146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9362">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智能LED黑板灯2</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688F">
            <w:pPr>
              <w:keepNext w:val="0"/>
              <w:keepLines w:val="0"/>
              <w:widowControl/>
              <w:suppressLineNumbers w:val="0"/>
              <w:overflowPunct/>
              <w:bidi w:val="0"/>
              <w:spacing w:line="240" w:lineRule="auto"/>
              <w:jc w:val="lef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LED教室灯长宽尺寸为1195*295±5mm，为一体式直下式微晶防眩灯具，采用长短边结合的棱锥体防眩微晶防眩设计，防眩效果好；采用一体式航空铝型材边框，灯具外形平整，侧表面无螺丝，四面主框架采用铝合金，背板为金属材质（或冷轧钢板材质）冲压成型，背罩工艺静电喷粉。</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2、为了保证灯体的散热性良好，LED教室灯光源条采用均匀打胶的方式，防止光源条掉落，增加散热面积；为了保证吊装灯具的牢固性和安全性，固定支架与金属边框连接固定，单个支架与边框的连接至少4个螺丝或铆钉固定，加强吊装的安全性，防止掉落风险。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3、LED教室灯色温（或相关色温）4300-5300K，显色指数Ra≥95、R9≥90，色容差≤5 SDCM。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4、LED教室灯至少依据《GB/T 17743》及《GB/T 31275》标准通过人体电磁辐射测试，且灯具电源端传导骚扰电压（或电源接口骚扰电压）、外壳端口辐射骚扰、感应电流密度检测结果皆为合格（或符合或通过或判定为P）。</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▲5、LED教室灯额定功率≤40W，单颗光源功率≥1W，光源额定总功率是灯具额定功率的2倍或以上。</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6、LED教室灯至少依据《GB/T 26572》标准通过电器电子产品认证。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7、LED教室灯通过频闪无危害或无频闪危害或无显著影响认证。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8、LED教室灯蓝光危害等级为RG0（或0类危险）。</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▲9、LED教室灯在大气压力≥100kPa，平均湿度≥50%RH、极值空气温度≤-25℃及相对温差≥34℃的实地自然环境条件下至少持续运行360小时，至少依据《GB/T36979》标准满足色品空间颜色非均匀性△u’v’≤0.007。</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LED教室灯在大气压力≥100kPa，平均湿度≥50%RH、极值空气温度≤-25℃及相对温差≥34℃的实地自然环境条件下至少持续运行360小时，至少依据《GB/T9468》标准满足光束角C0-C180及C90-C270的实测值与初始值偏差均不超过±10%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▲11、LED教室灯在大气压力≥100kPa，平均湿度≥50%RH、极值空气温度≤-25℃及相对温差≥34℃的实地自然环境条件下至少持续运行360小时，至少依据《GB/T31897.201》标准满足光效的实测值与初始值的偏差不超过-10%。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▲12、LED教室灯在大气压力≥100kPa，平均湿度≥50%RH、极值空气温度≤-25℃及相对温差≥34℃的实地自然环境条件下至少持续运行360小时，至少依据《GB/T 18595》标准满足浪涌性能达到C或以上等级。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▲13、LED教室灯在大气压力≥100kPa，平均湿度≥50%RH、极值空气温度≤-25℃及相对温差≥34℃的实地自然环境条件下至少持续运行360小时，至少依据《GB/T6882》标准满足噪声＜17dB（A）。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14、为确保灯具使用寿命，LED教室灯符合《LED灯具可靠性试验方法》第6章电源开关试验要求。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15、LED教室灯光通维持寿命≥50000小时。</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6521">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2C35">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盏</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A48C1">
            <w:pPr>
              <w:keepNext w:val="0"/>
              <w:keepLines w:val="0"/>
              <w:widowControl/>
              <w:suppressLineNumbers w:val="0"/>
              <w:overflowPunct/>
              <w:bidi w:val="0"/>
              <w:spacing w:line="240" w:lineRule="auto"/>
              <w:jc w:val="righ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350</w:t>
            </w:r>
          </w:p>
        </w:tc>
      </w:tr>
      <w:tr w14:paraId="6FEC9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E558">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智能LED黑板灯2</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497F">
            <w:pPr>
              <w:keepNext w:val="0"/>
              <w:keepLines w:val="0"/>
              <w:widowControl/>
              <w:suppressLineNumbers w:val="0"/>
              <w:overflowPunct/>
              <w:bidi w:val="0"/>
              <w:spacing w:line="240" w:lineRule="auto"/>
              <w:jc w:val="lef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▲1、LED黑板灯尺寸长度≥1220mm，为一体式电镀铝格栅防眩灯具，格栅尺寸长宽高300*20*8mm±1mm，有效防止眩光；采用一体式航空铝型材灯体，灯体最小壁厚不低于0.65mm。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LED黑板灯为一体式挡光板设计，挡光板高度不低于17mm，能够有效遮挡眩光，能够使光线更集中分布在黑板表面，避免多余的光线入射到老师或学生的眼睛；吊杆连接装置可调节，且吊装支架能够固定电源线，隐藏安装线，保证走线美观；采用拔插式固定灯体和吊杆，不使用螺丝连接吊杆，安装便捷。</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3、LED黑板灯色温（或相关色温）4300-5300K，显色指数Ra≥95、R9≥90，色容差≤5 SDCM。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4、LED黑板灯至少依据《GB/T 17743》及《GB/T 31275》标准通过人体电磁辐射测试，且灯具电源端传导骚扰电压（或电源接口骚扰电压）、外壳端口辐射骚扰、感应电流密度检测结果皆为合格（或符合或通过或判定为P）。</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▲5、LED黑板灯额定功率≤40W，单颗光源功率≥1W，光源额定总功率是灯具额定功率的2倍或以上。</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6、LED黑板灯至少依据《GB/T 26572》标准通过电器电子产品认证。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7、LED黑板灯通过频闪无危害或无频闪危害或无显著影响认证。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8、LED黑板灯蓝光危害等级为RG0（或0类危险）。</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▲9、LED黑板灯在大气压力≥100kPa，平均湿度≥50%RH、极值空气温度≤-25℃及相对温差≥34℃的实地自然环境条件下至少持续运行360小时，至少依据《GB/T36979》标准满足色品空间颜色非均匀性△u’v’≤0.007。</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LED黑板灯在大气压力≥100kPa，平均湿度≥50%RH、极值空气温度≤-25℃及相对温差≥34℃的实地自然环境条件下至少持续运行360小时，至少依据《GB/T9468》标准满足光束角C0-C180及C90-C270的实测值与初始值偏差均不超过±10%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▲11、LED黑板灯在大气压力≥100kPa，平均湿度≥50%RH、极值空气温度≤-25℃及相对温差≥34℃的实地自然环境条件下至少持续运行360小时，至少依据《GB/T31897.201》标准满足光效的实测值与初始值的偏差不超过-10%。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▲12、LED黑板灯在大气压力≥100kPa，平均湿度≥50%RH、极值空气温度≤-25℃及相对温差≥34℃的实地自然环境条件下至少持续运行360小时，至少依据《GB/T 18595》标准满足浪涌性能达到C或以上等级。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▲13、LED黑板灯在大气压力≥100kPa，平均湿度≥50%RH、极值空气温度≤-25℃及相对温差≥34℃的实地自然环境条件下至少持续运行360小时，至少依据《GB/T6882》标准满足噪声＜17dB（A）。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14、为确保灯具使用寿命，LED黑板灯符合《LED灯具可靠性试验方法》第6章电源开关试验要求。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15、LED黑板灯光通维持寿命≥50000小时。</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A872">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5B4B8">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盏</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D15A8">
            <w:pPr>
              <w:keepNext w:val="0"/>
              <w:keepLines w:val="0"/>
              <w:widowControl/>
              <w:suppressLineNumbers w:val="0"/>
              <w:overflowPunct/>
              <w:bidi w:val="0"/>
              <w:spacing w:line="240" w:lineRule="auto"/>
              <w:jc w:val="righ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350</w:t>
            </w:r>
          </w:p>
        </w:tc>
      </w:tr>
      <w:tr w14:paraId="1FE30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D363">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无线教学扩声音箱</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C580">
            <w:pPr>
              <w:keepNext w:val="0"/>
              <w:keepLines w:val="0"/>
              <w:widowControl/>
              <w:suppressLineNumbers w:val="0"/>
              <w:overflowPunct/>
              <w:bidi w:val="0"/>
              <w:spacing w:line="240" w:lineRule="auto"/>
              <w:jc w:val="lef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1、外壳材质：ABS材质，整机尺寸长度：≤300mm，工作电压：AC 220V/50HZ。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▲2、支持专业数字U段无线传输，有效避开校园内其他无线信号（如蓝牙、WiFi等）干扰。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3、信噪比：≥80dB@1W。</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4、动态范围 ：麦克风-主机：10mv~160mv。</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5、频率响应：线路输入20Hz–20kHz。</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▲6、输入灵敏度：（-20dbFS）-0dbFS。</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7、失真度（失真+噪声）：＜0.5%@1W。</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8、无线频段：450Mhz~700Mhz。</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9、喇叭功率：4Ω 10W。</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10、工作温度：-10℃~40℃。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11、扩声器多点均衡布局，实现教室均衡扩声。</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12、采用全音域喇叭与导向式音箱设计，音色饱满。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13、安装方式：集成在智能LED教室灯上。</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184DB">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424</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39D6D">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559CA">
            <w:pPr>
              <w:keepNext w:val="0"/>
              <w:keepLines w:val="0"/>
              <w:widowControl/>
              <w:suppressLineNumbers w:val="0"/>
              <w:overflowPunct/>
              <w:bidi w:val="0"/>
              <w:spacing w:line="240" w:lineRule="auto"/>
              <w:jc w:val="righ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365</w:t>
            </w:r>
          </w:p>
        </w:tc>
      </w:tr>
      <w:tr w14:paraId="56CDC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86E6">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无线教学扩声主机</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C2FF">
            <w:pPr>
              <w:keepNext w:val="0"/>
              <w:keepLines w:val="0"/>
              <w:widowControl/>
              <w:suppressLineNumbers w:val="0"/>
              <w:overflowPunct/>
              <w:bidi w:val="0"/>
              <w:spacing w:line="240" w:lineRule="auto"/>
              <w:jc w:val="lef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1、整机尺寸长≤150mm，外壳ABS材质；工作电压：DC 24V/1A 电源适配器供电。</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2、主机设备采用数字音频处理器，无线发射和接收一体式设计。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3、具有USB接口、电源接口与音频接口，音频接口：LINE IN（3.5mm）；LINE IN（凤凰端子3PIN）；LINE OUT（3.5mm）；LINE OUT（凤凰端子3PIN）。</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4、具有音量调节、高低音效果调节。</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5、具有啸叫抑制（AFC）功能开关、线路输入噪声门（Gate）功能开关、线路输入自动衰减（AUTOFADE）功能开关。</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6、可通过拨码对UHF的接收和发射频道（频点）进行选择。</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7、具有OLED显示屏，可显示当前UFH接收和发射的频率点和蓝牙开启和关闭的状态。</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8、具有充电槽功能，支持 麦克风充电功能，即放即充。</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9、可以同时连接90个或以上的扩音器。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10、工作温度：-10℃～40℃。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11、通信协议：支持无线UHF。</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12、频率响应：</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主机线路—主机：80Hz～20 kHz；</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麦克风-主机：100Hz～10kHz。</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▲13、信噪比:</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（麦克风-主机）：≥83dB；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（主机线路-主机）：≥83dB。</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▲14、总谐波失真: ≤0.12%。</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15、支持NFC配对。</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16、无线频段：450Mhz～700Mhz。</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17、具有配对指示灯提示功能。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18、最大可实现35m长距离通信，为保证教室间不相互干扰正常工作距离范围为10～15m，根据使用场景，可直接现场定制化通信距离。</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19、支持无线音频输入（UHF&amp;蓝牙），有线音频输入（两路line in、LAN输入）。</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20、支持无线音频输出（UHF），有线音频输出（两路line out）。</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21、安装方式：壁挂安装。</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7FC3">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106</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8448">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D3C0">
            <w:pPr>
              <w:keepNext w:val="0"/>
              <w:keepLines w:val="0"/>
              <w:widowControl/>
              <w:suppressLineNumbers w:val="0"/>
              <w:overflowPunct/>
              <w:bidi w:val="0"/>
              <w:spacing w:line="240" w:lineRule="auto"/>
              <w:jc w:val="righ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800</w:t>
            </w:r>
          </w:p>
        </w:tc>
      </w:tr>
      <w:tr w14:paraId="3E0BD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0AA7">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无线麦克风</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2CA6">
            <w:pPr>
              <w:keepNext w:val="0"/>
              <w:keepLines w:val="0"/>
              <w:widowControl/>
              <w:suppressLineNumbers w:val="0"/>
              <w:overflowPunct/>
              <w:bidi w:val="0"/>
              <w:spacing w:line="240" w:lineRule="auto"/>
              <w:jc w:val="lef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1、整机尺寸长≤150mm，外壳ABS材质；电池容量：1000mAh±5%；充电电压：DC 5V。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2、具有配对指示灯提示功能。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3、充电接口：type-C充电接口，3PIN 充电触点。</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4、充电方式：放置在主机的麦克风收纳槽内进行充电，插入type-c接口的USB充电线充电。</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5、采用锂电池供电，可充电循环使用，连续使用时间≥5小时。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6、具有音量大小调节、PPT翻页和激光笔功能。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7、麦克风类型：全指向性驻极体。</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8、工作温度 -10℃～40℃。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9、使用寿命：≥280个循环。</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▲10、咪头灵敏度：-32 dBV/Pa±2dB。</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11、咪头频率响应：100Hz～20KHz。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12、咪头最大声压级：≥110dB@(THD&lt;3%)。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13、咪头信噪比：≥70dB @(f=1KHZ,S.P.L=1Pa，A-weighted)。</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14、无线频段：450Mhz～700Mhz。</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15、使用时无固定位置要求，在教室范围内可自由移动。</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16、体积小巧、便于携带、悬挂等安装方式。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17、可灵活配对，一个麦克风可适配所有同系列主机。</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18、双击电源键，支持蓝牙功能的设备开启和关闭。</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9D50">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106</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5867">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F260">
            <w:pPr>
              <w:keepNext w:val="0"/>
              <w:keepLines w:val="0"/>
              <w:widowControl/>
              <w:suppressLineNumbers w:val="0"/>
              <w:overflowPunct/>
              <w:bidi w:val="0"/>
              <w:spacing w:line="240" w:lineRule="auto"/>
              <w:jc w:val="righ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290</w:t>
            </w:r>
          </w:p>
        </w:tc>
      </w:tr>
      <w:tr w14:paraId="6F5E9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FA86">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智能网关</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3A4B">
            <w:pPr>
              <w:keepNext w:val="0"/>
              <w:keepLines w:val="0"/>
              <w:widowControl/>
              <w:suppressLineNumbers w:val="0"/>
              <w:overflowPunct/>
              <w:bidi w:val="0"/>
              <w:spacing w:line="240" w:lineRule="auto"/>
              <w:jc w:val="lef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1、供电方式：5V USB供电；3.3V 串口供电。</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2、SD卡槽：数量≥1，支持≥32G Micro SD卡。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3、按键：至少包含复位按键≥1，功能按键≥1等。</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4、指示灯：红蓝双色指示灯。 </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5、工作温度：-10℃~45℃，工作湿度：5%~90%RH 无冷凝。</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▲6、支持Zigbee3.0等，2.4GHz，内置天线，南向连接，通信距离：≥30米，Zigbee设备接入数量≥20个；串口：支持TTL串口通信。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7、支持对Zigbee等设备进行组网管理，支持Zigbee等设备单独控制、分组控制，统一控制；支持场景配置功能，用户可自定义场景。</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8、支持本机OTA及批量子设备OTA功能；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9、支持物联校园无线数据接入主机自组网功能；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10、支持接入智慧管理平台，实现远程管理控制。</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3C85E">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115</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E965">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C743C">
            <w:pPr>
              <w:keepNext w:val="0"/>
              <w:keepLines w:val="0"/>
              <w:widowControl/>
              <w:suppressLineNumbers w:val="0"/>
              <w:overflowPunct/>
              <w:bidi w:val="0"/>
              <w:spacing w:line="240" w:lineRule="auto"/>
              <w:jc w:val="righ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70</w:t>
            </w:r>
          </w:p>
        </w:tc>
      </w:tr>
      <w:tr w14:paraId="51477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2F2E">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物联校园无线数据接入主机</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4563">
            <w:pPr>
              <w:keepNext w:val="0"/>
              <w:keepLines w:val="0"/>
              <w:widowControl/>
              <w:suppressLineNumbers w:val="0"/>
              <w:overflowPunct/>
              <w:bidi w:val="0"/>
              <w:spacing w:line="240" w:lineRule="auto"/>
              <w:jc w:val="lef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1、供电方式：AC 220V 50HZ供电。SIM接口：数量≥1，支持Micro SIM卡。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2、CPU：RK3128  四核处理器等，RAM：512M，ROM：8G。</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3、以太网口：≥1个RJ45接口，10M/100M/1000M 自适应以太网。</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4、移动网络：网络制式：4G LTE CAT2外置天线。</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5、按键：功能键≥1，RESET键≥1。</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6、指示灯：数量≥4，至少包含电源≥1，系统≥1，4G网络≥1，WIFI≥1等。</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7、工作温度：-10℃~45℃。</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8、可接入设备：智能网关网关≥20个。</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9、安装方式：吸顶或壁挂安装。</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B85E2">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975B">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E37A6">
            <w:pPr>
              <w:keepNext w:val="0"/>
              <w:keepLines w:val="0"/>
              <w:widowControl/>
              <w:suppressLineNumbers w:val="0"/>
              <w:overflowPunct/>
              <w:bidi w:val="0"/>
              <w:spacing w:line="240" w:lineRule="auto"/>
              <w:jc w:val="righ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w:t>
            </w:r>
          </w:p>
        </w:tc>
      </w:tr>
      <w:tr w14:paraId="5A937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1F11">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智能面板</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7D1F">
            <w:pPr>
              <w:keepNext w:val="0"/>
              <w:keepLines w:val="0"/>
              <w:widowControl/>
              <w:suppressLineNumbers w:val="0"/>
              <w:overflowPunct/>
              <w:bidi w:val="0"/>
              <w:spacing w:line="240" w:lineRule="auto"/>
              <w:jc w:val="lef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1、输入电压：220V/50Hz。</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2、工作温度：-10℃~45℃，工作湿度：≤80%。</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3、通讯距离：≥30m（室内）。</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无线通讯协议：Zigbee3.0等，通讯频率：2.4GHz。按键数量：≥6个；支持场景数量：≥6个（板书、投影、自习、考试、放学、休息等，满足不同教学场景需要）；按键功能：至少包含板书、投影、考试、放学等；实现开关控制、智能控制。</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5、支持动态指示灯功能，实时显示当前操作。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6、支持OTA（在线升级）远程升级功能。</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7、安装方式：86型场景面板，明盒/暗盒安装。</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8A1F">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115</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6C315">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712A">
            <w:pPr>
              <w:keepNext w:val="0"/>
              <w:keepLines w:val="0"/>
              <w:widowControl/>
              <w:suppressLineNumbers w:val="0"/>
              <w:overflowPunct/>
              <w:bidi w:val="0"/>
              <w:spacing w:line="240" w:lineRule="auto"/>
              <w:jc w:val="right"/>
              <w:textAlignment w:val="center"/>
              <w:outlineLvl w:val="9"/>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70</w:t>
            </w:r>
          </w:p>
        </w:tc>
      </w:tr>
      <w:tr w14:paraId="19EB3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94F4">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智慧管理平台</w:t>
            </w:r>
          </w:p>
        </w:tc>
        <w:tc>
          <w:tcPr>
            <w:tcW w:w="5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07AD">
            <w:pPr>
              <w:keepNext w:val="0"/>
              <w:keepLines w:val="0"/>
              <w:widowControl/>
              <w:suppressLineNumbers w:val="0"/>
              <w:overflowPunct/>
              <w:bidi w:val="0"/>
              <w:spacing w:line="240" w:lineRule="auto"/>
              <w:jc w:val="left"/>
              <w:textAlignment w:val="center"/>
              <w:outlineLvl w:val="9"/>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1、平台采用B/S架构，支持跨平台部署，至少支持Linux、Windows平台；平台接入设备数量不低于20万台。</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2、组织管理：支持多级组织架构设置，包括学校、学院、系所、班级等层级，可灵活调整组织结构。</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3、学校信息管理：可以设置学校名称、学校地址、校徽、校训、学校简介等信息。</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4、部门管理：支持导入学校部门，支持持单个添加子部门、编辑部门信息和删除部门。</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5、人员管理：支持新增单个人员、批量新增账号； 支持编辑人员信息、人员凭证管理、重置用户密码。</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6、角色管理：支持展示系统默认角色，以及新增自定义角色，支持配置菜单和功能权限。</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7、设备管理：支持列表形式查看平台接入的所有照明设备信息，包括设备名称、连接状态、开关状态。支持查看设备基础信息及设备日志，包括设备告警信息/设备控制记录/设备连接记录/设备运行记录等。</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空间管理：支持按实际学校建筑建设情况创建空间，以树层级结构展示，支持整校-楼栋-楼层-房间等多级结构；支持设置空间类型、空间用途；支持自定义配置空间背景图；支持照明设备以图标形式配置在空间背景图上，位置和实际地理位置相对应。</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9、支持空间地图/列表两种形式展示筛选的设备：可在列表视图上展示照明设备的实时状态：在线/离线/开启/关闭；在空间视图点击设备图标可进行单个灯具设备实时开关灯、调节亮度等；在空间视图点击设备图标可以查看设备数据信息包含设备的电流、通电时间、电压等；支持场景控制，能即时反馈场景控制结果并生成相应的记录。</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10、支持在移动端APP或小程序上查看照明设备的实时状态、支持对灯具设备远程开关控制，支持按整校/整栋/整层集中控制。</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11、支持联动控制，支持设置作息后按照校历作息时间进行联动，比如上课自动开灯，放学自动关灯等。</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12、支持场景配置：支持新增/修改/删除场景，支持内置默认的光场景模式：板书、自习、考试等。</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支持告警策略配置：支持对灯具的电压、电流等参数进行监控，并能够在异常状态下发出告警；支持批量/单个设置生效设备；支持设置不少于三种告警等级（紧急/重要/一般）；支持按照部门权限/指定人员推送告警通知；支持不少于5种告警通知方式（web消息通知/app消息通知/小程序消息通知/短信通知/语音通知）。</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14、支持查看照明设备的总览信息，包含：灯具设备总数，灯具设备在线数，灯具设备开启率，设备告警数等，点击设备告警记录可下穿至告警记录详细信息。</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★15、为保证软硬件产品高度兼容性及售后服务统一便利性，平台须具有智慧健康光环境或校园照明相关自主知识产权且与智能LED教室灯、智能LED黑板灯以及无线扩声设备为同一制造商。</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4F47D">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C4A6">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5982">
            <w:pPr>
              <w:keepNext w:val="0"/>
              <w:keepLines w:val="0"/>
              <w:widowControl/>
              <w:suppressLineNumbers w:val="0"/>
              <w:overflowPunct/>
              <w:bidi w:val="0"/>
              <w:spacing w:line="240" w:lineRule="auto"/>
              <w:jc w:val="right"/>
              <w:textAlignment w:val="center"/>
              <w:outlineLvl w:val="9"/>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1600</w:t>
            </w:r>
          </w:p>
        </w:tc>
      </w:tr>
      <w:tr w14:paraId="1FB03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8321">
            <w:pPr>
              <w:keepNext w:val="0"/>
              <w:keepLines w:val="0"/>
              <w:widowControl/>
              <w:suppressLineNumbers w:val="0"/>
              <w:overflowPunct/>
              <w:bidi w:val="0"/>
              <w:spacing w:line="240" w:lineRule="auto"/>
              <w:jc w:val="left"/>
              <w:textAlignment w:val="center"/>
              <w:outlineLvl w:val="9"/>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布线及辅材</w:t>
            </w:r>
          </w:p>
        </w:tc>
        <w:tc>
          <w:tcPr>
            <w:tcW w:w="5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02D02">
            <w:pPr>
              <w:keepNext w:val="0"/>
              <w:keepLines w:val="0"/>
              <w:widowControl/>
              <w:suppressLineNumbers w:val="0"/>
              <w:overflowPunct/>
              <w:bidi w:val="0"/>
              <w:spacing w:line="240" w:lineRule="auto"/>
              <w:jc w:val="left"/>
              <w:textAlignment w:val="center"/>
              <w:outlineLvl w:val="9"/>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符合国标线材、使用全新开关</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F1197">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0DE86">
            <w:pPr>
              <w:keepNext w:val="0"/>
              <w:keepLines w:val="0"/>
              <w:widowControl/>
              <w:suppressLineNumbers w:val="0"/>
              <w:overflowPunct/>
              <w:bidi w:val="0"/>
              <w:spacing w:line="240" w:lineRule="auto"/>
              <w:jc w:val="center"/>
              <w:textAlignment w:val="center"/>
              <w:outlineLvl w:val="9"/>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23BB">
            <w:pPr>
              <w:keepNext w:val="0"/>
              <w:keepLines w:val="0"/>
              <w:widowControl/>
              <w:suppressLineNumbers w:val="0"/>
              <w:overflowPunct/>
              <w:bidi w:val="0"/>
              <w:spacing w:line="240" w:lineRule="auto"/>
              <w:jc w:val="right"/>
              <w:textAlignment w:val="center"/>
              <w:outlineLvl w:val="9"/>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52640</w:t>
            </w:r>
          </w:p>
        </w:tc>
      </w:tr>
    </w:tbl>
    <w:p w14:paraId="4F49EDE4">
      <w:pPr>
        <w:numPr>
          <w:ilvl w:val="0"/>
          <w:numId w:val="0"/>
        </w:numPr>
        <w:overflowPunct/>
        <w:bidi w:val="0"/>
        <w:outlineLvl w:val="9"/>
        <w:rPr>
          <w:rFonts w:hint="eastAsia"/>
          <w:highlight w:val="none"/>
        </w:rPr>
      </w:pPr>
    </w:p>
    <w:p w14:paraId="4952004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right="0"/>
        <w:jc w:val="both"/>
        <w:textAlignment w:val="auto"/>
        <w:outlineLvl w:val="9"/>
        <w:rPr>
          <w:rFonts w:hint="eastAsia"/>
          <w:b/>
          <w:bCs/>
          <w:highlight w:val="none"/>
          <w:lang w:eastAsia="zh-CN"/>
        </w:rPr>
      </w:pPr>
      <w:r>
        <w:rPr>
          <w:rFonts w:hint="eastAsia"/>
          <w:b/>
          <w:bCs/>
          <w:highlight w:val="none"/>
          <w:lang w:eastAsia="zh-CN"/>
        </w:rPr>
        <w:t>注：</w:t>
      </w:r>
    </w:p>
    <w:p w14:paraId="4770A9A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right="0"/>
        <w:jc w:val="both"/>
        <w:textAlignment w:val="auto"/>
        <w:outlineLvl w:val="9"/>
        <w:rPr>
          <w:rFonts w:hint="eastAsia" w:ascii="Times New Roman" w:hAnsi="Times New Roman" w:eastAsia="宋体" w:cs="Times New Roman"/>
          <w:b/>
          <w:bCs/>
          <w:highlight w:val="none"/>
          <w:lang w:val="zh-CN" w:eastAsia="zh-CN"/>
        </w:rPr>
      </w:pPr>
      <w:r>
        <w:rPr>
          <w:rFonts w:hint="eastAsia" w:ascii="Times New Roman" w:hAnsi="Times New Roman" w:eastAsia="宋体" w:cs="Times New Roman"/>
          <w:b/>
          <w:bCs/>
          <w:highlight w:val="none"/>
          <w:lang w:val="en-US" w:eastAsia="zh-CN"/>
        </w:rPr>
        <w:t>1.</w:t>
      </w:r>
      <w:r>
        <w:rPr>
          <w:rFonts w:hint="eastAsia" w:ascii="Times New Roman" w:hAnsi="Times New Roman" w:eastAsia="宋体" w:cs="Times New Roman"/>
          <w:b/>
          <w:bCs/>
          <w:highlight w:val="none"/>
          <w:lang w:val="zh-CN" w:eastAsia="zh-CN"/>
        </w:rPr>
        <w:t>技术指标带“★”指标为强制性指标，不满足的一项按无效投标处理。</w:t>
      </w:r>
    </w:p>
    <w:p w14:paraId="51B2F22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right="0"/>
        <w:jc w:val="both"/>
        <w:textAlignment w:val="auto"/>
        <w:outlineLvl w:val="9"/>
        <w:rPr>
          <w:rFonts w:hint="eastAsia" w:ascii="Times New Roman" w:hAnsi="Times New Roman" w:eastAsia="宋体" w:cs="Times New Roman"/>
          <w:b/>
          <w:bCs/>
          <w:highlight w:val="none"/>
          <w:lang w:val="zh-CN" w:eastAsia="zh-CN"/>
        </w:rPr>
      </w:pPr>
      <w:r>
        <w:rPr>
          <w:rFonts w:hint="eastAsia" w:ascii="Times New Roman" w:hAnsi="Times New Roman" w:eastAsia="宋体" w:cs="Times New Roman"/>
          <w:b/>
          <w:bCs/>
          <w:highlight w:val="none"/>
          <w:lang w:val="en-US" w:eastAsia="zh-CN"/>
        </w:rPr>
        <w:t>2.以上所有设备</w:t>
      </w:r>
      <w:r>
        <w:rPr>
          <w:rFonts w:hint="eastAsia" w:ascii="Times New Roman" w:hAnsi="Times New Roman" w:eastAsia="宋体" w:cs="Times New Roman"/>
          <w:b/>
          <w:bCs/>
          <w:highlight w:val="none"/>
          <w:lang w:val="zh-CN" w:eastAsia="zh-CN"/>
        </w:rPr>
        <w:t>须提供相关佐证材料，包含但不限于产品彩页或技术参数确认函。</w:t>
      </w:r>
    </w:p>
    <w:p w14:paraId="0F6DC1E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right="0"/>
        <w:jc w:val="both"/>
        <w:textAlignment w:val="auto"/>
        <w:outlineLvl w:val="9"/>
        <w:rPr>
          <w:rFonts w:hint="default"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3.本项目核心产品是智能LED教室灯。</w:t>
      </w:r>
    </w:p>
    <w:p w14:paraId="3951B41E">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right="0"/>
        <w:jc w:val="both"/>
        <w:textAlignment w:val="auto"/>
        <w:outlineLvl w:val="9"/>
        <w:rPr>
          <w:rFonts w:hint="default" w:ascii="Times New Roman" w:hAnsi="Times New Roman" w:eastAsia="宋体" w:cs="Times New Roman"/>
          <w:b/>
          <w:bCs/>
          <w:highlight w:val="none"/>
          <w:lang w:val="en-US" w:eastAsia="zh-CN"/>
        </w:rPr>
      </w:pPr>
    </w:p>
    <w:p w14:paraId="4E8C564A">
      <w:pPr>
        <w:overflowPunct/>
        <w:bidi w:val="0"/>
        <w:outlineLvl w:val="9"/>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br w:type="page"/>
      </w:r>
    </w:p>
    <w:p w14:paraId="2CA6C706">
      <w:pPr>
        <w:overflowPunct/>
        <w:bidi w:val="0"/>
        <w:outlineLvl w:val="9"/>
        <w:rPr>
          <w:rFonts w:hint="eastAsia"/>
          <w:color w:val="000000" w:themeColor="text1"/>
          <w:highlight w:val="none"/>
          <w:lang w:eastAsia="zh-CN"/>
          <w14:textFill>
            <w14:solidFill>
              <w14:schemeClr w14:val="tx1"/>
            </w14:solidFill>
          </w14:textFill>
        </w:rPr>
      </w:pPr>
      <w:bookmarkStart w:id="49" w:name="_Toc589"/>
    </w:p>
    <w:p w14:paraId="526AF3E1">
      <w:pPr>
        <w:overflowPunct/>
        <w:bidi w:val="0"/>
        <w:outlineLvl w:val="9"/>
        <w:rPr>
          <w:rFonts w:hint="eastAsia"/>
          <w:color w:val="000000" w:themeColor="text1"/>
          <w:highlight w:val="none"/>
          <w:lang w:eastAsia="zh-CN"/>
          <w14:textFill>
            <w14:solidFill>
              <w14:schemeClr w14:val="tx1"/>
            </w14:solidFill>
          </w14:textFill>
        </w:rPr>
      </w:pPr>
    </w:p>
    <w:p w14:paraId="09B347E3">
      <w:pPr>
        <w:overflowPunct/>
        <w:bidi w:val="0"/>
        <w:outlineLvl w:val="9"/>
        <w:rPr>
          <w:rFonts w:hint="eastAsia"/>
          <w:color w:val="000000" w:themeColor="text1"/>
          <w:highlight w:val="none"/>
          <w:lang w:eastAsia="zh-CN"/>
          <w14:textFill>
            <w14:solidFill>
              <w14:schemeClr w14:val="tx1"/>
            </w14:solidFill>
          </w14:textFill>
        </w:rPr>
      </w:pPr>
    </w:p>
    <w:p w14:paraId="5F2EBA5F">
      <w:pPr>
        <w:overflowPunct/>
        <w:bidi w:val="0"/>
        <w:outlineLvl w:val="9"/>
        <w:rPr>
          <w:rFonts w:hint="eastAsia"/>
          <w:color w:val="000000" w:themeColor="text1"/>
          <w:highlight w:val="none"/>
          <w:lang w:eastAsia="zh-CN"/>
          <w14:textFill>
            <w14:solidFill>
              <w14:schemeClr w14:val="tx1"/>
            </w14:solidFill>
          </w14:textFill>
        </w:rPr>
      </w:pPr>
    </w:p>
    <w:p w14:paraId="1E394375">
      <w:pPr>
        <w:overflowPunct/>
        <w:bidi w:val="0"/>
        <w:outlineLvl w:val="9"/>
        <w:rPr>
          <w:rFonts w:hint="eastAsia"/>
          <w:color w:val="000000" w:themeColor="text1"/>
          <w:highlight w:val="none"/>
          <w:lang w:eastAsia="zh-CN"/>
          <w14:textFill>
            <w14:solidFill>
              <w14:schemeClr w14:val="tx1"/>
            </w14:solidFill>
          </w14:textFill>
        </w:rPr>
      </w:pPr>
    </w:p>
    <w:p w14:paraId="03E096C5">
      <w:pPr>
        <w:overflowPunct/>
        <w:bidi w:val="0"/>
        <w:outlineLvl w:val="9"/>
        <w:rPr>
          <w:rFonts w:hint="eastAsia"/>
          <w:color w:val="000000" w:themeColor="text1"/>
          <w:highlight w:val="none"/>
          <w:lang w:eastAsia="zh-CN"/>
          <w14:textFill>
            <w14:solidFill>
              <w14:schemeClr w14:val="tx1"/>
            </w14:solidFill>
          </w14:textFill>
        </w:rPr>
      </w:pPr>
    </w:p>
    <w:p w14:paraId="40DE1C03">
      <w:pPr>
        <w:overflowPunct/>
        <w:bidi w:val="0"/>
        <w:outlineLvl w:val="9"/>
        <w:rPr>
          <w:rFonts w:hint="eastAsia"/>
          <w:color w:val="000000" w:themeColor="text1"/>
          <w:highlight w:val="none"/>
          <w:lang w:eastAsia="zh-CN"/>
          <w14:textFill>
            <w14:solidFill>
              <w14:schemeClr w14:val="tx1"/>
            </w14:solidFill>
          </w14:textFill>
        </w:rPr>
      </w:pPr>
    </w:p>
    <w:p w14:paraId="5852A299">
      <w:pPr>
        <w:overflowPunct/>
        <w:bidi w:val="0"/>
        <w:outlineLvl w:val="9"/>
        <w:rPr>
          <w:rFonts w:hint="eastAsia"/>
          <w:color w:val="000000" w:themeColor="text1"/>
          <w:highlight w:val="none"/>
          <w:lang w:eastAsia="zh-CN"/>
          <w14:textFill>
            <w14:solidFill>
              <w14:schemeClr w14:val="tx1"/>
            </w14:solidFill>
          </w14:textFill>
        </w:rPr>
      </w:pPr>
    </w:p>
    <w:p w14:paraId="5E7B392C">
      <w:pPr>
        <w:overflowPunct/>
        <w:bidi w:val="0"/>
        <w:outlineLvl w:val="9"/>
        <w:rPr>
          <w:rFonts w:hint="eastAsia"/>
          <w:color w:val="000000" w:themeColor="text1"/>
          <w:highlight w:val="none"/>
          <w:lang w:eastAsia="zh-CN"/>
          <w14:textFill>
            <w14:solidFill>
              <w14:schemeClr w14:val="tx1"/>
            </w14:solidFill>
          </w14:textFill>
        </w:rPr>
      </w:pPr>
    </w:p>
    <w:p w14:paraId="37EF479E">
      <w:pPr>
        <w:overflowPunct/>
        <w:bidi w:val="0"/>
        <w:outlineLvl w:val="9"/>
        <w:rPr>
          <w:rFonts w:hint="eastAsia"/>
          <w:color w:val="000000" w:themeColor="text1"/>
          <w:highlight w:val="none"/>
          <w:lang w:eastAsia="zh-CN"/>
          <w14:textFill>
            <w14:solidFill>
              <w14:schemeClr w14:val="tx1"/>
            </w14:solidFill>
          </w14:textFill>
        </w:rPr>
      </w:pPr>
    </w:p>
    <w:p w14:paraId="6A718798">
      <w:pPr>
        <w:overflowPunct/>
        <w:bidi w:val="0"/>
        <w:outlineLvl w:val="9"/>
        <w:rPr>
          <w:rFonts w:hint="eastAsia"/>
          <w:color w:val="000000" w:themeColor="text1"/>
          <w:highlight w:val="none"/>
          <w:lang w:eastAsia="zh-CN"/>
          <w14:textFill>
            <w14:solidFill>
              <w14:schemeClr w14:val="tx1"/>
            </w14:solidFill>
          </w14:textFill>
        </w:rPr>
      </w:pPr>
    </w:p>
    <w:p w14:paraId="2A37F07E">
      <w:pPr>
        <w:overflowPunct/>
        <w:bidi w:val="0"/>
        <w:outlineLvl w:val="9"/>
        <w:rPr>
          <w:rFonts w:hint="eastAsia"/>
          <w:color w:val="000000" w:themeColor="text1"/>
          <w:highlight w:val="none"/>
          <w:lang w:eastAsia="zh-CN"/>
          <w14:textFill>
            <w14:solidFill>
              <w14:schemeClr w14:val="tx1"/>
            </w14:solidFill>
          </w14:textFill>
        </w:rPr>
      </w:pPr>
    </w:p>
    <w:p w14:paraId="6FAC7516">
      <w:pPr>
        <w:overflowPunct/>
        <w:bidi w:val="0"/>
        <w:outlineLvl w:val="9"/>
        <w:rPr>
          <w:rFonts w:hint="eastAsia"/>
          <w:color w:val="000000" w:themeColor="text1"/>
          <w:highlight w:val="none"/>
          <w:lang w:eastAsia="zh-CN"/>
          <w14:textFill>
            <w14:solidFill>
              <w14:schemeClr w14:val="tx1"/>
            </w14:solidFill>
          </w14:textFill>
        </w:rPr>
      </w:pPr>
    </w:p>
    <w:p w14:paraId="42B6E66C">
      <w:pPr>
        <w:overflowPunct/>
        <w:bidi w:val="0"/>
        <w:outlineLvl w:val="9"/>
        <w:rPr>
          <w:rFonts w:hint="eastAsia"/>
          <w:color w:val="000000" w:themeColor="text1"/>
          <w:highlight w:val="none"/>
          <w:lang w:eastAsia="zh-CN"/>
          <w14:textFill>
            <w14:solidFill>
              <w14:schemeClr w14:val="tx1"/>
            </w14:solidFill>
          </w14:textFill>
        </w:rPr>
      </w:pPr>
    </w:p>
    <w:p w14:paraId="6801F1EA">
      <w:pPr>
        <w:overflowPunct/>
        <w:bidi w:val="0"/>
        <w:outlineLvl w:val="9"/>
        <w:rPr>
          <w:rFonts w:hint="eastAsia"/>
          <w:color w:val="000000" w:themeColor="text1"/>
          <w:highlight w:val="none"/>
          <w:lang w:eastAsia="zh-CN"/>
          <w14:textFill>
            <w14:solidFill>
              <w14:schemeClr w14:val="tx1"/>
            </w14:solidFill>
          </w14:textFill>
        </w:rPr>
      </w:pPr>
    </w:p>
    <w:p w14:paraId="097C812E">
      <w:pPr>
        <w:overflowPunct/>
        <w:bidi w:val="0"/>
        <w:outlineLvl w:val="9"/>
        <w:rPr>
          <w:rFonts w:hint="eastAsia"/>
          <w:color w:val="000000" w:themeColor="text1"/>
          <w:highlight w:val="none"/>
          <w:lang w:eastAsia="zh-CN"/>
          <w14:textFill>
            <w14:solidFill>
              <w14:schemeClr w14:val="tx1"/>
            </w14:solidFill>
          </w14:textFill>
        </w:rPr>
      </w:pPr>
    </w:p>
    <w:p w14:paraId="67BC6550">
      <w:pPr>
        <w:keepNext w:val="0"/>
        <w:keepLines w:val="0"/>
        <w:pageBreakBefore w:val="0"/>
        <w:widowControl w:val="0"/>
        <w:kinsoku/>
        <w:wordWrap/>
        <w:overflowPunct/>
        <w:topLinePunct w:val="0"/>
        <w:autoSpaceDE/>
        <w:autoSpaceDN/>
        <w:bidi w:val="0"/>
        <w:adjustRightInd/>
        <w:snapToGrid/>
        <w:jc w:val="center"/>
        <w:textAlignment w:val="auto"/>
        <w:outlineLvl w:val="0"/>
        <w:rPr>
          <w:b/>
          <w:bCs/>
          <w:color w:val="000000" w:themeColor="text1"/>
          <w:sz w:val="40"/>
          <w:szCs w:val="40"/>
          <w:highlight w:val="none"/>
          <w14:textFill>
            <w14:solidFill>
              <w14:schemeClr w14:val="tx1"/>
            </w14:solidFill>
          </w14:textFill>
        </w:rPr>
      </w:pPr>
      <w:bookmarkStart w:id="50" w:name="_Toc14594"/>
      <w:r>
        <w:rPr>
          <w:rFonts w:hint="eastAsia"/>
          <w:b/>
          <w:bCs/>
          <w:color w:val="000000" w:themeColor="text1"/>
          <w:sz w:val="40"/>
          <w:szCs w:val="40"/>
          <w:highlight w:val="none"/>
          <w:lang w:eastAsia="zh-CN"/>
          <w14:textFill>
            <w14:solidFill>
              <w14:schemeClr w14:val="tx1"/>
            </w14:solidFill>
          </w14:textFill>
        </w:rPr>
        <w:t>第五章</w:t>
      </w:r>
      <w:r>
        <w:rPr>
          <w:rFonts w:hint="eastAsia"/>
          <w:b/>
          <w:bCs/>
          <w:color w:val="000000" w:themeColor="text1"/>
          <w:sz w:val="40"/>
          <w:szCs w:val="40"/>
          <w:highlight w:val="none"/>
          <w:lang w:val="en-US" w:eastAsia="zh-CN"/>
          <w14:textFill>
            <w14:solidFill>
              <w14:schemeClr w14:val="tx1"/>
            </w14:solidFill>
          </w14:textFill>
        </w:rPr>
        <w:t xml:space="preserve"> </w:t>
      </w:r>
      <w:r>
        <w:rPr>
          <w:rFonts w:hint="eastAsia"/>
          <w:b/>
          <w:bCs/>
          <w:color w:val="000000" w:themeColor="text1"/>
          <w:sz w:val="40"/>
          <w:szCs w:val="40"/>
          <w:highlight w:val="none"/>
          <w14:textFill>
            <w14:solidFill>
              <w14:schemeClr w14:val="tx1"/>
            </w14:solidFill>
          </w14:textFill>
        </w:rPr>
        <w:t>响应文件格式</w:t>
      </w:r>
      <w:bookmarkEnd w:id="49"/>
      <w:bookmarkEnd w:id="50"/>
    </w:p>
    <w:p w14:paraId="61874E00">
      <w:pPr>
        <w:overflowPunct/>
        <w:bidi w:val="0"/>
        <w:jc w:val="center"/>
        <w:outlineLvl w:val="9"/>
        <w:rPr>
          <w:rFonts w:ascii="黑体" w:eastAsia="黑体"/>
          <w:color w:val="000000" w:themeColor="text1"/>
          <w:sz w:val="32"/>
          <w:szCs w:val="32"/>
          <w:highlight w:val="none"/>
          <w14:textFill>
            <w14:solidFill>
              <w14:schemeClr w14:val="tx1"/>
            </w14:solidFill>
          </w14:textFill>
        </w:rPr>
      </w:pPr>
      <w:r>
        <w:rPr>
          <w:rFonts w:ascii="宋体" w:hAnsi="宋体"/>
          <w:color w:val="000000" w:themeColor="text1"/>
          <w:sz w:val="32"/>
          <w:szCs w:val="32"/>
          <w:highlight w:val="none"/>
          <w14:textFill>
            <w14:solidFill>
              <w14:schemeClr w14:val="tx1"/>
            </w14:solidFill>
          </w14:textFill>
        </w:rPr>
        <w:br w:type="page"/>
      </w:r>
    </w:p>
    <w:p w14:paraId="3FA9D445">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121BE878">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52DF82BB">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6BB4F14E">
      <w:pPr>
        <w:overflowPunct/>
        <w:bidi w:val="0"/>
        <w:jc w:val="center"/>
        <w:outlineLvl w:val="9"/>
        <w:rPr>
          <w:rFonts w:ascii="黑体" w:eastAsia="黑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u w:val="single"/>
          <w14:textFill>
            <w14:solidFill>
              <w14:schemeClr w14:val="tx1"/>
            </w14:solidFill>
          </w14:textFill>
        </w:rPr>
        <w:t xml:space="preserve">                                 （项目名称） </w:t>
      </w:r>
    </w:p>
    <w:p w14:paraId="104D7816">
      <w:pPr>
        <w:overflowPunct/>
        <w:bidi w:val="0"/>
        <w:spacing w:beforeLines="100"/>
        <w:jc w:val="center"/>
        <w:outlineLvl w:val="9"/>
        <w:rPr>
          <w:rFonts w:hint="eastAsia" w:ascii="黑体" w:eastAsia="黑体"/>
          <w:color w:val="000000" w:themeColor="text1"/>
          <w:sz w:val="44"/>
          <w:szCs w:val="44"/>
          <w:highlight w:val="none"/>
          <w14:textFill>
            <w14:solidFill>
              <w14:schemeClr w14:val="tx1"/>
            </w14:solidFill>
          </w14:textFill>
        </w:rPr>
      </w:pPr>
    </w:p>
    <w:p w14:paraId="6AB67308">
      <w:pPr>
        <w:wordWrap w:val="0"/>
        <w:overflowPunct/>
        <w:bidi w:val="0"/>
        <w:spacing w:beforeLines="100"/>
        <w:jc w:val="right"/>
        <w:outlineLvl w:val="9"/>
        <w:rPr>
          <w:rFonts w:hint="default" w:ascii="黑体" w:eastAsia="黑体"/>
          <w:color w:val="000000" w:themeColor="text1"/>
          <w:sz w:val="44"/>
          <w:szCs w:val="44"/>
          <w:highlight w:val="none"/>
          <w:lang w:val="en-US" w:eastAsia="zh-CN"/>
          <w14:textFill>
            <w14:solidFill>
              <w14:schemeClr w14:val="tx1"/>
            </w14:solidFill>
          </w14:textFill>
        </w:rPr>
      </w:pPr>
      <w:r>
        <w:rPr>
          <w:rFonts w:hint="eastAsia" w:ascii="宋体" w:hAnsi="宋体"/>
          <w:color w:val="000000" w:themeColor="text1"/>
          <w:sz w:val="28"/>
          <w:szCs w:val="28"/>
          <w:highlight w:val="none"/>
          <w:u w:val="none"/>
          <w:lang w:val="en-US" w:eastAsia="zh-CN"/>
          <w14:textFill>
            <w14:solidFill>
              <w14:schemeClr w14:val="tx1"/>
            </w14:solidFill>
          </w14:textFill>
        </w:rPr>
        <w:t>正</w:t>
      </w:r>
      <w:r>
        <w:rPr>
          <w:rFonts w:hint="eastAsia" w:ascii="宋体" w:hAnsi="宋体"/>
          <w:color w:val="000000" w:themeColor="text1"/>
          <w:sz w:val="28"/>
          <w:szCs w:val="28"/>
          <w:highlight w:val="none"/>
          <w:u w:val="none"/>
          <w:lang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副</w:t>
      </w:r>
      <w:r>
        <w:rPr>
          <w:rFonts w:hint="eastAsia" w:ascii="宋体" w:hAnsi="宋体"/>
          <w:color w:val="000000" w:themeColor="text1"/>
          <w:sz w:val="28"/>
          <w:szCs w:val="28"/>
          <w:highlight w:val="none"/>
          <w:u w:val="none"/>
          <w:lang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本   </w:t>
      </w:r>
    </w:p>
    <w:p w14:paraId="1DDB8E17">
      <w:pPr>
        <w:overflowPunct/>
        <w:bidi w:val="0"/>
        <w:spacing w:beforeLines="100"/>
        <w:jc w:val="center"/>
        <w:outlineLvl w:val="9"/>
        <w:rPr>
          <w:rFonts w:hint="eastAsia" w:ascii="黑体" w:eastAsia="黑体"/>
          <w:color w:val="000000" w:themeColor="text1"/>
          <w:sz w:val="44"/>
          <w:szCs w:val="44"/>
          <w:highlight w:val="none"/>
          <w14:textFill>
            <w14:solidFill>
              <w14:schemeClr w14:val="tx1"/>
            </w14:solidFill>
          </w14:textFill>
        </w:rPr>
      </w:pPr>
    </w:p>
    <w:p w14:paraId="18E6EA7C">
      <w:pPr>
        <w:overflowPunct/>
        <w:bidi w:val="0"/>
        <w:spacing w:beforeLines="100"/>
        <w:jc w:val="center"/>
        <w:outlineLvl w:val="9"/>
        <w:rPr>
          <w:rFonts w:ascii="黑体" w:eastAsia="黑体"/>
          <w:color w:val="000000" w:themeColor="text1"/>
          <w:sz w:val="44"/>
          <w:szCs w:val="44"/>
          <w:highlight w:val="none"/>
          <w14:textFill>
            <w14:solidFill>
              <w14:schemeClr w14:val="tx1"/>
            </w14:solidFill>
          </w14:textFill>
        </w:rPr>
      </w:pPr>
      <w:r>
        <w:rPr>
          <w:rFonts w:hint="eastAsia" w:ascii="黑体" w:eastAsia="黑体"/>
          <w:color w:val="000000" w:themeColor="text1"/>
          <w:sz w:val="44"/>
          <w:szCs w:val="44"/>
          <w:highlight w:val="none"/>
          <w14:textFill>
            <w14:solidFill>
              <w14:schemeClr w14:val="tx1"/>
            </w14:solidFill>
          </w14:textFill>
        </w:rPr>
        <w:t>响  应  文  件</w:t>
      </w:r>
    </w:p>
    <w:p w14:paraId="459936B4">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0CB86EA8">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64FDA803">
      <w:pPr>
        <w:overflowPunct/>
        <w:bidi w:val="0"/>
        <w:jc w:val="center"/>
        <w:outlineLvl w:val="9"/>
        <w:rPr>
          <w:rFonts w:ascii="黑体" w:eastAsia="黑体"/>
          <w:color w:val="000000" w:themeColor="text1"/>
          <w:sz w:val="32"/>
          <w:szCs w:val="32"/>
          <w:highlight w:val="none"/>
          <w14:textFill>
            <w14:solidFill>
              <w14:schemeClr w14:val="tx1"/>
            </w14:solidFill>
          </w14:textFill>
        </w:rPr>
      </w:pPr>
      <w:r>
        <w:rPr>
          <w:rFonts w:hint="eastAsia" w:ascii="黑体" w:eastAsia="黑体"/>
          <w:color w:val="000000" w:themeColor="text1"/>
          <w:sz w:val="32"/>
          <w:szCs w:val="32"/>
          <w:highlight w:val="none"/>
          <w14:textFill>
            <w14:solidFill>
              <w14:schemeClr w14:val="tx1"/>
            </w14:solidFill>
          </w14:textFill>
        </w:rPr>
        <w:t>项目编号：</w:t>
      </w:r>
    </w:p>
    <w:p w14:paraId="3DC57D4C">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734FC70C">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1E6EE326">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3F70CD13">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38F677C5">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7C58AC65">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798C52BA">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2866C8E5">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426F5A26">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5ED0D43C">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1FCBFD07">
      <w:pPr>
        <w:overflowPunct/>
        <w:bidi w:val="0"/>
        <w:jc w:val="center"/>
        <w:outlineLvl w:val="9"/>
        <w:rPr>
          <w:rFonts w:ascii="黑体" w:eastAsia="黑体"/>
          <w:color w:val="000000" w:themeColor="text1"/>
          <w:sz w:val="32"/>
          <w:szCs w:val="32"/>
          <w:highlight w:val="none"/>
          <w14:textFill>
            <w14:solidFill>
              <w14:schemeClr w14:val="tx1"/>
            </w14:solidFill>
          </w14:textFill>
        </w:rPr>
      </w:pPr>
    </w:p>
    <w:p w14:paraId="766E5FB3">
      <w:pPr>
        <w:overflowPunct/>
        <w:bidi w:val="0"/>
        <w:spacing w:line="480" w:lineRule="auto"/>
        <w:ind w:left="0" w:leftChars="0" w:firstLine="2100" w:firstLineChars="750"/>
        <w:outlineLvl w:val="9"/>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lang w:eastAsia="zh-CN"/>
          <w14:textFill>
            <w14:solidFill>
              <w14:schemeClr w14:val="tx1"/>
            </w14:solidFill>
          </w14:textFill>
        </w:rPr>
        <w:t>供应商</w:t>
      </w:r>
      <w:r>
        <w:rPr>
          <w:rFonts w:hint="eastAsia" w:ascii="黑体" w:eastAsia="黑体"/>
          <w:color w:val="000000" w:themeColor="text1"/>
          <w:sz w:val="28"/>
          <w:szCs w:val="28"/>
          <w:highlight w:val="none"/>
          <w14:textFill>
            <w14:solidFill>
              <w14:schemeClr w14:val="tx1"/>
            </w14:solidFill>
          </w14:textFill>
        </w:rPr>
        <w:t>：</w:t>
      </w:r>
      <w:r>
        <w:rPr>
          <w:rFonts w:hint="eastAsia" w:ascii="黑体" w:eastAsia="黑体"/>
          <w:color w:val="000000" w:themeColor="text1"/>
          <w:sz w:val="28"/>
          <w:szCs w:val="28"/>
          <w:highlight w:val="none"/>
          <w:lang w:val="en-US" w:eastAsia="zh-CN"/>
          <w14:textFill>
            <w14:solidFill>
              <w14:schemeClr w14:val="tx1"/>
            </w14:solidFill>
          </w14:textFill>
        </w:rPr>
        <w:t xml:space="preserve">                    </w:t>
      </w:r>
      <w:r>
        <w:rPr>
          <w:rFonts w:hint="eastAsia" w:ascii="黑体" w:eastAsia="黑体"/>
          <w:color w:val="000000" w:themeColor="text1"/>
          <w:sz w:val="28"/>
          <w:szCs w:val="28"/>
          <w:highlight w:val="none"/>
          <w14:textFill>
            <w14:solidFill>
              <w14:schemeClr w14:val="tx1"/>
            </w14:solidFill>
          </w14:textFill>
        </w:rPr>
        <w:t>（盖单位章）</w:t>
      </w:r>
    </w:p>
    <w:p w14:paraId="094414A2">
      <w:pPr>
        <w:overflowPunct/>
        <w:bidi w:val="0"/>
        <w:spacing w:line="480" w:lineRule="auto"/>
        <w:jc w:val="center"/>
        <w:outlineLvl w:val="9"/>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 xml:space="preserve">  法定代表人或其委托代理人：</w:t>
      </w:r>
      <w:r>
        <w:rPr>
          <w:rFonts w:hint="eastAsia" w:ascii="黑体" w:eastAsia="黑体"/>
          <w:color w:val="000000" w:themeColor="text1"/>
          <w:sz w:val="28"/>
          <w:szCs w:val="28"/>
          <w:highlight w:val="none"/>
          <w:lang w:val="en-US" w:eastAsia="zh-CN"/>
          <w14:textFill>
            <w14:solidFill>
              <w14:schemeClr w14:val="tx1"/>
            </w14:solidFill>
          </w14:textFill>
        </w:rPr>
        <w:t xml:space="preserve">   </w:t>
      </w:r>
      <w:r>
        <w:rPr>
          <w:rFonts w:hint="eastAsia" w:ascii="黑体" w:eastAsia="黑体"/>
          <w:color w:val="000000" w:themeColor="text1"/>
          <w:sz w:val="28"/>
          <w:szCs w:val="28"/>
          <w:highlight w:val="none"/>
          <w14:textFill>
            <w14:solidFill>
              <w14:schemeClr w14:val="tx1"/>
            </w14:solidFill>
          </w14:textFill>
        </w:rPr>
        <w:t>（签字）</w:t>
      </w:r>
    </w:p>
    <w:p w14:paraId="203527F7">
      <w:pPr>
        <w:overflowPunct/>
        <w:bidi w:val="0"/>
        <w:jc w:val="center"/>
        <w:outlineLvl w:val="9"/>
        <w:rPr>
          <w:rFonts w:ascii="黑体" w:eastAsia="黑体"/>
          <w:color w:val="000000" w:themeColor="text1"/>
          <w:sz w:val="28"/>
          <w:szCs w:val="28"/>
          <w:highlight w:val="none"/>
          <w14:textFill>
            <w14:solidFill>
              <w14:schemeClr w14:val="tx1"/>
            </w14:solidFill>
          </w14:textFill>
        </w:rPr>
      </w:pPr>
    </w:p>
    <w:p w14:paraId="65BAF236">
      <w:pPr>
        <w:overflowPunct/>
        <w:bidi w:val="0"/>
        <w:jc w:val="center"/>
        <w:outlineLvl w:val="9"/>
        <w:rPr>
          <w:rFonts w:ascii="黑体" w:eastAsia="黑体"/>
          <w:color w:val="000000" w:themeColor="text1"/>
          <w:sz w:val="28"/>
          <w:szCs w:val="28"/>
          <w:highlight w:val="none"/>
          <w14:textFill>
            <w14:solidFill>
              <w14:schemeClr w14:val="tx1"/>
            </w14:solidFill>
          </w14:textFill>
        </w:rPr>
      </w:pPr>
    </w:p>
    <w:p w14:paraId="562FEBDF">
      <w:pPr>
        <w:overflowPunct/>
        <w:bidi w:val="0"/>
        <w:jc w:val="center"/>
        <w:outlineLvl w:val="9"/>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年  月  日</w:t>
      </w:r>
    </w:p>
    <w:p w14:paraId="406ECAC6">
      <w:pPr>
        <w:overflowPunct/>
        <w:bidi w:val="0"/>
        <w:jc w:val="center"/>
        <w:outlineLvl w:val="9"/>
        <w:rPr>
          <w:rFonts w:ascii="宋体" w:hAnsi="宋体"/>
          <w:color w:val="000000" w:themeColor="text1"/>
          <w:sz w:val="28"/>
          <w:szCs w:val="28"/>
          <w:highlight w:val="none"/>
          <w14:textFill>
            <w14:solidFill>
              <w14:schemeClr w14:val="tx1"/>
            </w14:solidFill>
          </w14:textFill>
        </w:rPr>
      </w:pPr>
      <w:r>
        <w:rPr>
          <w:rFonts w:ascii="黑体" w:eastAsia="黑体"/>
          <w:color w:val="000000" w:themeColor="text1"/>
          <w:sz w:val="28"/>
          <w:szCs w:val="28"/>
          <w:highlight w:val="none"/>
          <w14:textFill>
            <w14:solidFill>
              <w14:schemeClr w14:val="tx1"/>
            </w14:solidFill>
          </w14:textFill>
        </w:rPr>
        <w:br w:type="page"/>
      </w:r>
      <w:r>
        <w:rPr>
          <w:rFonts w:hint="eastAsia" w:ascii="宋体" w:hAnsi="宋体"/>
          <w:color w:val="000000" w:themeColor="text1"/>
          <w:sz w:val="28"/>
          <w:szCs w:val="28"/>
          <w:highlight w:val="none"/>
          <w14:textFill>
            <w14:solidFill>
              <w14:schemeClr w14:val="tx1"/>
            </w14:solidFill>
          </w14:textFill>
        </w:rPr>
        <w:t>目    录</w:t>
      </w:r>
    </w:p>
    <w:p w14:paraId="3EA90591">
      <w:pPr>
        <w:tabs>
          <w:tab w:val="left" w:pos="420"/>
        </w:tabs>
        <w:overflowPunct/>
        <w:bidi w:val="0"/>
        <w:spacing w:line="600" w:lineRule="exact"/>
        <w:ind w:left="420" w:leftChars="200"/>
        <w:outlineLvl w:val="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一、</w:t>
      </w:r>
      <w:r>
        <w:rPr>
          <w:rFonts w:hint="eastAsia" w:ascii="宋体" w:hAnsi="宋体"/>
          <w:color w:val="000000" w:themeColor="text1"/>
          <w:szCs w:val="21"/>
          <w:highlight w:val="none"/>
          <w14:textFill>
            <w14:solidFill>
              <w14:schemeClr w14:val="tx1"/>
            </w14:solidFill>
          </w14:textFill>
        </w:rPr>
        <w:t>磋商函</w:t>
      </w:r>
    </w:p>
    <w:p w14:paraId="5CDEB51D">
      <w:pPr>
        <w:tabs>
          <w:tab w:val="left" w:pos="420"/>
        </w:tabs>
        <w:overflowPunct/>
        <w:bidi w:val="0"/>
        <w:spacing w:line="600" w:lineRule="exact"/>
        <w:ind w:left="420" w:leftChars="200"/>
        <w:outlineLvl w:val="9"/>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二、</w:t>
      </w:r>
      <w:r>
        <w:rPr>
          <w:rFonts w:hint="eastAsia" w:ascii="宋体" w:hAnsi="宋体"/>
          <w:color w:val="000000" w:themeColor="text1"/>
          <w:szCs w:val="21"/>
          <w:highlight w:val="none"/>
          <w14:textFill>
            <w14:solidFill>
              <w14:schemeClr w14:val="tx1"/>
            </w14:solidFill>
          </w14:textFill>
        </w:rPr>
        <w:t>法定代表人资格证明</w:t>
      </w:r>
    </w:p>
    <w:p w14:paraId="2883AEFD">
      <w:pPr>
        <w:tabs>
          <w:tab w:val="left" w:pos="420"/>
        </w:tabs>
        <w:overflowPunct/>
        <w:bidi w:val="0"/>
        <w:spacing w:line="600" w:lineRule="exact"/>
        <w:ind w:left="420" w:leftChars="200"/>
        <w:outlineLvl w:val="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三、授权委托书</w:t>
      </w:r>
    </w:p>
    <w:p w14:paraId="30E1C870">
      <w:pPr>
        <w:tabs>
          <w:tab w:val="left" w:pos="420"/>
        </w:tabs>
        <w:overflowPunct/>
        <w:bidi w:val="0"/>
        <w:spacing w:line="600" w:lineRule="exact"/>
        <w:ind w:left="420" w:leftChars="200"/>
        <w:outlineLvl w:val="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四、</w:t>
      </w:r>
      <w:r>
        <w:rPr>
          <w:rFonts w:hint="eastAsia" w:ascii="宋体" w:hAnsi="宋体"/>
          <w:color w:val="000000" w:themeColor="text1"/>
          <w:szCs w:val="21"/>
          <w:highlight w:val="none"/>
          <w14:textFill>
            <w14:solidFill>
              <w14:schemeClr w14:val="tx1"/>
            </w14:solidFill>
          </w14:textFill>
        </w:rPr>
        <w:t>报价</w:t>
      </w:r>
      <w:r>
        <w:rPr>
          <w:rFonts w:ascii="宋体" w:hAnsi="宋体"/>
          <w:color w:val="000000" w:themeColor="text1"/>
          <w:szCs w:val="21"/>
          <w:highlight w:val="none"/>
          <w14:textFill>
            <w14:solidFill>
              <w14:schemeClr w14:val="tx1"/>
            </w14:solidFill>
          </w14:textFill>
        </w:rPr>
        <w:t>一览表</w:t>
      </w:r>
    </w:p>
    <w:p w14:paraId="4A3AFB0F">
      <w:pPr>
        <w:tabs>
          <w:tab w:val="left" w:pos="420"/>
        </w:tabs>
        <w:overflowPunct/>
        <w:bidi w:val="0"/>
        <w:spacing w:line="600" w:lineRule="exact"/>
        <w:ind w:left="420" w:leftChars="200"/>
        <w:outlineLvl w:val="9"/>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五、报价</w:t>
      </w:r>
      <w:r>
        <w:rPr>
          <w:rFonts w:hint="eastAsia" w:ascii="宋体" w:hAnsi="宋体"/>
          <w:color w:val="000000" w:themeColor="text1"/>
          <w:szCs w:val="21"/>
          <w:highlight w:val="none"/>
          <w14:textFill>
            <w14:solidFill>
              <w14:schemeClr w14:val="tx1"/>
            </w14:solidFill>
          </w14:textFill>
        </w:rPr>
        <w:t>明细</w:t>
      </w:r>
    </w:p>
    <w:p w14:paraId="743F7B92">
      <w:pPr>
        <w:tabs>
          <w:tab w:val="left" w:pos="420"/>
        </w:tabs>
        <w:overflowPunct/>
        <w:bidi w:val="0"/>
        <w:spacing w:line="600" w:lineRule="exact"/>
        <w:ind w:left="420" w:leftChars="200"/>
        <w:outlineLvl w:val="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六、</w:t>
      </w:r>
      <w:r>
        <w:rPr>
          <w:rFonts w:hint="eastAsia" w:ascii="宋体" w:hAnsi="宋体"/>
          <w:color w:val="000000" w:themeColor="text1"/>
          <w:szCs w:val="21"/>
          <w:highlight w:val="none"/>
          <w14:textFill>
            <w14:solidFill>
              <w14:schemeClr w14:val="tx1"/>
            </w14:solidFill>
          </w14:textFill>
        </w:rPr>
        <w:t>磋商</w:t>
      </w:r>
      <w:r>
        <w:rPr>
          <w:rFonts w:ascii="宋体" w:hAnsi="宋体"/>
          <w:color w:val="000000" w:themeColor="text1"/>
          <w:szCs w:val="21"/>
          <w:highlight w:val="none"/>
          <w14:textFill>
            <w14:solidFill>
              <w14:schemeClr w14:val="tx1"/>
            </w14:solidFill>
          </w14:textFill>
        </w:rPr>
        <w:t>保证金</w:t>
      </w:r>
    </w:p>
    <w:p w14:paraId="51A5A461">
      <w:pPr>
        <w:tabs>
          <w:tab w:val="left" w:pos="420"/>
        </w:tabs>
        <w:overflowPunct/>
        <w:bidi w:val="0"/>
        <w:spacing w:line="600" w:lineRule="exact"/>
        <w:ind w:left="420" w:leftChars="200"/>
        <w:outlineLvl w:val="9"/>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七、资格审查资料</w:t>
      </w:r>
    </w:p>
    <w:p w14:paraId="2AADD52C">
      <w:pPr>
        <w:tabs>
          <w:tab w:val="left" w:pos="420"/>
        </w:tabs>
        <w:overflowPunct/>
        <w:bidi w:val="0"/>
        <w:spacing w:line="600" w:lineRule="exact"/>
        <w:ind w:left="420" w:leftChars="200"/>
        <w:outlineLvl w:val="9"/>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八、技术部分</w:t>
      </w:r>
    </w:p>
    <w:p w14:paraId="51D40746">
      <w:pPr>
        <w:tabs>
          <w:tab w:val="left" w:pos="420"/>
        </w:tabs>
        <w:overflowPunct/>
        <w:bidi w:val="0"/>
        <w:spacing w:line="600" w:lineRule="exact"/>
        <w:ind w:left="420" w:left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九</w:t>
      </w:r>
      <w:r>
        <w:rPr>
          <w:rFonts w:ascii="宋体" w:hAnsi="宋体"/>
          <w:color w:val="000000" w:themeColor="text1"/>
          <w:szCs w:val="21"/>
          <w:highlight w:val="none"/>
          <w14:textFill>
            <w14:solidFill>
              <w14:schemeClr w14:val="tx1"/>
            </w14:solidFill>
          </w14:textFill>
        </w:rPr>
        <w:t>、其他资料</w:t>
      </w:r>
    </w:p>
    <w:p w14:paraId="48937245">
      <w:pPr>
        <w:tabs>
          <w:tab w:val="left" w:pos="420"/>
        </w:tabs>
        <w:overflowPunct/>
        <w:bidi w:val="0"/>
        <w:spacing w:line="600" w:lineRule="exact"/>
        <w:ind w:left="420" w:leftChars="200"/>
        <w:outlineLvl w:val="9"/>
        <w:rPr>
          <w:rFonts w:ascii="宋体" w:hAnsi="宋体"/>
          <w:color w:val="000000" w:themeColor="text1"/>
          <w:szCs w:val="21"/>
          <w:highlight w:val="none"/>
          <w14:textFill>
            <w14:solidFill>
              <w14:schemeClr w14:val="tx1"/>
            </w14:solidFill>
          </w14:textFill>
        </w:rPr>
      </w:pPr>
    </w:p>
    <w:p w14:paraId="123F2993">
      <w:pPr>
        <w:overflowPunct/>
        <w:bidi w:val="0"/>
        <w:spacing w:line="480" w:lineRule="auto"/>
        <w:jc w:val="left"/>
        <w:outlineLvl w:val="9"/>
        <w:rPr>
          <w:b/>
          <w:color w:val="000000" w:themeColor="text1"/>
          <w:sz w:val="32"/>
          <w:szCs w:val="32"/>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一、</w:t>
      </w:r>
      <w:r>
        <w:rPr>
          <w:rFonts w:hint="eastAsia"/>
          <w:b/>
          <w:color w:val="000000" w:themeColor="text1"/>
          <w:sz w:val="32"/>
          <w:szCs w:val="32"/>
          <w:highlight w:val="none"/>
          <w14:textFill>
            <w14:solidFill>
              <w14:schemeClr w14:val="tx1"/>
            </w14:solidFill>
          </w14:textFill>
        </w:rPr>
        <w:t>磋商函</w:t>
      </w:r>
    </w:p>
    <w:p w14:paraId="46F47EA7">
      <w:pPr>
        <w:overflowPunct/>
        <w:bidi w:val="0"/>
        <w:jc w:val="center"/>
        <w:outlineLvl w:val="9"/>
        <w:rPr>
          <w:rFonts w:hint="eastAsia"/>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（一）</w:t>
      </w:r>
      <w:r>
        <w:rPr>
          <w:rFonts w:hint="eastAsia"/>
          <w:color w:val="000000" w:themeColor="text1"/>
          <w:sz w:val="32"/>
          <w:szCs w:val="32"/>
          <w:highlight w:val="none"/>
          <w14:textFill>
            <w14:solidFill>
              <w14:schemeClr w14:val="tx1"/>
            </w14:solidFill>
          </w14:textFill>
        </w:rPr>
        <w:t>磋商函</w:t>
      </w:r>
    </w:p>
    <w:p w14:paraId="0821EB97">
      <w:pPr>
        <w:overflowPunct/>
        <w:bidi w:val="0"/>
        <w:spacing w:line="360" w:lineRule="auto"/>
        <w:outlineLvl w:val="9"/>
        <w:rPr>
          <w:color w:val="000000" w:themeColor="text1"/>
          <w:highlight w:val="none"/>
          <w14:textFill>
            <w14:solidFill>
              <w14:schemeClr w14:val="tx1"/>
            </w14:solidFill>
          </w14:textFill>
        </w:rPr>
      </w:pPr>
    </w:p>
    <w:p w14:paraId="6932A9F2">
      <w:pPr>
        <w:overflowPunct/>
        <w:bidi w:val="0"/>
        <w:spacing w:line="360" w:lineRule="auto"/>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致：</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采购</w:t>
      </w:r>
      <w:r>
        <w:rPr>
          <w:color w:val="000000" w:themeColor="text1"/>
          <w:szCs w:val="21"/>
          <w:highlight w:val="none"/>
          <w14:textFill>
            <w14:solidFill>
              <w14:schemeClr w14:val="tx1"/>
            </w14:solidFill>
          </w14:textFill>
        </w:rPr>
        <w:t>人名称）</w:t>
      </w:r>
    </w:p>
    <w:p w14:paraId="59B4A303">
      <w:pPr>
        <w:overflowPunct/>
        <w:bidi w:val="0"/>
        <w:spacing w:line="360"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经研究贵单位</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（项目名称）的</w:t>
      </w:r>
      <w:r>
        <w:rPr>
          <w:rFonts w:hint="eastAsia"/>
          <w:color w:val="000000" w:themeColor="text1"/>
          <w:szCs w:val="21"/>
          <w:highlight w:val="none"/>
          <w14:textFill>
            <w14:solidFill>
              <w14:schemeClr w14:val="tx1"/>
            </w14:solidFill>
          </w14:textFill>
        </w:rPr>
        <w:t>磋商文件</w:t>
      </w:r>
      <w:r>
        <w:rPr>
          <w:color w:val="000000" w:themeColor="text1"/>
          <w:szCs w:val="21"/>
          <w:highlight w:val="none"/>
          <w14:textFill>
            <w14:solidFill>
              <w14:schemeClr w14:val="tx1"/>
            </w14:solidFill>
          </w14:textFill>
        </w:rPr>
        <w:t>后，</w:t>
      </w:r>
      <w:r>
        <w:rPr>
          <w:rFonts w:hint="eastAsia"/>
          <w:color w:val="000000" w:themeColor="text1"/>
          <w:szCs w:val="21"/>
          <w:highlight w:val="none"/>
          <w14:textFill>
            <w14:solidFill>
              <w14:schemeClr w14:val="tx1"/>
            </w14:solidFill>
          </w14:textFill>
        </w:rPr>
        <w:t>供货期</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磋商</w:t>
      </w:r>
      <w:r>
        <w:rPr>
          <w:color w:val="000000" w:themeColor="text1"/>
          <w:szCs w:val="21"/>
          <w:highlight w:val="none"/>
          <w14:textFill>
            <w14:solidFill>
              <w14:schemeClr w14:val="tx1"/>
            </w14:solidFill>
          </w14:textFill>
        </w:rPr>
        <w:t>报价</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，完成</w:t>
      </w:r>
      <w:r>
        <w:rPr>
          <w:rFonts w:hint="eastAsia"/>
          <w:color w:val="000000" w:themeColor="text1"/>
          <w:szCs w:val="21"/>
          <w:highlight w:val="none"/>
          <w14:textFill>
            <w14:solidFill>
              <w14:schemeClr w14:val="tx1"/>
            </w14:solidFill>
          </w14:textFill>
        </w:rPr>
        <w:t>磋商文件</w:t>
      </w:r>
      <w:r>
        <w:rPr>
          <w:color w:val="000000" w:themeColor="text1"/>
          <w:szCs w:val="21"/>
          <w:highlight w:val="none"/>
          <w14:textFill>
            <w14:solidFill>
              <w14:schemeClr w14:val="tx1"/>
            </w14:solidFill>
          </w14:textFill>
        </w:rPr>
        <w:t>中所规定的全部任务，不再要求</w:t>
      </w:r>
      <w:r>
        <w:rPr>
          <w:rFonts w:hint="eastAsia"/>
          <w:color w:val="000000" w:themeColor="text1"/>
          <w:szCs w:val="21"/>
          <w:highlight w:val="none"/>
          <w14:textFill>
            <w14:solidFill>
              <w14:schemeClr w14:val="tx1"/>
            </w14:solidFill>
          </w14:textFill>
        </w:rPr>
        <w:t>采购人</w:t>
      </w:r>
      <w:r>
        <w:rPr>
          <w:color w:val="000000" w:themeColor="text1"/>
          <w:szCs w:val="21"/>
          <w:highlight w:val="none"/>
          <w14:textFill>
            <w14:solidFill>
              <w14:schemeClr w14:val="tx1"/>
            </w14:solidFill>
          </w14:textFill>
        </w:rPr>
        <w:t>支付其他任何费用。</w:t>
      </w:r>
    </w:p>
    <w:p w14:paraId="4FF298AE">
      <w:pPr>
        <w:overflowPunct/>
        <w:bidi w:val="0"/>
        <w:spacing w:line="360"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一旦我方</w:t>
      </w:r>
      <w:r>
        <w:rPr>
          <w:rFonts w:hint="eastAsia"/>
          <w:color w:val="000000" w:themeColor="text1"/>
          <w:szCs w:val="21"/>
          <w:highlight w:val="none"/>
          <w14:textFill>
            <w14:solidFill>
              <w14:schemeClr w14:val="tx1"/>
            </w14:solidFill>
          </w14:textFill>
        </w:rPr>
        <w:t>成交</w:t>
      </w:r>
      <w:r>
        <w:rPr>
          <w:color w:val="000000" w:themeColor="text1"/>
          <w:szCs w:val="21"/>
          <w:highlight w:val="none"/>
          <w14:textFill>
            <w14:solidFill>
              <w14:schemeClr w14:val="tx1"/>
            </w14:solidFill>
          </w14:textFill>
        </w:rPr>
        <w:t xml:space="preserve">，我方承诺： </w:t>
      </w:r>
    </w:p>
    <w:p w14:paraId="7E8E7B0B">
      <w:pPr>
        <w:overflowPunct/>
        <w:autoSpaceDE w:val="0"/>
        <w:autoSpaceDN w:val="0"/>
        <w:bidi w:val="0"/>
        <w:snapToGrid w:val="0"/>
        <w:spacing w:line="360" w:lineRule="auto"/>
        <w:ind w:firstLine="420" w:firstLineChars="200"/>
        <w:jc w:val="lef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（1）在收到</w:t>
      </w:r>
      <w:r>
        <w:rPr>
          <w:rFonts w:hint="eastAsia"/>
          <w:color w:val="000000" w:themeColor="text1"/>
          <w:szCs w:val="21"/>
          <w:highlight w:val="none"/>
          <w14:textFill>
            <w14:solidFill>
              <w14:schemeClr w14:val="tx1"/>
            </w14:solidFill>
          </w14:textFill>
        </w:rPr>
        <w:t>成交</w:t>
      </w:r>
      <w:r>
        <w:rPr>
          <w:color w:val="000000" w:themeColor="text1"/>
          <w:szCs w:val="21"/>
          <w:highlight w:val="none"/>
          <w14:textFill>
            <w14:solidFill>
              <w14:schemeClr w14:val="tx1"/>
            </w14:solidFill>
          </w14:textFill>
        </w:rPr>
        <w:t>通知书后，在</w:t>
      </w:r>
      <w:r>
        <w:rPr>
          <w:rFonts w:hint="eastAsia"/>
          <w:color w:val="000000" w:themeColor="text1"/>
          <w:szCs w:val="21"/>
          <w:highlight w:val="none"/>
          <w14:textFill>
            <w14:solidFill>
              <w14:schemeClr w14:val="tx1"/>
            </w14:solidFill>
          </w14:textFill>
        </w:rPr>
        <w:t>成交通知书</w:t>
      </w:r>
      <w:r>
        <w:rPr>
          <w:color w:val="000000" w:themeColor="text1"/>
          <w:szCs w:val="21"/>
          <w:highlight w:val="none"/>
          <w14:textFill>
            <w14:solidFill>
              <w14:schemeClr w14:val="tx1"/>
            </w14:solidFill>
          </w14:textFill>
        </w:rPr>
        <w:t>规定的期限内与你方签订合同，否则承担法律责任；</w:t>
      </w:r>
    </w:p>
    <w:p w14:paraId="01B8CC2B">
      <w:pPr>
        <w:overflowPunct/>
        <w:autoSpaceDE w:val="0"/>
        <w:autoSpaceDN w:val="0"/>
        <w:bidi w:val="0"/>
        <w:snapToGrid w:val="0"/>
        <w:spacing w:line="360" w:lineRule="auto"/>
        <w:ind w:firstLine="420" w:firstLineChars="200"/>
        <w:jc w:val="lef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（2）在签订合同时不向你方提出附加条件； </w:t>
      </w:r>
    </w:p>
    <w:p w14:paraId="1E293121">
      <w:pPr>
        <w:overflowPunct/>
        <w:autoSpaceDE w:val="0"/>
        <w:autoSpaceDN w:val="0"/>
        <w:bidi w:val="0"/>
        <w:snapToGrid w:val="0"/>
        <w:spacing w:line="360" w:lineRule="auto"/>
        <w:ind w:firstLine="420" w:firstLineChars="200"/>
        <w:jc w:val="lef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（3）按照</w:t>
      </w:r>
      <w:r>
        <w:rPr>
          <w:rFonts w:hint="eastAsia"/>
          <w:color w:val="000000" w:themeColor="text1"/>
          <w:szCs w:val="21"/>
          <w:highlight w:val="none"/>
          <w14:textFill>
            <w14:solidFill>
              <w14:schemeClr w14:val="tx1"/>
            </w14:solidFill>
          </w14:textFill>
        </w:rPr>
        <w:t>磋商文件</w:t>
      </w:r>
      <w:r>
        <w:rPr>
          <w:color w:val="000000" w:themeColor="text1"/>
          <w:szCs w:val="21"/>
          <w:highlight w:val="none"/>
          <w14:textFill>
            <w14:solidFill>
              <w14:schemeClr w14:val="tx1"/>
            </w14:solidFill>
          </w14:textFill>
        </w:rPr>
        <w:t xml:space="preserve">要求提交履约保证金； </w:t>
      </w:r>
    </w:p>
    <w:p w14:paraId="0F820548">
      <w:pPr>
        <w:overflowPunct/>
        <w:autoSpaceDE w:val="0"/>
        <w:autoSpaceDN w:val="0"/>
        <w:bidi w:val="0"/>
        <w:snapToGrid w:val="0"/>
        <w:spacing w:line="360" w:lineRule="auto"/>
        <w:ind w:firstLine="420" w:firstLineChars="200"/>
        <w:jc w:val="lef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（4）在合同约定的期限内完成合同规定的全部义务</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 xml:space="preserve"> </w:t>
      </w:r>
    </w:p>
    <w:p w14:paraId="25297FAC">
      <w:pPr>
        <w:overflowPunct/>
        <w:autoSpaceDE w:val="0"/>
        <w:autoSpaceDN w:val="0"/>
        <w:bidi w:val="0"/>
        <w:snapToGrid w:val="0"/>
        <w:spacing w:line="360" w:lineRule="auto"/>
        <w:ind w:firstLine="420" w:firstLineChars="200"/>
        <w:jc w:val="left"/>
        <w:outlineLvl w:val="9"/>
        <w:rPr>
          <w:rFonts w:hint="eastAsia"/>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（5）无条件响应</w:t>
      </w:r>
      <w:r>
        <w:rPr>
          <w:rFonts w:hint="eastAsia"/>
          <w:color w:val="000000" w:themeColor="text1"/>
          <w:szCs w:val="21"/>
          <w:highlight w:val="none"/>
          <w14:textFill>
            <w14:solidFill>
              <w14:schemeClr w14:val="tx1"/>
            </w14:solidFill>
          </w14:textFill>
        </w:rPr>
        <w:t>采购</w:t>
      </w:r>
      <w:r>
        <w:rPr>
          <w:color w:val="000000" w:themeColor="text1"/>
          <w:szCs w:val="21"/>
          <w:highlight w:val="none"/>
          <w14:textFill>
            <w14:solidFill>
              <w14:schemeClr w14:val="tx1"/>
            </w14:solidFill>
          </w14:textFill>
        </w:rPr>
        <w:t>人须知前附表中所有要求</w:t>
      </w:r>
      <w:r>
        <w:rPr>
          <w:rFonts w:hint="eastAsia"/>
          <w:color w:val="000000" w:themeColor="text1"/>
          <w:szCs w:val="21"/>
          <w:highlight w:val="none"/>
          <w14:textFill>
            <w14:solidFill>
              <w14:schemeClr w14:val="tx1"/>
            </w14:solidFill>
          </w14:textFill>
        </w:rPr>
        <w:t>；</w:t>
      </w:r>
    </w:p>
    <w:p w14:paraId="70AE7D2F">
      <w:pPr>
        <w:overflowPunct/>
        <w:bidi w:val="0"/>
        <w:spacing w:line="360"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我方同意本</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在</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须知中规定的</w:t>
      </w:r>
      <w:r>
        <w:rPr>
          <w:rFonts w:hint="eastAsia"/>
          <w:color w:val="000000" w:themeColor="text1"/>
          <w:szCs w:val="21"/>
          <w:highlight w:val="none"/>
          <w14:textFill>
            <w14:solidFill>
              <w14:schemeClr w14:val="tx1"/>
            </w14:solidFill>
          </w14:textFill>
        </w:rPr>
        <w:t>磋商有效期内</w:t>
      </w:r>
      <w:r>
        <w:rPr>
          <w:color w:val="000000" w:themeColor="text1"/>
          <w:szCs w:val="21"/>
          <w:highlight w:val="none"/>
          <w14:textFill>
            <w14:solidFill>
              <w14:schemeClr w14:val="tx1"/>
            </w14:solidFill>
          </w14:textFill>
        </w:rPr>
        <w:t>对我方有约束力，且随时可能按此</w:t>
      </w:r>
      <w:r>
        <w:rPr>
          <w:rFonts w:hint="eastAsia"/>
          <w:color w:val="000000" w:themeColor="text1"/>
          <w:szCs w:val="21"/>
          <w:highlight w:val="none"/>
          <w14:textFill>
            <w14:solidFill>
              <w14:schemeClr w14:val="tx1"/>
            </w14:solidFill>
          </w14:textFill>
        </w:rPr>
        <w:t>响应文件成交</w:t>
      </w:r>
      <w:r>
        <w:rPr>
          <w:color w:val="000000" w:themeColor="text1"/>
          <w:szCs w:val="21"/>
          <w:highlight w:val="none"/>
          <w14:textFill>
            <w14:solidFill>
              <w14:schemeClr w14:val="tx1"/>
            </w14:solidFill>
          </w14:textFill>
        </w:rPr>
        <w:t>。</w:t>
      </w:r>
    </w:p>
    <w:p w14:paraId="31727B64">
      <w:pPr>
        <w:overflowPunct/>
        <w:bidi w:val="0"/>
        <w:spacing w:line="360"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在签署合同时，贵单位的</w:t>
      </w:r>
      <w:r>
        <w:rPr>
          <w:rFonts w:hint="eastAsia"/>
          <w:color w:val="000000" w:themeColor="text1"/>
          <w:szCs w:val="21"/>
          <w:highlight w:val="none"/>
          <w14:textFill>
            <w14:solidFill>
              <w14:schemeClr w14:val="tx1"/>
            </w14:solidFill>
          </w14:textFill>
        </w:rPr>
        <w:t>成交通知书</w:t>
      </w:r>
      <w:r>
        <w:rPr>
          <w:color w:val="000000" w:themeColor="text1"/>
          <w:szCs w:val="21"/>
          <w:highlight w:val="none"/>
          <w14:textFill>
            <w14:solidFill>
              <w14:schemeClr w14:val="tx1"/>
            </w14:solidFill>
          </w14:textFill>
        </w:rPr>
        <w:t>和本</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将构成约束我们双方的契约。</w:t>
      </w:r>
    </w:p>
    <w:p w14:paraId="73CA71EB">
      <w:pPr>
        <w:overflowPunct/>
        <w:bidi w:val="0"/>
        <w:spacing w:line="360"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我方理解你们将不受你们所受到的任何标价或其它任何</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的约束。</w:t>
      </w:r>
    </w:p>
    <w:p w14:paraId="0294A33B">
      <w:pPr>
        <w:overflowPunct/>
        <w:bidi w:val="0"/>
        <w:spacing w:line="360"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我方承诺完全按照</w:t>
      </w:r>
      <w:r>
        <w:rPr>
          <w:rFonts w:hint="eastAsia"/>
          <w:color w:val="000000" w:themeColor="text1"/>
          <w:szCs w:val="21"/>
          <w:highlight w:val="none"/>
          <w14:textFill>
            <w14:solidFill>
              <w14:schemeClr w14:val="tx1"/>
            </w14:solidFill>
          </w14:textFill>
        </w:rPr>
        <w:t>磋商文件</w:t>
      </w:r>
      <w:r>
        <w:rPr>
          <w:color w:val="000000" w:themeColor="text1"/>
          <w:szCs w:val="21"/>
          <w:highlight w:val="none"/>
          <w14:textFill>
            <w14:solidFill>
              <w14:schemeClr w14:val="tx1"/>
            </w14:solidFill>
          </w14:textFill>
        </w:rPr>
        <w:t>规定的时间提交完成的</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w:t>
      </w:r>
    </w:p>
    <w:p w14:paraId="0B20EA56">
      <w:pPr>
        <w:overflowPunct/>
        <w:bidi w:val="0"/>
        <w:spacing w:line="480" w:lineRule="auto"/>
        <w:ind w:firstLine="2520" w:firstLineChars="1200"/>
        <w:outlineLvl w:val="9"/>
        <w:rPr>
          <w:rFonts w:hint="eastAsia"/>
          <w:color w:val="000000" w:themeColor="text1"/>
          <w:szCs w:val="21"/>
          <w:highlight w:val="none"/>
          <w:lang w:eastAsia="zh-CN"/>
          <w14:textFill>
            <w14:solidFill>
              <w14:schemeClr w14:val="tx1"/>
            </w14:solidFill>
          </w14:textFill>
        </w:rPr>
      </w:pPr>
    </w:p>
    <w:p w14:paraId="43B7B168">
      <w:pPr>
        <w:overflowPunct/>
        <w:bidi w:val="0"/>
        <w:spacing w:line="480" w:lineRule="auto"/>
        <w:ind w:firstLine="2520" w:firstLineChars="1200"/>
        <w:outlineLvl w:val="9"/>
        <w:rPr>
          <w:rFonts w:hint="eastAsia"/>
          <w:color w:val="000000" w:themeColor="text1"/>
          <w:szCs w:val="21"/>
          <w:highlight w:val="none"/>
          <w:lang w:eastAsia="zh-CN"/>
          <w14:textFill>
            <w14:solidFill>
              <w14:schemeClr w14:val="tx1"/>
            </w14:solidFill>
          </w14:textFill>
        </w:rPr>
      </w:pPr>
    </w:p>
    <w:p w14:paraId="629F04F2">
      <w:pPr>
        <w:overflowPunct/>
        <w:bidi w:val="0"/>
        <w:spacing w:line="480" w:lineRule="auto"/>
        <w:ind w:firstLine="2520" w:firstLineChars="1200"/>
        <w:outlineLvl w:val="9"/>
        <w:rPr>
          <w:rFonts w:hint="eastAsia"/>
          <w:color w:val="000000" w:themeColor="text1"/>
          <w:szCs w:val="21"/>
          <w:highlight w:val="none"/>
          <w:lang w:eastAsia="zh-CN"/>
          <w14:textFill>
            <w14:solidFill>
              <w14:schemeClr w14:val="tx1"/>
            </w14:solidFill>
          </w14:textFill>
        </w:rPr>
      </w:pPr>
    </w:p>
    <w:p w14:paraId="79545A5D">
      <w:pPr>
        <w:overflowPunct/>
        <w:bidi w:val="0"/>
        <w:spacing w:line="480" w:lineRule="auto"/>
        <w:ind w:firstLine="2520" w:firstLineChars="1200"/>
        <w:outlineLvl w:val="9"/>
        <w:rPr>
          <w:rFonts w:hint="eastAsia"/>
          <w:color w:val="000000" w:themeColor="text1"/>
          <w:szCs w:val="21"/>
          <w:highlight w:val="none"/>
          <w:lang w:eastAsia="zh-CN"/>
          <w14:textFill>
            <w14:solidFill>
              <w14:schemeClr w14:val="tx1"/>
            </w14:solidFill>
          </w14:textFill>
        </w:rPr>
      </w:pPr>
    </w:p>
    <w:p w14:paraId="1ECE8677">
      <w:pPr>
        <w:overflowPunct/>
        <w:bidi w:val="0"/>
        <w:spacing w:line="480" w:lineRule="auto"/>
        <w:ind w:firstLine="2520" w:firstLineChars="1200"/>
        <w:outlineLvl w:val="9"/>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（公章）</w:t>
      </w:r>
    </w:p>
    <w:p w14:paraId="0134463F">
      <w:pPr>
        <w:overflowPunct/>
        <w:bidi w:val="0"/>
        <w:spacing w:line="480" w:lineRule="auto"/>
        <w:ind w:firstLine="2520" w:firstLineChars="1200"/>
        <w:jc w:val="lef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r>
        <w:rPr>
          <w:rFonts w:hint="eastAsia"/>
          <w:color w:val="000000" w:themeColor="text1"/>
          <w:szCs w:val="21"/>
          <w:highlight w:val="none"/>
          <w14:textFill>
            <w14:solidFill>
              <w14:schemeClr w14:val="tx1"/>
            </w14:solidFill>
          </w14:textFill>
        </w:rPr>
        <w:t>或</w:t>
      </w:r>
      <w:r>
        <w:rPr>
          <w:color w:val="000000" w:themeColor="text1"/>
          <w:szCs w:val="21"/>
          <w:highlight w:val="none"/>
          <w14:textFill>
            <w14:solidFill>
              <w14:schemeClr w14:val="tx1"/>
            </w14:solidFill>
          </w14:textFill>
        </w:rPr>
        <w:t>委托代理人：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（签字</w:t>
      </w:r>
      <w:r>
        <w:rPr>
          <w:rFonts w:hint="eastAsia"/>
          <w:color w:val="000000" w:themeColor="text1"/>
          <w:szCs w:val="21"/>
          <w:highlight w:val="none"/>
          <w14:textFill>
            <w14:solidFill>
              <w14:schemeClr w14:val="tx1"/>
            </w14:solidFill>
          </w14:textFill>
        </w:rPr>
        <w:t>或</w:t>
      </w:r>
      <w:r>
        <w:rPr>
          <w:color w:val="000000" w:themeColor="text1"/>
          <w:szCs w:val="21"/>
          <w:highlight w:val="none"/>
          <w14:textFill>
            <w14:solidFill>
              <w14:schemeClr w14:val="tx1"/>
            </w14:solidFill>
          </w14:textFill>
        </w:rPr>
        <w:t>盖章）</w:t>
      </w:r>
    </w:p>
    <w:p w14:paraId="0D53B974">
      <w:pPr>
        <w:overflowPunct/>
        <w:bidi w:val="0"/>
        <w:spacing w:line="440" w:lineRule="exact"/>
        <w:ind w:firstLine="2530" w:firstLineChars="1205"/>
        <w:outlineLvl w:val="9"/>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日    期：    年    月    日</w:t>
      </w:r>
    </w:p>
    <w:p w14:paraId="4592C6AC">
      <w:pPr>
        <w:wordWrap w:val="0"/>
        <w:overflowPunct/>
        <w:bidi w:val="0"/>
        <w:spacing w:line="600" w:lineRule="auto"/>
        <w:ind w:firstLine="420" w:firstLineChars="200"/>
        <w:jc w:val="right"/>
        <w:outlineLvl w:val="9"/>
        <w:rPr>
          <w:color w:val="000000" w:themeColor="text1"/>
          <w:szCs w:val="21"/>
          <w:highlight w:val="none"/>
          <w14:textFill>
            <w14:solidFill>
              <w14:schemeClr w14:val="tx1"/>
            </w14:solidFill>
          </w14:textFill>
        </w:rPr>
      </w:pPr>
    </w:p>
    <w:p w14:paraId="33BE5EE7">
      <w:pPr>
        <w:wordWrap w:val="0"/>
        <w:overflowPunct/>
        <w:bidi w:val="0"/>
        <w:spacing w:line="600" w:lineRule="auto"/>
        <w:ind w:firstLine="420" w:firstLineChars="200"/>
        <w:jc w:val="right"/>
        <w:outlineLvl w:val="9"/>
        <w:rPr>
          <w:color w:val="000000" w:themeColor="text1"/>
          <w:szCs w:val="21"/>
          <w:highlight w:val="none"/>
          <w14:textFill>
            <w14:solidFill>
              <w14:schemeClr w14:val="tx1"/>
            </w14:solidFill>
          </w14:textFill>
        </w:rPr>
      </w:pPr>
    </w:p>
    <w:p w14:paraId="75E005E2">
      <w:pPr>
        <w:pStyle w:val="16"/>
        <w:overflowPunct/>
        <w:bidi w:val="0"/>
        <w:outlineLvl w:val="9"/>
        <w:rPr>
          <w:color w:val="000000" w:themeColor="text1"/>
          <w:highlight w:val="none"/>
          <w14:textFill>
            <w14:solidFill>
              <w14:schemeClr w14:val="tx1"/>
            </w14:solidFill>
          </w14:textFill>
        </w:rPr>
      </w:pPr>
    </w:p>
    <w:p w14:paraId="05AEA36B">
      <w:pPr>
        <w:wordWrap w:val="0"/>
        <w:overflowPunct/>
        <w:bidi w:val="0"/>
        <w:spacing w:line="600" w:lineRule="auto"/>
        <w:ind w:firstLine="420" w:firstLineChars="200"/>
        <w:jc w:val="righ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w:t>
      </w:r>
    </w:p>
    <w:p w14:paraId="3ADBC918">
      <w:pPr>
        <w:overflowPunct/>
        <w:bidi w:val="0"/>
        <w:snapToGrid w:val="0"/>
        <w:jc w:val="center"/>
        <w:outlineLvl w:val="9"/>
        <w:rPr>
          <w:color w:val="000000" w:themeColor="text1"/>
          <w:sz w:val="32"/>
          <w:szCs w:val="32"/>
          <w:highlight w:val="none"/>
          <w14:textFill>
            <w14:solidFill>
              <w14:schemeClr w14:val="tx1"/>
            </w14:solidFill>
          </w14:textFill>
        </w:rPr>
      </w:pPr>
    </w:p>
    <w:p w14:paraId="2FEC5E76">
      <w:pPr>
        <w:overflowPunct/>
        <w:bidi w:val="0"/>
        <w:snapToGrid w:val="0"/>
        <w:jc w:val="center"/>
        <w:outlineLvl w:val="9"/>
        <w:rPr>
          <w:b/>
          <w:color w:val="000000" w:themeColor="text1"/>
          <w:sz w:val="32"/>
          <w:szCs w:val="32"/>
          <w:highlight w:val="none"/>
          <w14:textFill>
            <w14:solidFill>
              <w14:schemeClr w14:val="tx1"/>
            </w14:solidFill>
          </w14:textFill>
        </w:rPr>
      </w:pPr>
    </w:p>
    <w:p w14:paraId="0C590F44">
      <w:pPr>
        <w:overflowPunct/>
        <w:bidi w:val="0"/>
        <w:snapToGrid w:val="0"/>
        <w:jc w:val="center"/>
        <w:outlineLvl w:val="9"/>
        <w:rPr>
          <w:rFonts w:hint="eastAsia"/>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br w:type="page"/>
      </w:r>
      <w:bookmarkStart w:id="51" w:name="_Toc65587250"/>
      <w:r>
        <w:rPr>
          <w:b/>
          <w:color w:val="000000" w:themeColor="text1"/>
          <w:sz w:val="32"/>
          <w:szCs w:val="32"/>
          <w:highlight w:val="none"/>
          <w14:textFill>
            <w14:solidFill>
              <w14:schemeClr w14:val="tx1"/>
            </w14:solidFill>
          </w14:textFill>
        </w:rPr>
        <w:t>二、法定代表人</w:t>
      </w:r>
      <w:r>
        <w:rPr>
          <w:rFonts w:hint="eastAsia"/>
          <w:b/>
          <w:color w:val="000000" w:themeColor="text1"/>
          <w:sz w:val="32"/>
          <w:szCs w:val="32"/>
          <w:highlight w:val="none"/>
          <w14:textFill>
            <w14:solidFill>
              <w14:schemeClr w14:val="tx1"/>
            </w14:solidFill>
          </w14:textFill>
        </w:rPr>
        <w:t>资格</w:t>
      </w:r>
      <w:r>
        <w:rPr>
          <w:b/>
          <w:color w:val="000000" w:themeColor="text1"/>
          <w:sz w:val="32"/>
          <w:szCs w:val="32"/>
          <w:highlight w:val="none"/>
          <w14:textFill>
            <w14:solidFill>
              <w14:schemeClr w14:val="tx1"/>
            </w14:solidFill>
          </w14:textFill>
        </w:rPr>
        <w:t>证</w:t>
      </w:r>
      <w:r>
        <w:rPr>
          <w:rFonts w:hint="eastAsia"/>
          <w:b/>
          <w:color w:val="000000" w:themeColor="text1"/>
          <w:sz w:val="32"/>
          <w:szCs w:val="32"/>
          <w:highlight w:val="none"/>
          <w14:textFill>
            <w14:solidFill>
              <w14:schemeClr w14:val="tx1"/>
            </w14:solidFill>
          </w14:textFill>
        </w:rPr>
        <w:t>明</w:t>
      </w:r>
    </w:p>
    <w:p w14:paraId="58D7B8D0">
      <w:pPr>
        <w:overflowPunct/>
        <w:bidi w:val="0"/>
        <w:spacing w:line="276" w:lineRule="auto"/>
        <w:outlineLvl w:val="9"/>
        <w:rPr>
          <w:color w:val="000000" w:themeColor="text1"/>
          <w:szCs w:val="21"/>
          <w:highlight w:val="none"/>
          <w14:textFill>
            <w14:solidFill>
              <w14:schemeClr w14:val="tx1"/>
            </w14:solidFill>
          </w14:textFill>
        </w:rPr>
      </w:pPr>
    </w:p>
    <w:p w14:paraId="6188F9E0">
      <w:pPr>
        <w:overflowPunct/>
        <w:bidi w:val="0"/>
        <w:spacing w:line="276" w:lineRule="auto"/>
        <w:outlineLvl w:val="9"/>
        <w:rPr>
          <w:color w:val="000000" w:themeColor="text1"/>
          <w:szCs w:val="21"/>
          <w:highlight w:val="none"/>
          <w14:textFill>
            <w14:solidFill>
              <w14:schemeClr w14:val="tx1"/>
            </w14:solidFill>
          </w14:textFill>
        </w:rPr>
      </w:pPr>
    </w:p>
    <w:p w14:paraId="37FE23AC">
      <w:pPr>
        <w:overflowPunct/>
        <w:bidi w:val="0"/>
        <w:spacing w:line="276" w:lineRule="auto"/>
        <w:ind w:firstLine="420" w:firstLineChars="200"/>
        <w:outlineLvl w:val="9"/>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单位名称：</w:t>
      </w:r>
      <w:r>
        <w:rPr>
          <w:color w:val="000000" w:themeColor="text1"/>
          <w:szCs w:val="21"/>
          <w:highlight w:val="none"/>
          <w:u w:val="single"/>
          <w14:textFill>
            <w14:solidFill>
              <w14:schemeClr w14:val="tx1"/>
            </w14:solidFill>
          </w14:textFill>
        </w:rPr>
        <w:t xml:space="preserve">                                           </w:t>
      </w:r>
    </w:p>
    <w:p w14:paraId="37AED586">
      <w:pPr>
        <w:overflowPunct/>
        <w:bidi w:val="0"/>
        <w:spacing w:line="276" w:lineRule="auto"/>
        <w:outlineLvl w:val="9"/>
        <w:rPr>
          <w:color w:val="000000" w:themeColor="text1"/>
          <w:szCs w:val="21"/>
          <w:highlight w:val="none"/>
          <w14:textFill>
            <w14:solidFill>
              <w14:schemeClr w14:val="tx1"/>
            </w14:solidFill>
          </w14:textFill>
        </w:rPr>
      </w:pPr>
    </w:p>
    <w:p w14:paraId="32B3162F">
      <w:pPr>
        <w:overflowPunct/>
        <w:bidi w:val="0"/>
        <w:spacing w:line="276" w:lineRule="auto"/>
        <w:ind w:firstLine="420" w:firstLineChars="200"/>
        <w:outlineLvl w:val="9"/>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单位性质：</w:t>
      </w:r>
      <w:r>
        <w:rPr>
          <w:color w:val="000000" w:themeColor="text1"/>
          <w:szCs w:val="21"/>
          <w:highlight w:val="none"/>
          <w:u w:val="single"/>
          <w14:textFill>
            <w14:solidFill>
              <w14:schemeClr w14:val="tx1"/>
            </w14:solidFill>
          </w14:textFill>
        </w:rPr>
        <w:t xml:space="preserve">                                           </w:t>
      </w:r>
    </w:p>
    <w:p w14:paraId="43E61DD9">
      <w:pPr>
        <w:overflowPunct/>
        <w:bidi w:val="0"/>
        <w:spacing w:line="276" w:lineRule="auto"/>
        <w:outlineLvl w:val="9"/>
        <w:rPr>
          <w:color w:val="000000" w:themeColor="text1"/>
          <w:szCs w:val="21"/>
          <w:highlight w:val="none"/>
          <w14:textFill>
            <w14:solidFill>
              <w14:schemeClr w14:val="tx1"/>
            </w14:solidFill>
          </w14:textFill>
        </w:rPr>
      </w:pPr>
    </w:p>
    <w:p w14:paraId="16897A4D">
      <w:pPr>
        <w:overflowPunct/>
        <w:bidi w:val="0"/>
        <w:spacing w:line="276" w:lineRule="auto"/>
        <w:ind w:firstLine="420" w:firstLineChars="200"/>
        <w:outlineLvl w:val="9"/>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地    址：</w:t>
      </w:r>
      <w:r>
        <w:rPr>
          <w:color w:val="000000" w:themeColor="text1"/>
          <w:szCs w:val="21"/>
          <w:highlight w:val="none"/>
          <w:u w:val="single"/>
          <w14:textFill>
            <w14:solidFill>
              <w14:schemeClr w14:val="tx1"/>
            </w14:solidFill>
          </w14:textFill>
        </w:rPr>
        <w:t xml:space="preserve">                                           </w:t>
      </w:r>
    </w:p>
    <w:p w14:paraId="256E0E49">
      <w:pPr>
        <w:overflowPunct/>
        <w:bidi w:val="0"/>
        <w:spacing w:line="276" w:lineRule="auto"/>
        <w:outlineLvl w:val="9"/>
        <w:rPr>
          <w:color w:val="000000" w:themeColor="text1"/>
          <w:szCs w:val="21"/>
          <w:highlight w:val="none"/>
          <w14:textFill>
            <w14:solidFill>
              <w14:schemeClr w14:val="tx1"/>
            </w14:solidFill>
          </w14:textFill>
        </w:rPr>
      </w:pPr>
    </w:p>
    <w:p w14:paraId="548ACCF3">
      <w:pPr>
        <w:overflowPunct/>
        <w:bidi w:val="0"/>
        <w:spacing w:line="276"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成立时间：</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年</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月</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日</w:t>
      </w:r>
    </w:p>
    <w:p w14:paraId="6D6EE74C">
      <w:pPr>
        <w:overflowPunct/>
        <w:bidi w:val="0"/>
        <w:spacing w:line="276" w:lineRule="auto"/>
        <w:outlineLvl w:val="9"/>
        <w:rPr>
          <w:color w:val="000000" w:themeColor="text1"/>
          <w:szCs w:val="21"/>
          <w:highlight w:val="none"/>
          <w14:textFill>
            <w14:solidFill>
              <w14:schemeClr w14:val="tx1"/>
            </w14:solidFill>
          </w14:textFill>
        </w:rPr>
      </w:pPr>
    </w:p>
    <w:p w14:paraId="04A15BB7">
      <w:pPr>
        <w:overflowPunct/>
        <w:bidi w:val="0"/>
        <w:spacing w:line="276" w:lineRule="auto"/>
        <w:ind w:firstLine="420" w:firstLineChars="200"/>
        <w:outlineLvl w:val="9"/>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经营期限：</w:t>
      </w:r>
      <w:r>
        <w:rPr>
          <w:color w:val="000000" w:themeColor="text1"/>
          <w:szCs w:val="21"/>
          <w:highlight w:val="none"/>
          <w:u w:val="single"/>
          <w14:textFill>
            <w14:solidFill>
              <w14:schemeClr w14:val="tx1"/>
            </w14:solidFill>
          </w14:textFill>
        </w:rPr>
        <w:t xml:space="preserve">                                           </w:t>
      </w:r>
    </w:p>
    <w:p w14:paraId="42596934">
      <w:pPr>
        <w:overflowPunct/>
        <w:bidi w:val="0"/>
        <w:spacing w:line="276" w:lineRule="auto"/>
        <w:outlineLvl w:val="9"/>
        <w:rPr>
          <w:color w:val="000000" w:themeColor="text1"/>
          <w:szCs w:val="21"/>
          <w:highlight w:val="none"/>
          <w14:textFill>
            <w14:solidFill>
              <w14:schemeClr w14:val="tx1"/>
            </w14:solidFill>
          </w14:textFill>
        </w:rPr>
      </w:pPr>
    </w:p>
    <w:p w14:paraId="5722446B">
      <w:pPr>
        <w:overflowPunct/>
        <w:bidi w:val="0"/>
        <w:spacing w:line="276"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姓    名：</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性别：</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年龄：</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职务：</w:t>
      </w:r>
      <w:r>
        <w:rPr>
          <w:color w:val="000000" w:themeColor="text1"/>
          <w:szCs w:val="21"/>
          <w:highlight w:val="none"/>
          <w:u w:val="single"/>
          <w14:textFill>
            <w14:solidFill>
              <w14:schemeClr w14:val="tx1"/>
            </w14:solidFill>
          </w14:textFill>
        </w:rPr>
        <w:t xml:space="preserve">        </w:t>
      </w:r>
    </w:p>
    <w:p w14:paraId="45546A5F">
      <w:pPr>
        <w:overflowPunct/>
        <w:bidi w:val="0"/>
        <w:spacing w:line="276" w:lineRule="auto"/>
        <w:outlineLvl w:val="9"/>
        <w:rPr>
          <w:color w:val="000000" w:themeColor="text1"/>
          <w:szCs w:val="21"/>
          <w:highlight w:val="none"/>
          <w14:textFill>
            <w14:solidFill>
              <w14:schemeClr w14:val="tx1"/>
            </w14:solidFill>
          </w14:textFill>
        </w:rPr>
      </w:pPr>
    </w:p>
    <w:p w14:paraId="7BD790DE">
      <w:pPr>
        <w:overflowPunct/>
        <w:bidi w:val="0"/>
        <w:spacing w:line="276"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系</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lang w:eastAsia="zh-CN"/>
          <w14:textFill>
            <w14:solidFill>
              <w14:schemeClr w14:val="tx1"/>
            </w14:solidFill>
          </w14:textFill>
        </w:rPr>
        <w:t>供应商</w:t>
      </w:r>
      <w:r>
        <w:rPr>
          <w:color w:val="000000" w:themeColor="text1"/>
          <w:szCs w:val="21"/>
          <w:highlight w:val="none"/>
          <w:u w:val="single"/>
          <w14:textFill>
            <w14:solidFill>
              <w14:schemeClr w14:val="tx1"/>
            </w14:solidFill>
          </w14:textFill>
        </w:rPr>
        <w:t xml:space="preserve">单位名称）        </w:t>
      </w:r>
      <w:r>
        <w:rPr>
          <w:color w:val="000000" w:themeColor="text1"/>
          <w:szCs w:val="21"/>
          <w:highlight w:val="none"/>
          <w14:textFill>
            <w14:solidFill>
              <w14:schemeClr w14:val="tx1"/>
            </w14:solidFill>
          </w14:textFill>
        </w:rPr>
        <w:t>的法定代表人。</w:t>
      </w:r>
    </w:p>
    <w:p w14:paraId="24C91A3F">
      <w:pPr>
        <w:overflowPunct/>
        <w:bidi w:val="0"/>
        <w:spacing w:line="276" w:lineRule="auto"/>
        <w:outlineLvl w:val="9"/>
        <w:rPr>
          <w:color w:val="000000" w:themeColor="text1"/>
          <w:szCs w:val="21"/>
          <w:highlight w:val="none"/>
          <w14:textFill>
            <w14:solidFill>
              <w14:schemeClr w14:val="tx1"/>
            </w14:solidFill>
          </w14:textFill>
        </w:rPr>
      </w:pPr>
    </w:p>
    <w:p w14:paraId="1C09862A">
      <w:pPr>
        <w:overflowPunct/>
        <w:bidi w:val="0"/>
        <w:spacing w:line="276" w:lineRule="auto"/>
        <w:outlineLvl w:val="9"/>
        <w:rPr>
          <w:color w:val="000000" w:themeColor="text1"/>
          <w:szCs w:val="21"/>
          <w:highlight w:val="none"/>
          <w14:textFill>
            <w14:solidFill>
              <w14:schemeClr w14:val="tx1"/>
            </w14:solidFill>
          </w14:textFill>
        </w:rPr>
      </w:pPr>
    </w:p>
    <w:p w14:paraId="655237A5">
      <w:pPr>
        <w:overflowPunct/>
        <w:bidi w:val="0"/>
        <w:spacing w:line="276" w:lineRule="auto"/>
        <w:ind w:firstLine="840" w:firstLineChars="4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特此证明。</w:t>
      </w:r>
    </w:p>
    <w:tbl>
      <w:tblPr>
        <w:tblStyle w:val="38"/>
        <w:tblW w:w="88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0"/>
      </w:tblGrid>
      <w:tr w14:paraId="274FE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8" w:hRule="atLeast"/>
          <w:jc w:val="center"/>
        </w:trPr>
        <w:tc>
          <w:tcPr>
            <w:tcW w:w="8820" w:type="dxa"/>
            <w:noWrap w:val="0"/>
            <w:vAlign w:val="top"/>
          </w:tcPr>
          <w:p w14:paraId="45FDC0A1">
            <w:pPr>
              <w:overflowPunct/>
              <w:bidi w:val="0"/>
              <w:spacing w:line="360" w:lineRule="auto"/>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附：法定代表人身份证复印件</w:t>
            </w:r>
          </w:p>
        </w:tc>
      </w:tr>
    </w:tbl>
    <w:p w14:paraId="29249712">
      <w:pPr>
        <w:overflowPunct/>
        <w:bidi w:val="0"/>
        <w:spacing w:line="360" w:lineRule="auto"/>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w:t>
      </w:r>
    </w:p>
    <w:p w14:paraId="34B98412">
      <w:pPr>
        <w:overflowPunct/>
        <w:bidi w:val="0"/>
        <w:spacing w:line="600" w:lineRule="auto"/>
        <w:ind w:firstLine="4830" w:firstLineChars="2300"/>
        <w:jc w:val="right"/>
        <w:outlineLvl w:val="9"/>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（公章）</w:t>
      </w:r>
    </w:p>
    <w:p w14:paraId="5C580856">
      <w:pPr>
        <w:overflowPunct/>
        <w:bidi w:val="0"/>
        <w:spacing w:line="600" w:lineRule="auto"/>
        <w:ind w:firstLine="4830" w:firstLineChars="2300"/>
        <w:jc w:val="righ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（盖章）</w:t>
      </w:r>
    </w:p>
    <w:p w14:paraId="638C5EEC">
      <w:pPr>
        <w:wordWrap w:val="0"/>
        <w:overflowPunct/>
        <w:bidi w:val="0"/>
        <w:spacing w:line="600" w:lineRule="auto"/>
        <w:jc w:val="righ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日   期：    年    月    日     </w:t>
      </w:r>
    </w:p>
    <w:p w14:paraId="6AABD029">
      <w:pPr>
        <w:overflowPunct/>
        <w:bidi w:val="0"/>
        <w:jc w:val="center"/>
        <w:outlineLvl w:val="9"/>
        <w:rPr>
          <w:rFonts w:hint="eastAsia"/>
          <w:b/>
          <w:color w:val="000000" w:themeColor="text1"/>
          <w:sz w:val="32"/>
          <w:szCs w:val="32"/>
          <w:highlight w:val="none"/>
          <w14:textFill>
            <w14:solidFill>
              <w14:schemeClr w14:val="tx1"/>
            </w14:solidFill>
          </w14:textFill>
        </w:rPr>
      </w:pPr>
      <w:r>
        <w:rPr>
          <w:color w:val="000000" w:themeColor="text1"/>
          <w:szCs w:val="21"/>
          <w:highlight w:val="none"/>
          <w14:textFill>
            <w14:solidFill>
              <w14:schemeClr w14:val="tx1"/>
            </w14:solidFill>
          </w14:textFill>
        </w:rPr>
        <w:br w:type="page"/>
      </w:r>
      <w:bookmarkStart w:id="52" w:name="_Toc511207283"/>
      <w:bookmarkStart w:id="53" w:name="_Toc449685252"/>
      <w:bookmarkStart w:id="54" w:name="_Toc402425837"/>
      <w:r>
        <w:rPr>
          <w:b/>
          <w:color w:val="000000" w:themeColor="text1"/>
          <w:sz w:val="32"/>
          <w:szCs w:val="32"/>
          <w:highlight w:val="none"/>
          <w14:textFill>
            <w14:solidFill>
              <w14:schemeClr w14:val="tx1"/>
            </w14:solidFill>
          </w14:textFill>
        </w:rPr>
        <w:t>三、授权委托书</w:t>
      </w:r>
      <w:bookmarkEnd w:id="52"/>
      <w:bookmarkEnd w:id="53"/>
      <w:bookmarkEnd w:id="54"/>
    </w:p>
    <w:p w14:paraId="6E617301">
      <w:pPr>
        <w:overflowPunct/>
        <w:bidi w:val="0"/>
        <w:spacing w:line="360" w:lineRule="auto"/>
        <w:outlineLvl w:val="9"/>
        <w:rPr>
          <w:color w:val="000000" w:themeColor="text1"/>
          <w:sz w:val="16"/>
          <w:szCs w:val="21"/>
          <w:highlight w:val="none"/>
          <w14:textFill>
            <w14:solidFill>
              <w14:schemeClr w14:val="tx1"/>
            </w14:solidFill>
          </w14:textFill>
        </w:rPr>
      </w:pPr>
    </w:p>
    <w:p w14:paraId="7CD1FE99">
      <w:pPr>
        <w:overflowPunct/>
        <w:bidi w:val="0"/>
        <w:spacing w:line="480"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本授权委托书声明：</w:t>
      </w:r>
    </w:p>
    <w:p w14:paraId="4198E421">
      <w:pPr>
        <w:overflowPunct/>
        <w:bidi w:val="0"/>
        <w:spacing w:line="480"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（姓名）系</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名称）的法定代表人，现授权委托</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（姓名）为我公司代表，以</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名称）的名义参加</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（项目名称）投标活动。</w:t>
      </w:r>
    </w:p>
    <w:p w14:paraId="7D31FFCC">
      <w:pPr>
        <w:overflowPunct/>
        <w:bidi w:val="0"/>
        <w:spacing w:line="480"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委托代理人在</w:t>
      </w:r>
      <w:r>
        <w:rPr>
          <w:rFonts w:hint="eastAsia"/>
          <w:color w:val="000000" w:themeColor="text1"/>
          <w:szCs w:val="21"/>
          <w:highlight w:val="none"/>
          <w14:textFill>
            <w14:solidFill>
              <w14:schemeClr w14:val="tx1"/>
            </w14:solidFill>
          </w14:textFill>
        </w:rPr>
        <w:t>磋商、评审</w:t>
      </w:r>
      <w:r>
        <w:rPr>
          <w:color w:val="000000" w:themeColor="text1"/>
          <w:szCs w:val="21"/>
          <w:highlight w:val="none"/>
          <w14:textFill>
            <w14:solidFill>
              <w14:schemeClr w14:val="tx1"/>
            </w14:solidFill>
          </w14:textFill>
        </w:rPr>
        <w:t>、合同谈判过程中签署的一切文件和处理与之有关的一切事务，我均予以承认。</w:t>
      </w:r>
    </w:p>
    <w:p w14:paraId="67456877">
      <w:pPr>
        <w:overflowPunct/>
        <w:bidi w:val="0"/>
        <w:spacing w:line="480"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委托代理人无转委托权。</w:t>
      </w:r>
    </w:p>
    <w:p w14:paraId="1D33114B">
      <w:pPr>
        <w:overflowPunct/>
        <w:bidi w:val="0"/>
        <w:spacing w:line="480" w:lineRule="auto"/>
        <w:ind w:firstLine="420" w:firstLineChars="200"/>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特此委托。</w:t>
      </w:r>
    </w:p>
    <w:tbl>
      <w:tblPr>
        <w:tblStyle w:val="38"/>
        <w:tblW w:w="86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40"/>
      </w:tblGrid>
      <w:tr w14:paraId="32F96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4" w:hRule="atLeast"/>
        </w:trPr>
        <w:tc>
          <w:tcPr>
            <w:tcW w:w="8640" w:type="dxa"/>
            <w:noWrap w:val="0"/>
            <w:vAlign w:val="top"/>
          </w:tcPr>
          <w:p w14:paraId="7F1418BE">
            <w:pPr>
              <w:overflowPunct/>
              <w:bidi w:val="0"/>
              <w:spacing w:line="360" w:lineRule="auto"/>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附：委托代理人身份证复印件</w:t>
            </w:r>
          </w:p>
        </w:tc>
      </w:tr>
    </w:tbl>
    <w:p w14:paraId="14DA4848">
      <w:pPr>
        <w:overflowPunct/>
        <w:bidi w:val="0"/>
        <w:spacing w:line="360" w:lineRule="auto"/>
        <w:ind w:firstLine="420" w:firstLineChars="200"/>
        <w:jc w:val="right"/>
        <w:outlineLvl w:val="9"/>
        <w:rPr>
          <w:color w:val="000000" w:themeColor="text1"/>
          <w:szCs w:val="21"/>
          <w:highlight w:val="none"/>
          <w14:textFill>
            <w14:solidFill>
              <w14:schemeClr w14:val="tx1"/>
            </w14:solidFill>
          </w14:textFill>
        </w:rPr>
      </w:pPr>
    </w:p>
    <w:p w14:paraId="07BB4F69">
      <w:pPr>
        <w:wordWrap w:val="0"/>
        <w:overflowPunct/>
        <w:bidi w:val="0"/>
        <w:spacing w:line="480" w:lineRule="auto"/>
        <w:ind w:firstLine="420" w:firstLineChars="200"/>
        <w:jc w:val="right"/>
        <w:outlineLvl w:val="9"/>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供</w:t>
      </w:r>
      <w:r>
        <w:rPr>
          <w:rFonts w:hint="eastAsia"/>
          <w:color w:val="000000" w:themeColor="text1"/>
          <w:szCs w:val="21"/>
          <w:highlight w:val="none"/>
          <w:lang w:val="en-US" w:eastAsia="zh-CN"/>
          <w14:textFill>
            <w14:solidFill>
              <w14:schemeClr w14:val="tx1"/>
            </w14:solidFill>
          </w14:textFill>
        </w:rPr>
        <w:t xml:space="preserve">  </w:t>
      </w:r>
      <w:r>
        <w:rPr>
          <w:rFonts w:hint="eastAsia"/>
          <w:color w:val="000000" w:themeColor="text1"/>
          <w:szCs w:val="21"/>
          <w:highlight w:val="none"/>
          <w:lang w:eastAsia="zh-CN"/>
          <w14:textFill>
            <w14:solidFill>
              <w14:schemeClr w14:val="tx1"/>
            </w14:solidFill>
          </w14:textFill>
        </w:rPr>
        <w:t>应</w:t>
      </w:r>
      <w:r>
        <w:rPr>
          <w:rFonts w:hint="eastAsia"/>
          <w:color w:val="000000" w:themeColor="text1"/>
          <w:szCs w:val="21"/>
          <w:highlight w:val="none"/>
          <w:lang w:val="en-US" w:eastAsia="zh-CN"/>
          <w14:textFill>
            <w14:solidFill>
              <w14:schemeClr w14:val="tx1"/>
            </w14:solidFill>
          </w14:textFill>
        </w:rPr>
        <w:t xml:space="preserve">  </w:t>
      </w:r>
      <w:r>
        <w:rPr>
          <w:rFonts w:hint="eastAsia"/>
          <w:color w:val="000000" w:themeColor="text1"/>
          <w:szCs w:val="21"/>
          <w:highlight w:val="none"/>
          <w:lang w:eastAsia="zh-CN"/>
          <w14:textFill>
            <w14:solidFill>
              <w14:schemeClr w14:val="tx1"/>
            </w14:solidFill>
          </w14:textFill>
        </w:rPr>
        <w:t>商</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（公章）</w:t>
      </w:r>
      <w:r>
        <w:rPr>
          <w:rFonts w:hint="eastAsia"/>
          <w:color w:val="000000" w:themeColor="text1"/>
          <w:szCs w:val="21"/>
          <w:highlight w:val="none"/>
          <w14:textFill>
            <w14:solidFill>
              <w14:schemeClr w14:val="tx1"/>
            </w14:solidFill>
          </w14:textFill>
        </w:rPr>
        <w:t xml:space="preserve">      </w:t>
      </w:r>
    </w:p>
    <w:p w14:paraId="0B1C1BAB">
      <w:pPr>
        <w:overflowPunct/>
        <w:bidi w:val="0"/>
        <w:spacing w:line="480" w:lineRule="auto"/>
        <w:ind w:firstLine="420" w:firstLineChars="200"/>
        <w:jc w:val="righ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（盖章</w:t>
      </w:r>
      <w:r>
        <w:rPr>
          <w:rFonts w:hint="eastAsia"/>
          <w:color w:val="000000" w:themeColor="text1"/>
          <w:szCs w:val="21"/>
          <w:highlight w:val="none"/>
          <w14:textFill>
            <w14:solidFill>
              <w14:schemeClr w14:val="tx1"/>
            </w14:solidFill>
          </w14:textFill>
        </w:rPr>
        <w:t>或签字</w:t>
      </w:r>
      <w:r>
        <w:rPr>
          <w:color w:val="000000" w:themeColor="text1"/>
          <w:szCs w:val="21"/>
          <w:highlight w:val="none"/>
          <w14:textFill>
            <w14:solidFill>
              <w14:schemeClr w14:val="tx1"/>
            </w14:solidFill>
          </w14:textFill>
        </w:rPr>
        <w:t>）</w:t>
      </w:r>
    </w:p>
    <w:p w14:paraId="6D1CE90A">
      <w:pPr>
        <w:wordWrap w:val="0"/>
        <w:overflowPunct/>
        <w:bidi w:val="0"/>
        <w:spacing w:line="480" w:lineRule="auto"/>
        <w:ind w:firstLine="420" w:firstLineChars="200"/>
        <w:jc w:val="righ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委托代理人：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（签字）</w:t>
      </w:r>
      <w:r>
        <w:rPr>
          <w:rFonts w:hint="eastAsia"/>
          <w:color w:val="000000" w:themeColor="text1"/>
          <w:szCs w:val="21"/>
          <w:highlight w:val="none"/>
          <w14:textFill>
            <w14:solidFill>
              <w14:schemeClr w14:val="tx1"/>
            </w14:solidFill>
          </w14:textFill>
        </w:rPr>
        <w:t xml:space="preserve">      </w:t>
      </w:r>
    </w:p>
    <w:p w14:paraId="428EDA3A">
      <w:pPr>
        <w:wordWrap w:val="0"/>
        <w:overflowPunct/>
        <w:bidi w:val="0"/>
        <w:spacing w:line="480" w:lineRule="auto"/>
        <w:ind w:firstLine="420" w:firstLineChars="200"/>
        <w:jc w:val="righ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日    期：    年    月    日     </w:t>
      </w:r>
      <w:bookmarkStart w:id="55" w:name="_Toc402425838"/>
      <w:bookmarkStart w:id="56" w:name="_Toc449685253"/>
      <w:bookmarkStart w:id="57" w:name="_Toc511207284"/>
    </w:p>
    <w:p w14:paraId="55DEE12D">
      <w:pPr>
        <w:overflowPunct/>
        <w:bidi w:val="0"/>
        <w:ind w:firstLine="420" w:firstLineChars="200"/>
        <w:jc w:val="center"/>
        <w:outlineLvl w:val="9"/>
        <w:rPr>
          <w:b/>
          <w:color w:val="000000" w:themeColor="text1"/>
          <w:sz w:val="32"/>
          <w:szCs w:val="32"/>
          <w:highlight w:val="none"/>
          <w14:textFill>
            <w14:solidFill>
              <w14:schemeClr w14:val="tx1"/>
            </w14:solidFill>
          </w14:textFill>
        </w:rPr>
      </w:pPr>
      <w:r>
        <w:rPr>
          <w:color w:val="000000" w:themeColor="text1"/>
          <w:szCs w:val="21"/>
          <w:highlight w:val="none"/>
          <w14:textFill>
            <w14:solidFill>
              <w14:schemeClr w14:val="tx1"/>
            </w14:solidFill>
          </w14:textFill>
        </w:rPr>
        <w:br w:type="page"/>
      </w:r>
      <w:r>
        <w:rPr>
          <w:b/>
          <w:color w:val="000000" w:themeColor="text1"/>
          <w:sz w:val="32"/>
          <w:szCs w:val="32"/>
          <w:highlight w:val="none"/>
          <w14:textFill>
            <w14:solidFill>
              <w14:schemeClr w14:val="tx1"/>
            </w14:solidFill>
          </w14:textFill>
        </w:rPr>
        <w:t>四、</w:t>
      </w:r>
      <w:r>
        <w:rPr>
          <w:rFonts w:hint="eastAsia"/>
          <w:b/>
          <w:color w:val="000000" w:themeColor="text1"/>
          <w:sz w:val="32"/>
          <w:szCs w:val="32"/>
          <w:highlight w:val="none"/>
          <w14:textFill>
            <w14:solidFill>
              <w14:schemeClr w14:val="tx1"/>
            </w14:solidFill>
          </w14:textFill>
        </w:rPr>
        <w:t>报价</w:t>
      </w:r>
      <w:r>
        <w:rPr>
          <w:b/>
          <w:color w:val="000000" w:themeColor="text1"/>
          <w:sz w:val="32"/>
          <w:szCs w:val="32"/>
          <w:highlight w:val="none"/>
          <w14:textFill>
            <w14:solidFill>
              <w14:schemeClr w14:val="tx1"/>
            </w14:solidFill>
          </w14:textFill>
        </w:rPr>
        <w:t>一览表</w:t>
      </w:r>
      <w:bookmarkEnd w:id="55"/>
      <w:bookmarkEnd w:id="56"/>
      <w:bookmarkEnd w:id="57"/>
      <w:r>
        <w:rPr>
          <w:rFonts w:hint="eastAsia"/>
          <w:b/>
          <w:color w:val="000000" w:themeColor="text1"/>
          <w:sz w:val="32"/>
          <w:szCs w:val="32"/>
          <w:highlight w:val="none"/>
          <w14:textFill>
            <w14:solidFill>
              <w14:schemeClr w14:val="tx1"/>
            </w14:solidFill>
          </w14:textFill>
        </w:rPr>
        <w:t>（首次）</w:t>
      </w:r>
    </w:p>
    <w:p w14:paraId="66853AE0">
      <w:pPr>
        <w:overflowPunct/>
        <w:bidi w:val="0"/>
        <w:spacing w:line="480" w:lineRule="auto"/>
        <w:ind w:firstLine="643" w:firstLineChars="200"/>
        <w:jc w:val="center"/>
        <w:outlineLvl w:val="9"/>
        <w:rPr>
          <w:b/>
          <w:color w:val="000000" w:themeColor="text1"/>
          <w:sz w:val="32"/>
          <w:szCs w:val="32"/>
          <w:highlight w:val="none"/>
          <w14:textFill>
            <w14:solidFill>
              <w14:schemeClr w14:val="tx1"/>
            </w14:solidFill>
          </w14:textFill>
        </w:rPr>
      </w:pPr>
    </w:p>
    <w:p w14:paraId="12292C95">
      <w:pPr>
        <w:overflowPunct/>
        <w:autoSpaceDE w:val="0"/>
        <w:autoSpaceDN w:val="0"/>
        <w:bidi w:val="0"/>
        <w:spacing w:line="480" w:lineRule="auto"/>
        <w:ind w:firstLine="210" w:firstLineChars="100"/>
        <w:outlineLvl w:val="9"/>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项目名称：</w:t>
      </w:r>
    </w:p>
    <w:p w14:paraId="439B98D8">
      <w:pPr>
        <w:overflowPunct/>
        <w:autoSpaceDE w:val="0"/>
        <w:autoSpaceDN w:val="0"/>
        <w:bidi w:val="0"/>
        <w:spacing w:line="480" w:lineRule="auto"/>
        <w:ind w:firstLine="210" w:firstLineChars="100"/>
        <w:outlineLvl w:val="9"/>
        <w:rPr>
          <w:bCs/>
          <w:color w:val="000000" w:themeColor="text1"/>
          <w:szCs w:val="21"/>
          <w:highlight w:val="none"/>
          <w:lang w:val="zh-CN"/>
          <w14:textFill>
            <w14:solidFill>
              <w14:schemeClr w14:val="tx1"/>
            </w14:solidFill>
          </w14:textFill>
        </w:rPr>
      </w:pPr>
      <w:r>
        <w:rPr>
          <w:rFonts w:hint="eastAsia"/>
          <w:bCs/>
          <w:color w:val="000000" w:themeColor="text1"/>
          <w:szCs w:val="21"/>
          <w:highlight w:val="none"/>
          <w14:textFill>
            <w14:solidFill>
              <w14:schemeClr w14:val="tx1"/>
            </w14:solidFill>
          </w14:textFill>
        </w:rPr>
        <w:t>项目</w:t>
      </w:r>
      <w:r>
        <w:rPr>
          <w:bCs/>
          <w:color w:val="000000" w:themeColor="text1"/>
          <w:szCs w:val="21"/>
          <w:highlight w:val="none"/>
          <w:lang w:val="zh-CN"/>
          <w14:textFill>
            <w14:solidFill>
              <w14:schemeClr w14:val="tx1"/>
            </w14:solidFill>
          </w14:textFill>
        </w:rPr>
        <w:t>编号：</w:t>
      </w:r>
    </w:p>
    <w:p w14:paraId="6F458D5E">
      <w:pPr>
        <w:overflowPunct/>
        <w:bidi w:val="0"/>
        <w:spacing w:line="480" w:lineRule="auto"/>
        <w:ind w:firstLine="210" w:firstLineChars="100"/>
        <w:outlineLvl w:val="9"/>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开</w:t>
      </w:r>
      <w:r>
        <w:rPr>
          <w:rFonts w:hint="eastAsia"/>
          <w:bCs/>
          <w:color w:val="000000" w:themeColor="text1"/>
          <w:szCs w:val="21"/>
          <w:highlight w:val="none"/>
          <w14:textFill>
            <w14:solidFill>
              <w14:schemeClr w14:val="tx1"/>
            </w14:solidFill>
          </w14:textFill>
        </w:rPr>
        <w:t>启</w:t>
      </w:r>
      <w:r>
        <w:rPr>
          <w:bCs/>
          <w:color w:val="000000" w:themeColor="text1"/>
          <w:szCs w:val="21"/>
          <w:highlight w:val="none"/>
          <w:lang w:val="zh-CN"/>
          <w14:textFill>
            <w14:solidFill>
              <w14:schemeClr w14:val="tx1"/>
            </w14:solidFill>
          </w14:textFill>
        </w:rPr>
        <w:t xml:space="preserve">时间：    年    月    日 </w:t>
      </w:r>
    </w:p>
    <w:tbl>
      <w:tblPr>
        <w:tblStyle w:val="38"/>
        <w:tblW w:w="10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0"/>
        <w:gridCol w:w="2247"/>
        <w:gridCol w:w="1574"/>
        <w:gridCol w:w="1377"/>
        <w:gridCol w:w="1377"/>
      </w:tblGrid>
      <w:tr w14:paraId="38A0F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3560" w:type="dxa"/>
            <w:noWrap w:val="0"/>
            <w:vAlign w:val="center"/>
          </w:tcPr>
          <w:p w14:paraId="43F9B540">
            <w:pPr>
              <w:overflowPunct/>
              <w:autoSpaceDE w:val="0"/>
              <w:autoSpaceDN w:val="0"/>
              <w:bidi w:val="0"/>
              <w:spacing w:line="400" w:lineRule="exact"/>
              <w:jc w:val="center"/>
              <w:outlineLvl w:val="9"/>
              <w:rPr>
                <w:bCs/>
                <w:color w:val="000000" w:themeColor="text1"/>
                <w:szCs w:val="21"/>
                <w:highlight w:val="none"/>
                <w:lang w:val="zh-CN"/>
                <w14:textFill>
                  <w14:solidFill>
                    <w14:schemeClr w14:val="tx1"/>
                  </w14:solidFill>
                </w14:textFill>
              </w:rPr>
            </w:pPr>
            <w:r>
              <w:rPr>
                <w:rFonts w:hint="eastAsia"/>
                <w:bCs/>
                <w:color w:val="000000" w:themeColor="text1"/>
                <w:szCs w:val="21"/>
                <w:highlight w:val="none"/>
                <w:lang w:eastAsia="zh-CN"/>
                <w14:textFill>
                  <w14:solidFill>
                    <w14:schemeClr w14:val="tx1"/>
                  </w14:solidFill>
                </w14:textFill>
              </w:rPr>
              <w:t>供应商</w:t>
            </w:r>
            <w:r>
              <w:rPr>
                <w:bCs/>
                <w:color w:val="000000" w:themeColor="text1"/>
                <w:szCs w:val="21"/>
                <w:highlight w:val="none"/>
                <w:lang w:val="zh-CN"/>
                <w14:textFill>
                  <w14:solidFill>
                    <w14:schemeClr w14:val="tx1"/>
                  </w14:solidFill>
                </w14:textFill>
              </w:rPr>
              <w:t>名称</w:t>
            </w:r>
          </w:p>
        </w:tc>
        <w:tc>
          <w:tcPr>
            <w:tcW w:w="2247" w:type="dxa"/>
            <w:noWrap w:val="0"/>
            <w:vAlign w:val="center"/>
          </w:tcPr>
          <w:p w14:paraId="4BC2B9E5">
            <w:pPr>
              <w:overflowPunct/>
              <w:autoSpaceDE w:val="0"/>
              <w:autoSpaceDN w:val="0"/>
              <w:bidi w:val="0"/>
              <w:spacing w:line="400" w:lineRule="exact"/>
              <w:jc w:val="center"/>
              <w:outlineLvl w:val="9"/>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报价</w:t>
            </w:r>
          </w:p>
          <w:p w14:paraId="1C029F8D">
            <w:pPr>
              <w:overflowPunct/>
              <w:autoSpaceDE w:val="0"/>
              <w:autoSpaceDN w:val="0"/>
              <w:bidi w:val="0"/>
              <w:spacing w:line="400" w:lineRule="exact"/>
              <w:jc w:val="center"/>
              <w:outlineLvl w:val="9"/>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w:t>
            </w:r>
            <w:r>
              <w:rPr>
                <w:rFonts w:hint="eastAsia"/>
                <w:bCs/>
                <w:color w:val="000000" w:themeColor="text1"/>
                <w:szCs w:val="21"/>
                <w:highlight w:val="none"/>
                <w14:textFill>
                  <w14:solidFill>
                    <w14:schemeClr w14:val="tx1"/>
                  </w14:solidFill>
                </w14:textFill>
              </w:rPr>
              <w:t>万元</w:t>
            </w:r>
            <w:r>
              <w:rPr>
                <w:bCs/>
                <w:color w:val="000000" w:themeColor="text1"/>
                <w:szCs w:val="21"/>
                <w:highlight w:val="none"/>
                <w:lang w:val="zh-CN"/>
                <w14:textFill>
                  <w14:solidFill>
                    <w14:schemeClr w14:val="tx1"/>
                  </w14:solidFill>
                </w14:textFill>
              </w:rPr>
              <w:t>）</w:t>
            </w:r>
          </w:p>
        </w:tc>
        <w:tc>
          <w:tcPr>
            <w:tcW w:w="1574" w:type="dxa"/>
            <w:noWrap w:val="0"/>
            <w:vAlign w:val="center"/>
          </w:tcPr>
          <w:p w14:paraId="4E1EB1B3">
            <w:pPr>
              <w:overflowPunct/>
              <w:autoSpaceDE w:val="0"/>
              <w:autoSpaceDN w:val="0"/>
              <w:bidi w:val="0"/>
              <w:spacing w:line="400" w:lineRule="exact"/>
              <w:jc w:val="center"/>
              <w:outlineLvl w:val="9"/>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合同履行期限</w:t>
            </w:r>
          </w:p>
        </w:tc>
        <w:tc>
          <w:tcPr>
            <w:tcW w:w="1377" w:type="dxa"/>
            <w:noWrap w:val="0"/>
            <w:vAlign w:val="center"/>
          </w:tcPr>
          <w:p w14:paraId="0D3528FD">
            <w:pPr>
              <w:overflowPunct/>
              <w:autoSpaceDE w:val="0"/>
              <w:autoSpaceDN w:val="0"/>
              <w:bidi w:val="0"/>
              <w:spacing w:line="400" w:lineRule="exact"/>
              <w:jc w:val="center"/>
              <w:outlineLvl w:val="9"/>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优惠</w:t>
            </w:r>
          </w:p>
          <w:p w14:paraId="44EF2CF2">
            <w:pPr>
              <w:overflowPunct/>
              <w:autoSpaceDE w:val="0"/>
              <w:autoSpaceDN w:val="0"/>
              <w:bidi w:val="0"/>
              <w:spacing w:line="400" w:lineRule="exact"/>
              <w:jc w:val="center"/>
              <w:outlineLvl w:val="9"/>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条件</w:t>
            </w:r>
          </w:p>
        </w:tc>
        <w:tc>
          <w:tcPr>
            <w:tcW w:w="1377" w:type="dxa"/>
            <w:noWrap w:val="0"/>
            <w:vAlign w:val="center"/>
          </w:tcPr>
          <w:p w14:paraId="7FB076FC">
            <w:pPr>
              <w:overflowPunct/>
              <w:autoSpaceDE w:val="0"/>
              <w:autoSpaceDN w:val="0"/>
              <w:bidi w:val="0"/>
              <w:spacing w:line="400" w:lineRule="exact"/>
              <w:jc w:val="center"/>
              <w:outlineLvl w:val="9"/>
              <w:rPr>
                <w:bCs/>
                <w:color w:val="000000" w:themeColor="text1"/>
                <w:szCs w:val="21"/>
                <w:highlight w:val="none"/>
                <w:lang w:val="zh-CN"/>
                <w14:textFill>
                  <w14:solidFill>
                    <w14:schemeClr w14:val="tx1"/>
                  </w14:solidFill>
                </w14:textFill>
              </w:rPr>
            </w:pPr>
            <w:r>
              <w:rPr>
                <w:rFonts w:hint="eastAsia"/>
                <w:bCs/>
                <w:color w:val="000000" w:themeColor="text1"/>
                <w:szCs w:val="21"/>
                <w:highlight w:val="none"/>
                <w:lang w:val="zh-CN"/>
                <w14:textFill>
                  <w14:solidFill>
                    <w14:schemeClr w14:val="tx1"/>
                  </w14:solidFill>
                </w14:textFill>
              </w:rPr>
              <w:t>质量标准</w:t>
            </w:r>
          </w:p>
        </w:tc>
      </w:tr>
      <w:tr w14:paraId="5A1B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3560" w:type="dxa"/>
            <w:noWrap w:val="0"/>
            <w:vAlign w:val="center"/>
          </w:tcPr>
          <w:p w14:paraId="5540FA4F">
            <w:pPr>
              <w:overflowPunct/>
              <w:autoSpaceDE w:val="0"/>
              <w:autoSpaceDN w:val="0"/>
              <w:bidi w:val="0"/>
              <w:spacing w:line="400" w:lineRule="exact"/>
              <w:jc w:val="center"/>
              <w:outlineLvl w:val="9"/>
              <w:rPr>
                <w:bCs/>
                <w:color w:val="000000" w:themeColor="text1"/>
                <w:szCs w:val="21"/>
                <w:highlight w:val="none"/>
                <w:lang w:val="zh-CN"/>
                <w14:textFill>
                  <w14:solidFill>
                    <w14:schemeClr w14:val="tx1"/>
                  </w14:solidFill>
                </w14:textFill>
              </w:rPr>
            </w:pPr>
          </w:p>
        </w:tc>
        <w:tc>
          <w:tcPr>
            <w:tcW w:w="2247" w:type="dxa"/>
            <w:noWrap w:val="0"/>
            <w:vAlign w:val="center"/>
          </w:tcPr>
          <w:p w14:paraId="5726B9A1">
            <w:pPr>
              <w:overflowPunct/>
              <w:autoSpaceDE w:val="0"/>
              <w:autoSpaceDN w:val="0"/>
              <w:bidi w:val="0"/>
              <w:spacing w:line="400" w:lineRule="exact"/>
              <w:jc w:val="center"/>
              <w:outlineLvl w:val="9"/>
              <w:rPr>
                <w:rFonts w:hint="eastAsia"/>
                <w:bCs/>
                <w:color w:val="000000" w:themeColor="text1"/>
                <w:szCs w:val="21"/>
                <w:highlight w:val="none"/>
                <w14:textFill>
                  <w14:solidFill>
                    <w14:schemeClr w14:val="tx1"/>
                  </w14:solidFill>
                </w14:textFill>
              </w:rPr>
            </w:pPr>
          </w:p>
        </w:tc>
        <w:tc>
          <w:tcPr>
            <w:tcW w:w="1574" w:type="dxa"/>
            <w:noWrap w:val="0"/>
            <w:vAlign w:val="center"/>
          </w:tcPr>
          <w:p w14:paraId="57AF8C12">
            <w:pPr>
              <w:overflowPunct/>
              <w:autoSpaceDE w:val="0"/>
              <w:autoSpaceDN w:val="0"/>
              <w:bidi w:val="0"/>
              <w:spacing w:line="400" w:lineRule="exact"/>
              <w:jc w:val="center"/>
              <w:outlineLvl w:val="9"/>
              <w:rPr>
                <w:color w:val="000000" w:themeColor="text1"/>
                <w:szCs w:val="21"/>
                <w:highlight w:val="none"/>
                <w14:textFill>
                  <w14:solidFill>
                    <w14:schemeClr w14:val="tx1"/>
                  </w14:solidFill>
                </w14:textFill>
              </w:rPr>
            </w:pPr>
          </w:p>
        </w:tc>
        <w:tc>
          <w:tcPr>
            <w:tcW w:w="1377" w:type="dxa"/>
            <w:noWrap w:val="0"/>
            <w:vAlign w:val="center"/>
          </w:tcPr>
          <w:p w14:paraId="70F6FA39">
            <w:pPr>
              <w:overflowPunct/>
              <w:autoSpaceDE w:val="0"/>
              <w:autoSpaceDN w:val="0"/>
              <w:bidi w:val="0"/>
              <w:spacing w:line="400" w:lineRule="exact"/>
              <w:jc w:val="center"/>
              <w:outlineLvl w:val="9"/>
              <w:rPr>
                <w:bCs/>
                <w:color w:val="000000" w:themeColor="text1"/>
                <w:szCs w:val="21"/>
                <w:highlight w:val="none"/>
                <w14:textFill>
                  <w14:solidFill>
                    <w14:schemeClr w14:val="tx1"/>
                  </w14:solidFill>
                </w14:textFill>
              </w:rPr>
            </w:pPr>
          </w:p>
        </w:tc>
        <w:tc>
          <w:tcPr>
            <w:tcW w:w="1377" w:type="dxa"/>
            <w:noWrap w:val="0"/>
            <w:vAlign w:val="center"/>
          </w:tcPr>
          <w:p w14:paraId="69762325">
            <w:pPr>
              <w:overflowPunct/>
              <w:autoSpaceDE w:val="0"/>
              <w:autoSpaceDN w:val="0"/>
              <w:bidi w:val="0"/>
              <w:spacing w:line="400" w:lineRule="exact"/>
              <w:jc w:val="center"/>
              <w:outlineLvl w:val="9"/>
              <w:rPr>
                <w:bCs/>
                <w:color w:val="000000" w:themeColor="text1"/>
                <w:szCs w:val="21"/>
                <w:highlight w:val="none"/>
                <w14:textFill>
                  <w14:solidFill>
                    <w14:schemeClr w14:val="tx1"/>
                  </w14:solidFill>
                </w14:textFill>
              </w:rPr>
            </w:pPr>
          </w:p>
        </w:tc>
      </w:tr>
    </w:tbl>
    <w:p w14:paraId="34EC1AB4">
      <w:pPr>
        <w:overflowPunct/>
        <w:autoSpaceDE w:val="0"/>
        <w:autoSpaceDN w:val="0"/>
        <w:bidi w:val="0"/>
        <w:spacing w:line="480" w:lineRule="auto"/>
        <w:outlineLvl w:val="9"/>
        <w:rPr>
          <w:bCs/>
          <w:color w:val="000000" w:themeColor="text1"/>
          <w:szCs w:val="21"/>
          <w:highlight w:val="none"/>
          <w:lang w:val="zh-CN"/>
          <w14:textFill>
            <w14:solidFill>
              <w14:schemeClr w14:val="tx1"/>
            </w14:solidFill>
          </w14:textFill>
        </w:rPr>
      </w:pPr>
      <w:r>
        <w:rPr>
          <w:bCs/>
          <w:color w:val="000000" w:themeColor="text1"/>
          <w:szCs w:val="21"/>
          <w:highlight w:val="none"/>
          <w:lang w:val="zh-CN"/>
          <w14:textFill>
            <w14:solidFill>
              <w14:schemeClr w14:val="tx1"/>
            </w14:solidFill>
          </w14:textFill>
        </w:rPr>
        <w:t>注：</w:t>
      </w:r>
    </w:p>
    <w:p w14:paraId="5E617A73">
      <w:pPr>
        <w:overflowPunct/>
        <w:autoSpaceDE w:val="0"/>
        <w:autoSpaceDN w:val="0"/>
        <w:bidi w:val="0"/>
        <w:adjustRightInd w:val="0"/>
        <w:spacing w:line="480" w:lineRule="auto"/>
        <w:ind w:firstLine="420" w:firstLineChars="200"/>
        <w:textAlignment w:val="baseline"/>
        <w:outlineLvl w:val="9"/>
        <w:rPr>
          <w:rFonts w:ascii="宋体" w:hAnsi="宋体" w:cs="宋体"/>
          <w:snapToGrid w:val="0"/>
          <w:color w:val="000000" w:themeColor="text1"/>
          <w:kern w:val="0"/>
          <w:szCs w:val="32"/>
          <w:highlight w:val="none"/>
          <w:lang w:val="zh-CN"/>
          <w14:textFill>
            <w14:solidFill>
              <w14:schemeClr w14:val="tx1"/>
            </w14:solidFill>
          </w14:textFill>
        </w:rPr>
      </w:pPr>
      <w:r>
        <w:rPr>
          <w:rFonts w:hint="eastAsia" w:ascii="宋体" w:hAnsi="宋体" w:cs="宋体"/>
          <w:snapToGrid w:val="0"/>
          <w:color w:val="000000" w:themeColor="text1"/>
          <w:kern w:val="0"/>
          <w:szCs w:val="32"/>
          <w:highlight w:val="none"/>
          <w14:textFill>
            <w14:solidFill>
              <w14:schemeClr w14:val="tx1"/>
            </w14:solidFill>
          </w14:textFill>
        </w:rPr>
        <w:t>1、</w:t>
      </w:r>
      <w:r>
        <w:rPr>
          <w:rFonts w:ascii="宋体" w:hAnsi="宋体" w:cs="宋体"/>
          <w:snapToGrid w:val="0"/>
          <w:color w:val="000000" w:themeColor="text1"/>
          <w:kern w:val="0"/>
          <w:szCs w:val="32"/>
          <w:highlight w:val="none"/>
          <w:lang w:val="zh-CN"/>
          <w14:textFill>
            <w14:solidFill>
              <w14:schemeClr w14:val="tx1"/>
            </w14:solidFill>
          </w14:textFill>
        </w:rPr>
        <w:t>本表的一切内容均具有法律效力，不得更改</w:t>
      </w:r>
      <w:r>
        <w:rPr>
          <w:rFonts w:hint="eastAsia" w:ascii="宋体" w:hAnsi="宋体" w:cs="宋体"/>
          <w:snapToGrid w:val="0"/>
          <w:color w:val="000000" w:themeColor="text1"/>
          <w:kern w:val="0"/>
          <w:szCs w:val="32"/>
          <w:highlight w:val="none"/>
          <w:lang w:val="zh-CN"/>
          <w14:textFill>
            <w14:solidFill>
              <w14:schemeClr w14:val="tx1"/>
            </w14:solidFill>
          </w14:textFill>
        </w:rPr>
        <w:t>。</w:t>
      </w:r>
      <w:r>
        <w:rPr>
          <w:rFonts w:hint="eastAsia" w:ascii="宋体" w:hAnsi="宋体" w:cs="宋体"/>
          <w:snapToGrid w:val="0"/>
          <w:color w:val="000000" w:themeColor="text1"/>
          <w:kern w:val="0"/>
          <w:szCs w:val="32"/>
          <w:highlight w:val="none"/>
          <w14:textFill>
            <w14:solidFill>
              <w14:schemeClr w14:val="tx1"/>
            </w14:solidFill>
          </w14:textFill>
        </w:rPr>
        <w:t>当报价一览表与响应标文件不一致时，以报价一览表为准</w:t>
      </w:r>
      <w:r>
        <w:rPr>
          <w:rFonts w:ascii="宋体" w:hAnsi="宋体" w:cs="宋体"/>
          <w:snapToGrid w:val="0"/>
          <w:color w:val="000000" w:themeColor="text1"/>
          <w:kern w:val="0"/>
          <w:szCs w:val="32"/>
          <w:highlight w:val="none"/>
          <w:lang w:val="zh-CN"/>
          <w14:textFill>
            <w14:solidFill>
              <w14:schemeClr w14:val="tx1"/>
            </w14:solidFill>
          </w14:textFill>
        </w:rPr>
        <w:t>。</w:t>
      </w:r>
    </w:p>
    <w:p w14:paraId="4817F20C">
      <w:pPr>
        <w:overflowPunct/>
        <w:autoSpaceDE w:val="0"/>
        <w:autoSpaceDN w:val="0"/>
        <w:bidi w:val="0"/>
        <w:adjustRightInd w:val="0"/>
        <w:spacing w:line="480" w:lineRule="auto"/>
        <w:ind w:firstLine="420" w:firstLineChars="200"/>
        <w:textAlignment w:val="baseline"/>
        <w:outlineLvl w:val="9"/>
        <w:rPr>
          <w:rFonts w:ascii="宋体" w:hAnsi="宋体" w:cs="宋体"/>
          <w:snapToGrid w:val="0"/>
          <w:color w:val="000000" w:themeColor="text1"/>
          <w:kern w:val="0"/>
          <w:szCs w:val="32"/>
          <w:highlight w:val="none"/>
          <w14:textFill>
            <w14:solidFill>
              <w14:schemeClr w14:val="tx1"/>
            </w14:solidFill>
          </w14:textFill>
        </w:rPr>
      </w:pPr>
      <w:r>
        <w:rPr>
          <w:rFonts w:hint="eastAsia" w:ascii="宋体" w:hAnsi="宋体" w:cs="宋体"/>
          <w:snapToGrid w:val="0"/>
          <w:color w:val="000000" w:themeColor="text1"/>
          <w:kern w:val="0"/>
          <w:szCs w:val="32"/>
          <w:highlight w:val="none"/>
          <w14:textFill>
            <w14:solidFill>
              <w14:schemeClr w14:val="tx1"/>
            </w14:solidFill>
          </w14:textFill>
        </w:rPr>
        <w:t>2、报价为采购范围所列全部项目的含税报价总和。优惠条件只填“有”或“无”，并在响应文件相应位置附具体内容。</w:t>
      </w:r>
    </w:p>
    <w:p w14:paraId="42A893F3">
      <w:pPr>
        <w:overflowPunct/>
        <w:autoSpaceDE w:val="0"/>
        <w:autoSpaceDN w:val="0"/>
        <w:bidi w:val="0"/>
        <w:adjustRightInd w:val="0"/>
        <w:spacing w:line="480" w:lineRule="auto"/>
        <w:ind w:firstLine="420" w:firstLineChars="200"/>
        <w:textAlignment w:val="baseline"/>
        <w:outlineLvl w:val="9"/>
        <w:rPr>
          <w:b/>
          <w:bCs/>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32"/>
          <w:highlight w:val="none"/>
          <w14:textFill>
            <w14:solidFill>
              <w14:schemeClr w14:val="tx1"/>
            </w14:solidFill>
          </w14:textFill>
        </w:rPr>
        <w:t>3</w:t>
      </w:r>
      <w:r>
        <w:rPr>
          <w:rFonts w:ascii="宋体" w:hAnsi="宋体" w:cs="宋体"/>
          <w:snapToGrid w:val="0"/>
          <w:color w:val="000000" w:themeColor="text1"/>
          <w:kern w:val="0"/>
          <w:szCs w:val="32"/>
          <w:highlight w:val="none"/>
          <w:lang w:val="zh-CN"/>
          <w14:textFill>
            <w14:solidFill>
              <w14:schemeClr w14:val="tx1"/>
            </w14:solidFill>
          </w14:textFill>
        </w:rPr>
        <w:t>、本表格须装订在</w:t>
      </w:r>
      <w:r>
        <w:rPr>
          <w:rFonts w:hint="eastAsia" w:ascii="宋体" w:hAnsi="宋体" w:cs="宋体"/>
          <w:snapToGrid w:val="0"/>
          <w:color w:val="000000" w:themeColor="text1"/>
          <w:kern w:val="0"/>
          <w:szCs w:val="32"/>
          <w:highlight w:val="none"/>
          <w14:textFill>
            <w14:solidFill>
              <w14:schemeClr w14:val="tx1"/>
            </w14:solidFill>
          </w14:textFill>
        </w:rPr>
        <w:t>响应</w:t>
      </w:r>
      <w:r>
        <w:rPr>
          <w:rFonts w:ascii="宋体" w:hAnsi="宋体" w:cs="宋体"/>
          <w:snapToGrid w:val="0"/>
          <w:color w:val="000000" w:themeColor="text1"/>
          <w:kern w:val="0"/>
          <w:szCs w:val="32"/>
          <w:highlight w:val="none"/>
          <w:lang w:val="zh-CN"/>
          <w14:textFill>
            <w14:solidFill>
              <w14:schemeClr w14:val="tx1"/>
            </w14:solidFill>
          </w14:textFill>
        </w:rPr>
        <w:t>文件内。然后再将此</w:t>
      </w:r>
      <w:r>
        <w:rPr>
          <w:rFonts w:hint="eastAsia" w:ascii="宋体" w:hAnsi="宋体" w:cs="宋体"/>
          <w:snapToGrid w:val="0"/>
          <w:color w:val="000000" w:themeColor="text1"/>
          <w:kern w:val="0"/>
          <w:szCs w:val="32"/>
          <w:highlight w:val="none"/>
          <w14:textFill>
            <w14:solidFill>
              <w14:schemeClr w14:val="tx1"/>
            </w14:solidFill>
          </w14:textFill>
        </w:rPr>
        <w:t>报价</w:t>
      </w:r>
      <w:r>
        <w:rPr>
          <w:rFonts w:ascii="宋体" w:hAnsi="宋体" w:cs="宋体"/>
          <w:snapToGrid w:val="0"/>
          <w:color w:val="000000" w:themeColor="text1"/>
          <w:kern w:val="0"/>
          <w:szCs w:val="32"/>
          <w:highlight w:val="none"/>
          <w:lang w:val="zh-CN"/>
          <w14:textFill>
            <w14:solidFill>
              <w14:schemeClr w14:val="tx1"/>
            </w14:solidFill>
          </w14:textFill>
        </w:rPr>
        <w:t>一览表单独打印一份签字和加盖印章后，单独密封在一个小信封内，随</w:t>
      </w:r>
      <w:r>
        <w:rPr>
          <w:rFonts w:hint="eastAsia" w:ascii="宋体" w:hAnsi="宋体" w:cs="宋体"/>
          <w:snapToGrid w:val="0"/>
          <w:color w:val="000000" w:themeColor="text1"/>
          <w:kern w:val="0"/>
          <w:szCs w:val="32"/>
          <w:highlight w:val="none"/>
          <w14:textFill>
            <w14:solidFill>
              <w14:schemeClr w14:val="tx1"/>
            </w14:solidFill>
          </w14:textFill>
        </w:rPr>
        <w:t>响应</w:t>
      </w:r>
      <w:r>
        <w:rPr>
          <w:bCs/>
          <w:color w:val="000000" w:themeColor="text1"/>
          <w:szCs w:val="21"/>
          <w:highlight w:val="none"/>
          <w:lang w:val="zh-CN"/>
          <w14:textFill>
            <w14:solidFill>
              <w14:schemeClr w14:val="tx1"/>
            </w14:solidFill>
          </w14:textFill>
        </w:rPr>
        <w:t>文件一同递交用。</w:t>
      </w:r>
    </w:p>
    <w:p w14:paraId="384615DB">
      <w:pPr>
        <w:overflowPunct/>
        <w:bidi w:val="0"/>
        <w:spacing w:line="480" w:lineRule="auto"/>
        <w:ind w:firstLine="2520" w:firstLineChars="1200"/>
        <w:outlineLvl w:val="9"/>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（公章）</w:t>
      </w:r>
    </w:p>
    <w:p w14:paraId="4A71A03C">
      <w:pPr>
        <w:overflowPunct/>
        <w:bidi w:val="0"/>
        <w:spacing w:line="480" w:lineRule="auto"/>
        <w:ind w:firstLine="2520" w:firstLineChars="1200"/>
        <w:jc w:val="lef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r>
        <w:rPr>
          <w:rFonts w:hint="eastAsia"/>
          <w:color w:val="000000" w:themeColor="text1"/>
          <w:szCs w:val="21"/>
          <w:highlight w:val="none"/>
          <w14:textFill>
            <w14:solidFill>
              <w14:schemeClr w14:val="tx1"/>
            </w14:solidFill>
          </w14:textFill>
        </w:rPr>
        <w:t>或</w:t>
      </w:r>
      <w:r>
        <w:rPr>
          <w:color w:val="000000" w:themeColor="text1"/>
          <w:szCs w:val="21"/>
          <w:highlight w:val="none"/>
          <w14:textFill>
            <w14:solidFill>
              <w14:schemeClr w14:val="tx1"/>
            </w14:solidFill>
          </w14:textFill>
        </w:rPr>
        <w:t>委托代理人：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（签字</w:t>
      </w:r>
      <w:r>
        <w:rPr>
          <w:rFonts w:hint="eastAsia"/>
          <w:color w:val="000000" w:themeColor="text1"/>
          <w:szCs w:val="21"/>
          <w:highlight w:val="none"/>
          <w14:textFill>
            <w14:solidFill>
              <w14:schemeClr w14:val="tx1"/>
            </w14:solidFill>
          </w14:textFill>
        </w:rPr>
        <w:t>或</w:t>
      </w:r>
      <w:r>
        <w:rPr>
          <w:color w:val="000000" w:themeColor="text1"/>
          <w:szCs w:val="21"/>
          <w:highlight w:val="none"/>
          <w14:textFill>
            <w14:solidFill>
              <w14:schemeClr w14:val="tx1"/>
            </w14:solidFill>
          </w14:textFill>
        </w:rPr>
        <w:t>盖章）</w:t>
      </w:r>
    </w:p>
    <w:p w14:paraId="51AD8BE6">
      <w:pPr>
        <w:overflowPunct/>
        <w:bidi w:val="0"/>
        <w:spacing w:line="440" w:lineRule="exact"/>
        <w:ind w:firstLine="2530" w:firstLineChars="1205"/>
        <w:outlineLvl w:val="9"/>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日    期：    年    月    日</w:t>
      </w:r>
    </w:p>
    <w:p w14:paraId="0123BFDC">
      <w:pPr>
        <w:overflowPunct/>
        <w:bidi w:val="0"/>
        <w:spacing w:line="300" w:lineRule="auto"/>
        <w:ind w:firstLine="420" w:firstLineChars="200"/>
        <w:outlineLvl w:val="9"/>
        <w:rPr>
          <w:color w:val="000000" w:themeColor="text1"/>
          <w:highlight w:val="none"/>
          <w14:textFill>
            <w14:solidFill>
              <w14:schemeClr w14:val="tx1"/>
            </w14:solidFill>
          </w14:textFill>
        </w:rPr>
      </w:pPr>
    </w:p>
    <w:p w14:paraId="489A3B9F">
      <w:pPr>
        <w:overflowPunct/>
        <w:autoSpaceDE w:val="0"/>
        <w:autoSpaceDN w:val="0"/>
        <w:bidi w:val="0"/>
        <w:jc w:val="center"/>
        <w:outlineLvl w:val="9"/>
        <w:rPr>
          <w:rFonts w:hint="eastAsia"/>
          <w:b/>
          <w:color w:val="000000" w:themeColor="text1"/>
          <w:sz w:val="32"/>
          <w:szCs w:val="32"/>
          <w:highlight w:val="none"/>
          <w14:textFill>
            <w14:solidFill>
              <w14:schemeClr w14:val="tx1"/>
            </w14:solidFill>
          </w14:textFill>
        </w:rPr>
      </w:pPr>
      <w:bookmarkStart w:id="58" w:name="_Toc402425839"/>
      <w:r>
        <w:rPr>
          <w:b/>
          <w:color w:val="000000" w:themeColor="text1"/>
          <w:highlight w:val="none"/>
          <w14:textFill>
            <w14:solidFill>
              <w14:schemeClr w14:val="tx1"/>
            </w14:solidFill>
          </w14:textFill>
        </w:rPr>
        <w:br w:type="page"/>
      </w:r>
      <w:bookmarkEnd w:id="51"/>
      <w:bookmarkEnd w:id="58"/>
      <w:r>
        <w:rPr>
          <w:b/>
          <w:color w:val="000000" w:themeColor="text1"/>
          <w:sz w:val="32"/>
          <w:szCs w:val="32"/>
          <w:highlight w:val="none"/>
          <w14:textFill>
            <w14:solidFill>
              <w14:schemeClr w14:val="tx1"/>
            </w14:solidFill>
          </w14:textFill>
        </w:rPr>
        <w:t>五、报价</w:t>
      </w:r>
      <w:r>
        <w:rPr>
          <w:rFonts w:hint="eastAsia"/>
          <w:b/>
          <w:color w:val="000000" w:themeColor="text1"/>
          <w:sz w:val="32"/>
          <w:szCs w:val="32"/>
          <w:highlight w:val="none"/>
          <w14:textFill>
            <w14:solidFill>
              <w14:schemeClr w14:val="tx1"/>
            </w14:solidFill>
          </w14:textFill>
        </w:rPr>
        <w:t>明细</w:t>
      </w:r>
    </w:p>
    <w:p w14:paraId="6C4DCD1A">
      <w:pPr>
        <w:overflowPunct/>
        <w:autoSpaceDE w:val="0"/>
        <w:autoSpaceDN w:val="0"/>
        <w:bidi w:val="0"/>
        <w:snapToGrid w:val="0"/>
        <w:outlineLvl w:val="9"/>
        <w:rPr>
          <w:color w:val="000000" w:themeColor="text1"/>
          <w:spacing w:val="11"/>
          <w:szCs w:val="21"/>
          <w:highlight w:val="none"/>
          <w14:textFill>
            <w14:solidFill>
              <w14:schemeClr w14:val="tx1"/>
            </w14:solidFill>
          </w14:textFill>
        </w:rPr>
      </w:pPr>
    </w:p>
    <w:p w14:paraId="392DA8FB">
      <w:pPr>
        <w:overflowPunct/>
        <w:autoSpaceDE w:val="0"/>
        <w:autoSpaceDN w:val="0"/>
        <w:bidi w:val="0"/>
        <w:snapToGrid w:val="0"/>
        <w:outlineLvl w:val="9"/>
        <w:rPr>
          <w:color w:val="000000" w:themeColor="text1"/>
          <w:spacing w:val="11"/>
          <w:szCs w:val="21"/>
          <w:highlight w:val="none"/>
          <w14:textFill>
            <w14:solidFill>
              <w14:schemeClr w14:val="tx1"/>
            </w14:solidFill>
          </w14:textFill>
        </w:rPr>
      </w:pPr>
    </w:p>
    <w:p w14:paraId="2D660842">
      <w:pPr>
        <w:overflowPunct/>
        <w:autoSpaceDE w:val="0"/>
        <w:autoSpaceDN w:val="0"/>
        <w:bidi w:val="0"/>
        <w:snapToGrid w:val="0"/>
        <w:outlineLvl w:val="9"/>
        <w:rPr>
          <w:rFonts w:hint="eastAsia" w:eastAsia="宋体"/>
          <w:color w:val="000000" w:themeColor="text1"/>
          <w:spacing w:val="11"/>
          <w:szCs w:val="21"/>
          <w:highlight w:val="none"/>
          <w:lang w:eastAsia="zh-CN"/>
          <w14:textFill>
            <w14:solidFill>
              <w14:schemeClr w14:val="tx1"/>
            </w14:solidFill>
          </w14:textFill>
        </w:rPr>
      </w:pPr>
      <w:r>
        <w:rPr>
          <w:rFonts w:hint="eastAsia"/>
          <w:color w:val="000000" w:themeColor="text1"/>
          <w:spacing w:val="11"/>
          <w:szCs w:val="21"/>
          <w:highlight w:val="none"/>
          <w14:textFill>
            <w14:solidFill>
              <w14:schemeClr w14:val="tx1"/>
            </w14:solidFill>
          </w14:textFill>
        </w:rPr>
        <w:t>内容由</w:t>
      </w:r>
      <w:r>
        <w:rPr>
          <w:rFonts w:hint="eastAsia"/>
          <w:color w:val="000000" w:themeColor="text1"/>
          <w:spacing w:val="11"/>
          <w:szCs w:val="21"/>
          <w:highlight w:val="none"/>
          <w:lang w:eastAsia="zh-CN"/>
          <w14:textFill>
            <w14:solidFill>
              <w14:schemeClr w14:val="tx1"/>
            </w14:solidFill>
          </w14:textFill>
        </w:rPr>
        <w:t>供应商</w:t>
      </w:r>
      <w:r>
        <w:rPr>
          <w:rFonts w:hint="eastAsia"/>
          <w:color w:val="000000" w:themeColor="text1"/>
          <w:spacing w:val="11"/>
          <w:szCs w:val="21"/>
          <w:highlight w:val="none"/>
          <w14:textFill>
            <w14:solidFill>
              <w14:schemeClr w14:val="tx1"/>
            </w14:solidFill>
          </w14:textFill>
        </w:rPr>
        <w:t>根据项目需要自行编制。</w:t>
      </w:r>
      <w:r>
        <w:rPr>
          <w:rFonts w:hint="eastAsia"/>
          <w:color w:val="000000" w:themeColor="text1"/>
          <w:spacing w:val="11"/>
          <w:szCs w:val="21"/>
          <w:highlight w:val="none"/>
          <w:lang w:eastAsia="zh-CN"/>
          <w14:textFill>
            <w14:solidFill>
              <w14:schemeClr w14:val="tx1"/>
            </w14:solidFill>
          </w14:textFill>
        </w:rPr>
        <w:t>需体现品目名称、厂家、品牌、规格型号等相关信息。</w:t>
      </w:r>
    </w:p>
    <w:p w14:paraId="4BCFB689">
      <w:pPr>
        <w:overflowPunct/>
        <w:autoSpaceDE w:val="0"/>
        <w:autoSpaceDN w:val="0"/>
        <w:bidi w:val="0"/>
        <w:snapToGrid w:val="0"/>
        <w:outlineLvl w:val="9"/>
        <w:rPr>
          <w:color w:val="000000" w:themeColor="text1"/>
          <w:spacing w:val="11"/>
          <w:szCs w:val="21"/>
          <w:highlight w:val="none"/>
          <w14:textFill>
            <w14:solidFill>
              <w14:schemeClr w14:val="tx1"/>
            </w14:solidFill>
          </w14:textFill>
        </w:rPr>
      </w:pPr>
    </w:p>
    <w:p w14:paraId="0DBCB4A5">
      <w:pPr>
        <w:overflowPunct/>
        <w:autoSpaceDE w:val="0"/>
        <w:autoSpaceDN w:val="0"/>
        <w:bidi w:val="0"/>
        <w:snapToGrid w:val="0"/>
        <w:outlineLvl w:val="9"/>
        <w:rPr>
          <w:color w:val="000000" w:themeColor="text1"/>
          <w:spacing w:val="11"/>
          <w:szCs w:val="21"/>
          <w:highlight w:val="none"/>
          <w14:textFill>
            <w14:solidFill>
              <w14:schemeClr w14:val="tx1"/>
            </w14:solidFill>
          </w14:textFill>
        </w:rPr>
      </w:pPr>
    </w:p>
    <w:p w14:paraId="6DA4F24C">
      <w:pPr>
        <w:overflowPunct/>
        <w:autoSpaceDE w:val="0"/>
        <w:autoSpaceDN w:val="0"/>
        <w:bidi w:val="0"/>
        <w:snapToGrid w:val="0"/>
        <w:outlineLvl w:val="9"/>
        <w:rPr>
          <w:color w:val="000000" w:themeColor="text1"/>
          <w:spacing w:val="11"/>
          <w:szCs w:val="21"/>
          <w:highlight w:val="none"/>
          <w14:textFill>
            <w14:solidFill>
              <w14:schemeClr w14:val="tx1"/>
            </w14:solidFill>
          </w14:textFill>
        </w:rPr>
      </w:pPr>
    </w:p>
    <w:p w14:paraId="66355913">
      <w:pPr>
        <w:overflowPunct/>
        <w:autoSpaceDE w:val="0"/>
        <w:autoSpaceDN w:val="0"/>
        <w:bidi w:val="0"/>
        <w:snapToGrid w:val="0"/>
        <w:outlineLvl w:val="9"/>
        <w:rPr>
          <w:color w:val="000000" w:themeColor="text1"/>
          <w:spacing w:val="11"/>
          <w:szCs w:val="21"/>
          <w:highlight w:val="none"/>
          <w14:textFill>
            <w14:solidFill>
              <w14:schemeClr w14:val="tx1"/>
            </w14:solidFill>
          </w14:textFill>
        </w:rPr>
      </w:pPr>
    </w:p>
    <w:p w14:paraId="7933E63D">
      <w:pPr>
        <w:overflowPunct/>
        <w:autoSpaceDE w:val="0"/>
        <w:autoSpaceDN w:val="0"/>
        <w:bidi w:val="0"/>
        <w:snapToGrid w:val="0"/>
        <w:outlineLvl w:val="9"/>
        <w:rPr>
          <w:color w:val="000000" w:themeColor="text1"/>
          <w:spacing w:val="11"/>
          <w:szCs w:val="21"/>
          <w:highlight w:val="none"/>
          <w14:textFill>
            <w14:solidFill>
              <w14:schemeClr w14:val="tx1"/>
            </w14:solidFill>
          </w14:textFill>
        </w:rPr>
      </w:pPr>
    </w:p>
    <w:p w14:paraId="5071439C">
      <w:pPr>
        <w:overflowPunct/>
        <w:autoSpaceDE w:val="0"/>
        <w:autoSpaceDN w:val="0"/>
        <w:bidi w:val="0"/>
        <w:snapToGrid w:val="0"/>
        <w:outlineLvl w:val="9"/>
        <w:rPr>
          <w:color w:val="000000" w:themeColor="text1"/>
          <w:spacing w:val="11"/>
          <w:szCs w:val="21"/>
          <w:highlight w:val="none"/>
          <w14:textFill>
            <w14:solidFill>
              <w14:schemeClr w14:val="tx1"/>
            </w14:solidFill>
          </w14:textFill>
        </w:rPr>
      </w:pPr>
    </w:p>
    <w:p w14:paraId="6306840C">
      <w:pPr>
        <w:overflowPunct/>
        <w:autoSpaceDE w:val="0"/>
        <w:autoSpaceDN w:val="0"/>
        <w:bidi w:val="0"/>
        <w:snapToGrid w:val="0"/>
        <w:outlineLvl w:val="9"/>
        <w:rPr>
          <w:color w:val="000000" w:themeColor="text1"/>
          <w:spacing w:val="11"/>
          <w:szCs w:val="21"/>
          <w:highlight w:val="none"/>
          <w14:textFill>
            <w14:solidFill>
              <w14:schemeClr w14:val="tx1"/>
            </w14:solidFill>
          </w14:textFill>
        </w:rPr>
      </w:pPr>
    </w:p>
    <w:p w14:paraId="2446981B">
      <w:pPr>
        <w:overflowPunct/>
        <w:autoSpaceDE w:val="0"/>
        <w:autoSpaceDN w:val="0"/>
        <w:bidi w:val="0"/>
        <w:snapToGrid w:val="0"/>
        <w:outlineLvl w:val="9"/>
        <w:rPr>
          <w:color w:val="000000" w:themeColor="text1"/>
          <w:spacing w:val="11"/>
          <w:szCs w:val="21"/>
          <w:highlight w:val="none"/>
          <w14:textFill>
            <w14:solidFill>
              <w14:schemeClr w14:val="tx1"/>
            </w14:solidFill>
          </w14:textFill>
        </w:rPr>
      </w:pPr>
    </w:p>
    <w:p w14:paraId="5E0D657D">
      <w:pPr>
        <w:overflowPunct/>
        <w:autoSpaceDE w:val="0"/>
        <w:autoSpaceDN w:val="0"/>
        <w:bidi w:val="0"/>
        <w:snapToGrid w:val="0"/>
        <w:outlineLvl w:val="9"/>
        <w:rPr>
          <w:color w:val="000000" w:themeColor="text1"/>
          <w:spacing w:val="11"/>
          <w:szCs w:val="21"/>
          <w:highlight w:val="none"/>
          <w14:textFill>
            <w14:solidFill>
              <w14:schemeClr w14:val="tx1"/>
            </w14:solidFill>
          </w14:textFill>
        </w:rPr>
      </w:pPr>
    </w:p>
    <w:p w14:paraId="006EB7C3">
      <w:pPr>
        <w:overflowPunct/>
        <w:autoSpaceDE w:val="0"/>
        <w:autoSpaceDN w:val="0"/>
        <w:bidi w:val="0"/>
        <w:snapToGrid w:val="0"/>
        <w:outlineLvl w:val="9"/>
        <w:rPr>
          <w:color w:val="000000" w:themeColor="text1"/>
          <w:spacing w:val="11"/>
          <w:szCs w:val="21"/>
          <w:highlight w:val="none"/>
          <w14:textFill>
            <w14:solidFill>
              <w14:schemeClr w14:val="tx1"/>
            </w14:solidFill>
          </w14:textFill>
        </w:rPr>
      </w:pPr>
    </w:p>
    <w:p w14:paraId="3866AEAD">
      <w:pPr>
        <w:overflowPunct/>
        <w:autoSpaceDE w:val="0"/>
        <w:autoSpaceDN w:val="0"/>
        <w:bidi w:val="0"/>
        <w:snapToGrid w:val="0"/>
        <w:outlineLvl w:val="9"/>
        <w:rPr>
          <w:color w:val="000000" w:themeColor="text1"/>
          <w:spacing w:val="11"/>
          <w:szCs w:val="21"/>
          <w:highlight w:val="none"/>
          <w14:textFill>
            <w14:solidFill>
              <w14:schemeClr w14:val="tx1"/>
            </w14:solidFill>
          </w14:textFill>
        </w:rPr>
      </w:pPr>
    </w:p>
    <w:p w14:paraId="3C206C54">
      <w:pPr>
        <w:overflowPunct/>
        <w:autoSpaceDE w:val="0"/>
        <w:autoSpaceDN w:val="0"/>
        <w:bidi w:val="0"/>
        <w:snapToGrid w:val="0"/>
        <w:outlineLvl w:val="9"/>
        <w:rPr>
          <w:color w:val="000000" w:themeColor="text1"/>
          <w:spacing w:val="11"/>
          <w:szCs w:val="21"/>
          <w:highlight w:val="none"/>
          <w14:textFill>
            <w14:solidFill>
              <w14:schemeClr w14:val="tx1"/>
            </w14:solidFill>
          </w14:textFill>
        </w:rPr>
      </w:pPr>
    </w:p>
    <w:p w14:paraId="54E4C91E">
      <w:pPr>
        <w:overflowPunct/>
        <w:bidi w:val="0"/>
        <w:spacing w:line="480" w:lineRule="auto"/>
        <w:ind w:firstLine="420" w:firstLineChars="200"/>
        <w:jc w:val="right"/>
        <w:outlineLvl w:val="9"/>
        <w:rPr>
          <w:color w:val="000000" w:themeColor="text1"/>
          <w:szCs w:val="21"/>
          <w:highlight w:val="none"/>
          <w14:textFill>
            <w14:solidFill>
              <w14:schemeClr w14:val="tx1"/>
            </w14:solidFill>
          </w14:textFill>
        </w:rPr>
      </w:pPr>
    </w:p>
    <w:p w14:paraId="0D7A9C68">
      <w:pPr>
        <w:overflowPunct/>
        <w:bidi w:val="0"/>
        <w:spacing w:line="480" w:lineRule="auto"/>
        <w:ind w:firstLine="2520" w:firstLineChars="1200"/>
        <w:outlineLvl w:val="9"/>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供应商</w:t>
      </w:r>
      <w:r>
        <w:rPr>
          <w:color w:val="000000" w:themeColor="text1"/>
          <w:szCs w:val="21"/>
          <w:highlight w:val="none"/>
          <w14:textFill>
            <w14:solidFill>
              <w14:schemeClr w14:val="tx1"/>
            </w14:solidFill>
          </w14:textFill>
        </w:rPr>
        <w:t>：</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（公章）</w:t>
      </w:r>
    </w:p>
    <w:p w14:paraId="1777AA4D">
      <w:pPr>
        <w:overflowPunct/>
        <w:bidi w:val="0"/>
        <w:spacing w:line="480" w:lineRule="auto"/>
        <w:ind w:firstLine="2520" w:firstLineChars="1200"/>
        <w:jc w:val="left"/>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r>
        <w:rPr>
          <w:rFonts w:hint="eastAsia"/>
          <w:color w:val="000000" w:themeColor="text1"/>
          <w:szCs w:val="21"/>
          <w:highlight w:val="none"/>
          <w14:textFill>
            <w14:solidFill>
              <w14:schemeClr w14:val="tx1"/>
            </w14:solidFill>
          </w14:textFill>
        </w:rPr>
        <w:t>或</w:t>
      </w:r>
      <w:r>
        <w:rPr>
          <w:color w:val="000000" w:themeColor="text1"/>
          <w:szCs w:val="21"/>
          <w:highlight w:val="none"/>
          <w14:textFill>
            <w14:solidFill>
              <w14:schemeClr w14:val="tx1"/>
            </w14:solidFill>
          </w14:textFill>
        </w:rPr>
        <w:t>委托代理人：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（签字</w:t>
      </w:r>
      <w:r>
        <w:rPr>
          <w:rFonts w:hint="eastAsia"/>
          <w:color w:val="000000" w:themeColor="text1"/>
          <w:szCs w:val="21"/>
          <w:highlight w:val="none"/>
          <w14:textFill>
            <w14:solidFill>
              <w14:schemeClr w14:val="tx1"/>
            </w14:solidFill>
          </w14:textFill>
        </w:rPr>
        <w:t>或</w:t>
      </w:r>
      <w:r>
        <w:rPr>
          <w:color w:val="000000" w:themeColor="text1"/>
          <w:szCs w:val="21"/>
          <w:highlight w:val="none"/>
          <w14:textFill>
            <w14:solidFill>
              <w14:schemeClr w14:val="tx1"/>
            </w14:solidFill>
          </w14:textFill>
        </w:rPr>
        <w:t>盖章）</w:t>
      </w:r>
    </w:p>
    <w:p w14:paraId="7395F46C">
      <w:pPr>
        <w:overflowPunct/>
        <w:bidi w:val="0"/>
        <w:spacing w:line="440" w:lineRule="exact"/>
        <w:ind w:firstLine="2530" w:firstLineChars="1205"/>
        <w:outlineLvl w:val="9"/>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日    期：    年    月    日</w:t>
      </w:r>
    </w:p>
    <w:p w14:paraId="0E82DF9D">
      <w:pPr>
        <w:overflowPunct/>
        <w:bidi w:val="0"/>
        <w:spacing w:line="440" w:lineRule="exact"/>
        <w:ind w:firstLine="1028"/>
        <w:jc w:val="right"/>
        <w:outlineLvl w:val="9"/>
        <w:rPr>
          <w:color w:val="000000" w:themeColor="text1"/>
          <w:highlight w:val="none"/>
          <w:u w:val="single"/>
          <w14:textFill>
            <w14:solidFill>
              <w14:schemeClr w14:val="tx1"/>
            </w14:solidFill>
          </w14:textFill>
        </w:rPr>
      </w:pPr>
    </w:p>
    <w:p w14:paraId="3CC48A3D">
      <w:pPr>
        <w:overflowPunct/>
        <w:bidi w:val="0"/>
        <w:spacing w:line="440" w:lineRule="exact"/>
        <w:ind w:firstLine="1028"/>
        <w:outlineLvl w:val="9"/>
        <w:rPr>
          <w:color w:val="000000" w:themeColor="text1"/>
          <w:highlight w:val="none"/>
          <w14:textFill>
            <w14:solidFill>
              <w14:schemeClr w14:val="tx1"/>
            </w14:solidFill>
          </w14:textFill>
        </w:rPr>
      </w:pPr>
    </w:p>
    <w:p w14:paraId="4789E15D">
      <w:pPr>
        <w:pStyle w:val="16"/>
        <w:overflowPunct/>
        <w:bidi w:val="0"/>
        <w:outlineLvl w:val="9"/>
        <w:rPr>
          <w:color w:val="000000" w:themeColor="text1"/>
          <w:highlight w:val="none"/>
          <w14:textFill>
            <w14:solidFill>
              <w14:schemeClr w14:val="tx1"/>
            </w14:solidFill>
          </w14:textFill>
        </w:rPr>
      </w:pPr>
    </w:p>
    <w:p w14:paraId="71E569B3">
      <w:pPr>
        <w:overflowPunct/>
        <w:bidi w:val="0"/>
        <w:outlineLvl w:val="9"/>
        <w:rPr>
          <w:color w:val="000000" w:themeColor="text1"/>
          <w:highlight w:val="none"/>
          <w14:textFill>
            <w14:solidFill>
              <w14:schemeClr w14:val="tx1"/>
            </w14:solidFill>
          </w14:textFill>
        </w:rPr>
      </w:pPr>
    </w:p>
    <w:p w14:paraId="51BDBED5">
      <w:pPr>
        <w:pStyle w:val="16"/>
        <w:overflowPunct/>
        <w:bidi w:val="0"/>
        <w:outlineLvl w:val="9"/>
        <w:rPr>
          <w:color w:val="000000" w:themeColor="text1"/>
          <w:highlight w:val="none"/>
          <w14:textFill>
            <w14:solidFill>
              <w14:schemeClr w14:val="tx1"/>
            </w14:solidFill>
          </w14:textFill>
        </w:rPr>
      </w:pPr>
    </w:p>
    <w:p w14:paraId="304171C8">
      <w:pPr>
        <w:overflowPunct/>
        <w:bidi w:val="0"/>
        <w:outlineLvl w:val="9"/>
        <w:rPr>
          <w:color w:val="000000" w:themeColor="text1"/>
          <w:highlight w:val="none"/>
          <w14:textFill>
            <w14:solidFill>
              <w14:schemeClr w14:val="tx1"/>
            </w14:solidFill>
          </w14:textFill>
        </w:rPr>
      </w:pPr>
    </w:p>
    <w:p w14:paraId="330A09F2">
      <w:pPr>
        <w:pStyle w:val="16"/>
        <w:overflowPunct/>
        <w:bidi w:val="0"/>
        <w:outlineLvl w:val="9"/>
        <w:rPr>
          <w:color w:val="000000" w:themeColor="text1"/>
          <w:highlight w:val="none"/>
          <w14:textFill>
            <w14:solidFill>
              <w14:schemeClr w14:val="tx1"/>
            </w14:solidFill>
          </w14:textFill>
        </w:rPr>
      </w:pPr>
    </w:p>
    <w:p w14:paraId="6A00C969">
      <w:pPr>
        <w:overflowPunct/>
        <w:bidi w:val="0"/>
        <w:outlineLvl w:val="9"/>
        <w:rPr>
          <w:color w:val="000000" w:themeColor="text1"/>
          <w:highlight w:val="none"/>
          <w14:textFill>
            <w14:solidFill>
              <w14:schemeClr w14:val="tx1"/>
            </w14:solidFill>
          </w14:textFill>
        </w:rPr>
      </w:pPr>
    </w:p>
    <w:p w14:paraId="357BCF4A">
      <w:pPr>
        <w:pStyle w:val="16"/>
        <w:overflowPunct/>
        <w:bidi w:val="0"/>
        <w:outlineLvl w:val="9"/>
        <w:rPr>
          <w:color w:val="000000" w:themeColor="text1"/>
          <w:highlight w:val="none"/>
          <w14:textFill>
            <w14:solidFill>
              <w14:schemeClr w14:val="tx1"/>
            </w14:solidFill>
          </w14:textFill>
        </w:rPr>
      </w:pPr>
    </w:p>
    <w:p w14:paraId="2561F4E3">
      <w:pPr>
        <w:overflowPunct/>
        <w:bidi w:val="0"/>
        <w:outlineLvl w:val="9"/>
        <w:rPr>
          <w:color w:val="000000" w:themeColor="text1"/>
          <w:highlight w:val="none"/>
          <w14:textFill>
            <w14:solidFill>
              <w14:schemeClr w14:val="tx1"/>
            </w14:solidFill>
          </w14:textFill>
        </w:rPr>
      </w:pPr>
    </w:p>
    <w:p w14:paraId="55EADC61">
      <w:pPr>
        <w:pStyle w:val="16"/>
        <w:overflowPunct/>
        <w:bidi w:val="0"/>
        <w:outlineLvl w:val="9"/>
        <w:rPr>
          <w:color w:val="000000" w:themeColor="text1"/>
          <w:highlight w:val="none"/>
          <w14:textFill>
            <w14:solidFill>
              <w14:schemeClr w14:val="tx1"/>
            </w14:solidFill>
          </w14:textFill>
        </w:rPr>
      </w:pPr>
    </w:p>
    <w:p w14:paraId="7563F2B9">
      <w:pPr>
        <w:overflowPunct/>
        <w:bidi w:val="0"/>
        <w:outlineLvl w:val="9"/>
        <w:rPr>
          <w:color w:val="000000" w:themeColor="text1"/>
          <w:highlight w:val="none"/>
          <w14:textFill>
            <w14:solidFill>
              <w14:schemeClr w14:val="tx1"/>
            </w14:solidFill>
          </w14:textFill>
        </w:rPr>
      </w:pPr>
    </w:p>
    <w:p w14:paraId="28343AFF">
      <w:pPr>
        <w:pStyle w:val="16"/>
        <w:overflowPunct/>
        <w:bidi w:val="0"/>
        <w:outlineLvl w:val="9"/>
        <w:rPr>
          <w:color w:val="000000" w:themeColor="text1"/>
          <w:highlight w:val="none"/>
          <w14:textFill>
            <w14:solidFill>
              <w14:schemeClr w14:val="tx1"/>
            </w14:solidFill>
          </w14:textFill>
        </w:rPr>
      </w:pPr>
    </w:p>
    <w:p w14:paraId="6695072F">
      <w:pPr>
        <w:overflowPunct/>
        <w:bidi w:val="0"/>
        <w:outlineLvl w:val="9"/>
        <w:rPr>
          <w:color w:val="000000" w:themeColor="text1"/>
          <w:highlight w:val="none"/>
          <w14:textFill>
            <w14:solidFill>
              <w14:schemeClr w14:val="tx1"/>
            </w14:solidFill>
          </w14:textFill>
        </w:rPr>
      </w:pPr>
    </w:p>
    <w:p w14:paraId="6CF0B3A6">
      <w:pPr>
        <w:pStyle w:val="16"/>
        <w:overflowPunct/>
        <w:bidi w:val="0"/>
        <w:outlineLvl w:val="9"/>
        <w:rPr>
          <w:color w:val="000000" w:themeColor="text1"/>
          <w:highlight w:val="none"/>
          <w14:textFill>
            <w14:solidFill>
              <w14:schemeClr w14:val="tx1"/>
            </w14:solidFill>
          </w14:textFill>
        </w:rPr>
      </w:pPr>
    </w:p>
    <w:p w14:paraId="72511C1E">
      <w:pPr>
        <w:overflowPunct/>
        <w:bidi w:val="0"/>
        <w:outlineLvl w:val="9"/>
        <w:rPr>
          <w:color w:val="000000" w:themeColor="text1"/>
          <w:highlight w:val="none"/>
          <w14:textFill>
            <w14:solidFill>
              <w14:schemeClr w14:val="tx1"/>
            </w14:solidFill>
          </w14:textFill>
        </w:rPr>
      </w:pPr>
    </w:p>
    <w:p w14:paraId="0C54A2DD">
      <w:pPr>
        <w:pStyle w:val="16"/>
        <w:overflowPunct/>
        <w:bidi w:val="0"/>
        <w:outlineLvl w:val="9"/>
        <w:rPr>
          <w:color w:val="000000" w:themeColor="text1"/>
          <w:highlight w:val="none"/>
          <w14:textFill>
            <w14:solidFill>
              <w14:schemeClr w14:val="tx1"/>
            </w14:solidFill>
          </w14:textFill>
        </w:rPr>
      </w:pPr>
    </w:p>
    <w:p w14:paraId="1D79F0F8">
      <w:pPr>
        <w:overflowPunct/>
        <w:bidi w:val="0"/>
        <w:outlineLvl w:val="9"/>
        <w:rPr>
          <w:color w:val="000000" w:themeColor="text1"/>
          <w:highlight w:val="none"/>
          <w14:textFill>
            <w14:solidFill>
              <w14:schemeClr w14:val="tx1"/>
            </w14:solidFill>
          </w14:textFill>
        </w:rPr>
      </w:pPr>
    </w:p>
    <w:p w14:paraId="10B64D35">
      <w:pPr>
        <w:pStyle w:val="16"/>
        <w:overflowPunct/>
        <w:bidi w:val="0"/>
        <w:outlineLvl w:val="9"/>
        <w:rPr>
          <w:color w:val="000000" w:themeColor="text1"/>
          <w:highlight w:val="none"/>
          <w14:textFill>
            <w14:solidFill>
              <w14:schemeClr w14:val="tx1"/>
            </w14:solidFill>
          </w14:textFill>
        </w:rPr>
      </w:pPr>
    </w:p>
    <w:p w14:paraId="05B84EEC">
      <w:pPr>
        <w:overflowPunct/>
        <w:bidi w:val="0"/>
        <w:outlineLvl w:val="9"/>
        <w:rPr>
          <w:b/>
          <w:color w:val="000000" w:themeColor="text1"/>
          <w:sz w:val="32"/>
          <w:szCs w:val="32"/>
          <w:highlight w:val="none"/>
          <w14:textFill>
            <w14:solidFill>
              <w14:schemeClr w14:val="tx1"/>
            </w14:solidFill>
          </w14:textFill>
        </w:rPr>
      </w:pPr>
      <w:bookmarkStart w:id="59" w:name="_Toc361508760"/>
      <w:bookmarkStart w:id="60" w:name="_Toc65587252"/>
      <w:r>
        <w:rPr>
          <w:b/>
          <w:color w:val="000000" w:themeColor="text1"/>
          <w:sz w:val="32"/>
          <w:szCs w:val="32"/>
          <w:highlight w:val="none"/>
          <w14:textFill>
            <w14:solidFill>
              <w14:schemeClr w14:val="tx1"/>
            </w14:solidFill>
          </w14:textFill>
        </w:rPr>
        <w:br w:type="page"/>
      </w:r>
    </w:p>
    <w:p w14:paraId="1690CD3F">
      <w:pPr>
        <w:overflowPunct/>
        <w:autoSpaceDE w:val="0"/>
        <w:autoSpaceDN w:val="0"/>
        <w:bidi w:val="0"/>
        <w:jc w:val="center"/>
        <w:outlineLvl w:val="9"/>
        <w:rPr>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六、</w:t>
      </w:r>
      <w:r>
        <w:rPr>
          <w:rFonts w:hint="eastAsia"/>
          <w:b/>
          <w:color w:val="000000" w:themeColor="text1"/>
          <w:sz w:val="32"/>
          <w:szCs w:val="32"/>
          <w:highlight w:val="none"/>
          <w14:textFill>
            <w14:solidFill>
              <w14:schemeClr w14:val="tx1"/>
            </w14:solidFill>
          </w14:textFill>
        </w:rPr>
        <w:t>磋商</w:t>
      </w:r>
      <w:r>
        <w:rPr>
          <w:b/>
          <w:color w:val="000000" w:themeColor="text1"/>
          <w:sz w:val="32"/>
          <w:szCs w:val="32"/>
          <w:highlight w:val="none"/>
          <w14:textFill>
            <w14:solidFill>
              <w14:schemeClr w14:val="tx1"/>
            </w14:solidFill>
          </w14:textFill>
        </w:rPr>
        <w:t>保证金</w:t>
      </w:r>
    </w:p>
    <w:p w14:paraId="046F47F8">
      <w:pPr>
        <w:overflowPunct/>
        <w:autoSpaceDE w:val="0"/>
        <w:autoSpaceDN w:val="0"/>
        <w:bidi w:val="0"/>
        <w:spacing w:line="360" w:lineRule="auto"/>
        <w:jc w:val="left"/>
        <w:outlineLvl w:val="9"/>
        <w:rPr>
          <w:color w:val="000000" w:themeColor="text1"/>
          <w:szCs w:val="18"/>
          <w:highlight w:val="none"/>
          <w:u w:val="single"/>
          <w:lang w:val="zh-CN"/>
          <w14:textFill>
            <w14:solidFill>
              <w14:schemeClr w14:val="tx1"/>
            </w14:solidFill>
          </w14:textFill>
        </w:rPr>
      </w:pPr>
    </w:p>
    <w:p w14:paraId="08E7B6EF">
      <w:pPr>
        <w:overflowPunct/>
        <w:bidi w:val="0"/>
        <w:ind w:right="108"/>
        <w:jc w:val="center"/>
        <w:outlineLvl w:val="9"/>
        <w:rPr>
          <w:color w:val="000000" w:themeColor="text1"/>
          <w:sz w:val="32"/>
          <w:szCs w:val="32"/>
          <w:highlight w:val="none"/>
          <w14:textFill>
            <w14:solidFill>
              <w14:schemeClr w14:val="tx1"/>
            </w14:solidFill>
          </w14:textFill>
        </w:rPr>
      </w:pPr>
      <w:r>
        <w:rPr>
          <w:rFonts w:hint="eastAsia"/>
          <w:b/>
          <w:color w:val="000000" w:themeColor="text1"/>
          <w:sz w:val="32"/>
          <w:szCs w:val="32"/>
          <w:highlight w:val="none"/>
          <w:lang w:val="en-US" w:eastAsia="zh-CN"/>
          <w14:textFill>
            <w14:solidFill>
              <w14:schemeClr w14:val="tx1"/>
            </w14:solidFill>
          </w14:textFill>
        </w:rPr>
        <w:t>不收取</w:t>
      </w:r>
      <w:r>
        <w:rPr>
          <w:b/>
          <w:color w:val="000000" w:themeColor="text1"/>
          <w:sz w:val="32"/>
          <w:szCs w:val="32"/>
          <w:highlight w:val="none"/>
          <w14:textFill>
            <w14:solidFill>
              <w14:schemeClr w14:val="tx1"/>
            </w14:solidFill>
          </w14:textFill>
        </w:rPr>
        <w:br w:type="page"/>
      </w:r>
      <w:bookmarkEnd w:id="59"/>
      <w:bookmarkEnd w:id="60"/>
      <w:r>
        <w:rPr>
          <w:rFonts w:hint="eastAsia"/>
          <w:b/>
          <w:bCs/>
          <w:color w:val="000000" w:themeColor="text1"/>
          <w:sz w:val="32"/>
          <w:szCs w:val="32"/>
          <w:highlight w:val="none"/>
          <w14:textFill>
            <w14:solidFill>
              <w14:schemeClr w14:val="tx1"/>
            </w14:solidFill>
          </w14:textFill>
        </w:rPr>
        <w:t>七</w:t>
      </w:r>
      <w:r>
        <w:rPr>
          <w:b/>
          <w:bCs/>
          <w:color w:val="000000" w:themeColor="text1"/>
          <w:sz w:val="32"/>
          <w:szCs w:val="32"/>
          <w:highlight w:val="none"/>
          <w14:textFill>
            <w14:solidFill>
              <w14:schemeClr w14:val="tx1"/>
            </w14:solidFill>
          </w14:textFill>
        </w:rPr>
        <w:t>、</w:t>
      </w:r>
      <w:bookmarkStart w:id="61" w:name="_Toc246997115"/>
      <w:bookmarkStart w:id="62" w:name="_Toc247085890"/>
      <w:bookmarkStart w:id="63" w:name="_Toc404237840"/>
      <w:bookmarkStart w:id="64" w:name="_Toc179632827"/>
      <w:bookmarkStart w:id="65" w:name="_Toc397416082"/>
      <w:bookmarkStart w:id="66" w:name="_Toc152045807"/>
      <w:bookmarkStart w:id="67" w:name="_Toc404237750"/>
      <w:bookmarkStart w:id="68" w:name="_Toc493241658"/>
      <w:bookmarkStart w:id="69" w:name="_Toc246996372"/>
      <w:bookmarkStart w:id="70" w:name="_Toc152042596"/>
      <w:bookmarkStart w:id="71" w:name="_Toc144974875"/>
      <w:r>
        <w:rPr>
          <w:b/>
          <w:bCs/>
          <w:color w:val="000000" w:themeColor="text1"/>
          <w:sz w:val="32"/>
          <w:szCs w:val="32"/>
          <w:highlight w:val="none"/>
          <w14:textFill>
            <w14:solidFill>
              <w14:schemeClr w14:val="tx1"/>
            </w14:solidFill>
          </w14:textFill>
        </w:rPr>
        <w:t>资格审查资料</w:t>
      </w:r>
      <w:bookmarkEnd w:id="61"/>
      <w:bookmarkEnd w:id="62"/>
      <w:bookmarkEnd w:id="63"/>
      <w:bookmarkEnd w:id="64"/>
      <w:bookmarkEnd w:id="65"/>
      <w:bookmarkEnd w:id="66"/>
      <w:bookmarkEnd w:id="67"/>
      <w:bookmarkEnd w:id="68"/>
      <w:bookmarkEnd w:id="69"/>
      <w:bookmarkEnd w:id="70"/>
      <w:bookmarkEnd w:id="71"/>
    </w:p>
    <w:p w14:paraId="3C99018B">
      <w:pPr>
        <w:overflowPunct/>
        <w:bidi w:val="0"/>
        <w:outlineLvl w:val="9"/>
        <w:rPr>
          <w:rFonts w:hint="eastAsia" w:ascii="宋体" w:hAnsi="宋体" w:cs="宋体"/>
          <w:color w:val="000000" w:themeColor="text1"/>
          <w:highlight w:val="none"/>
          <w14:textFill>
            <w14:solidFill>
              <w14:schemeClr w14:val="tx1"/>
            </w14:solidFill>
          </w14:textFill>
        </w:rPr>
      </w:pPr>
      <w:bookmarkStart w:id="72" w:name="_Toc266605566"/>
      <w:bookmarkStart w:id="73" w:name="_Toc201719206"/>
    </w:p>
    <w:p w14:paraId="6420A999">
      <w:pPr>
        <w:overflowPunct/>
        <w:bidi w:val="0"/>
        <w:jc w:val="center"/>
        <w:outlineLvl w:val="9"/>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营业执照</w:t>
      </w:r>
    </w:p>
    <w:p w14:paraId="1B03A9D5">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r>
        <w:rPr>
          <w:rFonts w:hint="eastAsia" w:ascii="宋体" w:hAnsi="宋体" w:cs="宋体"/>
          <w:bCs/>
          <w:color w:val="000000" w:themeColor="text1"/>
          <w:sz w:val="20"/>
          <w:highlight w:val="none"/>
          <w14:textFill>
            <w14:solidFill>
              <w14:schemeClr w14:val="tx1"/>
            </w14:solidFill>
          </w14:textFill>
        </w:rPr>
        <w:t>（副本复印件加盖本单位公章）</w:t>
      </w:r>
    </w:p>
    <w:p w14:paraId="41EB90E9">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6F2F40FD">
      <w:pPr>
        <w:overflowPunct/>
        <w:bidi w:val="0"/>
        <w:adjustRightInd w:val="0"/>
        <w:snapToGrid w:val="0"/>
        <w:spacing w:line="300" w:lineRule="auto"/>
        <w:jc w:val="both"/>
        <w:outlineLvl w:val="9"/>
        <w:rPr>
          <w:rFonts w:hint="eastAsia" w:ascii="宋体" w:hAnsi="宋体" w:cs="宋体"/>
          <w:bCs/>
          <w:color w:val="000000" w:themeColor="text1"/>
          <w:sz w:val="20"/>
          <w:highlight w:val="none"/>
          <w14:textFill>
            <w14:solidFill>
              <w14:schemeClr w14:val="tx1"/>
            </w14:solidFill>
          </w14:textFill>
        </w:rPr>
      </w:pPr>
    </w:p>
    <w:p w14:paraId="2C5D7C90">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600AFDD8">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3740D0BD">
      <w:pPr>
        <w:overflowPunct/>
        <w:bidi w:val="0"/>
        <w:adjustRightInd w:val="0"/>
        <w:snapToGrid w:val="0"/>
        <w:spacing w:line="300" w:lineRule="auto"/>
        <w:jc w:val="center"/>
        <w:outlineLvl w:val="9"/>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开户许可证或开户证明</w:t>
      </w:r>
      <w:r>
        <w:rPr>
          <w:rFonts w:hint="eastAsia" w:ascii="宋体" w:hAnsi="宋体" w:cs="宋体"/>
          <w:b/>
          <w:color w:val="000000" w:themeColor="text1"/>
          <w:sz w:val="28"/>
          <w:szCs w:val="28"/>
          <w:highlight w:val="none"/>
          <w:lang w:val="en-US" w:eastAsia="zh-CN"/>
          <w14:textFill>
            <w14:solidFill>
              <w14:schemeClr w14:val="tx1"/>
            </w14:solidFill>
          </w14:textFill>
        </w:rPr>
        <w:t>材料</w:t>
      </w:r>
    </w:p>
    <w:p w14:paraId="4B3CF5A6">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r>
        <w:rPr>
          <w:rFonts w:hint="eastAsia" w:ascii="宋体" w:hAnsi="宋体" w:cs="宋体"/>
          <w:bCs/>
          <w:color w:val="000000" w:themeColor="text1"/>
          <w:sz w:val="20"/>
          <w:highlight w:val="none"/>
          <w14:textFill>
            <w14:solidFill>
              <w14:schemeClr w14:val="tx1"/>
            </w14:solidFill>
          </w14:textFill>
        </w:rPr>
        <w:t>（复印件加盖本单位公章）</w:t>
      </w:r>
    </w:p>
    <w:p w14:paraId="674E1336">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08DE9B87">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45940B0D">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12D15A79">
      <w:pPr>
        <w:overflowPunct/>
        <w:bidi w:val="0"/>
        <w:adjustRightInd w:val="0"/>
        <w:snapToGrid w:val="0"/>
        <w:spacing w:line="300" w:lineRule="auto"/>
        <w:jc w:val="center"/>
        <w:outlineLvl w:val="9"/>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eastAsia="宋体" w:cs="宋体"/>
          <w:b/>
          <w:color w:val="000000" w:themeColor="text1"/>
          <w:sz w:val="28"/>
          <w:szCs w:val="28"/>
          <w:highlight w:val="none"/>
          <w:lang w:eastAsia="zh-CN"/>
          <w14:textFill>
            <w14:solidFill>
              <w14:schemeClr w14:val="tx1"/>
            </w14:solidFill>
          </w14:textFill>
        </w:rPr>
        <w:t>资格证明</w:t>
      </w:r>
    </w:p>
    <w:p w14:paraId="69A33B60">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r>
        <w:rPr>
          <w:rFonts w:hint="eastAsia" w:ascii="宋体" w:hAnsi="宋体" w:cs="宋体"/>
          <w:bCs/>
          <w:color w:val="000000" w:themeColor="text1"/>
          <w:sz w:val="20"/>
          <w:highlight w:val="none"/>
          <w14:textFill>
            <w14:solidFill>
              <w14:schemeClr w14:val="tx1"/>
            </w14:solidFill>
          </w14:textFill>
        </w:rPr>
        <w:t>（复印件加盖本单位公章）</w:t>
      </w:r>
    </w:p>
    <w:p w14:paraId="76372C75">
      <w:pPr>
        <w:overflowPunct/>
        <w:bidi w:val="0"/>
        <w:adjustRightInd w:val="0"/>
        <w:snapToGrid w:val="0"/>
        <w:spacing w:line="300" w:lineRule="auto"/>
        <w:jc w:val="center"/>
        <w:outlineLvl w:val="9"/>
        <w:rPr>
          <w:rFonts w:hint="eastAsia" w:ascii="宋体" w:hAnsi="宋体" w:cs="宋体"/>
          <w:bCs/>
          <w:color w:val="000000" w:themeColor="text1"/>
          <w:sz w:val="20"/>
          <w:highlight w:val="none"/>
          <w:lang w:eastAsia="zh-CN"/>
          <w14:textFill>
            <w14:solidFill>
              <w14:schemeClr w14:val="tx1"/>
            </w14:solidFill>
          </w14:textFill>
        </w:rPr>
      </w:pPr>
    </w:p>
    <w:p w14:paraId="403CD137">
      <w:pPr>
        <w:overflowPunct/>
        <w:bidi w:val="0"/>
        <w:adjustRightInd w:val="0"/>
        <w:snapToGrid w:val="0"/>
        <w:spacing w:line="300" w:lineRule="auto"/>
        <w:jc w:val="center"/>
        <w:outlineLvl w:val="9"/>
        <w:rPr>
          <w:rFonts w:hint="eastAsia" w:ascii="宋体" w:hAnsi="宋体" w:cs="宋体"/>
          <w:bCs/>
          <w:color w:val="000000" w:themeColor="text1"/>
          <w:sz w:val="20"/>
          <w:highlight w:val="none"/>
          <w:lang w:eastAsia="zh-CN"/>
          <w14:textFill>
            <w14:solidFill>
              <w14:schemeClr w14:val="tx1"/>
            </w14:solidFill>
          </w14:textFill>
        </w:rPr>
      </w:pPr>
    </w:p>
    <w:p w14:paraId="78D6669C">
      <w:pPr>
        <w:overflowPunct/>
        <w:bidi w:val="0"/>
        <w:adjustRightInd w:val="0"/>
        <w:snapToGrid w:val="0"/>
        <w:spacing w:line="300" w:lineRule="auto"/>
        <w:jc w:val="center"/>
        <w:outlineLvl w:val="9"/>
        <w:rPr>
          <w:rFonts w:hint="eastAsia" w:ascii="宋体" w:hAnsi="宋体" w:cs="宋体"/>
          <w:bCs/>
          <w:color w:val="000000" w:themeColor="text1"/>
          <w:sz w:val="20"/>
          <w:highlight w:val="none"/>
          <w:lang w:eastAsia="zh-CN"/>
          <w14:textFill>
            <w14:solidFill>
              <w14:schemeClr w14:val="tx1"/>
            </w14:solidFill>
          </w14:textFill>
        </w:rPr>
      </w:pPr>
    </w:p>
    <w:p w14:paraId="7F8154A7">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71B37686">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3CBE23C7">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3E915616">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08F20920">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6B117340">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pPr>
    </w:p>
    <w:p w14:paraId="75D24984">
      <w:pPr>
        <w:overflowPunct/>
        <w:bidi w:val="0"/>
        <w:adjustRightInd w:val="0"/>
        <w:snapToGrid w:val="0"/>
        <w:spacing w:line="300" w:lineRule="auto"/>
        <w:jc w:val="center"/>
        <w:outlineLvl w:val="9"/>
        <w:rPr>
          <w:rFonts w:hint="eastAsia" w:ascii="宋体" w:hAnsi="宋体" w:cs="宋体"/>
          <w:bCs/>
          <w:color w:val="000000" w:themeColor="text1"/>
          <w:sz w:val="20"/>
          <w:highlight w:val="none"/>
          <w14:textFill>
            <w14:solidFill>
              <w14:schemeClr w14:val="tx1"/>
            </w14:solidFill>
          </w14:textFill>
        </w:rPr>
        <w:sectPr>
          <w:footerReference r:id="rId10" w:type="default"/>
          <w:pgSz w:w="11906" w:h="16838"/>
          <w:pgMar w:top="1134" w:right="1418" w:bottom="1134" w:left="1418" w:header="851" w:footer="851" w:gutter="0"/>
          <w:pgBorders>
            <w:top w:val="none" w:sz="0" w:space="0"/>
            <w:left w:val="none" w:sz="0" w:space="0"/>
            <w:bottom w:val="none" w:sz="0" w:space="0"/>
            <w:right w:val="none" w:sz="0" w:space="0"/>
          </w:pgBorders>
          <w:pgNumType w:fmt="decimal"/>
          <w:cols w:space="720" w:num="1"/>
          <w:docGrid w:linePitch="312" w:charSpace="0"/>
        </w:sectPr>
      </w:pPr>
    </w:p>
    <w:p w14:paraId="3D715A38">
      <w:pPr>
        <w:overflowPunct/>
        <w:bidi w:val="0"/>
        <w:spacing w:line="363" w:lineRule="exact"/>
        <w:ind w:left="217" w:right="175"/>
        <w:jc w:val="center"/>
        <w:outlineLvl w:val="9"/>
        <w:rPr>
          <w:rFonts w:hint="default"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cs="宋体"/>
          <w:b/>
          <w:bCs/>
          <w:color w:val="000000" w:themeColor="text1"/>
          <w:highlight w:val="none"/>
          <w:lang w:eastAsia="zh-CN"/>
          <w14:textFill>
            <w14:solidFill>
              <w14:schemeClr w14:val="tx1"/>
            </w14:solidFill>
          </w14:textFill>
        </w:rPr>
        <w:t>资格条件承诺函</w:t>
      </w:r>
    </w:p>
    <w:p w14:paraId="6CB34028">
      <w:pPr>
        <w:keepNext/>
        <w:keepLines/>
        <w:pageBreakBefore w:val="0"/>
        <w:widowControl w:val="0"/>
        <w:kinsoku/>
        <w:wordWrap/>
        <w:overflowPunct/>
        <w:topLinePunct w:val="0"/>
        <w:autoSpaceDE/>
        <w:autoSpaceDN/>
        <w:bidi w:val="0"/>
        <w:adjustRightInd w:val="0"/>
        <w:snapToGrid w:val="0"/>
        <w:spacing w:before="0" w:after="0" w:line="360" w:lineRule="auto"/>
        <w:jc w:val="left"/>
        <w:textAlignment w:val="auto"/>
        <w:outlineLvl w:val="9"/>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致：</w:t>
      </w:r>
      <w:r>
        <w:rPr>
          <w:rFonts w:hint="eastAsia" w:ascii="宋体" w:hAnsi="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b w:val="0"/>
          <w:bCs w:val="0"/>
          <w:color w:val="000000" w:themeColor="text1"/>
          <w:sz w:val="21"/>
          <w:szCs w:val="21"/>
          <w:highlight w:val="none"/>
          <w:u w:val="single"/>
          <w14:textFill>
            <w14:solidFill>
              <w14:schemeClr w14:val="tx1"/>
            </w14:solidFill>
          </w14:textFill>
        </w:rPr>
        <w:t>（采购人、采购代理机构）</w:t>
      </w:r>
      <w:r>
        <w:rPr>
          <w:rFonts w:hint="eastAsia" w:ascii="宋体" w:hAnsi="宋体" w:cs="宋体"/>
          <w:b w:val="0"/>
          <w:bCs w:val="0"/>
          <w:color w:val="000000" w:themeColor="text1"/>
          <w:sz w:val="21"/>
          <w:szCs w:val="21"/>
          <w:highlight w:val="none"/>
          <w:u w:val="none"/>
          <w:lang w:eastAsia="zh-CN"/>
          <w14:textFill>
            <w14:solidFill>
              <w14:schemeClr w14:val="tx1"/>
            </w14:solidFill>
          </w14:textFill>
        </w:rPr>
        <w:t>：</w:t>
      </w:r>
    </w:p>
    <w:p w14:paraId="01F2B4EF">
      <w:pPr>
        <w:keepNext/>
        <w:keepLines/>
        <w:pageBreakBefore w:val="0"/>
        <w:widowControl w:val="0"/>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我单位（公司）参与</w:t>
      </w:r>
      <w:r>
        <w:rPr>
          <w:rFonts w:hint="eastAsia" w:ascii="宋体" w:hAnsi="宋体" w:cs="宋体"/>
          <w:b w:val="0"/>
          <w:b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b w:val="0"/>
          <w:bCs w:val="0"/>
          <w:color w:val="000000" w:themeColor="text1"/>
          <w:sz w:val="21"/>
          <w:szCs w:val="21"/>
          <w:highlight w:val="none"/>
          <w:u w:val="single"/>
          <w14:textFill>
            <w14:solidFill>
              <w14:schemeClr w14:val="tx1"/>
            </w14:solidFill>
          </w14:textFill>
        </w:rPr>
        <w:t>（项目名称 项目编号）</w:t>
      </w:r>
      <w:r>
        <w:rPr>
          <w:rFonts w:hint="eastAsia" w:ascii="宋体" w:hAnsi="宋体" w:cs="宋体"/>
          <w:b w:val="0"/>
          <w:bCs w:val="0"/>
          <w:color w:val="000000" w:themeColor="text1"/>
          <w:sz w:val="21"/>
          <w:szCs w:val="21"/>
          <w:highlight w:val="none"/>
          <w14:textFill>
            <w14:solidFill>
              <w14:schemeClr w14:val="tx1"/>
            </w14:solidFill>
          </w14:textFill>
        </w:rPr>
        <w:t>采购项目的政府采购活动，现承诺如下：</w:t>
      </w:r>
    </w:p>
    <w:p w14:paraId="12558700">
      <w:pPr>
        <w:keepNext/>
        <w:keepLines/>
        <w:pageBreakBefore w:val="0"/>
        <w:widowControl w:val="0"/>
        <w:kinsoku/>
        <w:wordWrap/>
        <w:overflowPunct/>
        <w:topLinePunct w:val="0"/>
        <w:autoSpaceDE/>
        <w:autoSpaceDN/>
        <w:bidi w:val="0"/>
        <w:adjustRightInd w:val="0"/>
        <w:snapToGrid w:val="0"/>
        <w:spacing w:before="0" w:after="0" w:line="360" w:lineRule="auto"/>
        <w:ind w:left="0" w:leftChars="0" w:firstLine="367" w:firstLineChars="175"/>
        <w:jc w:val="left"/>
        <w:textAlignment w:val="auto"/>
        <w:outlineLvl w:val="9"/>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1.具有良好的商业信誉和健全的财务会计制度；</w:t>
      </w:r>
    </w:p>
    <w:p w14:paraId="084FCA10">
      <w:pPr>
        <w:keepNext/>
        <w:keepLines/>
        <w:pageBreakBefore w:val="0"/>
        <w:widowControl w:val="0"/>
        <w:kinsoku/>
        <w:wordWrap/>
        <w:overflowPunct/>
        <w:topLinePunct w:val="0"/>
        <w:autoSpaceDE/>
        <w:autoSpaceDN/>
        <w:bidi w:val="0"/>
        <w:adjustRightInd w:val="0"/>
        <w:snapToGrid w:val="0"/>
        <w:spacing w:before="0" w:after="0" w:line="360" w:lineRule="auto"/>
        <w:ind w:left="0" w:leftChars="0" w:firstLine="367" w:firstLineChars="175"/>
        <w:jc w:val="left"/>
        <w:textAlignment w:val="auto"/>
        <w:outlineLvl w:val="9"/>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2.具有依法缴纳税收的良好记录；</w:t>
      </w:r>
    </w:p>
    <w:p w14:paraId="17385426">
      <w:pPr>
        <w:keepNext/>
        <w:keepLines/>
        <w:pageBreakBefore w:val="0"/>
        <w:widowControl w:val="0"/>
        <w:kinsoku/>
        <w:wordWrap/>
        <w:overflowPunct/>
        <w:topLinePunct w:val="0"/>
        <w:autoSpaceDE/>
        <w:autoSpaceDN/>
        <w:bidi w:val="0"/>
        <w:adjustRightInd w:val="0"/>
        <w:snapToGrid w:val="0"/>
        <w:spacing w:before="0" w:after="0" w:line="360" w:lineRule="auto"/>
        <w:ind w:left="0" w:leftChars="0" w:firstLine="367" w:firstLineChars="175"/>
        <w:jc w:val="left"/>
        <w:textAlignment w:val="auto"/>
        <w:outlineLvl w:val="9"/>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3.具有依法缴纳社会保障金的良好记录。</w:t>
      </w:r>
    </w:p>
    <w:p w14:paraId="60BCB137">
      <w:pPr>
        <w:keepNext/>
        <w:keepLines/>
        <w:pageBreakBefore w:val="0"/>
        <w:widowControl w:val="0"/>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我方在采购项目评审(评标)环节结束后，随时接受采购人、采购代理机构的检查验证，配合提供相关证明材料，证明符合《中华人民共和国政府采购法》规定的供应商基本资格条件。</w:t>
      </w:r>
    </w:p>
    <w:p w14:paraId="76AD28AF">
      <w:pPr>
        <w:keepNext/>
        <w:keepLines/>
        <w:pageBreakBefore w:val="0"/>
        <w:widowControl w:val="0"/>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我单位（公司）对上述承诺的真实性负责。如有虚假，将依法承担相应责任。</w:t>
      </w:r>
    </w:p>
    <w:p w14:paraId="158C7DDC">
      <w:pPr>
        <w:keepNext/>
        <w:keepLines/>
        <w:pageBreakBefore w:val="0"/>
        <w:widowControl w:val="0"/>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特此承诺。</w:t>
      </w:r>
    </w:p>
    <w:p w14:paraId="61F01142">
      <w:pPr>
        <w:overflowPunct/>
        <w:bidi w:val="0"/>
        <w:spacing w:line="363" w:lineRule="exact"/>
        <w:ind w:left="0" w:leftChars="0" w:firstLine="4777" w:firstLineChars="2275"/>
        <w:jc w:val="left"/>
        <w:outlineLvl w:val="9"/>
        <w:rPr>
          <w:rFonts w:hint="eastAsia" w:ascii="宋体" w:hAnsi="宋体" w:cs="宋体"/>
          <w:b w:val="0"/>
          <w:bCs w:val="0"/>
          <w:color w:val="000000" w:themeColor="text1"/>
          <w:sz w:val="21"/>
          <w:szCs w:val="21"/>
          <w:highlight w:val="none"/>
          <w14:textFill>
            <w14:solidFill>
              <w14:schemeClr w14:val="tx1"/>
            </w14:solidFill>
          </w14:textFill>
        </w:rPr>
      </w:pPr>
    </w:p>
    <w:p w14:paraId="65391AC6">
      <w:pPr>
        <w:overflowPunct/>
        <w:bidi w:val="0"/>
        <w:spacing w:line="363" w:lineRule="exact"/>
        <w:ind w:left="0" w:leftChars="0" w:firstLine="4777" w:firstLineChars="2275"/>
        <w:jc w:val="left"/>
        <w:outlineLvl w:val="9"/>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盖章：</w:t>
      </w:r>
    </w:p>
    <w:p w14:paraId="55D7C4B0">
      <w:pPr>
        <w:overflowPunct/>
        <w:bidi w:val="0"/>
        <w:spacing w:line="363" w:lineRule="exact"/>
        <w:ind w:left="0" w:leftChars="0" w:firstLine="4777" w:firstLineChars="2275"/>
        <w:jc w:val="left"/>
        <w:outlineLvl w:val="9"/>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签字：</w:t>
      </w:r>
    </w:p>
    <w:p w14:paraId="71594641">
      <w:pPr>
        <w:overflowPunct/>
        <w:bidi w:val="0"/>
        <w:spacing w:line="363" w:lineRule="exact"/>
        <w:ind w:left="0" w:leftChars="0" w:firstLine="4777" w:firstLineChars="2275"/>
        <w:jc w:val="left"/>
        <w:outlineLvl w:val="9"/>
        <w:rPr>
          <w:rFonts w:hint="eastAsia"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日期：</w:t>
      </w:r>
    </w:p>
    <w:p w14:paraId="740F5442">
      <w:pPr>
        <w:pStyle w:val="35"/>
        <w:overflowPunct/>
        <w:bidi w:val="0"/>
        <w:outlineLvl w:val="9"/>
        <w:rPr>
          <w:rFonts w:hint="eastAsia"/>
          <w:color w:val="000000" w:themeColor="text1"/>
          <w:sz w:val="21"/>
          <w:szCs w:val="21"/>
          <w:highlight w:val="none"/>
          <w14:textFill>
            <w14:solidFill>
              <w14:schemeClr w14:val="tx1"/>
            </w14:solidFill>
          </w14:textFill>
        </w:rPr>
        <w:sectPr>
          <w:pgSz w:w="11906" w:h="16838"/>
          <w:pgMar w:top="1134" w:right="1418" w:bottom="1134" w:left="1418" w:header="851" w:footer="851" w:gutter="0"/>
          <w:pgBorders>
            <w:top w:val="none" w:sz="0" w:space="0"/>
            <w:left w:val="none" w:sz="0" w:space="0"/>
            <w:bottom w:val="none" w:sz="0" w:space="0"/>
            <w:right w:val="none" w:sz="0" w:space="0"/>
          </w:pgBorders>
          <w:pgNumType w:fmt="decimal"/>
          <w:cols w:space="720" w:num="1"/>
          <w:docGrid w:linePitch="312" w:charSpace="0"/>
        </w:sectPr>
      </w:pPr>
    </w:p>
    <w:bookmarkEnd w:id="72"/>
    <w:bookmarkEnd w:id="73"/>
    <w:p w14:paraId="06948283">
      <w:pPr>
        <w:overflowPunct/>
        <w:bidi w:val="0"/>
        <w:adjustRightInd w:val="0"/>
        <w:snapToGrid w:val="0"/>
        <w:spacing w:line="300" w:lineRule="auto"/>
        <w:jc w:val="center"/>
        <w:outlineLvl w:val="9"/>
        <w:rPr>
          <w:rFonts w:ascii="宋体" w:hAnsi="宋体" w:cs="宋体"/>
          <w:b/>
          <w:color w:val="000000" w:themeColor="text1"/>
          <w:sz w:val="28"/>
          <w:szCs w:val="28"/>
          <w:highlight w:val="none"/>
          <w14:textFill>
            <w14:solidFill>
              <w14:schemeClr w14:val="tx1"/>
            </w14:solidFill>
          </w14:textFill>
        </w:rPr>
      </w:pPr>
      <w:bookmarkStart w:id="74" w:name="_Toc247514302"/>
      <w:bookmarkStart w:id="75" w:name="_Toc152045810"/>
      <w:bookmarkStart w:id="76" w:name="_Toc152042599"/>
      <w:bookmarkStart w:id="77" w:name="_Toc144974878"/>
      <w:bookmarkStart w:id="78" w:name="_Toc404237845"/>
      <w:bookmarkStart w:id="79" w:name="_Toc247527850"/>
      <w:bookmarkStart w:id="80" w:name="_Toc397416087"/>
      <w:bookmarkStart w:id="81" w:name="_Toc404237755"/>
      <w:bookmarkStart w:id="82" w:name="_Toc265953296"/>
      <w:r>
        <w:rPr>
          <w:rFonts w:ascii="宋体" w:hAnsi="宋体" w:cs="宋体"/>
          <w:b/>
          <w:color w:val="000000" w:themeColor="text1"/>
          <w:sz w:val="28"/>
          <w:szCs w:val="28"/>
          <w:highlight w:val="none"/>
          <w14:textFill>
            <w14:solidFill>
              <w14:schemeClr w14:val="tx1"/>
            </w14:solidFill>
          </w14:textFill>
        </w:rPr>
        <w:t>近年完成的类似项目情况表</w:t>
      </w:r>
      <w:bookmarkEnd w:id="74"/>
      <w:bookmarkEnd w:id="75"/>
      <w:bookmarkEnd w:id="76"/>
      <w:bookmarkEnd w:id="77"/>
      <w:bookmarkEnd w:id="78"/>
      <w:bookmarkEnd w:id="79"/>
      <w:bookmarkEnd w:id="80"/>
      <w:bookmarkEnd w:id="81"/>
      <w:bookmarkEnd w:id="82"/>
    </w:p>
    <w:p w14:paraId="0DF1F4CC">
      <w:pPr>
        <w:pStyle w:val="12"/>
        <w:overflowPunct/>
        <w:bidi w:val="0"/>
        <w:ind w:firstLine="640"/>
        <w:jc w:val="center"/>
        <w:outlineLvl w:val="9"/>
        <w:rPr>
          <w:color w:val="000000" w:themeColor="text1"/>
          <w:kern w:val="0"/>
          <w:sz w:val="32"/>
          <w:szCs w:val="32"/>
          <w:highlight w:val="none"/>
          <w14:textFill>
            <w14:solidFill>
              <w14:schemeClr w14:val="tx1"/>
            </w14:solidFill>
          </w14:textFill>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959"/>
      </w:tblGrid>
      <w:tr w14:paraId="759C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405C39BD">
            <w:pPr>
              <w:overflowPunct/>
              <w:topLinePunct/>
              <w:bidi w:val="0"/>
              <w:jc w:val="center"/>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项目名称</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642BB81B">
            <w:pPr>
              <w:overflowPunct/>
              <w:topLinePunct/>
              <w:bidi w:val="0"/>
              <w:jc w:val="center"/>
              <w:outlineLvl w:val="9"/>
              <w:rPr>
                <w:color w:val="000000" w:themeColor="text1"/>
                <w:szCs w:val="21"/>
                <w:highlight w:val="none"/>
                <w14:textFill>
                  <w14:solidFill>
                    <w14:schemeClr w14:val="tx1"/>
                  </w14:solidFill>
                </w14:textFill>
              </w:rPr>
            </w:pPr>
          </w:p>
        </w:tc>
      </w:tr>
      <w:tr w14:paraId="729C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2103773E">
            <w:pPr>
              <w:overflowPunct/>
              <w:topLinePunct/>
              <w:bidi w:val="0"/>
              <w:jc w:val="center"/>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项目所在地</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648055A6">
            <w:pPr>
              <w:overflowPunct/>
              <w:topLinePunct/>
              <w:bidi w:val="0"/>
              <w:jc w:val="center"/>
              <w:outlineLvl w:val="9"/>
              <w:rPr>
                <w:color w:val="000000" w:themeColor="text1"/>
                <w:szCs w:val="21"/>
                <w:highlight w:val="none"/>
                <w14:textFill>
                  <w14:solidFill>
                    <w14:schemeClr w14:val="tx1"/>
                  </w14:solidFill>
                </w14:textFill>
              </w:rPr>
            </w:pPr>
          </w:p>
        </w:tc>
      </w:tr>
      <w:tr w14:paraId="628A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7717675C">
            <w:pPr>
              <w:overflowPunct/>
              <w:topLinePunct/>
              <w:bidi w:val="0"/>
              <w:jc w:val="center"/>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发包人名称</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2FA0BB3C">
            <w:pPr>
              <w:overflowPunct/>
              <w:topLinePunct/>
              <w:bidi w:val="0"/>
              <w:jc w:val="center"/>
              <w:outlineLvl w:val="9"/>
              <w:rPr>
                <w:color w:val="000000" w:themeColor="text1"/>
                <w:szCs w:val="21"/>
                <w:highlight w:val="none"/>
                <w14:textFill>
                  <w14:solidFill>
                    <w14:schemeClr w14:val="tx1"/>
                  </w14:solidFill>
                </w14:textFill>
              </w:rPr>
            </w:pPr>
          </w:p>
        </w:tc>
      </w:tr>
      <w:tr w14:paraId="4555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79C63DF1">
            <w:pPr>
              <w:overflowPunct/>
              <w:topLinePunct/>
              <w:bidi w:val="0"/>
              <w:jc w:val="center"/>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发包人地址</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2378EC15">
            <w:pPr>
              <w:overflowPunct/>
              <w:topLinePunct/>
              <w:bidi w:val="0"/>
              <w:jc w:val="center"/>
              <w:outlineLvl w:val="9"/>
              <w:rPr>
                <w:color w:val="000000" w:themeColor="text1"/>
                <w:szCs w:val="21"/>
                <w:highlight w:val="none"/>
                <w14:textFill>
                  <w14:solidFill>
                    <w14:schemeClr w14:val="tx1"/>
                  </w14:solidFill>
                </w14:textFill>
              </w:rPr>
            </w:pPr>
          </w:p>
        </w:tc>
      </w:tr>
      <w:tr w14:paraId="6220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4A9D86A2">
            <w:pPr>
              <w:overflowPunct/>
              <w:topLinePunct/>
              <w:bidi w:val="0"/>
              <w:jc w:val="center"/>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发包人电话</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483AF927">
            <w:pPr>
              <w:overflowPunct/>
              <w:topLinePunct/>
              <w:bidi w:val="0"/>
              <w:jc w:val="center"/>
              <w:outlineLvl w:val="9"/>
              <w:rPr>
                <w:color w:val="000000" w:themeColor="text1"/>
                <w:szCs w:val="21"/>
                <w:highlight w:val="none"/>
                <w14:textFill>
                  <w14:solidFill>
                    <w14:schemeClr w14:val="tx1"/>
                  </w14:solidFill>
                </w14:textFill>
              </w:rPr>
            </w:pPr>
          </w:p>
        </w:tc>
      </w:tr>
      <w:tr w14:paraId="7C13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4DF4CE6C">
            <w:pPr>
              <w:overflowPunct/>
              <w:topLinePunct/>
              <w:bidi w:val="0"/>
              <w:jc w:val="center"/>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合同价格</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466413CA">
            <w:pPr>
              <w:overflowPunct/>
              <w:topLinePunct/>
              <w:bidi w:val="0"/>
              <w:jc w:val="center"/>
              <w:outlineLvl w:val="9"/>
              <w:rPr>
                <w:color w:val="000000" w:themeColor="text1"/>
                <w:szCs w:val="21"/>
                <w:highlight w:val="none"/>
                <w14:textFill>
                  <w14:solidFill>
                    <w14:schemeClr w14:val="tx1"/>
                  </w14:solidFill>
                </w14:textFill>
              </w:rPr>
            </w:pPr>
          </w:p>
        </w:tc>
      </w:tr>
      <w:tr w14:paraId="5192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5232CA90">
            <w:pPr>
              <w:overflowPunct/>
              <w:topLinePunct/>
              <w:bidi w:val="0"/>
              <w:jc w:val="center"/>
              <w:outlineLvl w:val="9"/>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供货期限</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20E8FB45">
            <w:pPr>
              <w:overflowPunct/>
              <w:topLinePunct/>
              <w:bidi w:val="0"/>
              <w:jc w:val="center"/>
              <w:outlineLvl w:val="9"/>
              <w:rPr>
                <w:color w:val="000000" w:themeColor="text1"/>
                <w:szCs w:val="21"/>
                <w:highlight w:val="none"/>
                <w14:textFill>
                  <w14:solidFill>
                    <w14:schemeClr w14:val="tx1"/>
                  </w14:solidFill>
                </w14:textFill>
              </w:rPr>
            </w:pPr>
          </w:p>
        </w:tc>
      </w:tr>
      <w:tr w14:paraId="5F5F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53263E31">
            <w:pPr>
              <w:overflowPunct/>
              <w:topLinePunct/>
              <w:bidi w:val="0"/>
              <w:jc w:val="center"/>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服务内容</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360E9855">
            <w:pPr>
              <w:overflowPunct/>
              <w:topLinePunct/>
              <w:bidi w:val="0"/>
              <w:jc w:val="center"/>
              <w:outlineLvl w:val="9"/>
              <w:rPr>
                <w:color w:val="000000" w:themeColor="text1"/>
                <w:szCs w:val="21"/>
                <w:highlight w:val="none"/>
                <w14:textFill>
                  <w14:solidFill>
                    <w14:schemeClr w14:val="tx1"/>
                  </w14:solidFill>
                </w14:textFill>
              </w:rPr>
            </w:pPr>
          </w:p>
        </w:tc>
      </w:tr>
      <w:tr w14:paraId="77FB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143B2AF3">
            <w:pPr>
              <w:overflowPunct/>
              <w:topLinePunct/>
              <w:bidi w:val="0"/>
              <w:jc w:val="center"/>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项目负责人</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583AA8EF">
            <w:pPr>
              <w:overflowPunct/>
              <w:topLinePunct/>
              <w:bidi w:val="0"/>
              <w:jc w:val="center"/>
              <w:outlineLvl w:val="9"/>
              <w:rPr>
                <w:color w:val="000000" w:themeColor="text1"/>
                <w:szCs w:val="21"/>
                <w:highlight w:val="none"/>
                <w14:textFill>
                  <w14:solidFill>
                    <w14:schemeClr w14:val="tx1"/>
                  </w14:solidFill>
                </w14:textFill>
              </w:rPr>
            </w:pPr>
          </w:p>
        </w:tc>
      </w:tr>
      <w:tr w14:paraId="507C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598D750A">
            <w:pPr>
              <w:overflowPunct/>
              <w:topLinePunct/>
              <w:bidi w:val="0"/>
              <w:jc w:val="center"/>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项目描述</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2D2D4313">
            <w:pPr>
              <w:overflowPunct/>
              <w:topLinePunct/>
              <w:bidi w:val="0"/>
              <w:jc w:val="center"/>
              <w:outlineLvl w:val="9"/>
              <w:rPr>
                <w:color w:val="000000" w:themeColor="text1"/>
                <w:szCs w:val="21"/>
                <w:highlight w:val="none"/>
                <w14:textFill>
                  <w14:solidFill>
                    <w14:schemeClr w14:val="tx1"/>
                  </w14:solidFill>
                </w14:textFill>
              </w:rPr>
            </w:pPr>
          </w:p>
        </w:tc>
      </w:tr>
      <w:tr w14:paraId="5598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2525" w:type="dxa"/>
            <w:tcBorders>
              <w:top w:val="single" w:color="auto" w:sz="4" w:space="0"/>
              <w:left w:val="single" w:color="auto" w:sz="4" w:space="0"/>
              <w:bottom w:val="single" w:color="auto" w:sz="4" w:space="0"/>
              <w:right w:val="single" w:color="auto" w:sz="4" w:space="0"/>
            </w:tcBorders>
            <w:noWrap w:val="0"/>
            <w:vAlign w:val="center"/>
          </w:tcPr>
          <w:p w14:paraId="62212D93">
            <w:pPr>
              <w:overflowPunct/>
              <w:topLinePunct/>
              <w:bidi w:val="0"/>
              <w:jc w:val="center"/>
              <w:outlineLvl w:val="9"/>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备注</w:t>
            </w:r>
          </w:p>
        </w:tc>
        <w:tc>
          <w:tcPr>
            <w:tcW w:w="6959" w:type="dxa"/>
            <w:tcBorders>
              <w:top w:val="single" w:color="auto" w:sz="4" w:space="0"/>
              <w:left w:val="single" w:color="auto" w:sz="4" w:space="0"/>
              <w:bottom w:val="single" w:color="auto" w:sz="4" w:space="0"/>
              <w:right w:val="single" w:color="auto" w:sz="4" w:space="0"/>
            </w:tcBorders>
            <w:noWrap w:val="0"/>
            <w:vAlign w:val="center"/>
          </w:tcPr>
          <w:p w14:paraId="1A3A42CC">
            <w:pPr>
              <w:overflowPunct/>
              <w:topLinePunct/>
              <w:bidi w:val="0"/>
              <w:jc w:val="center"/>
              <w:outlineLvl w:val="9"/>
              <w:rPr>
                <w:color w:val="000000" w:themeColor="text1"/>
                <w:szCs w:val="21"/>
                <w:highlight w:val="none"/>
                <w14:textFill>
                  <w14:solidFill>
                    <w14:schemeClr w14:val="tx1"/>
                  </w14:solidFill>
                </w14:textFill>
              </w:rPr>
            </w:pPr>
          </w:p>
        </w:tc>
      </w:tr>
    </w:tbl>
    <w:p w14:paraId="5F1D0783">
      <w:pPr>
        <w:pStyle w:val="47"/>
        <w:overflowPunct/>
        <w:bidi w:val="0"/>
        <w:spacing w:line="360" w:lineRule="auto"/>
        <w:ind w:right="-313" w:rightChars="-149" w:firstLine="420" w:firstLineChars="200"/>
        <w:jc w:val="both"/>
        <w:outlineLvl w:val="9"/>
        <w:rPr>
          <w:rFonts w:ascii="Times New Roman" w:hAnsi="Times New Roman" w:cs="Times New Roman"/>
          <w:color w:val="000000" w:themeColor="text1"/>
          <w:sz w:val="23"/>
          <w:szCs w:val="23"/>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注：</w:t>
      </w:r>
      <w:r>
        <w:rPr>
          <w:rFonts w:hint="eastAsia" w:ascii="Times New Roman" w:cs="Times New Roman"/>
          <w:color w:val="000000" w:themeColor="text1"/>
          <w:sz w:val="21"/>
          <w:szCs w:val="21"/>
          <w:highlight w:val="none"/>
          <w:lang w:eastAsia="zh-CN"/>
          <w14:textFill>
            <w14:solidFill>
              <w14:schemeClr w14:val="tx1"/>
            </w14:solidFill>
          </w14:textFill>
        </w:rPr>
        <w:t>供应商</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如有</w:t>
      </w:r>
      <w:r>
        <w:rPr>
          <w:rFonts w:ascii="Times New Roman" w:hAnsi="Times New Roman" w:cs="Times New Roman"/>
          <w:color w:val="000000" w:themeColor="text1"/>
          <w:sz w:val="21"/>
          <w:szCs w:val="21"/>
          <w:highlight w:val="none"/>
          <w14:textFill>
            <w14:solidFill>
              <w14:schemeClr w14:val="tx1"/>
            </w14:solidFill>
          </w14:textFill>
        </w:rPr>
        <w:t>类似业绩，提供中标</w:t>
      </w:r>
      <w:r>
        <w:rPr>
          <w:rFonts w:hint="eastAsia" w:ascii="Times New Roman" w:hAnsi="Times New Roman" w:cs="Times New Roman"/>
          <w:color w:val="000000" w:themeColor="text1"/>
          <w:sz w:val="21"/>
          <w:szCs w:val="21"/>
          <w:highlight w:val="none"/>
          <w14:textFill>
            <w14:solidFill>
              <w14:schemeClr w14:val="tx1"/>
            </w14:solidFill>
          </w14:textFill>
        </w:rPr>
        <w:t>/成交</w:t>
      </w:r>
      <w:r>
        <w:rPr>
          <w:rFonts w:ascii="Times New Roman" w:hAnsi="Times New Roman" w:cs="Times New Roman"/>
          <w:color w:val="000000" w:themeColor="text1"/>
          <w:sz w:val="21"/>
          <w:szCs w:val="21"/>
          <w:highlight w:val="none"/>
          <w14:textFill>
            <w14:solidFill>
              <w14:schemeClr w14:val="tx1"/>
            </w14:solidFill>
          </w14:textFill>
        </w:rPr>
        <w:t>通知书或合同协议书</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复印件加盖公章</w:t>
      </w:r>
      <w:r>
        <w:rPr>
          <w:rFonts w:ascii="Times New Roman" w:hAnsi="Times New Roman" w:cs="Times New Roman"/>
          <w:color w:val="000000" w:themeColor="text1"/>
          <w:sz w:val="21"/>
          <w:szCs w:val="21"/>
          <w:highlight w:val="none"/>
          <w14:textFill>
            <w14:solidFill>
              <w14:schemeClr w14:val="tx1"/>
            </w14:solidFill>
          </w14:textFill>
        </w:rPr>
        <w:t>，所有复印件必须要清晰、字迹清楚，否则不得分。</w:t>
      </w:r>
    </w:p>
    <w:p w14:paraId="06DDAC5E">
      <w:pPr>
        <w:overflowPunct/>
        <w:bidi w:val="0"/>
        <w:spacing w:line="240" w:lineRule="auto"/>
        <w:jc w:val="center"/>
        <w:outlineLvl w:val="9"/>
        <w:rPr>
          <w:rFonts w:ascii="宋体" w:hAnsi="宋体" w:eastAsia="宋体"/>
          <w:b w:val="0"/>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br w:type="page"/>
      </w:r>
      <w:r>
        <w:rPr>
          <w:rFonts w:hint="eastAsia" w:eastAsia="宋体"/>
          <w:b w:val="0"/>
          <w:bCs w:val="0"/>
          <w:color w:val="000000" w:themeColor="text1"/>
          <w:sz w:val="32"/>
          <w:highlight w:val="none"/>
          <w14:textFill>
            <w14:solidFill>
              <w14:schemeClr w14:val="tx1"/>
            </w14:solidFill>
          </w14:textFill>
        </w:rPr>
        <w:t xml:space="preserve"> </w:t>
      </w:r>
      <w:r>
        <w:rPr>
          <w:rFonts w:hint="eastAsia" w:ascii="宋体" w:hAnsi="宋体" w:eastAsia="宋体"/>
          <w:color w:val="000000" w:themeColor="text1"/>
          <w:highlight w:val="none"/>
          <w14:textFill>
            <w14:solidFill>
              <w14:schemeClr w14:val="tx1"/>
            </w14:solidFill>
          </w14:textFill>
        </w:rPr>
        <w:t>商务条款偏离表(格式)</w:t>
      </w:r>
    </w:p>
    <w:p w14:paraId="2EA0D87D">
      <w:pPr>
        <w:overflowPunct/>
        <w:bidi w:val="0"/>
        <w:ind w:hanging="119"/>
        <w:outlineLvl w:val="9"/>
        <w:rPr>
          <w:rFonts w:ascii="宋体" w:hAnsi="宋体"/>
          <w:color w:val="000000" w:themeColor="text1"/>
          <w:sz w:val="24"/>
          <w:highlight w:val="none"/>
          <w14:textFill>
            <w14:solidFill>
              <w14:schemeClr w14:val="tx1"/>
            </w14:solidFill>
          </w14:textFill>
        </w:rPr>
      </w:pPr>
    </w:p>
    <w:p w14:paraId="5B183C28">
      <w:pPr>
        <w:overflowPunct/>
        <w:bidi w:val="0"/>
        <w:spacing w:after="240"/>
        <w:ind w:hanging="119"/>
        <w:outlineLvl w:val="9"/>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名称：</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项目编号：</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tbl>
      <w:tblPr>
        <w:tblStyle w:val="38"/>
        <w:tblW w:w="85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80"/>
        <w:gridCol w:w="1791"/>
        <w:gridCol w:w="2145"/>
        <w:gridCol w:w="1815"/>
      </w:tblGrid>
      <w:tr w14:paraId="671006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931167B">
            <w:pPr>
              <w:overflowPunct/>
              <w:bidi w:val="0"/>
              <w:spacing w:before="240" w:after="240"/>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1980" w:type="dxa"/>
            <w:noWrap w:val="0"/>
            <w:vAlign w:val="top"/>
          </w:tcPr>
          <w:p w14:paraId="2BFDC88A">
            <w:pPr>
              <w:overflowPunct/>
              <w:bidi w:val="0"/>
              <w:spacing w:before="240" w:after="240"/>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磋商文件条目号</w:t>
            </w:r>
          </w:p>
        </w:tc>
        <w:tc>
          <w:tcPr>
            <w:tcW w:w="1791" w:type="dxa"/>
            <w:noWrap w:val="0"/>
            <w:vAlign w:val="top"/>
          </w:tcPr>
          <w:p w14:paraId="06A860BF">
            <w:pPr>
              <w:overflowPunct/>
              <w:bidi w:val="0"/>
              <w:spacing w:before="240" w:after="240"/>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磋商文件的商务条款</w:t>
            </w:r>
          </w:p>
        </w:tc>
        <w:tc>
          <w:tcPr>
            <w:tcW w:w="2145" w:type="dxa"/>
            <w:noWrap w:val="0"/>
            <w:vAlign w:val="top"/>
          </w:tcPr>
          <w:p w14:paraId="762BF5CF">
            <w:pPr>
              <w:overflowPunct/>
              <w:bidi w:val="0"/>
              <w:spacing w:before="240" w:after="240"/>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响应文件的商务条款</w:t>
            </w:r>
          </w:p>
        </w:tc>
        <w:tc>
          <w:tcPr>
            <w:tcW w:w="1815" w:type="dxa"/>
            <w:noWrap w:val="0"/>
            <w:vAlign w:val="top"/>
          </w:tcPr>
          <w:p w14:paraId="65378924">
            <w:pPr>
              <w:overflowPunct/>
              <w:bidi w:val="0"/>
              <w:spacing w:before="240" w:after="240"/>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是否偏离</w:t>
            </w:r>
          </w:p>
        </w:tc>
      </w:tr>
      <w:tr w14:paraId="0E4BF6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CA75137">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980" w:type="dxa"/>
            <w:noWrap w:val="0"/>
            <w:vAlign w:val="top"/>
          </w:tcPr>
          <w:p w14:paraId="220F70EA">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791" w:type="dxa"/>
            <w:noWrap w:val="0"/>
            <w:vAlign w:val="top"/>
          </w:tcPr>
          <w:p w14:paraId="2C201A24">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145" w:type="dxa"/>
            <w:noWrap w:val="0"/>
            <w:vAlign w:val="top"/>
          </w:tcPr>
          <w:p w14:paraId="26DCEB43">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815" w:type="dxa"/>
            <w:noWrap w:val="0"/>
            <w:vAlign w:val="top"/>
          </w:tcPr>
          <w:p w14:paraId="0A258DDD">
            <w:pPr>
              <w:overflowPunct/>
              <w:bidi w:val="0"/>
              <w:spacing w:before="240" w:after="240"/>
              <w:outlineLvl w:val="9"/>
              <w:rPr>
                <w:rFonts w:ascii="宋体" w:hAnsi="宋体"/>
                <w:color w:val="000000" w:themeColor="text1"/>
                <w:sz w:val="24"/>
                <w:highlight w:val="none"/>
                <w14:textFill>
                  <w14:solidFill>
                    <w14:schemeClr w14:val="tx1"/>
                  </w14:solidFill>
                </w14:textFill>
              </w:rPr>
            </w:pPr>
          </w:p>
        </w:tc>
      </w:tr>
      <w:tr w14:paraId="47D2A7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E50F911">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980" w:type="dxa"/>
            <w:noWrap w:val="0"/>
            <w:vAlign w:val="top"/>
          </w:tcPr>
          <w:p w14:paraId="41684732">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791" w:type="dxa"/>
            <w:noWrap w:val="0"/>
            <w:vAlign w:val="top"/>
          </w:tcPr>
          <w:p w14:paraId="4E175A79">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145" w:type="dxa"/>
            <w:noWrap w:val="0"/>
            <w:vAlign w:val="top"/>
          </w:tcPr>
          <w:p w14:paraId="4282260A">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815" w:type="dxa"/>
            <w:noWrap w:val="0"/>
            <w:vAlign w:val="top"/>
          </w:tcPr>
          <w:p w14:paraId="4FEA0B6C">
            <w:pPr>
              <w:overflowPunct/>
              <w:bidi w:val="0"/>
              <w:spacing w:before="240" w:after="240"/>
              <w:outlineLvl w:val="9"/>
              <w:rPr>
                <w:rFonts w:ascii="宋体" w:hAnsi="宋体"/>
                <w:color w:val="000000" w:themeColor="text1"/>
                <w:sz w:val="24"/>
                <w:highlight w:val="none"/>
                <w14:textFill>
                  <w14:solidFill>
                    <w14:schemeClr w14:val="tx1"/>
                  </w14:solidFill>
                </w14:textFill>
              </w:rPr>
            </w:pPr>
          </w:p>
        </w:tc>
      </w:tr>
      <w:tr w14:paraId="383706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37D311E">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980" w:type="dxa"/>
            <w:noWrap w:val="0"/>
            <w:vAlign w:val="top"/>
          </w:tcPr>
          <w:p w14:paraId="645415C4">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791" w:type="dxa"/>
            <w:noWrap w:val="0"/>
            <w:vAlign w:val="top"/>
          </w:tcPr>
          <w:p w14:paraId="505DE259">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145" w:type="dxa"/>
            <w:noWrap w:val="0"/>
            <w:vAlign w:val="top"/>
          </w:tcPr>
          <w:p w14:paraId="681CED17">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815" w:type="dxa"/>
            <w:noWrap w:val="0"/>
            <w:vAlign w:val="top"/>
          </w:tcPr>
          <w:p w14:paraId="2367E908">
            <w:pPr>
              <w:overflowPunct/>
              <w:bidi w:val="0"/>
              <w:spacing w:before="240" w:after="240"/>
              <w:outlineLvl w:val="9"/>
              <w:rPr>
                <w:rFonts w:ascii="宋体" w:hAnsi="宋体"/>
                <w:color w:val="000000" w:themeColor="text1"/>
                <w:sz w:val="24"/>
                <w:highlight w:val="none"/>
                <w14:textFill>
                  <w14:solidFill>
                    <w14:schemeClr w14:val="tx1"/>
                  </w14:solidFill>
                </w14:textFill>
              </w:rPr>
            </w:pPr>
          </w:p>
        </w:tc>
      </w:tr>
      <w:tr w14:paraId="54012E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8CE84E1">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980" w:type="dxa"/>
            <w:noWrap w:val="0"/>
            <w:vAlign w:val="top"/>
          </w:tcPr>
          <w:p w14:paraId="17CCB851">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791" w:type="dxa"/>
            <w:noWrap w:val="0"/>
            <w:vAlign w:val="top"/>
          </w:tcPr>
          <w:p w14:paraId="7AA53CF7">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145" w:type="dxa"/>
            <w:noWrap w:val="0"/>
            <w:vAlign w:val="top"/>
          </w:tcPr>
          <w:p w14:paraId="5AE6A736">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815" w:type="dxa"/>
            <w:noWrap w:val="0"/>
            <w:vAlign w:val="top"/>
          </w:tcPr>
          <w:p w14:paraId="79A20D03">
            <w:pPr>
              <w:overflowPunct/>
              <w:bidi w:val="0"/>
              <w:spacing w:before="240" w:after="240"/>
              <w:outlineLvl w:val="9"/>
              <w:rPr>
                <w:rFonts w:ascii="宋体" w:hAnsi="宋体"/>
                <w:color w:val="000000" w:themeColor="text1"/>
                <w:sz w:val="24"/>
                <w:highlight w:val="none"/>
                <w14:textFill>
                  <w14:solidFill>
                    <w14:schemeClr w14:val="tx1"/>
                  </w14:solidFill>
                </w14:textFill>
              </w:rPr>
            </w:pPr>
          </w:p>
        </w:tc>
      </w:tr>
      <w:tr w14:paraId="6F61CC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8228489">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980" w:type="dxa"/>
            <w:noWrap w:val="0"/>
            <w:vAlign w:val="top"/>
          </w:tcPr>
          <w:p w14:paraId="2267289D">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791" w:type="dxa"/>
            <w:noWrap w:val="0"/>
            <w:vAlign w:val="top"/>
          </w:tcPr>
          <w:p w14:paraId="1F6EA147">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145" w:type="dxa"/>
            <w:noWrap w:val="0"/>
            <w:vAlign w:val="top"/>
          </w:tcPr>
          <w:p w14:paraId="301051A7">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815" w:type="dxa"/>
            <w:noWrap w:val="0"/>
            <w:vAlign w:val="top"/>
          </w:tcPr>
          <w:p w14:paraId="4E85A76D">
            <w:pPr>
              <w:overflowPunct/>
              <w:bidi w:val="0"/>
              <w:spacing w:before="240" w:after="240"/>
              <w:outlineLvl w:val="9"/>
              <w:rPr>
                <w:rFonts w:ascii="宋体" w:hAnsi="宋体"/>
                <w:color w:val="000000" w:themeColor="text1"/>
                <w:sz w:val="24"/>
                <w:highlight w:val="none"/>
                <w14:textFill>
                  <w14:solidFill>
                    <w14:schemeClr w14:val="tx1"/>
                  </w14:solidFill>
                </w14:textFill>
              </w:rPr>
            </w:pPr>
          </w:p>
        </w:tc>
      </w:tr>
      <w:tr w14:paraId="572288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53DBBA3C">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980" w:type="dxa"/>
            <w:noWrap w:val="0"/>
            <w:vAlign w:val="top"/>
          </w:tcPr>
          <w:p w14:paraId="3B7DBEBD">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791" w:type="dxa"/>
            <w:noWrap w:val="0"/>
            <w:vAlign w:val="top"/>
          </w:tcPr>
          <w:p w14:paraId="3F2EA7A3">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145" w:type="dxa"/>
            <w:noWrap w:val="0"/>
            <w:vAlign w:val="top"/>
          </w:tcPr>
          <w:p w14:paraId="09AC37CB">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815" w:type="dxa"/>
            <w:noWrap w:val="0"/>
            <w:vAlign w:val="top"/>
          </w:tcPr>
          <w:p w14:paraId="7F90567A">
            <w:pPr>
              <w:overflowPunct/>
              <w:bidi w:val="0"/>
              <w:spacing w:before="240" w:after="240"/>
              <w:outlineLvl w:val="9"/>
              <w:rPr>
                <w:rFonts w:ascii="宋体" w:hAnsi="宋体"/>
                <w:color w:val="000000" w:themeColor="text1"/>
                <w:sz w:val="24"/>
                <w:highlight w:val="none"/>
                <w14:textFill>
                  <w14:solidFill>
                    <w14:schemeClr w14:val="tx1"/>
                  </w14:solidFill>
                </w14:textFill>
              </w:rPr>
            </w:pPr>
          </w:p>
        </w:tc>
      </w:tr>
      <w:tr w14:paraId="4451BB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EB2F176">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980" w:type="dxa"/>
            <w:noWrap w:val="0"/>
            <w:vAlign w:val="top"/>
          </w:tcPr>
          <w:p w14:paraId="039EFAFE">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791" w:type="dxa"/>
            <w:noWrap w:val="0"/>
            <w:vAlign w:val="top"/>
          </w:tcPr>
          <w:p w14:paraId="3422547B">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145" w:type="dxa"/>
            <w:noWrap w:val="0"/>
            <w:vAlign w:val="top"/>
          </w:tcPr>
          <w:p w14:paraId="3EBBB1F1">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815" w:type="dxa"/>
            <w:noWrap w:val="0"/>
            <w:vAlign w:val="top"/>
          </w:tcPr>
          <w:p w14:paraId="128D6115">
            <w:pPr>
              <w:overflowPunct/>
              <w:bidi w:val="0"/>
              <w:spacing w:before="240" w:after="240"/>
              <w:outlineLvl w:val="9"/>
              <w:rPr>
                <w:rFonts w:ascii="宋体" w:hAnsi="宋体"/>
                <w:color w:val="000000" w:themeColor="text1"/>
                <w:sz w:val="24"/>
                <w:highlight w:val="none"/>
                <w14:textFill>
                  <w14:solidFill>
                    <w14:schemeClr w14:val="tx1"/>
                  </w14:solidFill>
                </w14:textFill>
              </w:rPr>
            </w:pPr>
          </w:p>
        </w:tc>
      </w:tr>
      <w:tr w14:paraId="3E9436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AA22C0A">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980" w:type="dxa"/>
            <w:noWrap w:val="0"/>
            <w:vAlign w:val="top"/>
          </w:tcPr>
          <w:p w14:paraId="598B94C9">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791" w:type="dxa"/>
            <w:noWrap w:val="0"/>
            <w:vAlign w:val="top"/>
          </w:tcPr>
          <w:p w14:paraId="5A66F8C5">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2145" w:type="dxa"/>
            <w:noWrap w:val="0"/>
            <w:vAlign w:val="top"/>
          </w:tcPr>
          <w:p w14:paraId="61FE8D57">
            <w:pPr>
              <w:overflowPunct/>
              <w:bidi w:val="0"/>
              <w:spacing w:before="240" w:after="240"/>
              <w:outlineLvl w:val="9"/>
              <w:rPr>
                <w:rFonts w:ascii="宋体" w:hAnsi="宋体"/>
                <w:color w:val="000000" w:themeColor="text1"/>
                <w:sz w:val="24"/>
                <w:highlight w:val="none"/>
                <w14:textFill>
                  <w14:solidFill>
                    <w14:schemeClr w14:val="tx1"/>
                  </w14:solidFill>
                </w14:textFill>
              </w:rPr>
            </w:pPr>
          </w:p>
        </w:tc>
        <w:tc>
          <w:tcPr>
            <w:tcW w:w="1815" w:type="dxa"/>
            <w:noWrap w:val="0"/>
            <w:vAlign w:val="top"/>
          </w:tcPr>
          <w:p w14:paraId="44862E5C">
            <w:pPr>
              <w:overflowPunct/>
              <w:bidi w:val="0"/>
              <w:spacing w:before="240" w:after="240"/>
              <w:outlineLvl w:val="9"/>
              <w:rPr>
                <w:rFonts w:ascii="宋体" w:hAnsi="宋体"/>
                <w:color w:val="000000" w:themeColor="text1"/>
                <w:sz w:val="24"/>
                <w:highlight w:val="none"/>
                <w14:textFill>
                  <w14:solidFill>
                    <w14:schemeClr w14:val="tx1"/>
                  </w14:solidFill>
                </w14:textFill>
              </w:rPr>
            </w:pPr>
          </w:p>
        </w:tc>
      </w:tr>
    </w:tbl>
    <w:p w14:paraId="357873B4">
      <w:pPr>
        <w:overflowPunct/>
        <w:bidi w:val="0"/>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所提供的文件与磋商文件中的要求如有任何偏差，都应在“偏离表”中列出。若未在“偏离表”中列出，即使在响应文件其他地方写明与磋商文件要求有所不同，采购人也认同符合磋商文件最佳值的要求。</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成交后如据此提出疑义，不履行签订合同等下一步工作，采购人有权没收其磋商保证金。</w:t>
      </w:r>
    </w:p>
    <w:p w14:paraId="413E9CBF">
      <w:pPr>
        <w:overflowPunct/>
        <w:autoSpaceDE w:val="0"/>
        <w:autoSpaceDN w:val="0"/>
        <w:bidi w:val="0"/>
        <w:adjustRightInd w:val="0"/>
        <w:outlineLvl w:val="9"/>
        <w:rPr>
          <w:rFonts w:ascii="宋体" w:hAnsi="宋体"/>
          <w:color w:val="000000" w:themeColor="text1"/>
          <w:sz w:val="24"/>
          <w:highlight w:val="none"/>
          <w14:textFill>
            <w14:solidFill>
              <w14:schemeClr w14:val="tx1"/>
            </w14:solidFill>
          </w14:textFill>
        </w:rPr>
      </w:pPr>
    </w:p>
    <w:p w14:paraId="7CFA317E">
      <w:pPr>
        <w:overflowPunct/>
        <w:bidi w:val="0"/>
        <w:outlineLvl w:val="9"/>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t>供应商</w:t>
      </w:r>
      <w:r>
        <w:rPr>
          <w:rFonts w:hint="eastAsia" w:ascii="宋体" w:hAnsi="宋体" w:eastAsia="宋体" w:cs="Times New Roman"/>
          <w:color w:val="000000" w:themeColor="text1"/>
          <w:sz w:val="24"/>
          <w:highlight w:val="none"/>
          <w14:textFill>
            <w14:solidFill>
              <w14:schemeClr w14:val="tx1"/>
            </w14:solidFill>
          </w14:textFill>
        </w:rPr>
        <w:t>：                    （公章）</w:t>
      </w:r>
    </w:p>
    <w:p w14:paraId="5529E718">
      <w:pPr>
        <w:overflowPunct/>
        <w:bidi w:val="0"/>
        <w:outlineLvl w:val="9"/>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法定代表人或委托代理人：                （签字或盖章）</w:t>
      </w:r>
    </w:p>
    <w:p w14:paraId="774A45E6">
      <w:pPr>
        <w:overflowPunct/>
        <w:bidi w:val="0"/>
        <w:outlineLvl w:val="9"/>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日    期：    年    月    日</w:t>
      </w:r>
    </w:p>
    <w:p w14:paraId="428A0B2F">
      <w:pPr>
        <w:overflowPunct/>
        <w:bidi w:val="0"/>
        <w:outlineLvl w:val="9"/>
        <w:rPr>
          <w:rFonts w:hint="eastAsia" w:ascii="宋体" w:hAnsi="宋体" w:eastAsia="宋体" w:cs="Times New Roman"/>
          <w:color w:val="000000" w:themeColor="text1"/>
          <w:sz w:val="24"/>
          <w:highlight w:val="none"/>
          <w14:textFill>
            <w14:solidFill>
              <w14:schemeClr w14:val="tx1"/>
            </w14:solidFill>
          </w14:textFill>
        </w:rPr>
      </w:pPr>
    </w:p>
    <w:p w14:paraId="20976E04">
      <w:pPr>
        <w:pStyle w:val="37"/>
        <w:overflowPunct/>
        <w:bidi w:val="0"/>
        <w:ind w:left="0" w:leftChars="0" w:firstLine="0" w:firstLineChars="0"/>
        <w:outlineLvl w:val="9"/>
        <w:rPr>
          <w:rFonts w:hint="eastAsia"/>
          <w:color w:val="000000" w:themeColor="text1"/>
          <w:highlight w:val="none"/>
          <w14:textFill>
            <w14:solidFill>
              <w14:schemeClr w14:val="tx1"/>
            </w14:solidFill>
          </w14:textFill>
        </w:rPr>
      </w:pPr>
    </w:p>
    <w:p w14:paraId="07D85991">
      <w:pPr>
        <w:overflowPunct/>
        <w:bidi w:val="0"/>
        <w:outlineLvl w:val="9"/>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br w:type="page"/>
      </w:r>
    </w:p>
    <w:p w14:paraId="3285C0AD">
      <w:pPr>
        <w:widowControl/>
        <w:overflowPunct/>
        <w:bidi w:val="0"/>
        <w:spacing w:before="400" w:after="120" w:line="360" w:lineRule="auto"/>
        <w:jc w:val="center"/>
        <w:outlineLvl w:val="9"/>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技术偏离表(格式)</w:t>
      </w:r>
    </w:p>
    <w:p w14:paraId="6FECBD27">
      <w:pPr>
        <w:overflowPunct/>
        <w:bidi w:val="0"/>
        <w:spacing w:line="360" w:lineRule="auto"/>
        <w:outlineLvl w:val="9"/>
        <w:rPr>
          <w:rFonts w:ascii="宋体" w:hAnsi="宋体"/>
          <w:b/>
          <w:color w:val="000000" w:themeColor="text1"/>
          <w:sz w:val="28"/>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名称：</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项目编号：</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tbl>
      <w:tblPr>
        <w:tblStyle w:val="38"/>
        <w:tblW w:w="839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181"/>
        <w:gridCol w:w="1709"/>
        <w:gridCol w:w="1482"/>
        <w:gridCol w:w="1810"/>
        <w:gridCol w:w="1485"/>
      </w:tblGrid>
      <w:tr w14:paraId="13C4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3" w:type="dxa"/>
            <w:vMerge w:val="restart"/>
            <w:noWrap w:val="0"/>
            <w:vAlign w:val="top"/>
          </w:tcPr>
          <w:p w14:paraId="10AA49F1">
            <w:pPr>
              <w:overflowPunct/>
              <w:bidi w:val="0"/>
              <w:spacing w:before="120" w:line="360" w:lineRule="auto"/>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2890" w:type="dxa"/>
            <w:gridSpan w:val="2"/>
            <w:noWrap w:val="0"/>
            <w:vAlign w:val="top"/>
          </w:tcPr>
          <w:p w14:paraId="6508A996">
            <w:pPr>
              <w:overflowPunct/>
              <w:bidi w:val="0"/>
              <w:spacing w:before="120" w:after="120" w:line="360" w:lineRule="auto"/>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磋商文件要求</w:t>
            </w:r>
          </w:p>
        </w:tc>
        <w:tc>
          <w:tcPr>
            <w:tcW w:w="3292" w:type="dxa"/>
            <w:gridSpan w:val="2"/>
            <w:noWrap w:val="0"/>
            <w:vAlign w:val="top"/>
          </w:tcPr>
          <w:p w14:paraId="6E91D9C1">
            <w:pPr>
              <w:overflowPunct/>
              <w:bidi w:val="0"/>
              <w:spacing w:before="120" w:after="120" w:line="360" w:lineRule="auto"/>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响应文件内容达到</w:t>
            </w:r>
          </w:p>
        </w:tc>
        <w:tc>
          <w:tcPr>
            <w:tcW w:w="1485" w:type="dxa"/>
            <w:vMerge w:val="restart"/>
            <w:noWrap w:val="0"/>
            <w:vAlign w:val="center"/>
          </w:tcPr>
          <w:p w14:paraId="061D8CCF">
            <w:pPr>
              <w:overflowPunct/>
              <w:bidi w:val="0"/>
              <w:spacing w:before="120" w:line="360" w:lineRule="auto"/>
              <w:jc w:val="center"/>
              <w:outlineLvl w:val="9"/>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是否偏离</w:t>
            </w:r>
          </w:p>
        </w:tc>
      </w:tr>
      <w:tr w14:paraId="38DB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3" w:type="dxa"/>
            <w:vMerge w:val="continue"/>
            <w:noWrap w:val="0"/>
            <w:vAlign w:val="top"/>
          </w:tcPr>
          <w:p w14:paraId="5229B40B">
            <w:pPr>
              <w:overflowPunct/>
              <w:bidi w:val="0"/>
              <w:spacing w:line="360" w:lineRule="auto"/>
              <w:jc w:val="center"/>
              <w:outlineLvl w:val="9"/>
              <w:rPr>
                <w:rFonts w:ascii="宋体" w:hAnsi="宋体"/>
                <w:color w:val="000000" w:themeColor="text1"/>
                <w:sz w:val="24"/>
                <w:highlight w:val="none"/>
                <w14:textFill>
                  <w14:solidFill>
                    <w14:schemeClr w14:val="tx1"/>
                  </w14:solidFill>
                </w14:textFill>
              </w:rPr>
            </w:pPr>
          </w:p>
        </w:tc>
        <w:tc>
          <w:tcPr>
            <w:tcW w:w="1181" w:type="dxa"/>
            <w:noWrap w:val="0"/>
            <w:vAlign w:val="top"/>
          </w:tcPr>
          <w:p w14:paraId="707FB745">
            <w:pPr>
              <w:overflowPunct/>
              <w:bidi w:val="0"/>
              <w:spacing w:before="120" w:after="120" w:line="360" w:lineRule="auto"/>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名称</w:t>
            </w:r>
          </w:p>
        </w:tc>
        <w:tc>
          <w:tcPr>
            <w:tcW w:w="1709" w:type="dxa"/>
            <w:noWrap w:val="0"/>
            <w:vAlign w:val="top"/>
          </w:tcPr>
          <w:p w14:paraId="44B22FA8">
            <w:pPr>
              <w:overflowPunct/>
              <w:bidi w:val="0"/>
              <w:spacing w:before="120" w:after="120" w:line="360" w:lineRule="auto"/>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指标</w:t>
            </w:r>
          </w:p>
        </w:tc>
        <w:tc>
          <w:tcPr>
            <w:tcW w:w="1482" w:type="dxa"/>
            <w:noWrap w:val="0"/>
            <w:vAlign w:val="top"/>
          </w:tcPr>
          <w:p w14:paraId="32B91341">
            <w:pPr>
              <w:overflowPunct/>
              <w:bidi w:val="0"/>
              <w:spacing w:before="120" w:after="120" w:line="360" w:lineRule="auto"/>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名称</w:t>
            </w:r>
          </w:p>
        </w:tc>
        <w:tc>
          <w:tcPr>
            <w:tcW w:w="1810" w:type="dxa"/>
            <w:noWrap w:val="0"/>
            <w:vAlign w:val="top"/>
          </w:tcPr>
          <w:p w14:paraId="79155185">
            <w:pPr>
              <w:overflowPunct/>
              <w:bidi w:val="0"/>
              <w:spacing w:before="120" w:after="120" w:line="360" w:lineRule="auto"/>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指标</w:t>
            </w:r>
          </w:p>
        </w:tc>
        <w:tc>
          <w:tcPr>
            <w:tcW w:w="1485" w:type="dxa"/>
            <w:vMerge w:val="continue"/>
            <w:noWrap w:val="0"/>
            <w:vAlign w:val="top"/>
          </w:tcPr>
          <w:p w14:paraId="3E53C200">
            <w:pPr>
              <w:overflowPunct/>
              <w:bidi w:val="0"/>
              <w:spacing w:line="360" w:lineRule="auto"/>
              <w:jc w:val="center"/>
              <w:outlineLvl w:val="9"/>
              <w:rPr>
                <w:rFonts w:ascii="宋体" w:hAnsi="宋体"/>
                <w:color w:val="000000" w:themeColor="text1"/>
                <w:sz w:val="24"/>
                <w:highlight w:val="none"/>
                <w14:textFill>
                  <w14:solidFill>
                    <w14:schemeClr w14:val="tx1"/>
                  </w14:solidFill>
                </w14:textFill>
              </w:rPr>
            </w:pPr>
          </w:p>
        </w:tc>
      </w:tr>
      <w:tr w14:paraId="1361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55F83CF2">
            <w:pPr>
              <w:overflowPunct/>
              <w:bidi w:val="0"/>
              <w:jc w:val="center"/>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181" w:type="dxa"/>
            <w:noWrap w:val="0"/>
            <w:vAlign w:val="center"/>
          </w:tcPr>
          <w:p w14:paraId="7B54F67E">
            <w:pPr>
              <w:overflowPunct/>
              <w:bidi w:val="0"/>
              <w:jc w:val="center"/>
              <w:outlineLvl w:val="9"/>
              <w:rPr>
                <w:rFonts w:ascii="宋体" w:hAnsi="宋体" w:cs="宋体"/>
                <w:color w:val="000000" w:themeColor="text1"/>
                <w:highlight w:val="none"/>
                <w14:textFill>
                  <w14:solidFill>
                    <w14:schemeClr w14:val="tx1"/>
                  </w14:solidFill>
                </w14:textFill>
              </w:rPr>
            </w:pPr>
          </w:p>
        </w:tc>
        <w:tc>
          <w:tcPr>
            <w:tcW w:w="1709" w:type="dxa"/>
            <w:noWrap w:val="0"/>
            <w:vAlign w:val="top"/>
          </w:tcPr>
          <w:p w14:paraId="6AC8C269">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482" w:type="dxa"/>
            <w:noWrap w:val="0"/>
            <w:vAlign w:val="top"/>
          </w:tcPr>
          <w:p w14:paraId="57DD7AEB">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810" w:type="dxa"/>
            <w:noWrap w:val="0"/>
            <w:vAlign w:val="top"/>
          </w:tcPr>
          <w:p w14:paraId="55F6AB89">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485" w:type="dxa"/>
            <w:noWrap w:val="0"/>
            <w:vAlign w:val="top"/>
          </w:tcPr>
          <w:p w14:paraId="0E4E24A8">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r>
      <w:tr w14:paraId="0B6E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4D98CAC8">
            <w:pPr>
              <w:overflowPunct/>
              <w:bidi w:val="0"/>
              <w:jc w:val="center"/>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181" w:type="dxa"/>
            <w:noWrap w:val="0"/>
            <w:vAlign w:val="center"/>
          </w:tcPr>
          <w:p w14:paraId="27ECC319">
            <w:pPr>
              <w:overflowPunct/>
              <w:bidi w:val="0"/>
              <w:jc w:val="center"/>
              <w:outlineLvl w:val="9"/>
              <w:rPr>
                <w:rFonts w:ascii="宋体" w:hAnsi="宋体" w:cs="宋体"/>
                <w:color w:val="000000" w:themeColor="text1"/>
                <w:highlight w:val="none"/>
                <w14:textFill>
                  <w14:solidFill>
                    <w14:schemeClr w14:val="tx1"/>
                  </w14:solidFill>
                </w14:textFill>
              </w:rPr>
            </w:pPr>
          </w:p>
        </w:tc>
        <w:tc>
          <w:tcPr>
            <w:tcW w:w="1709" w:type="dxa"/>
            <w:noWrap w:val="0"/>
            <w:vAlign w:val="top"/>
          </w:tcPr>
          <w:p w14:paraId="7FDC5DFE">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482" w:type="dxa"/>
            <w:noWrap w:val="0"/>
            <w:vAlign w:val="top"/>
          </w:tcPr>
          <w:p w14:paraId="5B87DEA1">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810" w:type="dxa"/>
            <w:noWrap w:val="0"/>
            <w:vAlign w:val="top"/>
          </w:tcPr>
          <w:p w14:paraId="2A599B2D">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485" w:type="dxa"/>
            <w:noWrap w:val="0"/>
            <w:vAlign w:val="top"/>
          </w:tcPr>
          <w:p w14:paraId="6AD92F7E">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r>
      <w:tr w14:paraId="3C3A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75D30860">
            <w:pPr>
              <w:overflowPunct/>
              <w:bidi w:val="0"/>
              <w:jc w:val="center"/>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181" w:type="dxa"/>
            <w:noWrap w:val="0"/>
            <w:vAlign w:val="center"/>
          </w:tcPr>
          <w:p w14:paraId="5BBCF8D9">
            <w:pPr>
              <w:overflowPunct/>
              <w:bidi w:val="0"/>
              <w:jc w:val="center"/>
              <w:outlineLvl w:val="9"/>
              <w:rPr>
                <w:rFonts w:ascii="宋体" w:hAnsi="宋体" w:cs="宋体"/>
                <w:color w:val="000000" w:themeColor="text1"/>
                <w:highlight w:val="none"/>
                <w14:textFill>
                  <w14:solidFill>
                    <w14:schemeClr w14:val="tx1"/>
                  </w14:solidFill>
                </w14:textFill>
              </w:rPr>
            </w:pPr>
          </w:p>
        </w:tc>
        <w:tc>
          <w:tcPr>
            <w:tcW w:w="1709" w:type="dxa"/>
            <w:noWrap w:val="0"/>
            <w:vAlign w:val="top"/>
          </w:tcPr>
          <w:p w14:paraId="0B9BD8DE">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482" w:type="dxa"/>
            <w:noWrap w:val="0"/>
            <w:vAlign w:val="top"/>
          </w:tcPr>
          <w:p w14:paraId="3399C97A">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810" w:type="dxa"/>
            <w:noWrap w:val="0"/>
            <w:vAlign w:val="top"/>
          </w:tcPr>
          <w:p w14:paraId="0C3761D9">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485" w:type="dxa"/>
            <w:noWrap w:val="0"/>
            <w:vAlign w:val="top"/>
          </w:tcPr>
          <w:p w14:paraId="662B0E44">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r>
      <w:tr w14:paraId="06A5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227A1415">
            <w:pPr>
              <w:overflowPunct/>
              <w:bidi w:val="0"/>
              <w:jc w:val="center"/>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1181" w:type="dxa"/>
            <w:noWrap w:val="0"/>
            <w:vAlign w:val="center"/>
          </w:tcPr>
          <w:p w14:paraId="0BDE8A85">
            <w:pPr>
              <w:overflowPunct/>
              <w:bidi w:val="0"/>
              <w:jc w:val="center"/>
              <w:outlineLvl w:val="9"/>
              <w:rPr>
                <w:rFonts w:ascii="宋体" w:hAnsi="宋体" w:cs="宋体"/>
                <w:color w:val="000000" w:themeColor="text1"/>
                <w:highlight w:val="none"/>
                <w14:textFill>
                  <w14:solidFill>
                    <w14:schemeClr w14:val="tx1"/>
                  </w14:solidFill>
                </w14:textFill>
              </w:rPr>
            </w:pPr>
          </w:p>
        </w:tc>
        <w:tc>
          <w:tcPr>
            <w:tcW w:w="1709" w:type="dxa"/>
            <w:noWrap w:val="0"/>
            <w:vAlign w:val="top"/>
          </w:tcPr>
          <w:p w14:paraId="682935A3">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482" w:type="dxa"/>
            <w:noWrap w:val="0"/>
            <w:vAlign w:val="top"/>
          </w:tcPr>
          <w:p w14:paraId="14469B3B">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810" w:type="dxa"/>
            <w:noWrap w:val="0"/>
            <w:vAlign w:val="top"/>
          </w:tcPr>
          <w:p w14:paraId="19E44EEF">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485" w:type="dxa"/>
            <w:noWrap w:val="0"/>
            <w:vAlign w:val="top"/>
          </w:tcPr>
          <w:p w14:paraId="33775074">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r>
      <w:tr w14:paraId="2348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noWrap w:val="0"/>
            <w:vAlign w:val="center"/>
          </w:tcPr>
          <w:p w14:paraId="462BF49A">
            <w:pPr>
              <w:overflowPunct/>
              <w:bidi w:val="0"/>
              <w:jc w:val="center"/>
              <w:outlineLvl w:val="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1181" w:type="dxa"/>
            <w:noWrap w:val="0"/>
            <w:vAlign w:val="center"/>
          </w:tcPr>
          <w:p w14:paraId="6B047D7A">
            <w:pPr>
              <w:overflowPunct/>
              <w:bidi w:val="0"/>
              <w:jc w:val="center"/>
              <w:outlineLvl w:val="9"/>
              <w:rPr>
                <w:rFonts w:ascii="宋体" w:hAnsi="宋体" w:cs="宋体"/>
                <w:color w:val="000000" w:themeColor="text1"/>
                <w:highlight w:val="none"/>
                <w14:textFill>
                  <w14:solidFill>
                    <w14:schemeClr w14:val="tx1"/>
                  </w14:solidFill>
                </w14:textFill>
              </w:rPr>
            </w:pPr>
          </w:p>
        </w:tc>
        <w:tc>
          <w:tcPr>
            <w:tcW w:w="1709" w:type="dxa"/>
            <w:noWrap w:val="0"/>
            <w:vAlign w:val="top"/>
          </w:tcPr>
          <w:p w14:paraId="629B6EA8">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482" w:type="dxa"/>
            <w:noWrap w:val="0"/>
            <w:vAlign w:val="top"/>
          </w:tcPr>
          <w:p w14:paraId="381200A0">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810" w:type="dxa"/>
            <w:noWrap w:val="0"/>
            <w:vAlign w:val="top"/>
          </w:tcPr>
          <w:p w14:paraId="0A95860B">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c>
          <w:tcPr>
            <w:tcW w:w="1485" w:type="dxa"/>
            <w:noWrap w:val="0"/>
            <w:vAlign w:val="top"/>
          </w:tcPr>
          <w:p w14:paraId="114A03FD">
            <w:pPr>
              <w:overflowPunct/>
              <w:bidi w:val="0"/>
              <w:spacing w:before="120" w:after="120" w:line="360" w:lineRule="auto"/>
              <w:jc w:val="center"/>
              <w:outlineLvl w:val="9"/>
              <w:rPr>
                <w:rFonts w:ascii="宋体" w:hAnsi="宋体"/>
                <w:color w:val="000000" w:themeColor="text1"/>
                <w:sz w:val="32"/>
                <w:highlight w:val="none"/>
                <w14:textFill>
                  <w14:solidFill>
                    <w14:schemeClr w14:val="tx1"/>
                  </w14:solidFill>
                </w14:textFill>
              </w:rPr>
            </w:pPr>
          </w:p>
        </w:tc>
      </w:tr>
    </w:tbl>
    <w:p w14:paraId="7BE551B4">
      <w:pPr>
        <w:overflowPunct/>
        <w:bidi w:val="0"/>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所提供的文件与磋商文件中的要求如有任何偏差，都应在“偏离表”中列出。若未在“偏离表”中列出，即使在响应文件其他地方写明与磋商文件要求有所不同，采购人也认同符合磋商文件最佳值的要求。</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成交后如据此提出疑义，不履行签订合同等下一步工作，采购人有权没收其磋商保证金。</w:t>
      </w:r>
    </w:p>
    <w:p w14:paraId="47F63D37">
      <w:pPr>
        <w:overflowPunct/>
        <w:bidi w:val="0"/>
        <w:outlineLvl w:val="9"/>
        <w:rPr>
          <w:rFonts w:hint="eastAsia" w:ascii="宋体" w:hAnsi="宋体" w:eastAsia="宋体" w:cs="Times New Roman"/>
          <w:color w:val="000000" w:themeColor="text1"/>
          <w:sz w:val="24"/>
          <w:highlight w:val="none"/>
          <w:lang w:eastAsia="zh-CN"/>
          <w14:textFill>
            <w14:solidFill>
              <w14:schemeClr w14:val="tx1"/>
            </w14:solidFill>
          </w14:textFill>
        </w:rPr>
      </w:pPr>
    </w:p>
    <w:p w14:paraId="1FA99911">
      <w:pPr>
        <w:overflowPunct/>
        <w:bidi w:val="0"/>
        <w:outlineLvl w:val="9"/>
        <w:rPr>
          <w:rFonts w:hint="eastAsia" w:ascii="宋体" w:hAnsi="宋体" w:eastAsia="宋体" w:cs="Times New Roman"/>
          <w:color w:val="000000" w:themeColor="text1"/>
          <w:sz w:val="24"/>
          <w:highlight w:val="none"/>
          <w:lang w:eastAsia="zh-CN"/>
          <w14:textFill>
            <w14:solidFill>
              <w14:schemeClr w14:val="tx1"/>
            </w14:solidFill>
          </w14:textFill>
        </w:rPr>
      </w:pPr>
    </w:p>
    <w:p w14:paraId="6A0689BD">
      <w:pPr>
        <w:overflowPunct/>
        <w:bidi w:val="0"/>
        <w:outlineLvl w:val="9"/>
        <w:rPr>
          <w:rFonts w:hint="eastAsia" w:ascii="宋体" w:hAnsi="宋体" w:eastAsia="宋体" w:cs="Times New Roman"/>
          <w:color w:val="000000" w:themeColor="text1"/>
          <w:sz w:val="24"/>
          <w:highlight w:val="none"/>
          <w:lang w:eastAsia="zh-CN"/>
          <w14:textFill>
            <w14:solidFill>
              <w14:schemeClr w14:val="tx1"/>
            </w14:solidFill>
          </w14:textFill>
        </w:rPr>
      </w:pPr>
    </w:p>
    <w:p w14:paraId="6BBE2BDC">
      <w:pPr>
        <w:overflowPunct/>
        <w:bidi w:val="0"/>
        <w:outlineLvl w:val="9"/>
        <w:rPr>
          <w:rFonts w:hint="eastAsia" w:ascii="宋体" w:hAnsi="宋体" w:eastAsia="宋体" w:cs="Times New Roman"/>
          <w:color w:val="000000" w:themeColor="text1"/>
          <w:sz w:val="24"/>
          <w:highlight w:val="none"/>
          <w:lang w:eastAsia="zh-CN"/>
          <w14:textFill>
            <w14:solidFill>
              <w14:schemeClr w14:val="tx1"/>
            </w14:solidFill>
          </w14:textFill>
        </w:rPr>
      </w:pPr>
    </w:p>
    <w:p w14:paraId="29E171ED">
      <w:pPr>
        <w:overflowPunct/>
        <w:bidi w:val="0"/>
        <w:outlineLvl w:val="9"/>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t>供应商：                    （公章）</w:t>
      </w:r>
    </w:p>
    <w:p w14:paraId="44F70502">
      <w:pPr>
        <w:overflowPunct/>
        <w:bidi w:val="0"/>
        <w:outlineLvl w:val="9"/>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t>法定代表人或委托代理人：                （签字或盖章）</w:t>
      </w:r>
    </w:p>
    <w:p w14:paraId="642E94FC">
      <w:pPr>
        <w:overflowPunct/>
        <w:bidi w:val="0"/>
        <w:outlineLvl w:val="9"/>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t>日    期：    年    月    日</w:t>
      </w:r>
    </w:p>
    <w:p w14:paraId="7F14F143">
      <w:pPr>
        <w:overflowPunct/>
        <w:bidi w:val="0"/>
        <w:outlineLvl w:val="9"/>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lang w:eastAsia="zh-CN"/>
          <w14:textFill>
            <w14:solidFill>
              <w14:schemeClr w14:val="tx1"/>
            </w14:solidFill>
          </w14:textFill>
        </w:rPr>
        <w:br w:type="page"/>
      </w:r>
    </w:p>
    <w:p w14:paraId="6B69CAFC">
      <w:pPr>
        <w:overflowPunct/>
        <w:bidi w:val="0"/>
        <w:spacing w:beforeLines="100" w:afterLines="50"/>
        <w:jc w:val="center"/>
        <w:outlineLvl w:val="9"/>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lang w:val="en-US" w:eastAsia="zh-CN"/>
          <w14:textFill>
            <w14:solidFill>
              <w14:schemeClr w14:val="tx1"/>
            </w14:solidFill>
          </w14:textFill>
        </w:rPr>
        <w:t>八</w:t>
      </w:r>
      <w:r>
        <w:rPr>
          <w:rFonts w:hint="eastAsia" w:ascii="宋体" w:hAnsi="宋体"/>
          <w:b/>
          <w:color w:val="000000" w:themeColor="text1"/>
          <w:sz w:val="32"/>
          <w:szCs w:val="32"/>
          <w:highlight w:val="none"/>
          <w14:textFill>
            <w14:solidFill>
              <w14:schemeClr w14:val="tx1"/>
            </w14:solidFill>
          </w14:textFill>
        </w:rPr>
        <w:t>、技术部分</w:t>
      </w:r>
    </w:p>
    <w:p w14:paraId="6F90CCFA">
      <w:pPr>
        <w:widowControl/>
        <w:overflowPunct/>
        <w:bidi w:val="0"/>
        <w:jc w:val="center"/>
        <w:outlineLvl w:val="9"/>
        <w:rPr>
          <w:rFonts w:ascii="宋体" w:hAnsi="宋体"/>
          <w:color w:val="000000" w:themeColor="text1"/>
          <w:sz w:val="21"/>
          <w:szCs w:val="21"/>
          <w:highlight w:val="none"/>
          <w14:textFill>
            <w14:solidFill>
              <w14:schemeClr w14:val="tx1"/>
            </w14:solidFill>
          </w14:textFill>
        </w:rPr>
        <w:sectPr>
          <w:pgSz w:w="11906" w:h="16838"/>
          <w:pgMar w:top="1440" w:right="1080" w:bottom="1440" w:left="1080" w:header="851" w:footer="992" w:gutter="0"/>
          <w:pgNumType w:fmt="decimal"/>
          <w:cols w:space="0" w:num="1"/>
          <w:docGrid w:type="lines" w:linePitch="312" w:charSpace="0"/>
        </w:sectPr>
      </w:pPr>
      <w:r>
        <w:rPr>
          <w:rFonts w:hint="eastAsia" w:ascii="宋体" w:hAnsi="宋体"/>
          <w:color w:val="000000" w:themeColor="text1"/>
          <w:sz w:val="21"/>
          <w:szCs w:val="21"/>
          <w:highlight w:val="none"/>
          <w14:textFill>
            <w14:solidFill>
              <w14:schemeClr w14:val="tx1"/>
            </w14:solidFill>
          </w14:textFill>
        </w:rPr>
        <w:t>供应商根据“评标办法”自行编写</w:t>
      </w:r>
      <w:r>
        <w:rPr>
          <w:rFonts w:ascii="宋体" w:hAnsi="宋体"/>
          <w:color w:val="000000" w:themeColor="text1"/>
          <w:sz w:val="21"/>
          <w:szCs w:val="21"/>
          <w:highlight w:val="none"/>
          <w14:textFill>
            <w14:solidFill>
              <w14:schemeClr w14:val="tx1"/>
            </w14:solidFill>
          </w14:textFill>
        </w:rPr>
        <w:br w:type="page"/>
      </w:r>
    </w:p>
    <w:p w14:paraId="553C1739">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Times New Roman"/>
          <w:b/>
          <w:color w:val="000000" w:themeColor="text1"/>
          <w:sz w:val="32"/>
          <w:szCs w:val="32"/>
          <w:highlight w:val="none"/>
          <w:lang w:val="en-US" w:eastAsia="zh-CN"/>
          <w14:textFill>
            <w14:solidFill>
              <w14:schemeClr w14:val="tx1"/>
            </w14:solidFill>
          </w14:textFill>
        </w:rPr>
      </w:pPr>
      <w:r>
        <w:rPr>
          <w:rFonts w:hint="eastAsia" w:ascii="宋体" w:hAnsi="宋体" w:eastAsia="宋体" w:cs="Times New Roman"/>
          <w:b/>
          <w:color w:val="000000" w:themeColor="text1"/>
          <w:sz w:val="32"/>
          <w:szCs w:val="32"/>
          <w:highlight w:val="none"/>
          <w:lang w:val="en-US" w:eastAsia="zh-CN"/>
          <w14:textFill>
            <w14:solidFill>
              <w14:schemeClr w14:val="tx1"/>
            </w14:solidFill>
          </w14:textFill>
        </w:rPr>
        <w:t xml:space="preserve"> 九、其他材料</w:t>
      </w:r>
    </w:p>
    <w:p w14:paraId="58E5C490">
      <w:pPr>
        <w:overflowPunct/>
        <w:bidi w:val="0"/>
        <w:spacing w:beforeLines="100" w:line="440" w:lineRule="exact"/>
        <w:ind w:firstLine="420" w:firstLineChars="200"/>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一</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须知中要求应提供的优惠条件、各类承诺等相关材料，格式自拟</w:t>
      </w:r>
    </w:p>
    <w:p w14:paraId="239576AC">
      <w:pPr>
        <w:overflowPunct/>
        <w:bidi w:val="0"/>
        <w:spacing w:beforeLines="100" w:line="440" w:lineRule="exact"/>
        <w:ind w:firstLine="420" w:firstLineChars="200"/>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二</w:t>
      </w:r>
      <w:r>
        <w:rPr>
          <w:rFonts w:hint="eastAsia" w:ascii="宋体" w:hAnsi="宋体"/>
          <w:color w:val="000000" w:themeColor="text1"/>
          <w:szCs w:val="21"/>
          <w:highlight w:val="none"/>
          <w:lang w:eastAsia="zh-CN"/>
          <w14:textFill>
            <w14:solidFill>
              <w14:schemeClr w14:val="tx1"/>
            </w14:solidFill>
          </w14:textFill>
        </w:rPr>
        <w:t>）供应商</w:t>
      </w:r>
      <w:r>
        <w:rPr>
          <w:rFonts w:hint="eastAsia" w:ascii="宋体" w:hAnsi="宋体"/>
          <w:color w:val="000000" w:themeColor="text1"/>
          <w:szCs w:val="21"/>
          <w:highlight w:val="none"/>
          <w14:textFill>
            <w14:solidFill>
              <w14:schemeClr w14:val="tx1"/>
            </w14:solidFill>
          </w14:textFill>
        </w:rPr>
        <w:t>认为需要提供的其他资料</w:t>
      </w:r>
    </w:p>
    <w:p w14:paraId="7D12ED9E">
      <w:pPr>
        <w:widowControl/>
        <w:overflowPunct/>
        <w:bidi w:val="0"/>
        <w:jc w:val="left"/>
        <w:outlineLvl w:val="9"/>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p>
    <w:p w14:paraId="34A49E96">
      <w:pPr>
        <w:widowControl/>
        <w:overflowPunct/>
        <w:bidi w:val="0"/>
        <w:jc w:val="both"/>
        <w:outlineLvl w:val="9"/>
        <w:rPr>
          <w:rFonts w:hint="eastAsia" w:ascii="宋体" w:hAnsi="宋体"/>
          <w:color w:val="000000" w:themeColor="text1"/>
          <w:sz w:val="32"/>
          <w:szCs w:val="32"/>
          <w:highlight w:val="none"/>
          <w:lang w:val="en-US" w:eastAsia="zh-CN"/>
          <w14:textFill>
            <w14:solidFill>
              <w14:schemeClr w14:val="tx1"/>
            </w14:solidFill>
          </w14:textFill>
        </w:rPr>
        <w:sectPr>
          <w:pgSz w:w="11906" w:h="16838"/>
          <w:pgMar w:top="1440" w:right="1080" w:bottom="1440" w:left="1080" w:header="851" w:footer="992" w:gutter="0"/>
          <w:pgNumType w:fmt="decimal"/>
          <w:cols w:space="0" w:num="1"/>
          <w:docGrid w:type="lines" w:linePitch="312" w:charSpace="0"/>
        </w:sectPr>
      </w:pPr>
    </w:p>
    <w:p w14:paraId="13EBC76E">
      <w:pPr>
        <w:overflowPunct/>
        <w:bidi w:val="0"/>
        <w:snapToGrid/>
        <w:spacing w:before="0" w:beforeAutospacing="0" w:after="0" w:afterAutospacing="0" w:line="240" w:lineRule="auto"/>
        <w:jc w:val="both"/>
        <w:textAlignment w:val="baseline"/>
        <w:outlineLvl w:val="9"/>
        <w:rPr>
          <w:rFonts w:hint="eastAsia" w:ascii="宋体" w:hAnsi="宋体" w:eastAsia="宋体" w:cs="宋体"/>
          <w:b/>
          <w:bCs/>
          <w:i w:val="0"/>
          <w:caps w:val="0"/>
          <w:color w:val="000000" w:themeColor="text1"/>
          <w:spacing w:val="0"/>
          <w:w w:val="100"/>
          <w:sz w:val="32"/>
          <w:szCs w:val="32"/>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附件1中小企业声明函</w:t>
      </w:r>
    </w:p>
    <w:p w14:paraId="1D638ECB">
      <w:pPr>
        <w:numPr>
          <w:ilvl w:val="0"/>
          <w:numId w:val="0"/>
        </w:numPr>
        <w:overflowPunct/>
        <w:bidi w:val="0"/>
        <w:outlineLvl w:val="9"/>
        <w:rPr>
          <w:rFonts w:hint="eastAsia" w:ascii="宋体" w:hAnsi="宋体" w:eastAsia="宋体" w:cs="宋体"/>
          <w:color w:val="000000" w:themeColor="text1"/>
          <w:highlight w:val="none"/>
          <w:lang w:val="en-US" w:eastAsia="zh-CN"/>
          <w14:textFill>
            <w14:solidFill>
              <w14:schemeClr w14:val="tx1"/>
            </w14:solidFill>
          </w14:textFill>
        </w:rPr>
      </w:pPr>
    </w:p>
    <w:p w14:paraId="423194A6">
      <w:pPr>
        <w:overflowPunct/>
        <w:bidi w:val="0"/>
        <w:snapToGrid/>
        <w:spacing w:before="0" w:beforeAutospacing="0" w:after="0" w:afterAutospacing="0" w:line="240" w:lineRule="auto"/>
        <w:jc w:val="center"/>
        <w:textAlignment w:val="baseline"/>
        <w:outlineLvl w:val="9"/>
        <w:rPr>
          <w:rFonts w:hint="eastAsia" w:ascii="宋体" w:hAnsi="宋体" w:eastAsia="宋体" w:cs="宋体"/>
          <w:b/>
          <w:bCs/>
          <w:i w:val="0"/>
          <w:caps w:val="0"/>
          <w:color w:val="000000" w:themeColor="text1"/>
          <w:spacing w:val="0"/>
          <w:w w:val="100"/>
          <w:sz w:val="32"/>
          <w:szCs w:val="32"/>
          <w:highlight w:val="none"/>
          <w:lang w:eastAsia="zh-CN"/>
          <w14:textFill>
            <w14:solidFill>
              <w14:schemeClr w14:val="tx1"/>
            </w14:solidFill>
          </w14:textFill>
        </w:rPr>
      </w:pPr>
      <w:r>
        <w:rPr>
          <w:rFonts w:hint="eastAsia" w:ascii="宋体" w:hAnsi="宋体" w:eastAsia="宋体" w:cs="宋体"/>
          <w:b/>
          <w:bCs/>
          <w:i w:val="0"/>
          <w:caps w:val="0"/>
          <w:color w:val="000000" w:themeColor="text1"/>
          <w:spacing w:val="0"/>
          <w:w w:val="100"/>
          <w:sz w:val="32"/>
          <w:szCs w:val="32"/>
          <w:highlight w:val="none"/>
          <w:lang w:eastAsia="zh-CN"/>
          <w14:textFill>
            <w14:solidFill>
              <w14:schemeClr w14:val="tx1"/>
            </w14:solidFill>
          </w14:textFill>
        </w:rPr>
        <w:t>中小企业声明函</w:t>
      </w:r>
    </w:p>
    <w:p w14:paraId="1BBDD140">
      <w:pPr>
        <w:pStyle w:val="16"/>
        <w:overflowPunct/>
        <w:bidi w:val="0"/>
        <w:snapToGrid/>
        <w:spacing w:before="0" w:beforeAutospacing="0" w:after="120" w:afterAutospacing="0" w:line="360" w:lineRule="auto"/>
        <w:ind w:left="0" w:right="0" w:firstLine="420" w:firstLineChars="200"/>
        <w:jc w:val="both"/>
        <w:textAlignment w:val="baseline"/>
        <w:outlineLvl w:val="9"/>
        <w:rPr>
          <w:rFonts w:hint="eastAsia" w:ascii="宋体" w:hAnsi="宋体" w:eastAsia="宋体" w:cs="宋体"/>
          <w:b w:val="0"/>
          <w:i w:val="0"/>
          <w:caps w:val="0"/>
          <w:color w:val="000000" w:themeColor="text1"/>
          <w:spacing w:val="0"/>
          <w:w w:val="100"/>
          <w:sz w:val="21"/>
          <w:highlight w:val="none"/>
          <w14:textFill>
            <w14:solidFill>
              <w14:schemeClr w14:val="tx1"/>
            </w14:solidFill>
          </w14:textFill>
        </w:rPr>
      </w:pPr>
    </w:p>
    <w:p w14:paraId="0D69824D">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4" w:beforeAutospacing="0" w:after="0" w:afterAutospacing="0" w:line="240" w:lineRule="auto"/>
        <w:ind w:left="481"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6"/>
          <w:kern w:val="0"/>
          <w:sz w:val="24"/>
          <w:szCs w:val="24"/>
          <w:highlight w:val="none"/>
          <w:vertAlign w:val="baseline"/>
          <w:lang w:val="en-US" w:eastAsia="zh-CN" w:bidi="ar"/>
          <w14:textFill>
            <w14:solidFill>
              <w14:schemeClr w14:val="tx1"/>
            </w14:solidFill>
          </w14:textFill>
        </w:rPr>
        <w:t>本公司 (联合体) 郑重声明，根据《政府采购促进中小企业发展管理办法》 (财</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库</w:t>
      </w:r>
    </w:p>
    <w:p w14:paraId="7E8F2AB9">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6" w:beforeAutospacing="0" w:after="0" w:afterAutospacing="0" w:line="372" w:lineRule="auto"/>
        <w:ind w:left="1" w:right="56" w:firstLine="74"/>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4"/>
          <w:kern w:val="0"/>
          <w:sz w:val="24"/>
          <w:szCs w:val="24"/>
          <w:highlight w:val="none"/>
          <w:vertAlign w:val="baseline"/>
          <w:lang w:val="en-US" w:eastAsia="zh-CN" w:bidi="ar"/>
          <w14:textFill>
            <w14:solidFill>
              <w14:schemeClr w14:val="tx1"/>
            </w14:solidFill>
          </w14:textFill>
        </w:rPr>
        <w:t>﹝ 2020 ﹞ 46 号) 的规定，本公司 (联合体) 参加 (单位名称) 的 (项目名称) 采购活动，</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12"/>
          <w:kern w:val="0"/>
          <w:sz w:val="24"/>
          <w:szCs w:val="24"/>
          <w:highlight w:val="none"/>
          <w:vertAlign w:val="baseline"/>
          <w:lang w:val="en-US" w:eastAsia="zh-CN" w:bidi="ar"/>
          <w14:textFill>
            <w14:solidFill>
              <w14:schemeClr w14:val="tx1"/>
            </w14:solidFill>
          </w14:textFill>
        </w:rPr>
        <w:t>提供的</w:t>
      </w:r>
      <w:r>
        <w:rPr>
          <w:rFonts w:hint="eastAsia" w:ascii="宋体" w:hAnsi="宋体" w:eastAsia="宋体" w:cs="宋体"/>
          <w:b w:val="0"/>
          <w:bCs w:val="0"/>
          <w:caps w:val="0"/>
          <w:color w:val="000000" w:themeColor="text1"/>
          <w:spacing w:val="7"/>
          <w:kern w:val="0"/>
          <w:sz w:val="24"/>
          <w:szCs w:val="24"/>
          <w:highlight w:val="none"/>
          <w:vertAlign w:val="baseline"/>
          <w:lang w:val="en-US" w:eastAsia="zh-CN" w:bidi="ar"/>
          <w14:textFill>
            <w14:solidFill>
              <w14:schemeClr w14:val="tx1"/>
            </w14:solidFill>
          </w14:textFill>
        </w:rPr>
        <w:t>货</w:t>
      </w:r>
      <w:r>
        <w:rPr>
          <w:rFonts w:hint="eastAsia" w:ascii="宋体" w:hAnsi="宋体" w:eastAsia="宋体" w:cs="宋体"/>
          <w:b w:val="0"/>
          <w:bCs w:val="0"/>
          <w:caps w:val="0"/>
          <w:color w:val="000000" w:themeColor="text1"/>
          <w:spacing w:val="6"/>
          <w:kern w:val="0"/>
          <w:sz w:val="24"/>
          <w:szCs w:val="24"/>
          <w:highlight w:val="none"/>
          <w:vertAlign w:val="baseline"/>
          <w:lang w:val="en-US" w:eastAsia="zh-CN" w:bidi="ar"/>
          <w14:textFill>
            <w14:solidFill>
              <w14:schemeClr w14:val="tx1"/>
            </w14:solidFill>
          </w14:textFill>
        </w:rPr>
        <w:t>物全部由符合政策要求的中小企业制造。相关企业 (含联合体中的中小企业、签</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16"/>
          <w:kern w:val="0"/>
          <w:sz w:val="24"/>
          <w:szCs w:val="24"/>
          <w:highlight w:val="none"/>
          <w:vertAlign w:val="baseline"/>
          <w:lang w:val="en-US" w:eastAsia="zh-CN" w:bidi="ar"/>
          <w14:textFill>
            <w14:solidFill>
              <w14:schemeClr w14:val="tx1"/>
            </w14:solidFill>
          </w14:textFill>
        </w:rPr>
        <w:t>订</w:t>
      </w:r>
      <w:r>
        <w:rPr>
          <w:rFonts w:hint="eastAsia" w:ascii="宋体" w:hAnsi="宋体" w:eastAsia="宋体" w:cs="宋体"/>
          <w:b w:val="0"/>
          <w:bCs w:val="0"/>
          <w:caps w:val="0"/>
          <w:color w:val="000000" w:themeColor="text1"/>
          <w:spacing w:val="13"/>
          <w:kern w:val="0"/>
          <w:sz w:val="24"/>
          <w:szCs w:val="24"/>
          <w:highlight w:val="none"/>
          <w:vertAlign w:val="baseline"/>
          <w:lang w:val="en-US" w:eastAsia="zh-CN" w:bidi="ar"/>
          <w14:textFill>
            <w14:solidFill>
              <w14:schemeClr w14:val="tx1"/>
            </w14:solidFill>
          </w14:textFill>
        </w:rPr>
        <w:t>分</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包意向协议的中小企业) 的具体情况如下：</w:t>
      </w:r>
    </w:p>
    <w:p w14:paraId="37F085A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2" w:beforeAutospacing="0" w:after="0" w:afterAutospacing="0" w:line="324" w:lineRule="auto"/>
        <w:ind w:left="0" w:right="119" w:firstLine="18"/>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 xml:space="preserve">1. </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(标</w:t>
      </w:r>
      <w:r>
        <w:rPr>
          <w:rFonts w:hint="eastAsia" w:ascii="宋体" w:hAnsi="宋体" w:eastAsia="宋体" w:cs="宋体"/>
          <w:b w:val="0"/>
          <w:bCs w:val="0"/>
          <w:caps w:val="0"/>
          <w:color w:val="000000" w:themeColor="text1"/>
          <w:spacing w:val="6"/>
          <w:kern w:val="0"/>
          <w:sz w:val="24"/>
          <w:szCs w:val="24"/>
          <w:highlight w:val="none"/>
          <w:u w:val="single"/>
          <w:vertAlign w:val="baseline"/>
          <w:lang w:val="en-US" w:eastAsia="zh-CN" w:bidi="ar"/>
          <w14:textFill>
            <w14:solidFill>
              <w14:schemeClr w14:val="tx1"/>
            </w14:solidFill>
          </w14:textFill>
        </w:rPr>
        <w:t>的</w:t>
      </w:r>
      <w:r>
        <w:rPr>
          <w:rFonts w:hint="eastAsia" w:ascii="宋体" w:hAnsi="宋体" w:eastAsia="宋体" w:cs="宋体"/>
          <w:b w:val="0"/>
          <w:bCs w:val="0"/>
          <w:caps w:val="0"/>
          <w:color w:val="000000" w:themeColor="text1"/>
          <w:spacing w:val="4"/>
          <w:kern w:val="0"/>
          <w:sz w:val="24"/>
          <w:szCs w:val="24"/>
          <w:highlight w:val="none"/>
          <w:u w:val="single"/>
          <w:vertAlign w:val="baseline"/>
          <w:lang w:val="en-US" w:eastAsia="zh-CN" w:bidi="ar"/>
          <w14:textFill>
            <w14:solidFill>
              <w14:schemeClr w14:val="tx1"/>
            </w14:solidFill>
          </w14:textFill>
        </w:rPr>
        <w:t xml:space="preserve">名称) </w:t>
      </w:r>
      <w:r>
        <w:rPr>
          <w:rFonts w:hint="eastAsia" w:ascii="宋体" w:hAnsi="宋体" w:eastAsia="宋体" w:cs="宋体"/>
          <w:b w:val="0"/>
          <w:bCs w:val="0"/>
          <w:caps w:val="0"/>
          <w:color w:val="000000" w:themeColor="text1"/>
          <w:spacing w:val="4"/>
          <w:kern w:val="0"/>
          <w:sz w:val="24"/>
          <w:szCs w:val="24"/>
          <w:highlight w:val="none"/>
          <w:vertAlign w:val="baseline"/>
          <w:lang w:val="en-US" w:eastAsia="zh-CN" w:bidi="ar"/>
          <w14:textFill>
            <w14:solidFill>
              <w14:schemeClr w14:val="tx1"/>
            </w14:solidFill>
          </w14:textFill>
        </w:rPr>
        <w:t>，属于</w:t>
      </w:r>
      <w:r>
        <w:rPr>
          <w:rFonts w:hint="eastAsia" w:ascii="宋体" w:hAnsi="宋体" w:eastAsia="宋体" w:cs="宋体"/>
          <w:b w:val="0"/>
          <w:bCs w:val="0"/>
          <w:caps w:val="0"/>
          <w:color w:val="000000" w:themeColor="text1"/>
          <w:spacing w:val="4"/>
          <w:kern w:val="0"/>
          <w:sz w:val="24"/>
          <w:szCs w:val="24"/>
          <w:highlight w:val="none"/>
          <w:u w:val="single"/>
          <w:vertAlign w:val="baseline"/>
          <w:lang w:val="en-US" w:eastAsia="zh-CN" w:bidi="ar"/>
          <w14:textFill>
            <w14:solidFill>
              <w14:schemeClr w14:val="tx1"/>
            </w14:solidFill>
          </w14:textFill>
        </w:rPr>
        <w:t xml:space="preserve">    (采购文件中明确的所属行业) </w:t>
      </w:r>
      <w:r>
        <w:rPr>
          <w:rFonts w:hint="eastAsia" w:ascii="宋体" w:hAnsi="宋体" w:eastAsia="宋体" w:cs="宋体"/>
          <w:b w:val="0"/>
          <w:bCs w:val="0"/>
          <w:caps w:val="0"/>
          <w:color w:val="000000" w:themeColor="text1"/>
          <w:spacing w:val="4"/>
          <w:kern w:val="0"/>
          <w:sz w:val="24"/>
          <w:szCs w:val="24"/>
          <w:highlight w:val="none"/>
          <w:vertAlign w:val="baseline"/>
          <w:lang w:val="en-US" w:eastAsia="zh-CN" w:bidi="ar"/>
          <w14:textFill>
            <w14:solidFill>
              <w14:schemeClr w14:val="tx1"/>
            </w14:solidFill>
          </w14:textFill>
        </w:rPr>
        <w:t xml:space="preserve">行业；制造商为 </w:t>
      </w:r>
      <w:r>
        <w:rPr>
          <w:rFonts w:hint="eastAsia" w:ascii="宋体" w:hAnsi="宋体" w:eastAsia="宋体" w:cs="宋体"/>
          <w:b w:val="0"/>
          <w:bCs w:val="0"/>
          <w:caps w:val="0"/>
          <w:color w:val="000000" w:themeColor="text1"/>
          <w:spacing w:val="4"/>
          <w:kern w:val="0"/>
          <w:sz w:val="24"/>
          <w:szCs w:val="24"/>
          <w:highlight w:val="none"/>
          <w:u w:val="single"/>
          <w:vertAlign w:val="baseline"/>
          <w:lang w:val="en-US" w:eastAsia="zh-CN" w:bidi="ar"/>
          <w14:textFill>
            <w14:solidFill>
              <w14:schemeClr w14:val="tx1"/>
            </w14:solidFill>
          </w14:textFill>
        </w:rPr>
        <w:t xml:space="preserve">  (企</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16"/>
          <w:kern w:val="0"/>
          <w:sz w:val="24"/>
          <w:szCs w:val="24"/>
          <w:highlight w:val="none"/>
          <w:u w:val="single"/>
          <w:vertAlign w:val="baseline"/>
          <w:lang w:val="en-US" w:eastAsia="zh-CN" w:bidi="ar"/>
          <w14:textFill>
            <w14:solidFill>
              <w14:schemeClr w14:val="tx1"/>
            </w14:solidFill>
          </w14:textFill>
        </w:rPr>
        <w:t>业</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名称) </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，从业人员</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人</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，营业收入为</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万元</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，资产总额为</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万元</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，属于</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(中型企</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业、小型企业、微型企业</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 ；</w:t>
      </w:r>
    </w:p>
    <w:p w14:paraId="1B4DFBB8">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79" w:beforeAutospacing="0" w:after="0" w:afterAutospacing="0" w:line="326" w:lineRule="auto"/>
        <w:ind w:left="0" w:right="119" w:firstLine="3"/>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7"/>
          <w:kern w:val="0"/>
          <w:sz w:val="24"/>
          <w:szCs w:val="24"/>
          <w:highlight w:val="none"/>
          <w:vertAlign w:val="baseline"/>
          <w:lang w:val="en-US" w:eastAsia="zh-CN" w:bidi="ar"/>
          <w14:textFill>
            <w14:solidFill>
              <w14:schemeClr w14:val="tx1"/>
            </w14:solidFill>
          </w14:textFill>
        </w:rPr>
        <w:t>2</w:t>
      </w:r>
      <w:r>
        <w:rPr>
          <w:rFonts w:hint="eastAsia" w:ascii="宋体" w:hAnsi="宋体" w:eastAsia="宋体" w:cs="宋体"/>
          <w:b w:val="0"/>
          <w:bCs w:val="0"/>
          <w:caps w:val="0"/>
          <w:color w:val="000000" w:themeColor="text1"/>
          <w:spacing w:val="5"/>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5"/>
          <w:kern w:val="0"/>
          <w:sz w:val="24"/>
          <w:szCs w:val="24"/>
          <w:highlight w:val="none"/>
          <w:u w:val="single"/>
          <w:vertAlign w:val="baseline"/>
          <w:lang w:val="en-US" w:eastAsia="zh-CN" w:bidi="ar"/>
          <w14:textFill>
            <w14:solidFill>
              <w14:schemeClr w14:val="tx1"/>
            </w14:solidFill>
          </w14:textFill>
        </w:rPr>
        <w:t xml:space="preserve">   (标的名称) </w:t>
      </w:r>
      <w:r>
        <w:rPr>
          <w:rFonts w:hint="eastAsia" w:ascii="宋体" w:hAnsi="宋体" w:eastAsia="宋体" w:cs="宋体"/>
          <w:b w:val="0"/>
          <w:bCs w:val="0"/>
          <w:caps w:val="0"/>
          <w:color w:val="000000" w:themeColor="text1"/>
          <w:spacing w:val="5"/>
          <w:kern w:val="0"/>
          <w:sz w:val="24"/>
          <w:szCs w:val="24"/>
          <w:highlight w:val="none"/>
          <w:vertAlign w:val="baseline"/>
          <w:lang w:val="en-US" w:eastAsia="zh-CN" w:bidi="ar"/>
          <w14:textFill>
            <w14:solidFill>
              <w14:schemeClr w14:val="tx1"/>
            </w14:solidFill>
          </w14:textFill>
        </w:rPr>
        <w:t xml:space="preserve">，属于 </w:t>
      </w:r>
      <w:r>
        <w:rPr>
          <w:rFonts w:hint="eastAsia" w:ascii="宋体" w:hAnsi="宋体" w:eastAsia="宋体" w:cs="宋体"/>
          <w:b w:val="0"/>
          <w:bCs w:val="0"/>
          <w:caps w:val="0"/>
          <w:color w:val="000000" w:themeColor="text1"/>
          <w:spacing w:val="5"/>
          <w:kern w:val="0"/>
          <w:sz w:val="24"/>
          <w:szCs w:val="24"/>
          <w:highlight w:val="none"/>
          <w:u w:val="single"/>
          <w:vertAlign w:val="baseline"/>
          <w:lang w:val="en-US" w:eastAsia="zh-CN" w:bidi="ar"/>
          <w14:textFill>
            <w14:solidFill>
              <w14:schemeClr w14:val="tx1"/>
            </w14:solidFill>
          </w14:textFill>
        </w:rPr>
        <w:t xml:space="preserve">     (采购文件中明确的所属行业) </w:t>
      </w:r>
      <w:r>
        <w:rPr>
          <w:rFonts w:hint="eastAsia" w:ascii="宋体" w:hAnsi="宋体" w:eastAsia="宋体" w:cs="宋体"/>
          <w:b w:val="0"/>
          <w:bCs w:val="0"/>
          <w:caps w:val="0"/>
          <w:color w:val="000000" w:themeColor="text1"/>
          <w:spacing w:val="5"/>
          <w:kern w:val="0"/>
          <w:sz w:val="24"/>
          <w:szCs w:val="24"/>
          <w:highlight w:val="none"/>
          <w:vertAlign w:val="baseline"/>
          <w:lang w:val="en-US" w:eastAsia="zh-CN" w:bidi="ar"/>
          <w14:textFill>
            <w14:solidFill>
              <w14:schemeClr w14:val="tx1"/>
            </w14:solidFill>
          </w14:textFill>
        </w:rPr>
        <w:t>行业；制造商为</w:t>
      </w:r>
      <w:r>
        <w:rPr>
          <w:rFonts w:hint="eastAsia" w:ascii="宋体" w:hAnsi="宋体" w:eastAsia="宋体" w:cs="宋体"/>
          <w:b w:val="0"/>
          <w:bCs w:val="0"/>
          <w:caps w:val="0"/>
          <w:color w:val="000000" w:themeColor="text1"/>
          <w:spacing w:val="5"/>
          <w:kern w:val="0"/>
          <w:sz w:val="24"/>
          <w:szCs w:val="24"/>
          <w:highlight w:val="none"/>
          <w:u w:val="single"/>
          <w:vertAlign w:val="baseline"/>
          <w:lang w:val="en-US" w:eastAsia="zh-CN" w:bidi="ar"/>
          <w14:textFill>
            <w14:solidFill>
              <w14:schemeClr w14:val="tx1"/>
            </w14:solidFill>
          </w14:textFill>
        </w:rPr>
        <w:t xml:space="preserve">     (企</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业名称) </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，从业人员</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人</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，营业收入为</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万元</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 xml:space="preserve">，资产总额为 </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万元</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，属于</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    (中型</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10"/>
          <w:kern w:val="0"/>
          <w:sz w:val="24"/>
          <w:szCs w:val="24"/>
          <w:highlight w:val="none"/>
          <w:u w:val="single"/>
          <w:vertAlign w:val="baseline"/>
          <w:lang w:val="en-US" w:eastAsia="zh-CN" w:bidi="ar"/>
          <w14:textFill>
            <w14:solidFill>
              <w14:schemeClr w14:val="tx1"/>
            </w14:solidFill>
          </w14:textFill>
        </w:rPr>
        <w:t>企</w:t>
      </w:r>
      <w:r>
        <w:rPr>
          <w:rFonts w:hint="eastAsia" w:ascii="宋体" w:hAnsi="宋体" w:eastAsia="宋体" w:cs="宋体"/>
          <w:b w:val="0"/>
          <w:bCs w:val="0"/>
          <w:caps w:val="0"/>
          <w:color w:val="000000" w:themeColor="text1"/>
          <w:spacing w:val="8"/>
          <w:kern w:val="0"/>
          <w:sz w:val="24"/>
          <w:szCs w:val="24"/>
          <w:highlight w:val="none"/>
          <w:u w:val="single"/>
          <w:vertAlign w:val="baseline"/>
          <w:lang w:val="en-US" w:eastAsia="zh-CN" w:bidi="ar"/>
          <w14:textFill>
            <w14:solidFill>
              <w14:schemeClr w14:val="tx1"/>
            </w14:solidFill>
          </w14:textFill>
        </w:rPr>
        <w:t xml:space="preserve">业、小型企业、微型企业) </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w:t>
      </w:r>
    </w:p>
    <w:p w14:paraId="1BA50FC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79" w:beforeAutospacing="0" w:after="0" w:afterAutospacing="0" w:line="371" w:lineRule="exact"/>
        <w:ind w:left="3136"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5"/>
          <w:kern w:val="0"/>
          <w:position w:val="3"/>
          <w:sz w:val="24"/>
          <w:szCs w:val="24"/>
          <w:highlight w:val="none"/>
          <w:vertAlign w:val="baseline"/>
          <w:lang w:val="en-US" w:eastAsia="zh-CN" w:bidi="ar"/>
          <w14:textFill>
            <w14:solidFill>
              <w14:schemeClr w14:val="tx1"/>
            </w14:solidFill>
          </w14:textFill>
        </w:rPr>
        <w:t>……</w:t>
      </w:r>
    </w:p>
    <w:p w14:paraId="4823AA89">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96" w:beforeAutospacing="0" w:after="0" w:afterAutospacing="0" w:line="372" w:lineRule="auto"/>
        <w:ind w:left="0" w:right="119" w:firstLine="28"/>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6"/>
          <w:kern w:val="0"/>
          <w:sz w:val="24"/>
          <w:szCs w:val="24"/>
          <w:highlight w:val="none"/>
          <w:vertAlign w:val="baseline"/>
          <w:lang w:val="en-US" w:eastAsia="zh-CN" w:bidi="ar"/>
          <w14:textFill>
            <w14:solidFill>
              <w14:schemeClr w14:val="tx1"/>
            </w14:solidFill>
          </w14:textFill>
        </w:rPr>
        <w:t>以上企业，不属于大企业的分支机构，不存在控股股东为大企业的情形，也不存在与大</w:t>
      </w:r>
      <w:r>
        <w:rPr>
          <w:rFonts w:hint="eastAsia" w:ascii="宋体" w:hAnsi="宋体" w:eastAsia="宋体" w:cs="宋体"/>
          <w:b w:val="0"/>
          <w:bCs w:val="0"/>
          <w:caps w:val="0"/>
          <w:color w:val="000000" w:themeColor="text1"/>
          <w:spacing w:val="5"/>
          <w:kern w:val="0"/>
          <w:sz w:val="24"/>
          <w:szCs w:val="24"/>
          <w:highlight w:val="none"/>
          <w:vertAlign w:val="baseline"/>
          <w:lang w:val="en-US" w:eastAsia="zh-CN" w:bidi="ar"/>
          <w14:textFill>
            <w14:solidFill>
              <w14:schemeClr w14:val="tx1"/>
            </w14:solidFill>
          </w14:textFill>
        </w:rPr>
        <w:t>企</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15"/>
          <w:kern w:val="0"/>
          <w:sz w:val="24"/>
          <w:szCs w:val="24"/>
          <w:highlight w:val="none"/>
          <w:vertAlign w:val="baseline"/>
          <w:lang w:val="en-US" w:eastAsia="zh-CN" w:bidi="ar"/>
          <w14:textFill>
            <w14:solidFill>
              <w14:schemeClr w14:val="tx1"/>
            </w14:solidFill>
          </w14:textFill>
        </w:rPr>
        <w:t>业</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的负责人为同一人的情形。</w:t>
      </w:r>
    </w:p>
    <w:p w14:paraId="5CC16FE0">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 w:beforeAutospacing="0" w:after="0" w:afterAutospacing="0" w:line="240" w:lineRule="auto"/>
        <w:ind w:left="1"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8"/>
          <w:kern w:val="0"/>
          <w:sz w:val="24"/>
          <w:szCs w:val="24"/>
          <w:highlight w:val="none"/>
          <w:vertAlign w:val="baseline"/>
          <w:lang w:val="en-US" w:eastAsia="zh-CN" w:bidi="ar"/>
          <w14:textFill>
            <w14:solidFill>
              <w14:schemeClr w14:val="tx1"/>
            </w14:solidFill>
          </w14:textFill>
        </w:rPr>
        <w:t>本</w:t>
      </w:r>
      <w:r>
        <w:rPr>
          <w:rFonts w:hint="eastAsia" w:ascii="宋体" w:hAnsi="宋体" w:eastAsia="宋体" w:cs="宋体"/>
          <w:b w:val="0"/>
          <w:bCs w:val="0"/>
          <w:caps w:val="0"/>
          <w:color w:val="000000" w:themeColor="text1"/>
          <w:spacing w:val="11"/>
          <w:kern w:val="0"/>
          <w:sz w:val="24"/>
          <w:szCs w:val="24"/>
          <w:highlight w:val="none"/>
          <w:vertAlign w:val="baseline"/>
          <w:lang w:val="en-US" w:eastAsia="zh-CN" w:bidi="ar"/>
          <w14:textFill>
            <w14:solidFill>
              <w14:schemeClr w14:val="tx1"/>
            </w14:solidFill>
          </w14:textFill>
        </w:rPr>
        <w:t>企</w:t>
      </w:r>
      <w:r>
        <w:rPr>
          <w:rFonts w:hint="eastAsia" w:ascii="宋体" w:hAnsi="宋体" w:eastAsia="宋体" w:cs="宋体"/>
          <w:b w:val="0"/>
          <w:bCs w:val="0"/>
          <w:caps w:val="0"/>
          <w:color w:val="000000" w:themeColor="text1"/>
          <w:spacing w:val="9"/>
          <w:kern w:val="0"/>
          <w:sz w:val="24"/>
          <w:szCs w:val="24"/>
          <w:highlight w:val="none"/>
          <w:vertAlign w:val="baseline"/>
          <w:lang w:val="en-US" w:eastAsia="zh-CN" w:bidi="ar"/>
          <w14:textFill>
            <w14:solidFill>
              <w14:schemeClr w14:val="tx1"/>
            </w14:solidFill>
          </w14:textFill>
        </w:rPr>
        <w:t>业对上述声明内容的真实性负责。如有虚假，将依法承担相应责任。</w:t>
      </w:r>
    </w:p>
    <w:p w14:paraId="147D0AAF">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85"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p w14:paraId="17C47D1A">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0" w:beforeAutospacing="0" w:after="0" w:afterAutospacing="0" w:line="285"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p>
    <w:p w14:paraId="12F74F5E">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381" w:lineRule="auto"/>
        <w:ind w:left="5680" w:right="1620" w:hanging="37"/>
        <w:jc w:val="left"/>
        <w:textAlignment w:val="baseline"/>
        <w:outlineLvl w:val="9"/>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pPr>
      <w:r>
        <w:rPr>
          <w:rFonts w:hint="eastAsia" w:ascii="宋体" w:hAnsi="宋体" w:eastAsia="宋体" w:cs="宋体"/>
          <w:b w:val="0"/>
          <w:bCs w:val="0"/>
          <w:caps w:val="0"/>
          <w:color w:val="000000" w:themeColor="text1"/>
          <w:spacing w:val="2"/>
          <w:kern w:val="0"/>
          <w:sz w:val="24"/>
          <w:szCs w:val="24"/>
          <w:highlight w:val="none"/>
          <w:vertAlign w:val="baseline"/>
          <w:lang w:val="en-US" w:eastAsia="zh-CN" w:bidi="ar"/>
          <w14:textFill>
            <w14:solidFill>
              <w14:schemeClr w14:val="tx1"/>
            </w14:solidFill>
          </w14:textFill>
        </w:rPr>
        <w:t xml:space="preserve">企业名称 </w:t>
      </w:r>
      <w:r>
        <w:rPr>
          <w:rFonts w:hint="eastAsia" w:ascii="宋体" w:hAnsi="宋体" w:eastAsia="宋体" w:cs="宋体"/>
          <w:b w:val="0"/>
          <w:bCs w:val="0"/>
          <w:caps w:val="0"/>
          <w:color w:val="000000" w:themeColor="text1"/>
          <w:spacing w:val="1"/>
          <w:kern w:val="0"/>
          <w:sz w:val="24"/>
          <w:szCs w:val="24"/>
          <w:highlight w:val="none"/>
          <w:vertAlign w:val="baseline"/>
          <w:lang w:val="en-US" w:eastAsia="zh-CN" w:bidi="ar"/>
          <w14:textFill>
            <w14:solidFill>
              <w14:schemeClr w14:val="tx1"/>
            </w14:solidFill>
          </w14:textFill>
        </w:rPr>
        <w:t>(盖章) ：</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p>
    <w:p w14:paraId="239AC6C4">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381" w:lineRule="auto"/>
        <w:ind w:left="5680" w:right="1620" w:hanging="37"/>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1"/>
          <w:kern w:val="0"/>
          <w:sz w:val="24"/>
          <w:szCs w:val="24"/>
          <w:highlight w:val="none"/>
          <w:vertAlign w:val="baseline"/>
          <w:lang w:val="en-US" w:eastAsia="zh-CN" w:bidi="ar"/>
          <w14:textFill>
            <w14:solidFill>
              <w14:schemeClr w14:val="tx1"/>
            </w14:solidFill>
          </w14:textFill>
        </w:rPr>
        <w:t>日</w:t>
      </w:r>
      <w:r>
        <w:rPr>
          <w:rFonts w:hint="eastAsia" w:ascii="宋体" w:hAnsi="宋体" w:eastAsia="宋体" w:cs="宋体"/>
          <w:b w:val="0"/>
          <w:bCs w:val="0"/>
          <w:caps w:val="0"/>
          <w:color w:val="000000" w:themeColor="text1"/>
          <w:spacing w:val="-10"/>
          <w:kern w:val="0"/>
          <w:sz w:val="24"/>
          <w:szCs w:val="24"/>
          <w:highlight w:val="none"/>
          <w:vertAlign w:val="baseline"/>
          <w:lang w:val="en-US" w:eastAsia="zh-CN" w:bidi="ar"/>
          <w14:textFill>
            <w14:solidFill>
              <w14:schemeClr w14:val="tx1"/>
            </w14:solidFill>
          </w14:textFill>
        </w:rPr>
        <w:t>期：</w:t>
      </w:r>
    </w:p>
    <w:p w14:paraId="5BB5E817">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75" w:beforeAutospacing="0" w:after="0" w:afterAutospacing="0" w:line="240" w:lineRule="auto"/>
        <w:ind w:left="0" w:right="0" w:firstLine="0"/>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注：</w:t>
      </w:r>
    </w:p>
    <w:p w14:paraId="537B5C03">
      <w:pPr>
        <w:keepNext w:val="0"/>
        <w:keepLines w:val="0"/>
        <w:pageBreakBefore w:val="0"/>
        <w:widowControl/>
        <w:suppressLineNumbers w:val="0"/>
        <w:suppressAutoHyphens w:val="0"/>
        <w:kinsoku w:val="0"/>
        <w:wordWrap/>
        <w:overflowPunct/>
        <w:topLinePunct w:val="0"/>
        <w:autoSpaceDE w:val="0"/>
        <w:autoSpaceDN w:val="0"/>
        <w:bidi w:val="0"/>
        <w:adjustRightInd w:val="0"/>
        <w:snapToGrid w:val="0"/>
        <w:spacing w:before="182" w:beforeAutospacing="0" w:after="0" w:afterAutospacing="0" w:line="297" w:lineRule="auto"/>
        <w:ind w:left="4" w:right="167" w:firstLine="13"/>
        <w:jc w:val="left"/>
        <w:textAlignment w:val="baseline"/>
        <w:outlineLvl w:val="9"/>
        <w:rPr>
          <w:rFonts w:hint="eastAsia" w:ascii="宋体" w:hAnsi="宋体" w:eastAsia="宋体" w:cs="宋体"/>
          <w:caps w:val="0"/>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b w:val="0"/>
          <w:bCs w:val="0"/>
          <w:caps w:val="0"/>
          <w:color w:val="000000" w:themeColor="text1"/>
          <w:spacing w:val="14"/>
          <w:kern w:val="0"/>
          <w:sz w:val="24"/>
          <w:szCs w:val="24"/>
          <w:highlight w:val="none"/>
          <w:vertAlign w:val="baseline"/>
          <w:lang w:val="en-US" w:eastAsia="zh-CN" w:bidi="ar"/>
          <w14:textFill>
            <w14:solidFill>
              <w14:schemeClr w14:val="tx1"/>
            </w14:solidFill>
          </w14:textFill>
        </w:rPr>
        <w:t>1. 从</w:t>
      </w:r>
      <w:r>
        <w:rPr>
          <w:rFonts w:hint="eastAsia" w:ascii="宋体" w:hAnsi="宋体" w:eastAsia="宋体" w:cs="宋体"/>
          <w:b w:val="0"/>
          <w:bCs w:val="0"/>
          <w:caps w:val="0"/>
          <w:color w:val="000000" w:themeColor="text1"/>
          <w:spacing w:val="8"/>
          <w:kern w:val="0"/>
          <w:sz w:val="24"/>
          <w:szCs w:val="24"/>
          <w:highlight w:val="none"/>
          <w:vertAlign w:val="baseline"/>
          <w:lang w:val="en-US" w:eastAsia="zh-CN" w:bidi="ar"/>
          <w14:textFill>
            <w14:solidFill>
              <w14:schemeClr w14:val="tx1"/>
            </w14:solidFill>
          </w14:textFill>
        </w:rPr>
        <w:t>业</w:t>
      </w:r>
      <w:r>
        <w:rPr>
          <w:rFonts w:hint="eastAsia" w:ascii="宋体" w:hAnsi="宋体" w:eastAsia="宋体" w:cs="宋体"/>
          <w:b w:val="0"/>
          <w:bCs w:val="0"/>
          <w:caps w:val="0"/>
          <w:color w:val="000000" w:themeColor="text1"/>
          <w:spacing w:val="7"/>
          <w:kern w:val="0"/>
          <w:sz w:val="24"/>
          <w:szCs w:val="24"/>
          <w:highlight w:val="none"/>
          <w:vertAlign w:val="baseline"/>
          <w:lang w:val="en-US" w:eastAsia="zh-CN" w:bidi="ar"/>
          <w14:textFill>
            <w14:solidFill>
              <w14:schemeClr w14:val="tx1"/>
            </w14:solidFill>
          </w14:textFill>
        </w:rPr>
        <w:t>人员、营业收入、资产总额填报上一年度数据，无上一年度数据的新成立企业可</w:t>
      </w:r>
      <w:r>
        <w:rPr>
          <w:rFonts w:hint="eastAsia" w:ascii="宋体" w:hAnsi="宋体" w:eastAsia="宋体" w:cs="宋体"/>
          <w:b w:val="0"/>
          <w:bCs w:val="0"/>
          <w:caps w:val="0"/>
          <w:color w:val="000000" w:themeColor="text1"/>
          <w:kern w:val="0"/>
          <w:sz w:val="24"/>
          <w:szCs w:val="24"/>
          <w:highlight w:val="none"/>
          <w:vertAlign w:val="baseline"/>
          <w:lang w:val="en-US" w:eastAsia="zh-CN" w:bidi="ar"/>
          <w14:textFill>
            <w14:solidFill>
              <w14:schemeClr w14:val="tx1"/>
            </w14:solidFill>
          </w14:textFill>
        </w:rPr>
        <w:t xml:space="preserve"> </w:t>
      </w:r>
      <w:r>
        <w:rPr>
          <w:rFonts w:hint="eastAsia" w:ascii="宋体" w:hAnsi="宋体" w:eastAsia="宋体" w:cs="宋体"/>
          <w:b w:val="0"/>
          <w:bCs w:val="0"/>
          <w:caps w:val="0"/>
          <w:color w:val="000000" w:themeColor="text1"/>
          <w:spacing w:val="4"/>
          <w:kern w:val="0"/>
          <w:sz w:val="24"/>
          <w:szCs w:val="24"/>
          <w:highlight w:val="none"/>
          <w:vertAlign w:val="baseline"/>
          <w:lang w:val="en-US" w:eastAsia="zh-CN" w:bidi="ar"/>
          <w14:textFill>
            <w14:solidFill>
              <w14:schemeClr w14:val="tx1"/>
            </w14:solidFill>
          </w14:textFill>
        </w:rPr>
        <w:t>不填报。</w:t>
      </w:r>
    </w:p>
    <w:p w14:paraId="68B9CFD5">
      <w:pPr>
        <w:pStyle w:val="16"/>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22" w:firstLineChars="200"/>
        <w:jc w:val="both"/>
        <w:textAlignment w:val="baseline"/>
        <w:outlineLvl w:val="9"/>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pPr>
      <w:r>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t>注：1</w:t>
      </w:r>
      <w:r>
        <w:rPr>
          <w:rFonts w:hint="eastAsia" w:ascii="宋体" w:hAnsi="宋体" w:eastAsia="宋体" w:cs="宋体"/>
          <w:b/>
          <w:i w:val="0"/>
          <w:caps w:val="0"/>
          <w:color w:val="000000" w:themeColor="text1"/>
          <w:spacing w:val="0"/>
          <w:w w:val="100"/>
          <w:sz w:val="21"/>
          <w:szCs w:val="21"/>
          <w:highlight w:val="none"/>
          <w:lang w:eastAsia="zh-CN"/>
          <w14:textFill>
            <w14:solidFill>
              <w14:schemeClr w14:val="tx1"/>
            </w14:solidFill>
          </w14:textFill>
        </w:rPr>
        <w:t>、</w:t>
      </w:r>
      <w:r>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t>本次采购项目采购标的对应的中小企业划分标准所属行业为</w:t>
      </w:r>
      <w:r>
        <w:rPr>
          <w:rFonts w:hint="eastAsia" w:ascii="宋体" w:hAnsi="宋体" w:cs="宋体"/>
          <w:b/>
          <w:i w:val="0"/>
          <w:caps w:val="0"/>
          <w:color w:val="000000" w:themeColor="text1"/>
          <w:spacing w:val="0"/>
          <w:w w:val="100"/>
          <w:sz w:val="21"/>
          <w:szCs w:val="21"/>
          <w:highlight w:val="none"/>
          <w:lang w:val="en-US" w:eastAsia="zh-CN"/>
          <w14:textFill>
            <w14:solidFill>
              <w14:schemeClr w14:val="tx1"/>
            </w14:solidFill>
          </w14:textFill>
        </w:rPr>
        <w:t>工</w:t>
      </w:r>
      <w:r>
        <w:rPr>
          <w:rFonts w:hint="eastAsia" w:ascii="宋体" w:hAnsi="宋体" w:eastAsia="宋体" w:cs="宋体"/>
          <w:b/>
          <w:i w:val="0"/>
          <w:caps w:val="0"/>
          <w:color w:val="000000" w:themeColor="text1"/>
          <w:spacing w:val="0"/>
          <w:w w:val="100"/>
          <w:sz w:val="21"/>
          <w:szCs w:val="21"/>
          <w:highlight w:val="none"/>
          <w:lang w:val="en-US" w:eastAsia="zh-CN"/>
          <w14:textFill>
            <w14:solidFill>
              <w14:schemeClr w14:val="tx1"/>
            </w14:solidFill>
          </w14:textFill>
        </w:rPr>
        <w:t>业</w:t>
      </w:r>
      <w:r>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t>。</w:t>
      </w:r>
    </w:p>
    <w:p w14:paraId="4C0E711A">
      <w:pPr>
        <w:pStyle w:val="16"/>
        <w:keepNext w:val="0"/>
        <w:keepLines w:val="0"/>
        <w:pageBreakBefore w:val="0"/>
        <w:widowControl w:val="0"/>
        <w:kinsoku/>
        <w:wordWrap/>
        <w:overflowPunct/>
        <w:topLinePunct w:val="0"/>
        <w:autoSpaceDE/>
        <w:autoSpaceDN/>
        <w:bidi w:val="0"/>
        <w:adjustRightInd/>
        <w:snapToGrid w:val="0"/>
        <w:spacing w:before="0" w:beforeAutospacing="0" w:afterAutospacing="0" w:line="480" w:lineRule="auto"/>
        <w:ind w:left="0" w:right="0" w:firstLine="422" w:firstLineChars="200"/>
        <w:jc w:val="both"/>
        <w:textAlignment w:val="baseline"/>
        <w:outlineLvl w:val="9"/>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pPr>
      <w:r>
        <w:rPr>
          <w:rFonts w:hint="eastAsia" w:ascii="宋体" w:hAnsi="宋体" w:eastAsia="宋体" w:cs="宋体"/>
          <w:b/>
          <w:i w:val="0"/>
          <w:caps w:val="0"/>
          <w:color w:val="000000" w:themeColor="text1"/>
          <w:spacing w:val="0"/>
          <w:w w:val="100"/>
          <w:sz w:val="21"/>
          <w:szCs w:val="21"/>
          <w:highlight w:val="none"/>
          <w:lang w:val="en-US" w:eastAsia="zh-CN"/>
          <w14:textFill>
            <w14:solidFill>
              <w14:schemeClr w14:val="tx1"/>
            </w14:solidFill>
          </w14:textFill>
        </w:rPr>
        <w:t>2</w:t>
      </w:r>
      <w:r>
        <w:rPr>
          <w:rFonts w:hint="eastAsia" w:ascii="宋体" w:hAnsi="宋体" w:eastAsia="宋体" w:cs="宋体"/>
          <w:b/>
          <w:i w:val="0"/>
          <w:caps w:val="0"/>
          <w:color w:val="000000" w:themeColor="text1"/>
          <w:spacing w:val="0"/>
          <w:w w:val="100"/>
          <w:sz w:val="21"/>
          <w:szCs w:val="21"/>
          <w:highlight w:val="none"/>
          <w:lang w:eastAsia="zh-CN"/>
          <w14:textFill>
            <w14:solidFill>
              <w14:schemeClr w14:val="tx1"/>
            </w14:solidFill>
          </w14:textFill>
        </w:rPr>
        <w:t>、</w:t>
      </w:r>
      <w:r>
        <w:rPr>
          <w:rFonts w:hint="eastAsia" w:ascii="宋体" w:hAnsi="宋体" w:eastAsia="宋体" w:cs="宋体"/>
          <w:b/>
          <w:i w:val="0"/>
          <w:caps w:val="0"/>
          <w:color w:val="000000" w:themeColor="text1"/>
          <w:spacing w:val="0"/>
          <w:w w:val="100"/>
          <w:sz w:val="21"/>
          <w:szCs w:val="21"/>
          <w:highlight w:val="none"/>
          <w14:textFill>
            <w14:solidFill>
              <w14:schemeClr w14:val="tx1"/>
            </w14:solidFill>
          </w14:textFill>
        </w:rPr>
        <w:t>从业人员、营业收入、资产总额填报上一年度数据，无上一年度数据的新成立企业可不填报。</w:t>
      </w:r>
    </w:p>
    <w:p w14:paraId="1A622FB4">
      <w:pPr>
        <w:overflowPunct/>
        <w:bidi w:val="0"/>
        <w:adjustRightInd w:val="0"/>
        <w:snapToGrid w:val="0"/>
        <w:spacing w:line="360" w:lineRule="auto"/>
        <w:ind w:firstLine="420" w:firstLineChars="200"/>
        <w:outlineLvl w:val="9"/>
        <w:rPr>
          <w:rFonts w:hint="eastAsia" w:ascii="宋体" w:hAnsi="宋体" w:eastAsia="宋体" w:cs="宋体"/>
          <w:bCs/>
          <w:color w:val="000000" w:themeColor="text1"/>
          <w:szCs w:val="21"/>
          <w:highlight w:val="none"/>
          <w14:textFill>
            <w14:solidFill>
              <w14:schemeClr w14:val="tx1"/>
            </w14:solidFill>
          </w14:textFill>
        </w:rPr>
      </w:pPr>
    </w:p>
    <w:p w14:paraId="02A1603E">
      <w:pPr>
        <w:overflowPunct/>
        <w:autoSpaceDE w:val="0"/>
        <w:autoSpaceDN w:val="0"/>
        <w:bidi w:val="0"/>
        <w:adjustRightInd w:val="0"/>
        <w:spacing w:line="600" w:lineRule="exact"/>
        <w:outlineLvl w:val="9"/>
        <w:rPr>
          <w:rFonts w:hint="eastAsia" w:ascii="宋体" w:hAnsi="宋体" w:eastAsia="宋体" w:cs="宋体"/>
          <w:b/>
          <w:bCs/>
          <w:color w:val="000000" w:themeColor="text1"/>
          <w:szCs w:val="21"/>
          <w:highlight w:val="none"/>
          <w14:textFill>
            <w14:solidFill>
              <w14:schemeClr w14:val="tx1"/>
            </w14:solidFill>
          </w14:textFill>
        </w:rPr>
        <w:sectPr>
          <w:pgSz w:w="11850" w:h="16783"/>
          <w:pgMar w:top="1440" w:right="1080" w:bottom="1440" w:left="1080" w:header="720" w:footer="720" w:gutter="0"/>
          <w:pgNumType w:fmt="decimal"/>
          <w:cols w:space="720" w:num="1"/>
        </w:sectPr>
      </w:pPr>
    </w:p>
    <w:p w14:paraId="777666CB">
      <w:pPr>
        <w:pStyle w:val="37"/>
        <w:overflowPunct/>
        <w:bidi w:val="0"/>
        <w:ind w:left="0" w:leftChars="0" w:firstLine="0" w:firstLineChars="0"/>
        <w:outlineLvl w:val="9"/>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附2 残疾人福利性单位声明</w:t>
      </w:r>
    </w:p>
    <w:p w14:paraId="56C43173">
      <w:pPr>
        <w:overflowPunct/>
        <w:bidi w:val="0"/>
        <w:spacing w:line="588" w:lineRule="exact"/>
        <w:jc w:val="center"/>
        <w:outlineLvl w:val="9"/>
        <w:rPr>
          <w:rFonts w:hint="eastAsia" w:ascii="宋体" w:hAnsi="宋体" w:eastAsia="宋体" w:cs="宋体"/>
          <w:b/>
          <w:color w:val="000000" w:themeColor="text1"/>
          <w:spacing w:val="6"/>
          <w:sz w:val="32"/>
          <w:szCs w:val="32"/>
          <w:highlight w:val="none"/>
          <w14:textFill>
            <w14:solidFill>
              <w14:schemeClr w14:val="tx1"/>
            </w14:solidFill>
          </w14:textFill>
        </w:rPr>
      </w:pPr>
      <w:bookmarkStart w:id="83" w:name="OLE_LINK13"/>
      <w:bookmarkStart w:id="84" w:name="OLE_LINK14"/>
      <w:r>
        <w:rPr>
          <w:rFonts w:hint="eastAsia" w:ascii="宋体" w:hAnsi="宋体" w:eastAsia="宋体" w:cs="宋体"/>
          <w:b/>
          <w:color w:val="000000" w:themeColor="text1"/>
          <w:spacing w:val="6"/>
          <w:sz w:val="32"/>
          <w:szCs w:val="32"/>
          <w:highlight w:val="none"/>
          <w14:textFill>
            <w14:solidFill>
              <w14:schemeClr w14:val="tx1"/>
            </w14:solidFill>
          </w14:textFill>
        </w:rPr>
        <w:t>残疾人福利性单位声明函</w:t>
      </w:r>
    </w:p>
    <w:bookmarkEnd w:id="83"/>
    <w:bookmarkEnd w:id="84"/>
    <w:p w14:paraId="71D8944E">
      <w:pPr>
        <w:overflowPunct/>
        <w:bidi w:val="0"/>
        <w:jc w:val="center"/>
        <w:outlineLvl w:val="9"/>
        <w:rPr>
          <w:rFonts w:hint="eastAsia" w:ascii="宋体" w:hAnsi="宋体" w:eastAsia="宋体" w:cs="宋体"/>
          <w:color w:val="000000" w:themeColor="text1"/>
          <w:szCs w:val="21"/>
          <w:highlight w:val="none"/>
          <w:u w:val="single"/>
          <w14:textFill>
            <w14:solidFill>
              <w14:schemeClr w14:val="tx1"/>
            </w14:solidFill>
          </w14:textFill>
        </w:rPr>
      </w:pPr>
    </w:p>
    <w:p w14:paraId="59A79013">
      <w:pPr>
        <w:overflowPunct/>
        <w:bidi w:val="0"/>
        <w:jc w:val="center"/>
        <w:outlineLvl w:val="9"/>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【不属于残疾人福利性单位的无需填写】</w:t>
      </w:r>
    </w:p>
    <w:p w14:paraId="15252602">
      <w:pPr>
        <w:overflowPunct/>
        <w:bidi w:val="0"/>
        <w:spacing w:line="588" w:lineRule="exact"/>
        <w:outlineLvl w:val="9"/>
        <w:rPr>
          <w:rFonts w:hint="eastAsia" w:ascii="宋体" w:hAnsi="宋体" w:eastAsia="宋体" w:cs="宋体"/>
          <w:b/>
          <w:color w:val="000000" w:themeColor="text1"/>
          <w:spacing w:val="6"/>
          <w:sz w:val="30"/>
          <w:szCs w:val="30"/>
          <w:highlight w:val="none"/>
          <w14:textFill>
            <w14:solidFill>
              <w14:schemeClr w14:val="tx1"/>
            </w14:solidFill>
          </w14:textFill>
        </w:rPr>
      </w:pPr>
    </w:p>
    <w:p w14:paraId="0F396D47">
      <w:pPr>
        <w:overflowPunct/>
        <w:bidi w:val="0"/>
        <w:spacing w:line="588" w:lineRule="exact"/>
        <w:ind w:firstLine="504" w:firstLineChars="200"/>
        <w:outlineLvl w:val="9"/>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color w:val="000000" w:themeColor="text1"/>
          <w:sz w:val="24"/>
          <w:szCs w:val="24"/>
          <w:highlight w:val="none"/>
          <w14:textFill>
            <w14:solidFill>
              <w14:schemeClr w14:val="tx1"/>
            </w14:solidFill>
          </w14:textFill>
        </w:rPr>
        <w:t>〔2017〕 141</w:t>
      </w:r>
      <w:r>
        <w:rPr>
          <w:rFonts w:hint="eastAsia" w:ascii="宋体" w:hAnsi="宋体" w:eastAsia="宋体" w:cs="宋体"/>
          <w:color w:val="000000" w:themeColor="text1"/>
          <w:spacing w:val="6"/>
          <w:sz w:val="24"/>
          <w:szCs w:val="24"/>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A6383C9">
      <w:pPr>
        <w:overflowPunct/>
        <w:bidi w:val="0"/>
        <w:spacing w:line="588" w:lineRule="exact"/>
        <w:ind w:firstLine="504" w:firstLineChars="200"/>
        <w:outlineLvl w:val="9"/>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本单位对上述声明的真实性负责。如有虚假，将依法承担相应责任。</w:t>
      </w:r>
    </w:p>
    <w:p w14:paraId="3C590013">
      <w:pPr>
        <w:overflowPunct/>
        <w:bidi w:val="0"/>
        <w:spacing w:line="588" w:lineRule="exact"/>
        <w:ind w:firstLine="504" w:firstLineChars="200"/>
        <w:outlineLvl w:val="9"/>
        <w:rPr>
          <w:rFonts w:hint="eastAsia" w:ascii="宋体" w:hAnsi="宋体" w:eastAsia="宋体" w:cs="宋体"/>
          <w:color w:val="000000" w:themeColor="text1"/>
          <w:spacing w:val="6"/>
          <w:sz w:val="24"/>
          <w:szCs w:val="24"/>
          <w:highlight w:val="none"/>
          <w14:textFill>
            <w14:solidFill>
              <w14:schemeClr w14:val="tx1"/>
            </w14:solidFill>
          </w14:textFill>
        </w:rPr>
      </w:pPr>
    </w:p>
    <w:p w14:paraId="2F0BE9A7">
      <w:pPr>
        <w:overflowPunct/>
        <w:bidi w:val="0"/>
        <w:spacing w:line="588" w:lineRule="exact"/>
        <w:ind w:firstLine="504" w:firstLineChars="200"/>
        <w:outlineLvl w:val="9"/>
        <w:rPr>
          <w:rFonts w:hint="eastAsia" w:ascii="宋体" w:hAnsi="宋体" w:eastAsia="宋体" w:cs="宋体"/>
          <w:color w:val="000000" w:themeColor="text1"/>
          <w:spacing w:val="6"/>
          <w:sz w:val="24"/>
          <w:szCs w:val="24"/>
          <w:highlight w:val="none"/>
          <w14:textFill>
            <w14:solidFill>
              <w14:schemeClr w14:val="tx1"/>
            </w14:solidFill>
          </w14:textFill>
        </w:rPr>
      </w:pPr>
    </w:p>
    <w:p w14:paraId="377ABD72">
      <w:pPr>
        <w:tabs>
          <w:tab w:val="left" w:pos="4860"/>
        </w:tabs>
        <w:overflowPunct/>
        <w:bidi w:val="0"/>
        <w:spacing w:line="588" w:lineRule="exact"/>
        <w:ind w:right="1560" w:firstLine="504" w:firstLineChars="200"/>
        <w:jc w:val="center"/>
        <w:outlineLvl w:val="9"/>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 xml:space="preserve">               </w:t>
      </w:r>
      <w:bookmarkStart w:id="85" w:name="_Toc16061_WPSOffice_Level1"/>
      <w:r>
        <w:rPr>
          <w:rFonts w:hint="eastAsia" w:ascii="宋体" w:hAnsi="宋体" w:eastAsia="宋体" w:cs="宋体"/>
          <w:color w:val="000000" w:themeColor="text1"/>
          <w:spacing w:val="6"/>
          <w:sz w:val="24"/>
          <w:szCs w:val="24"/>
          <w:highlight w:val="none"/>
          <w14:textFill>
            <w14:solidFill>
              <w14:schemeClr w14:val="tx1"/>
            </w14:solidFill>
          </w14:textFill>
        </w:rPr>
        <w:t>单位名称（盖章）：</w:t>
      </w:r>
      <w:bookmarkEnd w:id="85"/>
    </w:p>
    <w:p w14:paraId="0DAD8BE9">
      <w:pPr>
        <w:tabs>
          <w:tab w:val="left" w:pos="4860"/>
        </w:tabs>
        <w:overflowPunct/>
        <w:bidi w:val="0"/>
        <w:spacing w:line="588" w:lineRule="exact"/>
        <w:ind w:right="1560" w:firstLine="504" w:firstLineChars="200"/>
        <w:jc w:val="center"/>
        <w:outlineLvl w:val="9"/>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 xml:space="preserve">       </w:t>
      </w:r>
      <w:bookmarkStart w:id="86" w:name="_Toc32569_WPSOffice_Level1"/>
      <w:r>
        <w:rPr>
          <w:rFonts w:hint="eastAsia" w:ascii="宋体" w:hAnsi="宋体" w:eastAsia="宋体" w:cs="宋体"/>
          <w:color w:val="000000" w:themeColor="text1"/>
          <w:spacing w:val="6"/>
          <w:sz w:val="24"/>
          <w:szCs w:val="24"/>
          <w:highlight w:val="none"/>
          <w14:textFill>
            <w14:solidFill>
              <w14:schemeClr w14:val="tx1"/>
            </w14:solidFill>
          </w14:textFill>
        </w:rPr>
        <w:t>日  期：</w:t>
      </w:r>
      <w:bookmarkEnd w:id="86"/>
    </w:p>
    <w:p w14:paraId="0819A339">
      <w:pPr>
        <w:overflowPunct/>
        <w:bidi w:val="0"/>
        <w:outlineLvl w:val="9"/>
        <w:rPr>
          <w:rFonts w:hint="eastAsia" w:ascii="宋体" w:hAnsi="宋体" w:eastAsia="宋体" w:cs="宋体"/>
          <w:color w:val="000000" w:themeColor="text1"/>
          <w:sz w:val="24"/>
          <w:szCs w:val="24"/>
          <w:highlight w:val="none"/>
          <w14:textFill>
            <w14:solidFill>
              <w14:schemeClr w14:val="tx1"/>
            </w14:solidFill>
          </w14:textFill>
        </w:rPr>
        <w:sectPr>
          <w:pgSz w:w="11850" w:h="16783"/>
          <w:pgMar w:top="1440" w:right="1080" w:bottom="1440" w:left="1080" w:header="720" w:footer="720" w:gutter="0"/>
          <w:pgNumType w:fmt="decimal"/>
          <w:cols w:space="720" w:num="1"/>
        </w:sectPr>
      </w:pPr>
    </w:p>
    <w:p w14:paraId="48C35908">
      <w:pPr>
        <w:pStyle w:val="37"/>
        <w:overflowPunct/>
        <w:bidi w:val="0"/>
        <w:ind w:left="0" w:leftChars="0" w:firstLine="0" w:firstLineChars="0"/>
        <w:outlineLvl w:val="9"/>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附3 监狱企业的证明文件</w:t>
      </w:r>
    </w:p>
    <w:p w14:paraId="6BC41C75">
      <w:pPr>
        <w:overflowPunct/>
        <w:bidi w:val="0"/>
        <w:snapToGrid/>
        <w:spacing w:before="0" w:beforeAutospacing="0" w:after="0" w:afterAutospacing="0" w:line="240" w:lineRule="auto"/>
        <w:jc w:val="both"/>
        <w:textAlignment w:val="baseline"/>
        <w:outlineLvl w:val="9"/>
        <w:rPr>
          <w:rFonts w:hint="eastAsia" w:ascii="宋体" w:hAnsi="宋体" w:eastAsia="宋体" w:cs="宋体"/>
          <w:b w:val="0"/>
          <w:i w:val="0"/>
          <w:caps w:val="0"/>
          <w:color w:val="000000" w:themeColor="text1"/>
          <w:spacing w:val="0"/>
          <w:w w:val="100"/>
          <w:sz w:val="20"/>
          <w:highlight w:val="none"/>
          <w14:textFill>
            <w14:solidFill>
              <w14:schemeClr w14:val="tx1"/>
            </w14:solidFill>
          </w14:textFill>
        </w:rPr>
      </w:pPr>
    </w:p>
    <w:p w14:paraId="3A046727">
      <w:pPr>
        <w:overflowPunct/>
        <w:bidi w:val="0"/>
        <w:snapToGrid/>
        <w:spacing w:before="312" w:beforeAutospacing="0" w:after="312" w:afterAutospacing="0" w:line="360" w:lineRule="auto"/>
        <w:jc w:val="center"/>
        <w:textAlignment w:val="baseline"/>
        <w:outlineLvl w:val="9"/>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r>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t>（如适用填写，不适用无须填写，只填写不适用即可）</w:t>
      </w:r>
    </w:p>
    <w:p w14:paraId="2138629B">
      <w:pPr>
        <w:overflowPunct/>
        <w:bidi w:val="0"/>
        <w:snapToGrid/>
        <w:spacing w:before="312" w:beforeAutospacing="0" w:after="312" w:afterAutospacing="0" w:line="360" w:lineRule="auto"/>
        <w:jc w:val="center"/>
        <w:textAlignment w:val="baseline"/>
        <w:outlineLvl w:val="9"/>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r>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t>监狱企业的证明文件</w:t>
      </w:r>
    </w:p>
    <w:p w14:paraId="48455E8E">
      <w:pPr>
        <w:overflowPunct/>
        <w:bidi w:val="0"/>
        <w:outlineLvl w:val="9"/>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p>
    <w:p w14:paraId="692178C8">
      <w:pPr>
        <w:overflowPunct/>
        <w:bidi w:val="0"/>
        <w:outlineLvl w:val="9"/>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p>
    <w:p w14:paraId="5956F3AD">
      <w:pPr>
        <w:overflowPunct/>
        <w:bidi w:val="0"/>
        <w:outlineLvl w:val="9"/>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p>
    <w:p w14:paraId="1348F6BC">
      <w:pPr>
        <w:overflowPunct/>
        <w:bidi w:val="0"/>
        <w:outlineLvl w:val="9"/>
        <w:rPr>
          <w:rFonts w:hint="eastAsia" w:ascii="宋体" w:hAnsi="宋体" w:eastAsia="宋体" w:cs="宋体"/>
          <w:b/>
          <w:i w:val="0"/>
          <w:caps w:val="0"/>
          <w:color w:val="000000" w:themeColor="text1"/>
          <w:spacing w:val="20"/>
          <w:w w:val="100"/>
          <w:sz w:val="30"/>
          <w:szCs w:val="30"/>
          <w:highlight w:val="none"/>
          <w14:textFill>
            <w14:solidFill>
              <w14:schemeClr w14:val="tx1"/>
            </w14:solidFill>
          </w14:textFill>
        </w:rPr>
      </w:pPr>
    </w:p>
    <w:p w14:paraId="693659EB">
      <w:pPr>
        <w:overflowPunct/>
        <w:bidi w:val="0"/>
        <w:outlineLvl w:val="9"/>
        <w:rPr>
          <w:rFonts w:hint="eastAsia" w:ascii="宋体" w:hAnsi="宋体" w:eastAsia="宋体" w:cs="宋体"/>
          <w:color w:val="000000" w:themeColor="text1"/>
          <w:highlight w:val="none"/>
          <w14:textFill>
            <w14:solidFill>
              <w14:schemeClr w14:val="tx1"/>
            </w14:solidFill>
          </w14:textFill>
        </w:rPr>
      </w:pPr>
    </w:p>
    <w:p w14:paraId="71B2CD19">
      <w:pPr>
        <w:overflowPunct/>
        <w:bidi w:val="0"/>
        <w:snapToGrid/>
        <w:spacing w:before="0" w:beforeAutospacing="0" w:after="0" w:afterAutospacing="0" w:line="440" w:lineRule="exact"/>
        <w:jc w:val="both"/>
        <w:textAlignment w:val="baseline"/>
        <w:outlineLvl w:val="9"/>
        <w:rPr>
          <w:rFonts w:hint="eastAsia" w:ascii="宋体" w:hAnsi="宋体" w:eastAsia="宋体" w:cs="宋体"/>
          <w:b w:val="0"/>
          <w:bCs w:val="0"/>
          <w:i w:val="0"/>
          <w:caps w:val="0"/>
          <w:color w:val="000000" w:themeColor="text1"/>
          <w:spacing w:val="0"/>
          <w:w w:val="100"/>
          <w:sz w:val="24"/>
          <w:szCs w:val="24"/>
          <w:highlight w:val="none"/>
          <w14:textFill>
            <w14:solidFill>
              <w14:schemeClr w14:val="tx1"/>
            </w14:solidFill>
          </w14:textFill>
        </w:rPr>
      </w:pPr>
      <w:r>
        <w:rPr>
          <w:rFonts w:hint="eastAsia" w:ascii="宋体" w:hAnsi="宋体" w:eastAsia="宋体" w:cs="宋体"/>
          <w:b w:val="0"/>
          <w:bCs w:val="0"/>
          <w:i w:val="0"/>
          <w:caps w:val="0"/>
          <w:color w:val="000000" w:themeColor="text1"/>
          <w:spacing w:val="0"/>
          <w:w w:val="100"/>
          <w:sz w:val="24"/>
          <w:szCs w:val="24"/>
          <w:highlight w:val="none"/>
          <w14:textFill>
            <w14:solidFill>
              <w14:schemeClr w14:val="tx1"/>
            </w14:solidFill>
          </w14:textFill>
        </w:rPr>
        <w:t>说明：监狱企业参加政府采购活动时，应当提供由省级以上监狱管理局、戒毒管理局（含新疆生产建设兵团）出具的属于监狱企业的证明文件并加盖单位公章。</w:t>
      </w:r>
    </w:p>
    <w:p w14:paraId="69D295A2">
      <w:pPr>
        <w:overflowPunct/>
        <w:bidi w:val="0"/>
        <w:outlineLvl w:val="9"/>
        <w:rPr>
          <w:rFonts w:hint="eastAsia" w:ascii="宋体" w:hAnsi="宋体" w:eastAsia="宋体" w:cs="宋体"/>
          <w:b w:val="0"/>
          <w:bCs w:val="0"/>
          <w:color w:val="000000" w:themeColor="text1"/>
          <w:sz w:val="24"/>
          <w:szCs w:val="24"/>
          <w:highlight w:val="none"/>
          <w14:textFill>
            <w14:solidFill>
              <w14:schemeClr w14:val="tx1"/>
            </w14:solidFill>
          </w14:textFill>
        </w:rPr>
        <w:sectPr>
          <w:pgSz w:w="11850" w:h="16783"/>
          <w:pgMar w:top="1440" w:right="1080" w:bottom="1440" w:left="1080" w:header="720" w:footer="720" w:gutter="0"/>
          <w:pgNumType w:fmt="decimal"/>
          <w:cols w:space="720" w:num="1"/>
        </w:sectPr>
      </w:pPr>
    </w:p>
    <w:p w14:paraId="4A46CD26">
      <w:pPr>
        <w:keepLines w:val="0"/>
        <w:pageBreakBefore/>
        <w:overflowPunct/>
        <w:bidi w:val="0"/>
        <w:spacing w:line="415" w:lineRule="auto"/>
        <w:jc w:val="left"/>
        <w:textAlignment w:val="baseline"/>
        <w:outlineLvl w:val="9"/>
        <w:rPr>
          <w:rStyle w:val="41"/>
          <w:rFonts w:hint="eastAsia" w:ascii="宋体" w:hAnsi="宋体" w:eastAsia="宋体" w:cs="宋体"/>
          <w:b/>
          <w:bCs w:val="0"/>
          <w:color w:val="000000" w:themeColor="text1"/>
          <w:spacing w:val="12"/>
          <w:sz w:val="24"/>
          <w:szCs w:val="24"/>
          <w:highlight w:val="none"/>
          <w14:textFill>
            <w14:solidFill>
              <w14:schemeClr w14:val="tx1"/>
            </w14:solidFill>
          </w14:textFill>
        </w:rPr>
      </w:pPr>
      <w:bookmarkStart w:id="87" w:name="_Toc11517"/>
      <w:r>
        <w:rPr>
          <w:rStyle w:val="41"/>
          <w:rFonts w:hint="eastAsia" w:ascii="宋体" w:hAnsi="宋体" w:eastAsia="宋体" w:cs="宋体"/>
          <w:b/>
          <w:bCs w:val="0"/>
          <w:color w:val="000000" w:themeColor="text1"/>
          <w:spacing w:val="12"/>
          <w:sz w:val="24"/>
          <w:szCs w:val="24"/>
          <w:highlight w:val="none"/>
          <w14:textFill>
            <w14:solidFill>
              <w14:schemeClr w14:val="tx1"/>
            </w14:solidFill>
          </w14:textFill>
        </w:rPr>
        <w:t>中小企业划型标准规定</w:t>
      </w:r>
      <w:bookmarkEnd w:id="87"/>
    </w:p>
    <w:p w14:paraId="4564D883">
      <w:pPr>
        <w:overflowPunct/>
        <w:bidi w:val="0"/>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 xml:space="preserve">      </w:t>
      </w:r>
      <w:r>
        <w:rPr>
          <w:rFonts w:hint="eastAsia" w:ascii="宋体" w:hAnsi="宋体" w:eastAsia="宋体" w:cs="宋体"/>
          <w:color w:val="000000" w:themeColor="text1"/>
          <w:szCs w:val="21"/>
          <w:highlight w:val="none"/>
          <w:shd w:val="clear" w:color="auto" w:fill="FFFFFF"/>
          <w14:textFill>
            <w14:solidFill>
              <w14:schemeClr w14:val="tx1"/>
            </w14:solidFill>
          </w14:textFill>
        </w:rPr>
        <w:drawing>
          <wp:inline distT="0" distB="0" distL="114300" distR="114300">
            <wp:extent cx="4286250" cy="1905000"/>
            <wp:effectExtent l="0" t="0" r="0" b="0"/>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12"/>
                    <a:stretch>
                      <a:fillRect/>
                    </a:stretch>
                  </pic:blipFill>
                  <pic:spPr>
                    <a:xfrm>
                      <a:off x="0" y="0"/>
                      <a:ext cx="4286250" cy="1905000"/>
                    </a:xfrm>
                    <a:prstGeom prst="rect">
                      <a:avLst/>
                    </a:prstGeom>
                    <a:noFill/>
                    <a:ln>
                      <a:noFill/>
                    </a:ln>
                  </pic:spPr>
                </pic:pic>
              </a:graphicData>
            </a:graphic>
          </wp:inline>
        </w:drawing>
      </w:r>
    </w:p>
    <w:p w14:paraId="01178A73">
      <w:pPr>
        <w:overflowPunct/>
        <w:bidi w:val="0"/>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工信部联企业〔2011〕300号</w:t>
      </w:r>
    </w:p>
    <w:p w14:paraId="4CBB4417">
      <w:pPr>
        <w:widowControl/>
        <w:pBdr>
          <w:top w:val="single" w:color="FF0000" w:sz="18" w:space="30"/>
        </w:pBdr>
        <w:shd w:val="clear" w:color="auto" w:fill="FFFFFF"/>
        <w:overflowPunct/>
        <w:bidi w:val="0"/>
        <w:spacing w:before="100" w:beforeAutospacing="1" w:after="100" w:afterAutospacing="1" w:line="420" w:lineRule="atLeast"/>
        <w:ind w:left="150"/>
        <w:jc w:val="center"/>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lang w:bidi="ar"/>
          <w14:textFill>
            <w14:solidFill>
              <w14:schemeClr w14:val="tx1"/>
            </w14:solidFill>
          </w14:textFill>
        </w:rPr>
        <w:t>关于印发中小企业划型标准规定的通知</w:t>
      </w:r>
    </w:p>
    <w:p w14:paraId="0B78FF0A">
      <w:pPr>
        <w:pStyle w:val="34"/>
        <w:overflowPunct/>
        <w:bidi w:val="0"/>
        <w:spacing w:before="452" w:after="150" w:line="560" w:lineRule="atLeast"/>
        <w:ind w:left="150"/>
        <w:outlineLvl w:val="9"/>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各省、自治区、直辖市人民政府，国务院各部委、各直属机构及有关单位：</w:t>
      </w:r>
    </w:p>
    <w:p w14:paraId="0D90C188">
      <w:pPr>
        <w:pStyle w:val="34"/>
        <w:overflowPunct/>
        <w:bidi w:val="0"/>
        <w:spacing w:before="452" w:after="150" w:line="560" w:lineRule="atLeast"/>
        <w:ind w:left="150"/>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E67ACE3">
      <w:pPr>
        <w:pStyle w:val="34"/>
        <w:overflowPunct/>
        <w:bidi w:val="0"/>
        <w:spacing w:before="452" w:after="150" w:line="560" w:lineRule="atLeast"/>
        <w:ind w:left="150"/>
        <w:jc w:val="right"/>
        <w:outlineLvl w:val="9"/>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工业和信息化部</w:t>
      </w:r>
    </w:p>
    <w:p w14:paraId="5453B21F">
      <w:pPr>
        <w:pStyle w:val="34"/>
        <w:overflowPunct/>
        <w:bidi w:val="0"/>
        <w:spacing w:before="452" w:after="150" w:line="560" w:lineRule="atLeast"/>
        <w:ind w:left="150"/>
        <w:jc w:val="right"/>
        <w:outlineLvl w:val="9"/>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国家统计局</w:t>
      </w:r>
    </w:p>
    <w:p w14:paraId="75C8EE8A">
      <w:pPr>
        <w:pStyle w:val="34"/>
        <w:overflowPunct/>
        <w:bidi w:val="0"/>
        <w:spacing w:before="452" w:after="150" w:line="560" w:lineRule="atLeast"/>
        <w:ind w:left="150"/>
        <w:jc w:val="right"/>
        <w:outlineLvl w:val="9"/>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国家发展和改革委员会</w:t>
      </w:r>
    </w:p>
    <w:p w14:paraId="652ECBE0">
      <w:pPr>
        <w:pStyle w:val="34"/>
        <w:overflowPunct/>
        <w:bidi w:val="0"/>
        <w:spacing w:before="452" w:after="150" w:line="560" w:lineRule="atLeast"/>
        <w:ind w:left="150"/>
        <w:jc w:val="right"/>
        <w:outlineLvl w:val="9"/>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财政部</w:t>
      </w:r>
    </w:p>
    <w:p w14:paraId="49137072">
      <w:pPr>
        <w:pStyle w:val="34"/>
        <w:overflowPunct/>
        <w:bidi w:val="0"/>
        <w:spacing w:before="452" w:after="150" w:line="560" w:lineRule="atLeast"/>
        <w:ind w:left="150"/>
        <w:jc w:val="right"/>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shd w:val="clear" w:color="auto" w:fill="FFFFFF"/>
          <w14:textFill>
            <w14:solidFill>
              <w14:schemeClr w14:val="tx1"/>
            </w14:solidFill>
          </w14:textFill>
        </w:rPr>
        <w:t>二○一一年六月十八日</w:t>
      </w:r>
    </w:p>
    <w:p w14:paraId="65341D98">
      <w:pPr>
        <w:pStyle w:val="34"/>
        <w:shd w:val="clear" w:color="auto" w:fill="FFFFFF"/>
        <w:overflowPunct/>
        <w:bidi w:val="0"/>
        <w:jc w:val="center"/>
        <w:outlineLvl w:val="9"/>
        <w:rPr>
          <w:rStyle w:val="41"/>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Style w:val="41"/>
          <w:rFonts w:hint="eastAsia" w:ascii="宋体" w:hAnsi="宋体" w:eastAsia="宋体" w:cs="宋体"/>
          <w:color w:val="000000" w:themeColor="text1"/>
          <w:highlight w:val="none"/>
          <w:shd w:val="clear" w:color="auto" w:fill="FFFFFF"/>
          <w14:textFill>
            <w14:solidFill>
              <w14:schemeClr w14:val="tx1"/>
            </w14:solidFill>
          </w14:textFill>
        </w:rPr>
        <w:br w:type="page"/>
      </w:r>
      <w:r>
        <w:rPr>
          <w:rStyle w:val="41"/>
          <w:rFonts w:hint="eastAsia" w:ascii="宋体" w:hAnsi="宋体" w:eastAsia="宋体" w:cs="宋体"/>
          <w:color w:val="000000" w:themeColor="text1"/>
          <w:sz w:val="21"/>
          <w:szCs w:val="21"/>
          <w:highlight w:val="none"/>
          <w:shd w:val="clear" w:color="auto" w:fill="FFFFFF"/>
          <w14:textFill>
            <w14:solidFill>
              <w14:schemeClr w14:val="tx1"/>
            </w14:solidFill>
          </w14:textFill>
        </w:rPr>
        <w:t>关于印发中小企业划型标准规定的通知</w:t>
      </w:r>
    </w:p>
    <w:p w14:paraId="79DB08CD">
      <w:pPr>
        <w:pStyle w:val="34"/>
        <w:shd w:val="clear" w:color="auto" w:fill="FFFFFF"/>
        <w:overflowPunct/>
        <w:bidi w:val="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工信部联企业〔2011〕300号</w:t>
      </w:r>
    </w:p>
    <w:p w14:paraId="26218055">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各省、自治区、直辖市人民政府，国务院各部委、各直属机构及有关单位：</w:t>
      </w:r>
    </w:p>
    <w:p w14:paraId="21CDDB70">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BC63B83">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工业和信息化部　国家统计局</w:t>
      </w:r>
    </w:p>
    <w:p w14:paraId="0D91A2EF">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国家发展和改革委员会　财政部</w:t>
      </w:r>
    </w:p>
    <w:p w14:paraId="7FE90A5B">
      <w:pPr>
        <w:pStyle w:val="34"/>
        <w:shd w:val="clear" w:color="auto" w:fill="FFFFFF"/>
        <w:overflowPunct/>
        <w:bidi w:val="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二○一一年六月十八日</w:t>
      </w:r>
    </w:p>
    <w:p w14:paraId="1DE2CE1C">
      <w:pPr>
        <w:pStyle w:val="34"/>
        <w:shd w:val="clear" w:color="auto" w:fill="FFFFFF"/>
        <w:overflowPunct/>
        <w:bidi w:val="0"/>
        <w:jc w:val="center"/>
        <w:outlineLvl w:val="9"/>
        <w:rPr>
          <w:rFonts w:hint="eastAsia" w:ascii="宋体" w:hAnsi="宋体" w:eastAsia="宋体" w:cs="宋体"/>
          <w:color w:val="000000" w:themeColor="text1"/>
          <w:sz w:val="21"/>
          <w:szCs w:val="21"/>
          <w:highlight w:val="none"/>
          <w14:textFill>
            <w14:solidFill>
              <w14:schemeClr w14:val="tx1"/>
            </w14:solidFill>
          </w14:textFill>
        </w:rPr>
      </w:pPr>
      <w:r>
        <w:rPr>
          <w:rStyle w:val="41"/>
          <w:rFonts w:hint="eastAsia" w:ascii="宋体" w:hAnsi="宋体" w:eastAsia="宋体" w:cs="宋体"/>
          <w:color w:val="000000" w:themeColor="text1"/>
          <w:sz w:val="21"/>
          <w:szCs w:val="21"/>
          <w:highlight w:val="none"/>
          <w:shd w:val="clear" w:color="auto" w:fill="FFFFFF"/>
          <w14:textFill>
            <w14:solidFill>
              <w14:schemeClr w14:val="tx1"/>
            </w14:solidFill>
          </w14:textFill>
        </w:rPr>
        <w:t>中小企业划型标准规定</w:t>
      </w:r>
    </w:p>
    <w:p w14:paraId="188FD0F3">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一、根据《中华人民共和国中小企业促进法》和《国务院关于进一步促进中小企业发展的若干意见》(国发〔2009〕36号)，制定本规定。</w:t>
      </w:r>
    </w:p>
    <w:p w14:paraId="083E803C">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二、中小企业划分为中型、小型、微型三种类型，具体标准根据企业从业人员、营业收入、资产总额等指标，结合行业特点制定。</w:t>
      </w:r>
    </w:p>
    <w:p w14:paraId="1D8291CF">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9A8F431">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四、各行业划型标准为：</w:t>
      </w:r>
    </w:p>
    <w:p w14:paraId="12E1B7BB">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14:paraId="5202531C">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DD5A0F8">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EF19B09">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B3EA8DE">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83B5645">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B1A03F1">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9A9DF3D">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68F8A52">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7E37EEB">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951A24B">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FBE2E47">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D080017">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712979C">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48A8E69">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AB194A7">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（十六）其他未列明行业。从业人员300人以下的为中小微型企业。其中，从业人员100人及以上的为中型企业；从业人员10人及以上的为小型企业；从业人员10人以下的为微型企业。</w:t>
      </w:r>
    </w:p>
    <w:p w14:paraId="29FE2040">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五、企业类型的划分以统计部门的统计数据为依据。</w:t>
      </w:r>
    </w:p>
    <w:p w14:paraId="3CF6C253">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六、本规定适用于在中华人民共和国境内依法设立的各类所有制和各种组织形式的企业。个体工商户和本规定以外的行业，参照本规定进行划型。</w:t>
      </w:r>
    </w:p>
    <w:p w14:paraId="4E0391DF">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七、本规定的中型企业标准上限即为大型企业标准的下限，国家统计部门据此制定大中小微型企业的统计分类。国务院有关部门据此进行相关数据分析，不得制定与本规定不一致的企业划型标准。</w:t>
      </w:r>
    </w:p>
    <w:p w14:paraId="608C7DD3">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八、本规定由工业和信息化部、国家统计局会同有关部门根据《国民经济行业分类》修订情况和企业发展变化情况适时修订。</w:t>
      </w:r>
    </w:p>
    <w:p w14:paraId="3CC385A8">
      <w:pPr>
        <w:pStyle w:val="34"/>
        <w:shd w:val="clear" w:color="auto" w:fill="FFFFFF"/>
        <w:overflowPunct/>
        <w:bidi w:val="0"/>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九、本规定由工业和信息化部、国家统计局会同有关部门负责解释。</w:t>
      </w:r>
    </w:p>
    <w:p w14:paraId="63BEA8A1">
      <w:pPr>
        <w:pStyle w:val="34"/>
        <w:shd w:val="clear" w:color="auto" w:fill="FFFFFF"/>
        <w:overflowPunct/>
        <w:bidi w:val="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十、本规定自发布之日起执行，原国家经贸委、原国家计委、财政部和国家统计局2003年颁布的《中小企业标准暂行规定》同时废止。</w:t>
      </w:r>
    </w:p>
    <w:p w14:paraId="3B5CD332">
      <w:pPr>
        <w:overflowPunct/>
        <w:bidi w:val="0"/>
        <w:outlineLvl w:val="9"/>
        <w:rPr>
          <w:rFonts w:hint="eastAsia" w:ascii="宋体" w:hAnsi="宋体" w:eastAsia="宋体" w:cs="宋体"/>
          <w:color w:val="000000" w:themeColor="text1"/>
          <w:highlight w:val="none"/>
          <w14:textFill>
            <w14:solidFill>
              <w14:schemeClr w14:val="tx1"/>
            </w14:solidFill>
          </w14:textFill>
        </w:rPr>
        <w:sectPr>
          <w:pgSz w:w="11906" w:h="16838"/>
          <w:pgMar w:top="1440" w:right="1080" w:bottom="1440" w:left="1080" w:header="851" w:footer="992" w:gutter="0"/>
          <w:pgNumType w:fmt="decimal"/>
          <w:cols w:space="0" w:num="1"/>
          <w:docGrid w:type="lines" w:linePitch="312" w:charSpace="0"/>
        </w:sectPr>
      </w:pPr>
    </w:p>
    <w:p w14:paraId="2B348400">
      <w:pPr>
        <w:pStyle w:val="34"/>
        <w:overflowPunct/>
        <w:bidi w:val="0"/>
        <w:spacing w:line="340" w:lineRule="exact"/>
        <w:jc w:val="center"/>
        <w:textAlignment w:val="baseline"/>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《统计上大中小微型企业划分办法（2017）》修订说明</w:t>
      </w:r>
    </w:p>
    <w:p w14:paraId="23E41D13">
      <w:pPr>
        <w:overflowPunct/>
        <w:bidi w:val="0"/>
        <w:spacing w:line="400" w:lineRule="exact"/>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一、修订背景</w:t>
      </w:r>
    </w:p>
    <w:p w14:paraId="4FC07DCC">
      <w:pPr>
        <w:overflowPunct/>
        <w:bidi w:val="0"/>
        <w:spacing w:line="400" w:lineRule="exact"/>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3265F458">
      <w:pPr>
        <w:overflowPunct/>
        <w:bidi w:val="0"/>
        <w:spacing w:line="400" w:lineRule="exact"/>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4E43B75A">
      <w:pPr>
        <w:overflowPunct/>
        <w:bidi w:val="0"/>
        <w:spacing w:line="400" w:lineRule="exact"/>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二、修订主要内容</w:t>
      </w:r>
    </w:p>
    <w:p w14:paraId="66D68832">
      <w:pPr>
        <w:overflowPunct/>
        <w:bidi w:val="0"/>
        <w:spacing w:line="400" w:lineRule="exact"/>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2BD21949">
      <w:pPr>
        <w:overflowPunct/>
        <w:bidi w:val="0"/>
        <w:spacing w:line="400" w:lineRule="exact"/>
        <w:ind w:firstLine="420" w:firstLineChars="200"/>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将交通运输业中包括的“装卸搬运和运输代理业”修改为“多式联运和运输代理业、装卸搬运”。</w:t>
      </w:r>
    </w:p>
    <w:p w14:paraId="6E10B23E">
      <w:pPr>
        <w:overflowPunct/>
        <w:bidi w:val="0"/>
        <w:spacing w:line="400" w:lineRule="exact"/>
        <w:ind w:firstLine="452" w:firstLineChars="200"/>
        <w:outlineLvl w:val="9"/>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仓储业所包括的行业中类，根据《国民经济行业分类》</w:t>
      </w:r>
      <w:r>
        <w:rPr>
          <w:rFonts w:hint="eastAsia" w:ascii="宋体" w:hAnsi="宋体" w:eastAsia="宋体" w:cs="宋体"/>
          <w:color w:val="000000" w:themeColor="text1"/>
          <w:sz w:val="21"/>
          <w:szCs w:val="21"/>
          <w:highlight w:val="none"/>
          <w14:textFill>
            <w14:solidFill>
              <w14:schemeClr w14:val="tx1"/>
            </w14:solidFill>
          </w14:textFill>
        </w:rPr>
        <w:t>（GB/T 4754—2017）</w:t>
      </w:r>
      <w:r>
        <w:rPr>
          <w:rFonts w:hint="eastAsia" w:ascii="宋体" w:hAnsi="宋体" w:eastAsia="宋体" w:cs="宋体"/>
          <w:color w:val="000000" w:themeColor="text1"/>
          <w:spacing w:val="8"/>
          <w:sz w:val="21"/>
          <w:szCs w:val="21"/>
          <w:highlight w:val="none"/>
          <w14:textFill>
            <w14:solidFill>
              <w14:schemeClr w14:val="tx1"/>
            </w14:solidFill>
          </w14:textFill>
        </w:rPr>
        <w:t>调整为“通用仓储，低温仓储，危险品仓储，谷物、棉花等农产品仓储，中药材仓储和其他仓储业”。</w:t>
      </w:r>
    </w:p>
    <w:p w14:paraId="659BAF1D">
      <w:pPr>
        <w:overflowPunct/>
        <w:bidi w:val="0"/>
        <w:spacing w:line="40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附表</w:t>
      </w:r>
    </w:p>
    <w:p w14:paraId="5A8FF73B">
      <w:pPr>
        <w:overflowPunct/>
        <w:bidi w:val="0"/>
        <w:spacing w:line="400" w:lineRule="exact"/>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统计上大中小微型企业划分标准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976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vAlign w:val="center"/>
          </w:tcPr>
          <w:p w14:paraId="444DA1EE">
            <w:pPr>
              <w:overflowPunct/>
              <w:bidi w:val="0"/>
              <w:spacing w:line="240" w:lineRule="exact"/>
              <w:jc w:val="center"/>
              <w:outlineLvl w:val="9"/>
              <w:rPr>
                <w:rFonts w:hint="eastAsia" w:ascii="宋体" w:hAnsi="宋体" w:eastAsia="宋体" w:cs="宋体"/>
                <w:b/>
                <w:bCs/>
                <w:color w:val="000000" w:themeColor="text1"/>
                <w:sz w:val="18"/>
                <w:szCs w:val="21"/>
                <w:highlight w:val="none"/>
                <w14:textFill>
                  <w14:solidFill>
                    <w14:schemeClr w14:val="tx1"/>
                  </w14:solidFill>
                </w14:textFill>
              </w:rPr>
            </w:pPr>
            <w:r>
              <w:rPr>
                <w:rFonts w:hint="eastAsia" w:ascii="宋体" w:hAnsi="宋体" w:eastAsia="宋体" w:cs="宋体"/>
                <w:b/>
                <w:bCs/>
                <w:color w:val="000000" w:themeColor="text1"/>
                <w:sz w:val="18"/>
                <w:szCs w:val="21"/>
                <w:highlight w:val="none"/>
                <w14:textFill>
                  <w14:solidFill>
                    <w14:schemeClr w14:val="tx1"/>
                  </w14:solidFill>
                </w14:textFill>
              </w:rPr>
              <w:t>行业名称</w:t>
            </w:r>
          </w:p>
        </w:tc>
        <w:tc>
          <w:tcPr>
            <w:tcW w:w="1369" w:type="dxa"/>
            <w:vAlign w:val="center"/>
          </w:tcPr>
          <w:p w14:paraId="2ACA4CC5">
            <w:pPr>
              <w:overflowPunct/>
              <w:bidi w:val="0"/>
              <w:outlineLvl w:val="9"/>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指标名称</w:t>
            </w:r>
          </w:p>
        </w:tc>
        <w:tc>
          <w:tcPr>
            <w:tcW w:w="709" w:type="dxa"/>
            <w:vAlign w:val="center"/>
          </w:tcPr>
          <w:p w14:paraId="25D8575E">
            <w:pPr>
              <w:overflowPunct/>
              <w:bidi w:val="0"/>
              <w:outlineLvl w:val="9"/>
              <w:rPr>
                <w:rFonts w:hint="eastAsia" w:ascii="宋体" w:hAnsi="宋体" w:eastAsia="宋体" w:cs="宋体"/>
                <w:b/>
                <w:bCs/>
                <w:color w:val="000000" w:themeColor="text1"/>
                <w:sz w:val="18"/>
                <w:szCs w:val="18"/>
                <w:highlight w:val="none"/>
                <w:lang w:eastAsia="zh-CN"/>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计量</w:t>
            </w:r>
          </w:p>
          <w:p w14:paraId="2B053219">
            <w:pPr>
              <w:overflowPunct/>
              <w:bidi w:val="0"/>
              <w:outlineLvl w:val="9"/>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单位</w:t>
            </w:r>
          </w:p>
        </w:tc>
        <w:tc>
          <w:tcPr>
            <w:tcW w:w="1125" w:type="dxa"/>
            <w:vAlign w:val="center"/>
          </w:tcPr>
          <w:p w14:paraId="5192C99C">
            <w:pPr>
              <w:overflowPunct/>
              <w:bidi w:val="0"/>
              <w:outlineLvl w:val="9"/>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大型</w:t>
            </w:r>
          </w:p>
        </w:tc>
        <w:tc>
          <w:tcPr>
            <w:tcW w:w="1701" w:type="dxa"/>
            <w:vAlign w:val="center"/>
          </w:tcPr>
          <w:p w14:paraId="4661CAEF">
            <w:pPr>
              <w:overflowPunct/>
              <w:bidi w:val="0"/>
              <w:outlineLvl w:val="9"/>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中型</w:t>
            </w:r>
          </w:p>
        </w:tc>
        <w:tc>
          <w:tcPr>
            <w:tcW w:w="1426" w:type="dxa"/>
            <w:vAlign w:val="center"/>
          </w:tcPr>
          <w:p w14:paraId="41377E6C">
            <w:pPr>
              <w:overflowPunct/>
              <w:bidi w:val="0"/>
              <w:outlineLvl w:val="9"/>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小型</w:t>
            </w:r>
          </w:p>
        </w:tc>
        <w:tc>
          <w:tcPr>
            <w:tcW w:w="992" w:type="dxa"/>
            <w:vAlign w:val="center"/>
          </w:tcPr>
          <w:p w14:paraId="6FC1E197">
            <w:pPr>
              <w:overflowPunct/>
              <w:bidi w:val="0"/>
              <w:outlineLvl w:val="9"/>
              <w:rPr>
                <w:rFonts w:hint="eastAsia" w:ascii="宋体" w:hAnsi="宋体" w:eastAsia="宋体" w:cs="宋体"/>
                <w:b/>
                <w:bCs/>
                <w:color w:val="000000" w:themeColor="text1"/>
                <w:sz w:val="18"/>
                <w:szCs w:val="18"/>
                <w:highlight w:val="none"/>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微型</w:t>
            </w:r>
          </w:p>
        </w:tc>
      </w:tr>
      <w:tr w14:paraId="4B7E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01903A94">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农、林、牧、渔业</w:t>
            </w:r>
          </w:p>
        </w:tc>
        <w:tc>
          <w:tcPr>
            <w:tcW w:w="1369" w:type="dxa"/>
            <w:vAlign w:val="center"/>
          </w:tcPr>
          <w:p w14:paraId="275D723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4B05899B">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00AD2D01">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Y≥20000</w:t>
            </w:r>
          </w:p>
        </w:tc>
        <w:tc>
          <w:tcPr>
            <w:tcW w:w="1701" w:type="dxa"/>
            <w:vAlign w:val="center"/>
          </w:tcPr>
          <w:p w14:paraId="7286B24B">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500≤Y＜20000</w:t>
            </w:r>
          </w:p>
        </w:tc>
        <w:tc>
          <w:tcPr>
            <w:tcW w:w="1426" w:type="dxa"/>
            <w:vAlign w:val="center"/>
          </w:tcPr>
          <w:p w14:paraId="16BBF0C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50≤Y＜500</w:t>
            </w:r>
          </w:p>
        </w:tc>
        <w:tc>
          <w:tcPr>
            <w:tcW w:w="992" w:type="dxa"/>
            <w:vAlign w:val="center"/>
          </w:tcPr>
          <w:p w14:paraId="5980FA55">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Y＜50</w:t>
            </w:r>
          </w:p>
        </w:tc>
      </w:tr>
      <w:tr w14:paraId="4E34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423DEF5">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工业 *</w:t>
            </w:r>
          </w:p>
        </w:tc>
        <w:tc>
          <w:tcPr>
            <w:tcW w:w="1369" w:type="dxa"/>
            <w:vAlign w:val="center"/>
          </w:tcPr>
          <w:p w14:paraId="468A5F3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6030E84E">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5A1F1DD2">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X≥1000</w:t>
            </w:r>
          </w:p>
        </w:tc>
        <w:tc>
          <w:tcPr>
            <w:tcW w:w="1701" w:type="dxa"/>
            <w:vAlign w:val="center"/>
          </w:tcPr>
          <w:p w14:paraId="07C41C82">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300≤X＜1000</w:t>
            </w:r>
          </w:p>
        </w:tc>
        <w:tc>
          <w:tcPr>
            <w:tcW w:w="1426" w:type="dxa"/>
            <w:vAlign w:val="center"/>
          </w:tcPr>
          <w:p w14:paraId="7B8ABA8E">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20≤X＜300</w:t>
            </w:r>
          </w:p>
        </w:tc>
        <w:tc>
          <w:tcPr>
            <w:tcW w:w="992" w:type="dxa"/>
            <w:vAlign w:val="center"/>
          </w:tcPr>
          <w:p w14:paraId="6F30810C">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w:t>
            </w:r>
          </w:p>
        </w:tc>
      </w:tr>
      <w:tr w14:paraId="5C01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3C3F0D9">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20B2D383">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7CFBB40A">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2514272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Y≥40000</w:t>
            </w:r>
          </w:p>
        </w:tc>
        <w:tc>
          <w:tcPr>
            <w:tcW w:w="1701" w:type="dxa"/>
            <w:vAlign w:val="center"/>
          </w:tcPr>
          <w:p w14:paraId="33DD6711">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2000≤Y＜40000</w:t>
            </w:r>
          </w:p>
        </w:tc>
        <w:tc>
          <w:tcPr>
            <w:tcW w:w="1426" w:type="dxa"/>
            <w:vAlign w:val="center"/>
          </w:tcPr>
          <w:p w14:paraId="39867EB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300≤Y＜2000</w:t>
            </w:r>
          </w:p>
        </w:tc>
        <w:tc>
          <w:tcPr>
            <w:tcW w:w="992" w:type="dxa"/>
            <w:vAlign w:val="center"/>
          </w:tcPr>
          <w:p w14:paraId="1A95C12E">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w:t>
            </w:r>
          </w:p>
        </w:tc>
      </w:tr>
      <w:tr w14:paraId="6D3D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529AFF7">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建筑业</w:t>
            </w:r>
          </w:p>
        </w:tc>
        <w:tc>
          <w:tcPr>
            <w:tcW w:w="1369" w:type="dxa"/>
            <w:vAlign w:val="center"/>
          </w:tcPr>
          <w:p w14:paraId="71F2E41B">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6EDC546C">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30AC820A">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Y≥80000</w:t>
            </w:r>
          </w:p>
        </w:tc>
        <w:tc>
          <w:tcPr>
            <w:tcW w:w="1701" w:type="dxa"/>
            <w:vAlign w:val="center"/>
          </w:tcPr>
          <w:p w14:paraId="58ABF87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6000≤Y＜80000</w:t>
            </w:r>
          </w:p>
        </w:tc>
        <w:tc>
          <w:tcPr>
            <w:tcW w:w="1426" w:type="dxa"/>
            <w:vAlign w:val="center"/>
          </w:tcPr>
          <w:p w14:paraId="6F83B0E5">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300≤Y＜6000</w:t>
            </w:r>
          </w:p>
        </w:tc>
        <w:tc>
          <w:tcPr>
            <w:tcW w:w="992" w:type="dxa"/>
            <w:vAlign w:val="center"/>
          </w:tcPr>
          <w:p w14:paraId="6DF4467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w:t>
            </w:r>
          </w:p>
        </w:tc>
      </w:tr>
      <w:tr w14:paraId="16FE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268EF6D">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441E2098">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资产总额(Z)</w:t>
            </w:r>
          </w:p>
        </w:tc>
        <w:tc>
          <w:tcPr>
            <w:tcW w:w="709" w:type="dxa"/>
            <w:vAlign w:val="center"/>
          </w:tcPr>
          <w:p w14:paraId="164599B7">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6172C89E">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Z≥80000</w:t>
            </w:r>
          </w:p>
        </w:tc>
        <w:tc>
          <w:tcPr>
            <w:tcW w:w="1701" w:type="dxa"/>
            <w:vAlign w:val="center"/>
          </w:tcPr>
          <w:p w14:paraId="561AD15B">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5000≤Z＜80000</w:t>
            </w:r>
          </w:p>
        </w:tc>
        <w:tc>
          <w:tcPr>
            <w:tcW w:w="1426" w:type="dxa"/>
            <w:vAlign w:val="center"/>
          </w:tcPr>
          <w:p w14:paraId="390F5A6B">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300≤Z＜5000</w:t>
            </w:r>
          </w:p>
        </w:tc>
        <w:tc>
          <w:tcPr>
            <w:tcW w:w="992" w:type="dxa"/>
            <w:vAlign w:val="center"/>
          </w:tcPr>
          <w:p w14:paraId="5D18131D">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Z＜300</w:t>
            </w:r>
          </w:p>
        </w:tc>
      </w:tr>
      <w:tr w14:paraId="3C76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72B0BE8">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批发业</w:t>
            </w:r>
          </w:p>
        </w:tc>
        <w:tc>
          <w:tcPr>
            <w:tcW w:w="1369" w:type="dxa"/>
            <w:vAlign w:val="center"/>
          </w:tcPr>
          <w:p w14:paraId="531A36CC">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46475F7E">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36A896E0">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X≥200</w:t>
            </w:r>
          </w:p>
        </w:tc>
        <w:tc>
          <w:tcPr>
            <w:tcW w:w="1701" w:type="dxa"/>
            <w:vAlign w:val="center"/>
          </w:tcPr>
          <w:p w14:paraId="2DDC5542">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20≤X＜200</w:t>
            </w:r>
          </w:p>
        </w:tc>
        <w:tc>
          <w:tcPr>
            <w:tcW w:w="1426" w:type="dxa"/>
            <w:vAlign w:val="center"/>
          </w:tcPr>
          <w:p w14:paraId="1EB03069">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5≤X＜20</w:t>
            </w:r>
          </w:p>
        </w:tc>
        <w:tc>
          <w:tcPr>
            <w:tcW w:w="992" w:type="dxa"/>
            <w:vAlign w:val="center"/>
          </w:tcPr>
          <w:p w14:paraId="71B35A93">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X＜5</w:t>
            </w:r>
          </w:p>
        </w:tc>
      </w:tr>
      <w:tr w14:paraId="628C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DB6CBDF">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7F19D883">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49B9867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1383DFCD">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Y≥40000</w:t>
            </w:r>
          </w:p>
        </w:tc>
        <w:tc>
          <w:tcPr>
            <w:tcW w:w="1701" w:type="dxa"/>
            <w:vAlign w:val="center"/>
          </w:tcPr>
          <w:p w14:paraId="65C38301">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5000≤Y＜40000</w:t>
            </w:r>
          </w:p>
        </w:tc>
        <w:tc>
          <w:tcPr>
            <w:tcW w:w="1426" w:type="dxa"/>
            <w:vAlign w:val="center"/>
          </w:tcPr>
          <w:p w14:paraId="2D83E5C0">
            <w:pPr>
              <w:overflowPunct/>
              <w:bidi w:val="0"/>
              <w:ind w:left="-1" w:leftChars="-1" w:hanging="1"/>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1000≤Y＜5000</w:t>
            </w:r>
          </w:p>
        </w:tc>
        <w:tc>
          <w:tcPr>
            <w:tcW w:w="992" w:type="dxa"/>
            <w:vAlign w:val="center"/>
          </w:tcPr>
          <w:p w14:paraId="044042E2">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w:t>
            </w:r>
          </w:p>
        </w:tc>
      </w:tr>
      <w:tr w14:paraId="30C7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26E1594">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零售业</w:t>
            </w:r>
          </w:p>
        </w:tc>
        <w:tc>
          <w:tcPr>
            <w:tcW w:w="1369" w:type="dxa"/>
            <w:vAlign w:val="center"/>
          </w:tcPr>
          <w:p w14:paraId="3F96647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7906ABC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22E65C40">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54C94539">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50≤X＜300</w:t>
            </w:r>
          </w:p>
        </w:tc>
        <w:tc>
          <w:tcPr>
            <w:tcW w:w="1426" w:type="dxa"/>
            <w:vAlign w:val="center"/>
          </w:tcPr>
          <w:p w14:paraId="4CDB797F">
            <w:pPr>
              <w:overflowPunct/>
              <w:bidi w:val="0"/>
              <w:ind w:left="-1" w:leftChars="-1" w:hanging="1"/>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10≤X＜50 </w:t>
            </w:r>
          </w:p>
        </w:tc>
        <w:tc>
          <w:tcPr>
            <w:tcW w:w="992" w:type="dxa"/>
            <w:vAlign w:val="center"/>
          </w:tcPr>
          <w:p w14:paraId="7CFBF626">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20E71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8E02A41">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5B54BA9E">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7EFEDAE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0DE5AC96">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Y≥20000</w:t>
            </w:r>
          </w:p>
        </w:tc>
        <w:tc>
          <w:tcPr>
            <w:tcW w:w="1701" w:type="dxa"/>
            <w:vAlign w:val="center"/>
          </w:tcPr>
          <w:p w14:paraId="6354B535">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500≤Y＜20000</w:t>
            </w:r>
          </w:p>
        </w:tc>
        <w:tc>
          <w:tcPr>
            <w:tcW w:w="1426" w:type="dxa"/>
            <w:vAlign w:val="center"/>
          </w:tcPr>
          <w:p w14:paraId="14375910">
            <w:pPr>
              <w:overflowPunct/>
              <w:bidi w:val="0"/>
              <w:ind w:left="-1" w:leftChars="-1" w:hanging="1"/>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100≤Y＜500 </w:t>
            </w:r>
          </w:p>
        </w:tc>
        <w:tc>
          <w:tcPr>
            <w:tcW w:w="992" w:type="dxa"/>
            <w:vAlign w:val="center"/>
          </w:tcPr>
          <w:p w14:paraId="74FBF31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5FB7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BB5BDF3">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交通运输业 *</w:t>
            </w:r>
          </w:p>
        </w:tc>
        <w:tc>
          <w:tcPr>
            <w:tcW w:w="1369" w:type="dxa"/>
            <w:vAlign w:val="center"/>
          </w:tcPr>
          <w:p w14:paraId="16AACF52">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0A049450">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6393054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X≥1000</w:t>
            </w:r>
          </w:p>
        </w:tc>
        <w:tc>
          <w:tcPr>
            <w:tcW w:w="1701" w:type="dxa"/>
            <w:vAlign w:val="center"/>
          </w:tcPr>
          <w:p w14:paraId="6DDD149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300≤X＜1000</w:t>
            </w:r>
          </w:p>
        </w:tc>
        <w:tc>
          <w:tcPr>
            <w:tcW w:w="1426" w:type="dxa"/>
            <w:vAlign w:val="center"/>
          </w:tcPr>
          <w:p w14:paraId="7221F9A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20≤X＜300</w:t>
            </w:r>
          </w:p>
        </w:tc>
        <w:tc>
          <w:tcPr>
            <w:tcW w:w="992" w:type="dxa"/>
            <w:vAlign w:val="center"/>
          </w:tcPr>
          <w:p w14:paraId="4BA3E983">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w:t>
            </w:r>
          </w:p>
        </w:tc>
      </w:tr>
      <w:tr w14:paraId="2297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D9BDEF7">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211690DA">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6FB05BF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5148A86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Y≥30000</w:t>
            </w:r>
          </w:p>
        </w:tc>
        <w:tc>
          <w:tcPr>
            <w:tcW w:w="1701" w:type="dxa"/>
            <w:vAlign w:val="center"/>
          </w:tcPr>
          <w:p w14:paraId="414AE38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3000≤Y＜30000</w:t>
            </w:r>
          </w:p>
        </w:tc>
        <w:tc>
          <w:tcPr>
            <w:tcW w:w="1426" w:type="dxa"/>
            <w:vAlign w:val="center"/>
          </w:tcPr>
          <w:p w14:paraId="29A76D3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200≤Y＜3000</w:t>
            </w:r>
          </w:p>
        </w:tc>
        <w:tc>
          <w:tcPr>
            <w:tcW w:w="992" w:type="dxa"/>
            <w:vAlign w:val="center"/>
          </w:tcPr>
          <w:p w14:paraId="740CEC92">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Y＜200</w:t>
            </w:r>
          </w:p>
        </w:tc>
      </w:tr>
      <w:tr w14:paraId="15F1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F626EEA">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仓储业*</w:t>
            </w:r>
          </w:p>
        </w:tc>
        <w:tc>
          <w:tcPr>
            <w:tcW w:w="1369" w:type="dxa"/>
            <w:vAlign w:val="center"/>
          </w:tcPr>
          <w:p w14:paraId="3F6802A3">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7654504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2B34811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X≥200</w:t>
            </w:r>
          </w:p>
        </w:tc>
        <w:tc>
          <w:tcPr>
            <w:tcW w:w="1701" w:type="dxa"/>
            <w:vAlign w:val="center"/>
          </w:tcPr>
          <w:p w14:paraId="39E0E2A9">
            <w:pPr>
              <w:overflowPunct/>
              <w:bidi w:val="0"/>
              <w:ind w:left="1" w:leftChars="-51" w:hanging="108" w:hangingChars="6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100≤X＜200</w:t>
            </w:r>
          </w:p>
        </w:tc>
        <w:tc>
          <w:tcPr>
            <w:tcW w:w="1426" w:type="dxa"/>
            <w:vAlign w:val="center"/>
          </w:tcPr>
          <w:p w14:paraId="747A02AD">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20≤X＜100</w:t>
            </w:r>
          </w:p>
        </w:tc>
        <w:tc>
          <w:tcPr>
            <w:tcW w:w="992" w:type="dxa"/>
            <w:vAlign w:val="center"/>
          </w:tcPr>
          <w:p w14:paraId="44ACF77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w:t>
            </w:r>
          </w:p>
        </w:tc>
      </w:tr>
      <w:tr w14:paraId="3041F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10F55B3">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65B653B3">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22D3B835">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0DADA216">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Y≥30000</w:t>
            </w:r>
          </w:p>
        </w:tc>
        <w:tc>
          <w:tcPr>
            <w:tcW w:w="1701" w:type="dxa"/>
            <w:vAlign w:val="center"/>
          </w:tcPr>
          <w:p w14:paraId="345A3737">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1000≤Y＜30000</w:t>
            </w:r>
          </w:p>
        </w:tc>
        <w:tc>
          <w:tcPr>
            <w:tcW w:w="1426" w:type="dxa"/>
            <w:vAlign w:val="center"/>
          </w:tcPr>
          <w:p w14:paraId="76650A1D">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100≤Y＜1000</w:t>
            </w:r>
          </w:p>
        </w:tc>
        <w:tc>
          <w:tcPr>
            <w:tcW w:w="992" w:type="dxa"/>
            <w:vAlign w:val="center"/>
          </w:tcPr>
          <w:p w14:paraId="749D0C0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3D54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BBEE6E8">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邮政业</w:t>
            </w:r>
          </w:p>
        </w:tc>
        <w:tc>
          <w:tcPr>
            <w:tcW w:w="1369" w:type="dxa"/>
            <w:vAlign w:val="center"/>
          </w:tcPr>
          <w:p w14:paraId="0A73A03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225FFEED">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7CAE5229">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X≥1000</w:t>
            </w:r>
          </w:p>
        </w:tc>
        <w:tc>
          <w:tcPr>
            <w:tcW w:w="1701" w:type="dxa"/>
            <w:vAlign w:val="center"/>
          </w:tcPr>
          <w:p w14:paraId="7120E611">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300≤X＜1000</w:t>
            </w:r>
          </w:p>
        </w:tc>
        <w:tc>
          <w:tcPr>
            <w:tcW w:w="1426" w:type="dxa"/>
            <w:vAlign w:val="center"/>
          </w:tcPr>
          <w:p w14:paraId="56F7411E">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20≤X＜300</w:t>
            </w:r>
          </w:p>
        </w:tc>
        <w:tc>
          <w:tcPr>
            <w:tcW w:w="992" w:type="dxa"/>
            <w:vAlign w:val="center"/>
          </w:tcPr>
          <w:p w14:paraId="49919BE3">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w:t>
            </w:r>
          </w:p>
        </w:tc>
      </w:tr>
      <w:tr w14:paraId="6AF7B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4125C23">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0A3DE48A">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00D16CAA">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5F0B8165">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Y≥30000</w:t>
            </w:r>
          </w:p>
        </w:tc>
        <w:tc>
          <w:tcPr>
            <w:tcW w:w="1701" w:type="dxa"/>
            <w:vAlign w:val="center"/>
          </w:tcPr>
          <w:p w14:paraId="675D731B">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2000≤Y＜30000</w:t>
            </w:r>
          </w:p>
        </w:tc>
        <w:tc>
          <w:tcPr>
            <w:tcW w:w="1426" w:type="dxa"/>
            <w:vAlign w:val="center"/>
          </w:tcPr>
          <w:p w14:paraId="6CBD0AC6">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100≤Y＜2000</w:t>
            </w:r>
          </w:p>
        </w:tc>
        <w:tc>
          <w:tcPr>
            <w:tcW w:w="992" w:type="dxa"/>
            <w:vAlign w:val="center"/>
          </w:tcPr>
          <w:p w14:paraId="77AA4ED6">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1253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48DC913">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住宿业</w:t>
            </w:r>
          </w:p>
        </w:tc>
        <w:tc>
          <w:tcPr>
            <w:tcW w:w="1369" w:type="dxa"/>
            <w:vAlign w:val="center"/>
          </w:tcPr>
          <w:p w14:paraId="1C781281">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06B62BC3">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6CEC3EA7">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1F118481">
            <w:pPr>
              <w:overflowPunct/>
              <w:bidi w:val="0"/>
              <w:ind w:left="1" w:leftChars="-51" w:hanging="108" w:hangingChars="6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7BCFCB09">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62604191">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4CA4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D710C0B">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45EA448E">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6DB5C82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17843ACD">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Y≥10000</w:t>
            </w:r>
          </w:p>
        </w:tc>
        <w:tc>
          <w:tcPr>
            <w:tcW w:w="1701" w:type="dxa"/>
            <w:vAlign w:val="center"/>
          </w:tcPr>
          <w:p w14:paraId="0AC3477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2000≤Y＜10000</w:t>
            </w:r>
          </w:p>
        </w:tc>
        <w:tc>
          <w:tcPr>
            <w:tcW w:w="1426" w:type="dxa"/>
            <w:vAlign w:val="center"/>
          </w:tcPr>
          <w:p w14:paraId="7AF8D97A">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100≤Y＜2000</w:t>
            </w:r>
          </w:p>
        </w:tc>
        <w:tc>
          <w:tcPr>
            <w:tcW w:w="992" w:type="dxa"/>
            <w:vAlign w:val="center"/>
          </w:tcPr>
          <w:p w14:paraId="25E6EDCE">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4640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978DE97">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餐饮业</w:t>
            </w:r>
          </w:p>
        </w:tc>
        <w:tc>
          <w:tcPr>
            <w:tcW w:w="1369" w:type="dxa"/>
            <w:vAlign w:val="center"/>
          </w:tcPr>
          <w:p w14:paraId="116ED7D3">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65C19D99">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7D5A784C">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20C719B4">
            <w:pPr>
              <w:overflowPunct/>
              <w:bidi w:val="0"/>
              <w:ind w:left="1" w:leftChars="-51" w:hanging="108" w:hangingChars="6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34776AD1">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0A4E3236">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7E2F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B1412A7">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0F70C1EA">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3F7E37CD">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5439704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Y≥10000</w:t>
            </w:r>
          </w:p>
        </w:tc>
        <w:tc>
          <w:tcPr>
            <w:tcW w:w="1701" w:type="dxa"/>
            <w:vAlign w:val="center"/>
          </w:tcPr>
          <w:p w14:paraId="217B7627">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2000≤Y＜10000</w:t>
            </w:r>
          </w:p>
        </w:tc>
        <w:tc>
          <w:tcPr>
            <w:tcW w:w="1426" w:type="dxa"/>
            <w:vAlign w:val="center"/>
          </w:tcPr>
          <w:p w14:paraId="5B1F797E">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100≤Y＜2000</w:t>
            </w:r>
          </w:p>
        </w:tc>
        <w:tc>
          <w:tcPr>
            <w:tcW w:w="992" w:type="dxa"/>
            <w:vAlign w:val="center"/>
          </w:tcPr>
          <w:p w14:paraId="0DE3FAE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6F7B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7EFA81C">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信息传输业*</w:t>
            </w:r>
          </w:p>
        </w:tc>
        <w:tc>
          <w:tcPr>
            <w:tcW w:w="1369" w:type="dxa"/>
            <w:vAlign w:val="center"/>
          </w:tcPr>
          <w:p w14:paraId="3FCFE947">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5253824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56BEE8B0">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X≥2000</w:t>
            </w:r>
          </w:p>
        </w:tc>
        <w:tc>
          <w:tcPr>
            <w:tcW w:w="1701" w:type="dxa"/>
            <w:vAlign w:val="center"/>
          </w:tcPr>
          <w:p w14:paraId="5A748DCB">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100≤X＜2000</w:t>
            </w:r>
          </w:p>
        </w:tc>
        <w:tc>
          <w:tcPr>
            <w:tcW w:w="1426" w:type="dxa"/>
            <w:vAlign w:val="center"/>
          </w:tcPr>
          <w:p w14:paraId="7D21759D">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62A4C6BC">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38F23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8ADF909">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6B659063">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0F727E36">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333C43BD">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Y≥100000</w:t>
            </w:r>
          </w:p>
        </w:tc>
        <w:tc>
          <w:tcPr>
            <w:tcW w:w="1701" w:type="dxa"/>
            <w:vAlign w:val="center"/>
          </w:tcPr>
          <w:p w14:paraId="08C8F7EA">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1000≤Y＜100000</w:t>
            </w:r>
          </w:p>
        </w:tc>
        <w:tc>
          <w:tcPr>
            <w:tcW w:w="1426" w:type="dxa"/>
            <w:vAlign w:val="center"/>
          </w:tcPr>
          <w:p w14:paraId="7449013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100≤Y＜1000</w:t>
            </w:r>
          </w:p>
        </w:tc>
        <w:tc>
          <w:tcPr>
            <w:tcW w:w="992" w:type="dxa"/>
            <w:vAlign w:val="center"/>
          </w:tcPr>
          <w:p w14:paraId="462A0AAE">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7AE1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F77CAB4">
            <w:pPr>
              <w:overflowPunct/>
              <w:bidi w:val="0"/>
              <w:spacing w:line="240" w:lineRule="exact"/>
              <w:jc w:val="center"/>
              <w:outlineLvl w:val="9"/>
              <w:rPr>
                <w:rFonts w:hint="eastAsia" w:ascii="宋体" w:hAnsi="宋体" w:eastAsia="宋体" w:cs="宋体"/>
                <w:b/>
                <w:color w:val="000000" w:themeColor="text1"/>
                <w:spacing w:val="-12"/>
                <w:sz w:val="18"/>
                <w:szCs w:val="18"/>
                <w:highlight w:val="none"/>
                <w14:textFill>
                  <w14:solidFill>
                    <w14:schemeClr w14:val="tx1"/>
                  </w14:solidFill>
                </w14:textFill>
              </w:rPr>
            </w:pPr>
            <w:r>
              <w:rPr>
                <w:rFonts w:hint="eastAsia" w:ascii="宋体" w:hAnsi="宋体" w:eastAsia="宋体" w:cs="宋体"/>
                <w:b/>
                <w:color w:val="000000" w:themeColor="text1"/>
                <w:spacing w:val="-12"/>
                <w:sz w:val="18"/>
                <w:szCs w:val="18"/>
                <w:highlight w:val="none"/>
                <w14:textFill>
                  <w14:solidFill>
                    <w14:schemeClr w14:val="tx1"/>
                  </w14:solidFill>
                </w14:textFill>
              </w:rPr>
              <w:t>软件和信息技术服</w:t>
            </w:r>
            <w:r>
              <w:rPr>
                <w:rFonts w:hint="eastAsia" w:ascii="宋体" w:hAnsi="宋体" w:eastAsia="宋体" w:cs="宋体"/>
                <w:b/>
                <w:color w:val="000000" w:themeColor="text1"/>
                <w:sz w:val="18"/>
                <w:szCs w:val="18"/>
                <w:highlight w:val="none"/>
                <w14:textFill>
                  <w14:solidFill>
                    <w14:schemeClr w14:val="tx1"/>
                  </w14:solidFill>
                </w14:textFill>
              </w:rPr>
              <w:t>务业</w:t>
            </w:r>
          </w:p>
        </w:tc>
        <w:tc>
          <w:tcPr>
            <w:tcW w:w="1369" w:type="dxa"/>
            <w:vAlign w:val="center"/>
          </w:tcPr>
          <w:p w14:paraId="70C2631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6DF654D5">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7BF0F9B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0E922BF3">
            <w:pPr>
              <w:overflowPunct/>
              <w:bidi w:val="0"/>
              <w:ind w:left="1" w:leftChars="-51" w:hanging="108" w:hangingChars="6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36CD68A3">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2EBDEE6B">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17A5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54CAD21">
            <w:pPr>
              <w:overflowPunct/>
              <w:bidi w:val="0"/>
              <w:jc w:val="center"/>
              <w:outlineLvl w:val="9"/>
              <w:rPr>
                <w:rFonts w:hint="eastAsia" w:ascii="宋体" w:hAnsi="宋体" w:eastAsia="宋体" w:cs="宋体"/>
                <w:b/>
                <w:color w:val="000000" w:themeColor="text1"/>
                <w:spacing w:val="-12"/>
                <w:sz w:val="18"/>
                <w:szCs w:val="18"/>
                <w:highlight w:val="none"/>
                <w14:textFill>
                  <w14:solidFill>
                    <w14:schemeClr w14:val="tx1"/>
                  </w14:solidFill>
                </w14:textFill>
              </w:rPr>
            </w:pPr>
          </w:p>
        </w:tc>
        <w:tc>
          <w:tcPr>
            <w:tcW w:w="1369" w:type="dxa"/>
            <w:vAlign w:val="center"/>
          </w:tcPr>
          <w:p w14:paraId="46F16940">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423E1546">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40DCF5BD">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Y≥10000</w:t>
            </w:r>
          </w:p>
        </w:tc>
        <w:tc>
          <w:tcPr>
            <w:tcW w:w="1701" w:type="dxa"/>
            <w:vAlign w:val="center"/>
          </w:tcPr>
          <w:p w14:paraId="7809CCE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1000≤Y＜10000</w:t>
            </w:r>
          </w:p>
        </w:tc>
        <w:tc>
          <w:tcPr>
            <w:tcW w:w="1426" w:type="dxa"/>
            <w:vAlign w:val="center"/>
          </w:tcPr>
          <w:p w14:paraId="6286E895">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50≤Y＜1000</w:t>
            </w:r>
          </w:p>
        </w:tc>
        <w:tc>
          <w:tcPr>
            <w:tcW w:w="992" w:type="dxa"/>
            <w:vAlign w:val="center"/>
          </w:tcPr>
          <w:p w14:paraId="4AC24ADD">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Y＜50</w:t>
            </w:r>
          </w:p>
        </w:tc>
      </w:tr>
      <w:tr w14:paraId="3EA9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62A1A273">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房地产开发经营</w:t>
            </w:r>
          </w:p>
        </w:tc>
        <w:tc>
          <w:tcPr>
            <w:tcW w:w="1369" w:type="dxa"/>
            <w:vAlign w:val="center"/>
          </w:tcPr>
          <w:p w14:paraId="42492BC9">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39B371AE">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0E70B6B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Y≥200000</w:t>
            </w:r>
          </w:p>
        </w:tc>
        <w:tc>
          <w:tcPr>
            <w:tcW w:w="1701" w:type="dxa"/>
            <w:vAlign w:val="center"/>
          </w:tcPr>
          <w:p w14:paraId="3276F4F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1000≤Y＜200000</w:t>
            </w:r>
          </w:p>
        </w:tc>
        <w:tc>
          <w:tcPr>
            <w:tcW w:w="1426" w:type="dxa"/>
            <w:vAlign w:val="center"/>
          </w:tcPr>
          <w:p w14:paraId="18B7023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100≤Y＜1000</w:t>
            </w:r>
          </w:p>
        </w:tc>
        <w:tc>
          <w:tcPr>
            <w:tcW w:w="992" w:type="dxa"/>
            <w:vAlign w:val="center"/>
          </w:tcPr>
          <w:p w14:paraId="3B88C792">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Y＜100</w:t>
            </w:r>
          </w:p>
        </w:tc>
      </w:tr>
      <w:tr w14:paraId="60D5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44E4ACF3">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64FDEA7A">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资产总额(Z)</w:t>
            </w:r>
          </w:p>
        </w:tc>
        <w:tc>
          <w:tcPr>
            <w:tcW w:w="709" w:type="dxa"/>
            <w:vAlign w:val="center"/>
          </w:tcPr>
          <w:p w14:paraId="6B67936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490DE159">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Z≥10000</w:t>
            </w:r>
          </w:p>
        </w:tc>
        <w:tc>
          <w:tcPr>
            <w:tcW w:w="1701" w:type="dxa"/>
            <w:vAlign w:val="center"/>
          </w:tcPr>
          <w:p w14:paraId="4C229E27">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5000≤Z＜10000</w:t>
            </w:r>
          </w:p>
        </w:tc>
        <w:tc>
          <w:tcPr>
            <w:tcW w:w="1426" w:type="dxa"/>
            <w:vAlign w:val="center"/>
          </w:tcPr>
          <w:p w14:paraId="1C8323C9">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2000≤Z＜5000   </w:t>
            </w:r>
          </w:p>
        </w:tc>
        <w:tc>
          <w:tcPr>
            <w:tcW w:w="992" w:type="dxa"/>
            <w:vAlign w:val="center"/>
          </w:tcPr>
          <w:p w14:paraId="5385A6A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Z＜2000</w:t>
            </w:r>
          </w:p>
        </w:tc>
      </w:tr>
      <w:tr w14:paraId="191A8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2E5BA717">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物业管理</w:t>
            </w:r>
          </w:p>
        </w:tc>
        <w:tc>
          <w:tcPr>
            <w:tcW w:w="1369" w:type="dxa"/>
            <w:vAlign w:val="center"/>
          </w:tcPr>
          <w:p w14:paraId="34AB238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25DB50E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403D7C60">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X≥1000</w:t>
            </w:r>
          </w:p>
        </w:tc>
        <w:tc>
          <w:tcPr>
            <w:tcW w:w="1701" w:type="dxa"/>
            <w:vAlign w:val="center"/>
          </w:tcPr>
          <w:p w14:paraId="4DC709F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300≤X＜1000</w:t>
            </w:r>
          </w:p>
        </w:tc>
        <w:tc>
          <w:tcPr>
            <w:tcW w:w="1426" w:type="dxa"/>
            <w:vAlign w:val="center"/>
          </w:tcPr>
          <w:p w14:paraId="41C1CB8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992" w:type="dxa"/>
            <w:vAlign w:val="center"/>
          </w:tcPr>
          <w:p w14:paraId="1CAC34BA">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X＜100</w:t>
            </w:r>
          </w:p>
        </w:tc>
      </w:tr>
      <w:tr w14:paraId="6D35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6DFB8C2">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2FCECC5E">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营业收入(Y)</w:t>
            </w:r>
          </w:p>
        </w:tc>
        <w:tc>
          <w:tcPr>
            <w:tcW w:w="709" w:type="dxa"/>
            <w:vAlign w:val="center"/>
          </w:tcPr>
          <w:p w14:paraId="2575A52A">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09E835C2">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Y≥5000</w:t>
            </w:r>
          </w:p>
        </w:tc>
        <w:tc>
          <w:tcPr>
            <w:tcW w:w="1701" w:type="dxa"/>
            <w:vAlign w:val="center"/>
          </w:tcPr>
          <w:p w14:paraId="1DCF7C00">
            <w:pPr>
              <w:overflowPunct/>
              <w:bidi w:val="0"/>
              <w:ind w:left="1" w:leftChars="-51" w:hanging="108" w:hangingChars="6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1000≤Y＜5000 </w:t>
            </w:r>
          </w:p>
        </w:tc>
        <w:tc>
          <w:tcPr>
            <w:tcW w:w="1426" w:type="dxa"/>
            <w:vAlign w:val="center"/>
          </w:tcPr>
          <w:p w14:paraId="4B9AE880">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500≤Y＜1000</w:t>
            </w:r>
          </w:p>
        </w:tc>
        <w:tc>
          <w:tcPr>
            <w:tcW w:w="992" w:type="dxa"/>
            <w:vAlign w:val="center"/>
          </w:tcPr>
          <w:p w14:paraId="01FFC856">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Y＜500</w:t>
            </w:r>
          </w:p>
        </w:tc>
      </w:tr>
      <w:tr w14:paraId="2265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3395C8D7">
            <w:pPr>
              <w:overflowPunct/>
              <w:bidi w:val="0"/>
              <w:spacing w:line="240" w:lineRule="exact"/>
              <w:jc w:val="center"/>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租赁和商务服务业</w:t>
            </w:r>
          </w:p>
        </w:tc>
        <w:tc>
          <w:tcPr>
            <w:tcW w:w="1369" w:type="dxa"/>
            <w:vAlign w:val="center"/>
          </w:tcPr>
          <w:p w14:paraId="404B6615">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51DE5624">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13803A10">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1BE431F0">
            <w:pPr>
              <w:overflowPunct/>
              <w:bidi w:val="0"/>
              <w:ind w:left="1" w:leftChars="-51" w:hanging="108" w:hangingChars="6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49179979">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5E2B6BEE">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r w14:paraId="0A2C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62208DF">
            <w:pPr>
              <w:overflowPunct/>
              <w:bidi w:val="0"/>
              <w:jc w:val="center"/>
              <w:outlineLvl w:val="9"/>
              <w:rPr>
                <w:rFonts w:hint="eastAsia" w:ascii="宋体" w:hAnsi="宋体" w:eastAsia="宋体" w:cs="宋体"/>
                <w:b/>
                <w:color w:val="000000" w:themeColor="text1"/>
                <w:sz w:val="18"/>
                <w:szCs w:val="18"/>
                <w:highlight w:val="none"/>
                <w14:textFill>
                  <w14:solidFill>
                    <w14:schemeClr w14:val="tx1"/>
                  </w14:solidFill>
                </w14:textFill>
              </w:rPr>
            </w:pPr>
          </w:p>
        </w:tc>
        <w:tc>
          <w:tcPr>
            <w:tcW w:w="1369" w:type="dxa"/>
            <w:vAlign w:val="center"/>
          </w:tcPr>
          <w:p w14:paraId="04AED260">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资产总额(Z)</w:t>
            </w:r>
          </w:p>
        </w:tc>
        <w:tc>
          <w:tcPr>
            <w:tcW w:w="709" w:type="dxa"/>
            <w:vAlign w:val="center"/>
          </w:tcPr>
          <w:p w14:paraId="71BCC978">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万元</w:t>
            </w:r>
          </w:p>
        </w:tc>
        <w:tc>
          <w:tcPr>
            <w:tcW w:w="1125" w:type="dxa"/>
            <w:vAlign w:val="center"/>
          </w:tcPr>
          <w:p w14:paraId="2245BDA0">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Z≥120000</w:t>
            </w:r>
          </w:p>
        </w:tc>
        <w:tc>
          <w:tcPr>
            <w:tcW w:w="1701" w:type="dxa"/>
            <w:vAlign w:val="center"/>
          </w:tcPr>
          <w:p w14:paraId="7478B50F">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8000≤Z＜120000</w:t>
            </w:r>
          </w:p>
        </w:tc>
        <w:tc>
          <w:tcPr>
            <w:tcW w:w="1426" w:type="dxa"/>
            <w:vAlign w:val="center"/>
          </w:tcPr>
          <w:p w14:paraId="2AC46663">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100≤Z＜8000</w:t>
            </w:r>
          </w:p>
        </w:tc>
        <w:tc>
          <w:tcPr>
            <w:tcW w:w="992" w:type="dxa"/>
            <w:vAlign w:val="center"/>
          </w:tcPr>
          <w:p w14:paraId="1F9C6F35">
            <w:pPr>
              <w:overflowPunct/>
              <w:bidi w:val="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Z＜100</w:t>
            </w:r>
          </w:p>
        </w:tc>
      </w:tr>
      <w:tr w14:paraId="2034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13" w:type="dxa"/>
            <w:vAlign w:val="center"/>
          </w:tcPr>
          <w:p w14:paraId="16AD8416">
            <w:pPr>
              <w:overflowPunct/>
              <w:bidi w:val="0"/>
              <w:spacing w:line="240" w:lineRule="exact"/>
              <w:jc w:val="center"/>
              <w:outlineLvl w:val="9"/>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其他未列明行业*</w:t>
            </w:r>
          </w:p>
        </w:tc>
        <w:tc>
          <w:tcPr>
            <w:tcW w:w="1369" w:type="dxa"/>
            <w:vAlign w:val="center"/>
          </w:tcPr>
          <w:p w14:paraId="3BE43086">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从业人员(X)</w:t>
            </w:r>
          </w:p>
        </w:tc>
        <w:tc>
          <w:tcPr>
            <w:tcW w:w="709" w:type="dxa"/>
            <w:vAlign w:val="center"/>
          </w:tcPr>
          <w:p w14:paraId="7DC86B61">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人</w:t>
            </w:r>
          </w:p>
        </w:tc>
        <w:tc>
          <w:tcPr>
            <w:tcW w:w="1125" w:type="dxa"/>
            <w:vAlign w:val="center"/>
          </w:tcPr>
          <w:p w14:paraId="7A5FAD47">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X≥300</w:t>
            </w:r>
          </w:p>
        </w:tc>
        <w:tc>
          <w:tcPr>
            <w:tcW w:w="1701" w:type="dxa"/>
            <w:vAlign w:val="center"/>
          </w:tcPr>
          <w:p w14:paraId="728A2B8A">
            <w:pPr>
              <w:overflowPunct/>
              <w:bidi w:val="0"/>
              <w:spacing w:line="240" w:lineRule="exact"/>
              <w:ind w:left="1" w:leftChars="-51" w:hanging="108" w:hangingChars="60"/>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100≤X＜300 </w:t>
            </w:r>
          </w:p>
        </w:tc>
        <w:tc>
          <w:tcPr>
            <w:tcW w:w="1426" w:type="dxa"/>
            <w:vAlign w:val="center"/>
          </w:tcPr>
          <w:p w14:paraId="084B79CC">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 xml:space="preserve"> 10≤X＜100</w:t>
            </w:r>
          </w:p>
        </w:tc>
        <w:tc>
          <w:tcPr>
            <w:tcW w:w="992" w:type="dxa"/>
            <w:vAlign w:val="center"/>
          </w:tcPr>
          <w:p w14:paraId="6E234E5B">
            <w:pPr>
              <w:overflowPunct/>
              <w:bidi w:val="0"/>
              <w:spacing w:line="240" w:lineRule="exact"/>
              <w:outlineLvl w:val="9"/>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eastAsia="宋体" w:cs="宋体"/>
                <w:b/>
                <w:color w:val="000000" w:themeColor="text1"/>
                <w:sz w:val="18"/>
                <w:szCs w:val="18"/>
                <w:highlight w:val="none"/>
                <w14:textFill>
                  <w14:solidFill>
                    <w14:schemeClr w14:val="tx1"/>
                  </w14:solidFill>
                </w14:textFill>
              </w:rPr>
              <w:t>X＜10</w:t>
            </w:r>
          </w:p>
        </w:tc>
      </w:tr>
    </w:tbl>
    <w:p w14:paraId="7A0A6B34">
      <w:pPr>
        <w:overflowPunct/>
        <w:bidi w:val="0"/>
        <w:spacing w:line="400" w:lineRule="exact"/>
        <w:outlineLvl w:val="9"/>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说明：</w:t>
      </w:r>
    </w:p>
    <w:p w14:paraId="54722227">
      <w:pPr>
        <w:overflowPunct/>
        <w:bidi w:val="0"/>
        <w:spacing w:line="400" w:lineRule="exact"/>
        <w:outlineLvl w:val="9"/>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　　1.大型、中型和小型企业须同时满足所列指标的下限，否则下划一档；微型企业只须满足所列指标中的一项即可。</w:t>
      </w:r>
    </w:p>
    <w:p w14:paraId="0E1A9818">
      <w:pPr>
        <w:overflowPunct/>
        <w:bidi w:val="0"/>
        <w:spacing w:line="400" w:lineRule="exact"/>
        <w:ind w:firstLine="452"/>
        <w:outlineLvl w:val="9"/>
        <w:rPr>
          <w:rFonts w:hint="eastAsia" w:ascii="宋体" w:hAnsi="宋体" w:eastAsia="宋体" w:cs="宋体"/>
          <w:color w:val="000000" w:themeColor="text1"/>
          <w:spacing w:val="8"/>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2CB0175">
      <w:pPr>
        <w:overflowPunct/>
        <w:bidi w:val="0"/>
        <w:spacing w:line="400" w:lineRule="exact"/>
        <w:ind w:firstLine="452"/>
        <w:outlineLvl w:val="9"/>
        <w:rPr>
          <w:rFonts w:ascii="宋体" w:hAnsi="宋体"/>
          <w:b/>
          <w:color w:val="000000" w:themeColor="text1"/>
          <w:szCs w:val="32"/>
          <w:highlight w:val="none"/>
          <w:lang w:val="zh-CN"/>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ascii="宋体" w:hAnsi="宋体" w:cs="宋体"/>
          <w:color w:val="000000" w:themeColor="text1"/>
          <w:spacing w:val="8"/>
          <w:sz w:val="21"/>
          <w:szCs w:val="21"/>
          <w:highlight w:val="none"/>
          <w:lang w:eastAsia="zh-CN"/>
          <w14:textFill>
            <w14:solidFill>
              <w14:schemeClr w14:val="tx1"/>
            </w14:solidFill>
          </w14:textFill>
        </w:rPr>
        <w:t>。</w:t>
      </w:r>
    </w:p>
    <w:sectPr>
      <w:pgSz w:w="11906" w:h="16838"/>
      <w:pgMar w:top="1134" w:right="1418" w:bottom="1134" w:left="1418"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A604CF7-95C3-40A0-A9E5-0C357106EFDC}"/>
  </w:font>
  <w:font w:name="黑体">
    <w:panose1 w:val="02010609060101010101"/>
    <w:charset w:val="86"/>
    <w:family w:val="auto"/>
    <w:pitch w:val="default"/>
    <w:sig w:usb0="800002BF" w:usb1="38CF7CFA" w:usb2="00000016" w:usb3="00000000" w:csb0="00040001" w:csb1="00000000"/>
    <w:embedRegular r:id="rId2" w:fontKey="{841EB2B7-670F-4D81-BD62-26E2DA7247D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embedRegular r:id="rId3" w:fontKey="{36880B3F-6F54-4FAF-A410-C9AD8472CA98}"/>
  </w:font>
  <w:font w:name="方正小标宋简体">
    <w:panose1 w:val="02000000000000000000"/>
    <w:charset w:val="86"/>
    <w:family w:val="auto"/>
    <w:pitch w:val="default"/>
    <w:sig w:usb0="00000001" w:usb1="08000000" w:usb2="00000000" w:usb3="00000000" w:csb0="00040000" w:csb1="00000000"/>
    <w:embedRegular r:id="rId4" w:fontKey="{E84C80AA-2C1A-4C07-91C3-DD300A380628}"/>
  </w:font>
  <w:font w:name="Wingdings 2">
    <w:panose1 w:val="05020102010507070707"/>
    <w:charset w:val="02"/>
    <w:family w:val="auto"/>
    <w:pitch w:val="default"/>
    <w:sig w:usb0="00000000" w:usb1="00000000" w:usb2="00000000" w:usb3="00000000" w:csb0="80000000" w:csb1="00000000"/>
    <w:embedRegular r:id="rId5" w:fontKey="{F8C19E1D-F921-4E4C-8E94-DF49BC9F4C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CA548">
    <w:pPr>
      <w:pStyle w:val="25"/>
      <w:framePr w:wrap="around" w:vAnchor="text" w:hAnchor="margin" w:xAlign="center" w:y="1"/>
      <w:rPr>
        <w:rStyle w:val="42"/>
      </w:rPr>
    </w:pPr>
    <w:r>
      <w:fldChar w:fldCharType="begin"/>
    </w:r>
    <w:r>
      <w:rPr>
        <w:rStyle w:val="42"/>
      </w:rPr>
      <w:instrText xml:space="preserve">PAGE  </w:instrText>
    </w:r>
    <w:r>
      <w:fldChar w:fldCharType="separate"/>
    </w:r>
    <w:r>
      <w:rPr>
        <w:rStyle w:val="42"/>
      </w:rPr>
      <w:t>78</w:t>
    </w:r>
    <w:r>
      <w:fldChar w:fldCharType="end"/>
    </w:r>
  </w:p>
  <w:p w14:paraId="5A25040F">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DFFC3">
    <w:pPr>
      <w:pStyle w:val="25"/>
      <w:tabs>
        <w:tab w:val="left" w:pos="6795"/>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4C6D">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2A7E1">
    <w:pPr>
      <w:pStyle w:val="2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64A3E7">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864A3E7">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28093">
    <w:pPr>
      <w:pStyle w:val="2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625C9">
                          <w:pPr>
                            <w:pStyle w:val="25"/>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1F625C9">
                    <w:pPr>
                      <w:pStyle w:val="2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E3E5B">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73285">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42CF4">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19E3ED"/>
    <w:multiLevelType w:val="multilevel"/>
    <w:tmpl w:val="AD19E3ED"/>
    <w:lvl w:ilvl="0" w:tentative="0">
      <w:start w:val="1"/>
      <w:numFmt w:val="chineseCounting"/>
      <w:pStyle w:val="2"/>
      <w:suff w:val="nothing"/>
      <w:lvlText w:val="第%1章 "/>
      <w:lvlJc w:val="left"/>
      <w:pPr>
        <w:ind w:left="0" w:firstLine="402"/>
      </w:pPr>
      <w:rPr>
        <w:rFonts w:hint="eastAsia"/>
        <w:sz w:val="44"/>
        <w:szCs w:val="44"/>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15099E39"/>
    <w:multiLevelType w:val="singleLevel"/>
    <w:tmpl w:val="15099E39"/>
    <w:lvl w:ilvl="0" w:tentative="0">
      <w:start w:val="7"/>
      <w:numFmt w:val="chineseCounting"/>
      <w:suff w:val="nothing"/>
      <w:lvlText w:val="%1、"/>
      <w:lvlJc w:val="left"/>
      <w:rPr>
        <w:rFonts w:hint="eastAsia"/>
      </w:rPr>
    </w:lvl>
  </w:abstractNum>
  <w:abstractNum w:abstractNumId="2">
    <w:nsid w:val="2797B736"/>
    <w:multiLevelType w:val="singleLevel"/>
    <w:tmpl w:val="2797B736"/>
    <w:lvl w:ilvl="0" w:tentative="0">
      <w:start w:val="6"/>
      <w:numFmt w:val="decimal"/>
      <w:suff w:val="nothing"/>
      <w:lvlText w:val="%1、"/>
      <w:lvlJc w:val="left"/>
    </w:lvl>
  </w:abstractNum>
  <w:abstractNum w:abstractNumId="3">
    <w:nsid w:val="349D8517"/>
    <w:multiLevelType w:val="singleLevel"/>
    <w:tmpl w:val="349D8517"/>
    <w:lvl w:ilvl="0" w:tentative="0">
      <w:start w:val="1"/>
      <w:numFmt w:val="decimal"/>
      <w:suff w:val="nothing"/>
      <w:lvlText w:val="%1、"/>
      <w:lvlJc w:val="left"/>
    </w:lvl>
  </w:abstractNum>
  <w:abstractNum w:abstractNumId="4">
    <w:nsid w:val="4EEB5ED9"/>
    <w:multiLevelType w:val="singleLevel"/>
    <w:tmpl w:val="4EEB5ED9"/>
    <w:lvl w:ilvl="0" w:tentative="0">
      <w:start w:val="1"/>
      <w:numFmt w:val="decimal"/>
      <w:lvlText w:val="%1."/>
      <w:lvlJc w:val="left"/>
      <w:pPr>
        <w:tabs>
          <w:tab w:val="left" w:pos="312"/>
        </w:tabs>
      </w:pPr>
    </w:lvl>
  </w:abstractNum>
  <w:abstractNum w:abstractNumId="5">
    <w:nsid w:val="77921E00"/>
    <w:multiLevelType w:val="singleLevel"/>
    <w:tmpl w:val="77921E00"/>
    <w:lvl w:ilvl="0" w:tentative="0">
      <w:start w:val="1"/>
      <w:numFmt w:val="decimal"/>
      <w:suff w:val="nothing"/>
      <w:lvlText w:val="（%1）"/>
      <w:lvlJc w:val="left"/>
    </w:lvl>
  </w:abstractNum>
  <w:abstractNum w:abstractNumId="6">
    <w:nsid w:val="7A55EF4A"/>
    <w:multiLevelType w:val="singleLevel"/>
    <w:tmpl w:val="7A55EF4A"/>
    <w:lvl w:ilvl="0" w:tentative="0">
      <w:start w:val="1"/>
      <w:numFmt w:val="decimal"/>
      <w:suff w:val="nothing"/>
      <w:lvlText w:val="%1、"/>
      <w:lvlJc w:val="left"/>
    </w:lvl>
  </w:abstractNum>
  <w:num w:numId="1">
    <w:abstractNumId w:val="0"/>
  </w:num>
  <w:num w:numId="2">
    <w:abstractNumId w:val="6"/>
  </w:num>
  <w:num w:numId="3">
    <w:abstractNumId w:val="1"/>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NmJjMjFiNTQ1OTkyZmQxZWRhNmFjMmJmZjRlMDYifQ=="/>
  </w:docVars>
  <w:rsids>
    <w:rsidRoot w:val="00172A27"/>
    <w:rsid w:val="0000127A"/>
    <w:rsid w:val="000046E4"/>
    <w:rsid w:val="0000600D"/>
    <w:rsid w:val="00010974"/>
    <w:rsid w:val="00010D74"/>
    <w:rsid w:val="00011097"/>
    <w:rsid w:val="000125FF"/>
    <w:rsid w:val="00014BD2"/>
    <w:rsid w:val="000151D0"/>
    <w:rsid w:val="0002006B"/>
    <w:rsid w:val="000200E6"/>
    <w:rsid w:val="000219C1"/>
    <w:rsid w:val="000222C3"/>
    <w:rsid w:val="0003050C"/>
    <w:rsid w:val="00032252"/>
    <w:rsid w:val="00032C03"/>
    <w:rsid w:val="00032CE7"/>
    <w:rsid w:val="00033098"/>
    <w:rsid w:val="0003309A"/>
    <w:rsid w:val="000344EB"/>
    <w:rsid w:val="00037005"/>
    <w:rsid w:val="00037FA1"/>
    <w:rsid w:val="00040207"/>
    <w:rsid w:val="00040C2A"/>
    <w:rsid w:val="000415BC"/>
    <w:rsid w:val="00041A17"/>
    <w:rsid w:val="0004360F"/>
    <w:rsid w:val="000436B4"/>
    <w:rsid w:val="00044E26"/>
    <w:rsid w:val="00045457"/>
    <w:rsid w:val="00046B26"/>
    <w:rsid w:val="0005142E"/>
    <w:rsid w:val="00053CE3"/>
    <w:rsid w:val="00053D32"/>
    <w:rsid w:val="000564DD"/>
    <w:rsid w:val="000571DB"/>
    <w:rsid w:val="00060D3F"/>
    <w:rsid w:val="00061102"/>
    <w:rsid w:val="00062204"/>
    <w:rsid w:val="00062361"/>
    <w:rsid w:val="00062603"/>
    <w:rsid w:val="000640F9"/>
    <w:rsid w:val="000646A3"/>
    <w:rsid w:val="00066E42"/>
    <w:rsid w:val="00072E30"/>
    <w:rsid w:val="000749B0"/>
    <w:rsid w:val="00083EEE"/>
    <w:rsid w:val="00084F26"/>
    <w:rsid w:val="000861E8"/>
    <w:rsid w:val="00086E4F"/>
    <w:rsid w:val="00086FA6"/>
    <w:rsid w:val="0009068A"/>
    <w:rsid w:val="00092B68"/>
    <w:rsid w:val="00095698"/>
    <w:rsid w:val="00095CE3"/>
    <w:rsid w:val="000966F1"/>
    <w:rsid w:val="000A06E4"/>
    <w:rsid w:val="000A0823"/>
    <w:rsid w:val="000A229C"/>
    <w:rsid w:val="000A4704"/>
    <w:rsid w:val="000A610B"/>
    <w:rsid w:val="000A7E4A"/>
    <w:rsid w:val="000B00B7"/>
    <w:rsid w:val="000B07E4"/>
    <w:rsid w:val="000B19CA"/>
    <w:rsid w:val="000B552C"/>
    <w:rsid w:val="000C4DBE"/>
    <w:rsid w:val="000C5BCA"/>
    <w:rsid w:val="000D1CD0"/>
    <w:rsid w:val="000D78B7"/>
    <w:rsid w:val="000E0C7D"/>
    <w:rsid w:val="000E110B"/>
    <w:rsid w:val="000E15BE"/>
    <w:rsid w:val="000E1BA4"/>
    <w:rsid w:val="000E1D72"/>
    <w:rsid w:val="000E2328"/>
    <w:rsid w:val="000E344B"/>
    <w:rsid w:val="000E5FEC"/>
    <w:rsid w:val="000F25C5"/>
    <w:rsid w:val="000F298B"/>
    <w:rsid w:val="000F356D"/>
    <w:rsid w:val="000F3915"/>
    <w:rsid w:val="000F3A51"/>
    <w:rsid w:val="000F6D32"/>
    <w:rsid w:val="000F71F0"/>
    <w:rsid w:val="000F72C9"/>
    <w:rsid w:val="000F78AE"/>
    <w:rsid w:val="000F7D3F"/>
    <w:rsid w:val="00100761"/>
    <w:rsid w:val="00101FFF"/>
    <w:rsid w:val="0010598A"/>
    <w:rsid w:val="00111685"/>
    <w:rsid w:val="00120AAE"/>
    <w:rsid w:val="00121240"/>
    <w:rsid w:val="00122ED0"/>
    <w:rsid w:val="00123224"/>
    <w:rsid w:val="0012586A"/>
    <w:rsid w:val="00130B36"/>
    <w:rsid w:val="00133DC7"/>
    <w:rsid w:val="001347DE"/>
    <w:rsid w:val="00136E66"/>
    <w:rsid w:val="00140E32"/>
    <w:rsid w:val="00142E14"/>
    <w:rsid w:val="001438F5"/>
    <w:rsid w:val="00146C4A"/>
    <w:rsid w:val="00147B57"/>
    <w:rsid w:val="001512A3"/>
    <w:rsid w:val="00152F88"/>
    <w:rsid w:val="00154C6F"/>
    <w:rsid w:val="00156533"/>
    <w:rsid w:val="00164525"/>
    <w:rsid w:val="001658AF"/>
    <w:rsid w:val="0016618E"/>
    <w:rsid w:val="00166ED5"/>
    <w:rsid w:val="00171BE9"/>
    <w:rsid w:val="00172280"/>
    <w:rsid w:val="00172A27"/>
    <w:rsid w:val="00172BD7"/>
    <w:rsid w:val="001744F6"/>
    <w:rsid w:val="001750C6"/>
    <w:rsid w:val="001757BF"/>
    <w:rsid w:val="001773FD"/>
    <w:rsid w:val="00180575"/>
    <w:rsid w:val="001814BE"/>
    <w:rsid w:val="0018334D"/>
    <w:rsid w:val="00187B23"/>
    <w:rsid w:val="001911C0"/>
    <w:rsid w:val="001917B7"/>
    <w:rsid w:val="0019241A"/>
    <w:rsid w:val="001938E2"/>
    <w:rsid w:val="00194F75"/>
    <w:rsid w:val="001954E3"/>
    <w:rsid w:val="001956F2"/>
    <w:rsid w:val="001973FE"/>
    <w:rsid w:val="001978B0"/>
    <w:rsid w:val="001A2289"/>
    <w:rsid w:val="001A38B0"/>
    <w:rsid w:val="001A79FC"/>
    <w:rsid w:val="001B0C35"/>
    <w:rsid w:val="001C0CD6"/>
    <w:rsid w:val="001C3EB4"/>
    <w:rsid w:val="001C3FBD"/>
    <w:rsid w:val="001C637E"/>
    <w:rsid w:val="001C6389"/>
    <w:rsid w:val="001C63E2"/>
    <w:rsid w:val="001C6661"/>
    <w:rsid w:val="001C6A8E"/>
    <w:rsid w:val="001C79CF"/>
    <w:rsid w:val="001C7D41"/>
    <w:rsid w:val="001D0872"/>
    <w:rsid w:val="001E0039"/>
    <w:rsid w:val="001F17CC"/>
    <w:rsid w:val="001F6242"/>
    <w:rsid w:val="001F730E"/>
    <w:rsid w:val="00200766"/>
    <w:rsid w:val="00201459"/>
    <w:rsid w:val="0020305C"/>
    <w:rsid w:val="00205EF2"/>
    <w:rsid w:val="002063A9"/>
    <w:rsid w:val="00207973"/>
    <w:rsid w:val="00210F33"/>
    <w:rsid w:val="00214CEF"/>
    <w:rsid w:val="0021505B"/>
    <w:rsid w:val="002161A6"/>
    <w:rsid w:val="00223FFF"/>
    <w:rsid w:val="00230623"/>
    <w:rsid w:val="00232D94"/>
    <w:rsid w:val="00234676"/>
    <w:rsid w:val="0023649E"/>
    <w:rsid w:val="00236C97"/>
    <w:rsid w:val="00240005"/>
    <w:rsid w:val="002408AE"/>
    <w:rsid w:val="00241875"/>
    <w:rsid w:val="00242A12"/>
    <w:rsid w:val="00243E6F"/>
    <w:rsid w:val="00243ECD"/>
    <w:rsid w:val="0024446A"/>
    <w:rsid w:val="00244E2B"/>
    <w:rsid w:val="002463D2"/>
    <w:rsid w:val="002463EA"/>
    <w:rsid w:val="0025010E"/>
    <w:rsid w:val="002525C0"/>
    <w:rsid w:val="00254358"/>
    <w:rsid w:val="00256EA4"/>
    <w:rsid w:val="00257000"/>
    <w:rsid w:val="0025786E"/>
    <w:rsid w:val="00257AB2"/>
    <w:rsid w:val="00262786"/>
    <w:rsid w:val="00264C27"/>
    <w:rsid w:val="00264D2F"/>
    <w:rsid w:val="0026522F"/>
    <w:rsid w:val="002655ED"/>
    <w:rsid w:val="00271B79"/>
    <w:rsid w:val="00272443"/>
    <w:rsid w:val="002743CF"/>
    <w:rsid w:val="0028075C"/>
    <w:rsid w:val="00280E35"/>
    <w:rsid w:val="002811A6"/>
    <w:rsid w:val="00281AB3"/>
    <w:rsid w:val="00281EE0"/>
    <w:rsid w:val="00282923"/>
    <w:rsid w:val="00284F56"/>
    <w:rsid w:val="00285842"/>
    <w:rsid w:val="0029040E"/>
    <w:rsid w:val="002917A1"/>
    <w:rsid w:val="0029530E"/>
    <w:rsid w:val="002957B4"/>
    <w:rsid w:val="00297BE1"/>
    <w:rsid w:val="002A1243"/>
    <w:rsid w:val="002A1919"/>
    <w:rsid w:val="002A20B3"/>
    <w:rsid w:val="002A4FB2"/>
    <w:rsid w:val="002A5282"/>
    <w:rsid w:val="002B1B49"/>
    <w:rsid w:val="002B287F"/>
    <w:rsid w:val="002B7F6A"/>
    <w:rsid w:val="002C2564"/>
    <w:rsid w:val="002C3178"/>
    <w:rsid w:val="002C475E"/>
    <w:rsid w:val="002C498C"/>
    <w:rsid w:val="002C5518"/>
    <w:rsid w:val="002C5B9D"/>
    <w:rsid w:val="002C5EC5"/>
    <w:rsid w:val="002C683F"/>
    <w:rsid w:val="002C6F70"/>
    <w:rsid w:val="002C79EA"/>
    <w:rsid w:val="002D111D"/>
    <w:rsid w:val="002D42EE"/>
    <w:rsid w:val="002D44D5"/>
    <w:rsid w:val="002D4F24"/>
    <w:rsid w:val="002D4FCA"/>
    <w:rsid w:val="002D753F"/>
    <w:rsid w:val="002E0E2F"/>
    <w:rsid w:val="002E0FBF"/>
    <w:rsid w:val="002E28C1"/>
    <w:rsid w:val="002E5716"/>
    <w:rsid w:val="002E66D1"/>
    <w:rsid w:val="002E6F98"/>
    <w:rsid w:val="002E7AB6"/>
    <w:rsid w:val="002F01D8"/>
    <w:rsid w:val="002F1666"/>
    <w:rsid w:val="002F1BEE"/>
    <w:rsid w:val="002F24F3"/>
    <w:rsid w:val="002F31EE"/>
    <w:rsid w:val="002F5131"/>
    <w:rsid w:val="003002CF"/>
    <w:rsid w:val="00303816"/>
    <w:rsid w:val="00310DC8"/>
    <w:rsid w:val="00312F84"/>
    <w:rsid w:val="003140DB"/>
    <w:rsid w:val="00314317"/>
    <w:rsid w:val="00314675"/>
    <w:rsid w:val="003222A6"/>
    <w:rsid w:val="0032292E"/>
    <w:rsid w:val="00322954"/>
    <w:rsid w:val="003240E9"/>
    <w:rsid w:val="003241E0"/>
    <w:rsid w:val="00324FEC"/>
    <w:rsid w:val="00326E0F"/>
    <w:rsid w:val="00327DE2"/>
    <w:rsid w:val="003314F2"/>
    <w:rsid w:val="00331D2C"/>
    <w:rsid w:val="00331E05"/>
    <w:rsid w:val="003347D4"/>
    <w:rsid w:val="00334C25"/>
    <w:rsid w:val="00336574"/>
    <w:rsid w:val="00336F09"/>
    <w:rsid w:val="00336F44"/>
    <w:rsid w:val="003376E8"/>
    <w:rsid w:val="00337E81"/>
    <w:rsid w:val="00340DC7"/>
    <w:rsid w:val="003413E9"/>
    <w:rsid w:val="00341F1C"/>
    <w:rsid w:val="00342B02"/>
    <w:rsid w:val="00344971"/>
    <w:rsid w:val="003458D6"/>
    <w:rsid w:val="00346898"/>
    <w:rsid w:val="00347869"/>
    <w:rsid w:val="00353706"/>
    <w:rsid w:val="00355EF8"/>
    <w:rsid w:val="0036070C"/>
    <w:rsid w:val="00361FD0"/>
    <w:rsid w:val="00362424"/>
    <w:rsid w:val="0036346B"/>
    <w:rsid w:val="0036418B"/>
    <w:rsid w:val="00367CD5"/>
    <w:rsid w:val="00370680"/>
    <w:rsid w:val="00370E65"/>
    <w:rsid w:val="0037143C"/>
    <w:rsid w:val="003724EA"/>
    <w:rsid w:val="00372C9F"/>
    <w:rsid w:val="00380A6E"/>
    <w:rsid w:val="00385443"/>
    <w:rsid w:val="003924D0"/>
    <w:rsid w:val="00394DBB"/>
    <w:rsid w:val="0039595B"/>
    <w:rsid w:val="003959BD"/>
    <w:rsid w:val="00395CE3"/>
    <w:rsid w:val="003973A5"/>
    <w:rsid w:val="003A19F7"/>
    <w:rsid w:val="003A4871"/>
    <w:rsid w:val="003A641E"/>
    <w:rsid w:val="003A70B4"/>
    <w:rsid w:val="003A716A"/>
    <w:rsid w:val="003A7351"/>
    <w:rsid w:val="003B0D5F"/>
    <w:rsid w:val="003B1CB2"/>
    <w:rsid w:val="003B5F2C"/>
    <w:rsid w:val="003B62CB"/>
    <w:rsid w:val="003B6338"/>
    <w:rsid w:val="003C0736"/>
    <w:rsid w:val="003C0B59"/>
    <w:rsid w:val="003C0EF7"/>
    <w:rsid w:val="003C3A4F"/>
    <w:rsid w:val="003D0F5E"/>
    <w:rsid w:val="003D1E87"/>
    <w:rsid w:val="003D2A8A"/>
    <w:rsid w:val="003D3D8D"/>
    <w:rsid w:val="003D5C8D"/>
    <w:rsid w:val="003D60CD"/>
    <w:rsid w:val="003D6932"/>
    <w:rsid w:val="003E6E6E"/>
    <w:rsid w:val="003F1678"/>
    <w:rsid w:val="003F2733"/>
    <w:rsid w:val="003F5AFB"/>
    <w:rsid w:val="003F5F4E"/>
    <w:rsid w:val="003F6DBE"/>
    <w:rsid w:val="003F7741"/>
    <w:rsid w:val="003F7C23"/>
    <w:rsid w:val="0040153E"/>
    <w:rsid w:val="004021B2"/>
    <w:rsid w:val="00402E72"/>
    <w:rsid w:val="00403E3E"/>
    <w:rsid w:val="0041110E"/>
    <w:rsid w:val="00415A68"/>
    <w:rsid w:val="00415D1F"/>
    <w:rsid w:val="004170BB"/>
    <w:rsid w:val="0042161D"/>
    <w:rsid w:val="00423BD6"/>
    <w:rsid w:val="00425789"/>
    <w:rsid w:val="0042746A"/>
    <w:rsid w:val="0043473E"/>
    <w:rsid w:val="00434D03"/>
    <w:rsid w:val="00444F0E"/>
    <w:rsid w:val="00445DE0"/>
    <w:rsid w:val="00446170"/>
    <w:rsid w:val="00447102"/>
    <w:rsid w:val="00447C5D"/>
    <w:rsid w:val="00451945"/>
    <w:rsid w:val="00452707"/>
    <w:rsid w:val="00452DE7"/>
    <w:rsid w:val="00452E1D"/>
    <w:rsid w:val="004534E6"/>
    <w:rsid w:val="00454A50"/>
    <w:rsid w:val="00454ED7"/>
    <w:rsid w:val="004563EE"/>
    <w:rsid w:val="00456700"/>
    <w:rsid w:val="0046176F"/>
    <w:rsid w:val="00461B11"/>
    <w:rsid w:val="00461B7E"/>
    <w:rsid w:val="00464AC0"/>
    <w:rsid w:val="00464F95"/>
    <w:rsid w:val="00465F61"/>
    <w:rsid w:val="00467FB4"/>
    <w:rsid w:val="00472D21"/>
    <w:rsid w:val="00473E3D"/>
    <w:rsid w:val="00473E4C"/>
    <w:rsid w:val="00480632"/>
    <w:rsid w:val="00481882"/>
    <w:rsid w:val="00483C7D"/>
    <w:rsid w:val="00484827"/>
    <w:rsid w:val="0049052E"/>
    <w:rsid w:val="0049531E"/>
    <w:rsid w:val="004967B7"/>
    <w:rsid w:val="00496F27"/>
    <w:rsid w:val="004975DD"/>
    <w:rsid w:val="004A0005"/>
    <w:rsid w:val="004A312F"/>
    <w:rsid w:val="004A31A2"/>
    <w:rsid w:val="004A345A"/>
    <w:rsid w:val="004A6C98"/>
    <w:rsid w:val="004B0339"/>
    <w:rsid w:val="004B0348"/>
    <w:rsid w:val="004B156D"/>
    <w:rsid w:val="004B38DC"/>
    <w:rsid w:val="004B54F7"/>
    <w:rsid w:val="004B5AF8"/>
    <w:rsid w:val="004C30B9"/>
    <w:rsid w:val="004D09E0"/>
    <w:rsid w:val="004D4C79"/>
    <w:rsid w:val="004D59BD"/>
    <w:rsid w:val="004D5ADB"/>
    <w:rsid w:val="004E3942"/>
    <w:rsid w:val="004E44D2"/>
    <w:rsid w:val="004E59C6"/>
    <w:rsid w:val="004E5DC7"/>
    <w:rsid w:val="004F21C9"/>
    <w:rsid w:val="004F60B2"/>
    <w:rsid w:val="004F7EC7"/>
    <w:rsid w:val="00505D12"/>
    <w:rsid w:val="00510425"/>
    <w:rsid w:val="00510663"/>
    <w:rsid w:val="00511016"/>
    <w:rsid w:val="0051316F"/>
    <w:rsid w:val="00520007"/>
    <w:rsid w:val="00520999"/>
    <w:rsid w:val="00520B7E"/>
    <w:rsid w:val="00521380"/>
    <w:rsid w:val="00525007"/>
    <w:rsid w:val="00530EB2"/>
    <w:rsid w:val="005334CE"/>
    <w:rsid w:val="0053564B"/>
    <w:rsid w:val="005363BC"/>
    <w:rsid w:val="0053721E"/>
    <w:rsid w:val="0053728E"/>
    <w:rsid w:val="0053732E"/>
    <w:rsid w:val="0053785D"/>
    <w:rsid w:val="00540C7E"/>
    <w:rsid w:val="005419BD"/>
    <w:rsid w:val="00542B73"/>
    <w:rsid w:val="005435D2"/>
    <w:rsid w:val="00544E6C"/>
    <w:rsid w:val="00547AF6"/>
    <w:rsid w:val="00552127"/>
    <w:rsid w:val="00553434"/>
    <w:rsid w:val="00556C93"/>
    <w:rsid w:val="00557E3D"/>
    <w:rsid w:val="00560A95"/>
    <w:rsid w:val="00562CC7"/>
    <w:rsid w:val="005633AA"/>
    <w:rsid w:val="00565E79"/>
    <w:rsid w:val="00566101"/>
    <w:rsid w:val="00566D3D"/>
    <w:rsid w:val="00571145"/>
    <w:rsid w:val="00573200"/>
    <w:rsid w:val="0057386B"/>
    <w:rsid w:val="00574BAE"/>
    <w:rsid w:val="00575F89"/>
    <w:rsid w:val="00576290"/>
    <w:rsid w:val="005770EC"/>
    <w:rsid w:val="005776DC"/>
    <w:rsid w:val="005805C7"/>
    <w:rsid w:val="005845EA"/>
    <w:rsid w:val="005950BE"/>
    <w:rsid w:val="00595675"/>
    <w:rsid w:val="00595FC1"/>
    <w:rsid w:val="005A0060"/>
    <w:rsid w:val="005A3FC1"/>
    <w:rsid w:val="005B05D4"/>
    <w:rsid w:val="005B1161"/>
    <w:rsid w:val="005B2960"/>
    <w:rsid w:val="005B48BD"/>
    <w:rsid w:val="005B4D7D"/>
    <w:rsid w:val="005B5AA7"/>
    <w:rsid w:val="005B5D27"/>
    <w:rsid w:val="005C0B67"/>
    <w:rsid w:val="005C0C44"/>
    <w:rsid w:val="005C0CC4"/>
    <w:rsid w:val="005C1192"/>
    <w:rsid w:val="005C1441"/>
    <w:rsid w:val="005C51D2"/>
    <w:rsid w:val="005C5FA8"/>
    <w:rsid w:val="005D1DE0"/>
    <w:rsid w:val="005D664F"/>
    <w:rsid w:val="005D7472"/>
    <w:rsid w:val="005E1BA1"/>
    <w:rsid w:val="005E2B57"/>
    <w:rsid w:val="005E7453"/>
    <w:rsid w:val="005E7A30"/>
    <w:rsid w:val="005F488B"/>
    <w:rsid w:val="005F5E5A"/>
    <w:rsid w:val="00602673"/>
    <w:rsid w:val="006029B0"/>
    <w:rsid w:val="00602CCE"/>
    <w:rsid w:val="006047E6"/>
    <w:rsid w:val="006061A0"/>
    <w:rsid w:val="006104BC"/>
    <w:rsid w:val="0061446A"/>
    <w:rsid w:val="0061632D"/>
    <w:rsid w:val="0062056D"/>
    <w:rsid w:val="00620996"/>
    <w:rsid w:val="0062106A"/>
    <w:rsid w:val="00625060"/>
    <w:rsid w:val="00631A85"/>
    <w:rsid w:val="0063502A"/>
    <w:rsid w:val="0063572B"/>
    <w:rsid w:val="00640427"/>
    <w:rsid w:val="006424B9"/>
    <w:rsid w:val="00644077"/>
    <w:rsid w:val="00647514"/>
    <w:rsid w:val="00651C95"/>
    <w:rsid w:val="00652185"/>
    <w:rsid w:val="00653C1B"/>
    <w:rsid w:val="00654977"/>
    <w:rsid w:val="00660D36"/>
    <w:rsid w:val="00663A43"/>
    <w:rsid w:val="00667818"/>
    <w:rsid w:val="00667BB8"/>
    <w:rsid w:val="00673ACF"/>
    <w:rsid w:val="00673BB9"/>
    <w:rsid w:val="0067516A"/>
    <w:rsid w:val="00675A3F"/>
    <w:rsid w:val="00676039"/>
    <w:rsid w:val="006952DB"/>
    <w:rsid w:val="00696688"/>
    <w:rsid w:val="006A04D6"/>
    <w:rsid w:val="006A0E43"/>
    <w:rsid w:val="006A430A"/>
    <w:rsid w:val="006A4760"/>
    <w:rsid w:val="006A4D72"/>
    <w:rsid w:val="006A6D80"/>
    <w:rsid w:val="006B0604"/>
    <w:rsid w:val="006B1C14"/>
    <w:rsid w:val="006B1D53"/>
    <w:rsid w:val="006B26D0"/>
    <w:rsid w:val="006B4B65"/>
    <w:rsid w:val="006C200B"/>
    <w:rsid w:val="006C6228"/>
    <w:rsid w:val="006D047A"/>
    <w:rsid w:val="006D2B07"/>
    <w:rsid w:val="006D388F"/>
    <w:rsid w:val="006D6F27"/>
    <w:rsid w:val="006E1A93"/>
    <w:rsid w:val="006E2DFF"/>
    <w:rsid w:val="006E363E"/>
    <w:rsid w:val="006E389F"/>
    <w:rsid w:val="006E73DC"/>
    <w:rsid w:val="006E74AD"/>
    <w:rsid w:val="006F0B27"/>
    <w:rsid w:val="006F12FE"/>
    <w:rsid w:val="006F33AC"/>
    <w:rsid w:val="006F415F"/>
    <w:rsid w:val="006F41ED"/>
    <w:rsid w:val="006F4A3A"/>
    <w:rsid w:val="006F4D08"/>
    <w:rsid w:val="006F4EF7"/>
    <w:rsid w:val="006F4FC6"/>
    <w:rsid w:val="00700AC4"/>
    <w:rsid w:val="0070226B"/>
    <w:rsid w:val="00703987"/>
    <w:rsid w:val="00705DE9"/>
    <w:rsid w:val="007073DD"/>
    <w:rsid w:val="00707815"/>
    <w:rsid w:val="00712848"/>
    <w:rsid w:val="007140CB"/>
    <w:rsid w:val="00714BD3"/>
    <w:rsid w:val="007163BB"/>
    <w:rsid w:val="007203AE"/>
    <w:rsid w:val="00724326"/>
    <w:rsid w:val="00730F37"/>
    <w:rsid w:val="00732238"/>
    <w:rsid w:val="007346EF"/>
    <w:rsid w:val="00734724"/>
    <w:rsid w:val="00736D1C"/>
    <w:rsid w:val="007404F7"/>
    <w:rsid w:val="00740C29"/>
    <w:rsid w:val="007426A7"/>
    <w:rsid w:val="00742AEF"/>
    <w:rsid w:val="00742F53"/>
    <w:rsid w:val="00744D03"/>
    <w:rsid w:val="0074541E"/>
    <w:rsid w:val="007465C3"/>
    <w:rsid w:val="00746A82"/>
    <w:rsid w:val="00746C36"/>
    <w:rsid w:val="00747644"/>
    <w:rsid w:val="00752BD1"/>
    <w:rsid w:val="00753235"/>
    <w:rsid w:val="00757508"/>
    <w:rsid w:val="0076018B"/>
    <w:rsid w:val="00762605"/>
    <w:rsid w:val="007627FF"/>
    <w:rsid w:val="007649EA"/>
    <w:rsid w:val="00764A13"/>
    <w:rsid w:val="00764E62"/>
    <w:rsid w:val="00765277"/>
    <w:rsid w:val="007665A0"/>
    <w:rsid w:val="00767B18"/>
    <w:rsid w:val="007708FA"/>
    <w:rsid w:val="00771C9B"/>
    <w:rsid w:val="00771F3A"/>
    <w:rsid w:val="00771FD8"/>
    <w:rsid w:val="00776161"/>
    <w:rsid w:val="0077723D"/>
    <w:rsid w:val="0077737A"/>
    <w:rsid w:val="00785625"/>
    <w:rsid w:val="00785F2C"/>
    <w:rsid w:val="00787F11"/>
    <w:rsid w:val="00793B30"/>
    <w:rsid w:val="007976C2"/>
    <w:rsid w:val="007A1955"/>
    <w:rsid w:val="007A1EC3"/>
    <w:rsid w:val="007A30A1"/>
    <w:rsid w:val="007A3521"/>
    <w:rsid w:val="007A5E83"/>
    <w:rsid w:val="007A735C"/>
    <w:rsid w:val="007A7DC7"/>
    <w:rsid w:val="007B0DF2"/>
    <w:rsid w:val="007B2946"/>
    <w:rsid w:val="007B30BA"/>
    <w:rsid w:val="007B38A8"/>
    <w:rsid w:val="007B3C5B"/>
    <w:rsid w:val="007B4F46"/>
    <w:rsid w:val="007B5345"/>
    <w:rsid w:val="007B6253"/>
    <w:rsid w:val="007B7A7E"/>
    <w:rsid w:val="007C061A"/>
    <w:rsid w:val="007C0951"/>
    <w:rsid w:val="007C0A72"/>
    <w:rsid w:val="007C3467"/>
    <w:rsid w:val="007C5197"/>
    <w:rsid w:val="007C5AF8"/>
    <w:rsid w:val="007C7807"/>
    <w:rsid w:val="007D6A56"/>
    <w:rsid w:val="007D762A"/>
    <w:rsid w:val="007E143A"/>
    <w:rsid w:val="007E2A71"/>
    <w:rsid w:val="007E3F53"/>
    <w:rsid w:val="007E621D"/>
    <w:rsid w:val="007E6E8B"/>
    <w:rsid w:val="007F1091"/>
    <w:rsid w:val="007F4157"/>
    <w:rsid w:val="007F4B9A"/>
    <w:rsid w:val="007F625E"/>
    <w:rsid w:val="007F7ADC"/>
    <w:rsid w:val="00804273"/>
    <w:rsid w:val="00804350"/>
    <w:rsid w:val="00805746"/>
    <w:rsid w:val="00807B92"/>
    <w:rsid w:val="008120CA"/>
    <w:rsid w:val="00815EB1"/>
    <w:rsid w:val="00815FE5"/>
    <w:rsid w:val="00821210"/>
    <w:rsid w:val="00821E08"/>
    <w:rsid w:val="0082520D"/>
    <w:rsid w:val="00825B2C"/>
    <w:rsid w:val="00826945"/>
    <w:rsid w:val="008327B7"/>
    <w:rsid w:val="00832F8D"/>
    <w:rsid w:val="008336F1"/>
    <w:rsid w:val="00834C59"/>
    <w:rsid w:val="008351E3"/>
    <w:rsid w:val="0083645A"/>
    <w:rsid w:val="008438E2"/>
    <w:rsid w:val="00847219"/>
    <w:rsid w:val="00850C3E"/>
    <w:rsid w:val="008520B7"/>
    <w:rsid w:val="00852EDB"/>
    <w:rsid w:val="008530B1"/>
    <w:rsid w:val="00860261"/>
    <w:rsid w:val="0086044D"/>
    <w:rsid w:val="00861DC5"/>
    <w:rsid w:val="00862BDF"/>
    <w:rsid w:val="008630B1"/>
    <w:rsid w:val="008631BC"/>
    <w:rsid w:val="00864703"/>
    <w:rsid w:val="00866AD7"/>
    <w:rsid w:val="00873FA1"/>
    <w:rsid w:val="0087483B"/>
    <w:rsid w:val="00876568"/>
    <w:rsid w:val="008804BF"/>
    <w:rsid w:val="0088162D"/>
    <w:rsid w:val="008843F8"/>
    <w:rsid w:val="008850FB"/>
    <w:rsid w:val="00891F1E"/>
    <w:rsid w:val="00893E68"/>
    <w:rsid w:val="00894AE7"/>
    <w:rsid w:val="00897565"/>
    <w:rsid w:val="008978A7"/>
    <w:rsid w:val="008A1CE2"/>
    <w:rsid w:val="008A49DD"/>
    <w:rsid w:val="008A536B"/>
    <w:rsid w:val="008B0B9D"/>
    <w:rsid w:val="008B3ADB"/>
    <w:rsid w:val="008B46B0"/>
    <w:rsid w:val="008B50D4"/>
    <w:rsid w:val="008B564C"/>
    <w:rsid w:val="008B6AE9"/>
    <w:rsid w:val="008C050F"/>
    <w:rsid w:val="008C06D2"/>
    <w:rsid w:val="008C2D53"/>
    <w:rsid w:val="008C4CC7"/>
    <w:rsid w:val="008D2B44"/>
    <w:rsid w:val="008D318B"/>
    <w:rsid w:val="008D36CB"/>
    <w:rsid w:val="008D7919"/>
    <w:rsid w:val="008D7C00"/>
    <w:rsid w:val="008E03F8"/>
    <w:rsid w:val="008E0793"/>
    <w:rsid w:val="008E1158"/>
    <w:rsid w:val="008E4F42"/>
    <w:rsid w:val="008E56F9"/>
    <w:rsid w:val="008E57C9"/>
    <w:rsid w:val="008E5D9C"/>
    <w:rsid w:val="008E68A0"/>
    <w:rsid w:val="008F05A1"/>
    <w:rsid w:val="008F0CF4"/>
    <w:rsid w:val="008F1D34"/>
    <w:rsid w:val="008F5FEA"/>
    <w:rsid w:val="008F6539"/>
    <w:rsid w:val="008F6FC6"/>
    <w:rsid w:val="0090131C"/>
    <w:rsid w:val="00902206"/>
    <w:rsid w:val="00902904"/>
    <w:rsid w:val="00903AAF"/>
    <w:rsid w:val="00903FC9"/>
    <w:rsid w:val="00906EB6"/>
    <w:rsid w:val="00907215"/>
    <w:rsid w:val="00907371"/>
    <w:rsid w:val="00907AF1"/>
    <w:rsid w:val="00907E25"/>
    <w:rsid w:val="00910EF4"/>
    <w:rsid w:val="009126C5"/>
    <w:rsid w:val="00912873"/>
    <w:rsid w:val="00912B2A"/>
    <w:rsid w:val="00915121"/>
    <w:rsid w:val="0091653E"/>
    <w:rsid w:val="009177A7"/>
    <w:rsid w:val="00917E16"/>
    <w:rsid w:val="009205C8"/>
    <w:rsid w:val="00921EDE"/>
    <w:rsid w:val="00922BE7"/>
    <w:rsid w:val="00923FFC"/>
    <w:rsid w:val="00924EC9"/>
    <w:rsid w:val="0092572F"/>
    <w:rsid w:val="009258BB"/>
    <w:rsid w:val="00930335"/>
    <w:rsid w:val="0093141F"/>
    <w:rsid w:val="009346D7"/>
    <w:rsid w:val="00940704"/>
    <w:rsid w:val="00942BF8"/>
    <w:rsid w:val="009435E7"/>
    <w:rsid w:val="009468AD"/>
    <w:rsid w:val="009505E3"/>
    <w:rsid w:val="009516E4"/>
    <w:rsid w:val="00953C51"/>
    <w:rsid w:val="009554BA"/>
    <w:rsid w:val="00955BF6"/>
    <w:rsid w:val="00955CF3"/>
    <w:rsid w:val="00956580"/>
    <w:rsid w:val="0096100F"/>
    <w:rsid w:val="00961423"/>
    <w:rsid w:val="00963144"/>
    <w:rsid w:val="00963675"/>
    <w:rsid w:val="00963A93"/>
    <w:rsid w:val="00970F2D"/>
    <w:rsid w:val="00971A88"/>
    <w:rsid w:val="009725B3"/>
    <w:rsid w:val="0097276B"/>
    <w:rsid w:val="00972FD2"/>
    <w:rsid w:val="00973249"/>
    <w:rsid w:val="009777D7"/>
    <w:rsid w:val="0098088F"/>
    <w:rsid w:val="009809A6"/>
    <w:rsid w:val="0098250F"/>
    <w:rsid w:val="00982786"/>
    <w:rsid w:val="00983F15"/>
    <w:rsid w:val="00985E20"/>
    <w:rsid w:val="00986022"/>
    <w:rsid w:val="009860C8"/>
    <w:rsid w:val="00987992"/>
    <w:rsid w:val="00992E59"/>
    <w:rsid w:val="00992E7D"/>
    <w:rsid w:val="00993ECF"/>
    <w:rsid w:val="00995996"/>
    <w:rsid w:val="00996520"/>
    <w:rsid w:val="00996957"/>
    <w:rsid w:val="00997399"/>
    <w:rsid w:val="009A1B14"/>
    <w:rsid w:val="009A7A2C"/>
    <w:rsid w:val="009B0197"/>
    <w:rsid w:val="009B0B48"/>
    <w:rsid w:val="009B192F"/>
    <w:rsid w:val="009B200E"/>
    <w:rsid w:val="009B2E25"/>
    <w:rsid w:val="009B2E8F"/>
    <w:rsid w:val="009B3907"/>
    <w:rsid w:val="009B3CB1"/>
    <w:rsid w:val="009B4254"/>
    <w:rsid w:val="009B58B8"/>
    <w:rsid w:val="009B61F7"/>
    <w:rsid w:val="009B66D5"/>
    <w:rsid w:val="009B6934"/>
    <w:rsid w:val="009C0B2E"/>
    <w:rsid w:val="009C1217"/>
    <w:rsid w:val="009C298D"/>
    <w:rsid w:val="009C3F41"/>
    <w:rsid w:val="009C470A"/>
    <w:rsid w:val="009C4868"/>
    <w:rsid w:val="009C57D5"/>
    <w:rsid w:val="009C59BE"/>
    <w:rsid w:val="009C6AE2"/>
    <w:rsid w:val="009D0288"/>
    <w:rsid w:val="009D0B23"/>
    <w:rsid w:val="009D16B5"/>
    <w:rsid w:val="009D75C0"/>
    <w:rsid w:val="009E03DB"/>
    <w:rsid w:val="009E0F96"/>
    <w:rsid w:val="009E2CD5"/>
    <w:rsid w:val="009E4681"/>
    <w:rsid w:val="009E7A9E"/>
    <w:rsid w:val="009F01CD"/>
    <w:rsid w:val="009F18A2"/>
    <w:rsid w:val="009F32E8"/>
    <w:rsid w:val="009F392D"/>
    <w:rsid w:val="009F3A14"/>
    <w:rsid w:val="009F4B28"/>
    <w:rsid w:val="009F7104"/>
    <w:rsid w:val="00A024AD"/>
    <w:rsid w:val="00A02F15"/>
    <w:rsid w:val="00A043DC"/>
    <w:rsid w:val="00A05879"/>
    <w:rsid w:val="00A06763"/>
    <w:rsid w:val="00A07AED"/>
    <w:rsid w:val="00A11026"/>
    <w:rsid w:val="00A14157"/>
    <w:rsid w:val="00A15AC5"/>
    <w:rsid w:val="00A177AC"/>
    <w:rsid w:val="00A21B83"/>
    <w:rsid w:val="00A22829"/>
    <w:rsid w:val="00A228DB"/>
    <w:rsid w:val="00A22A54"/>
    <w:rsid w:val="00A23075"/>
    <w:rsid w:val="00A24893"/>
    <w:rsid w:val="00A24D82"/>
    <w:rsid w:val="00A331DB"/>
    <w:rsid w:val="00A3563D"/>
    <w:rsid w:val="00A37D57"/>
    <w:rsid w:val="00A409D0"/>
    <w:rsid w:val="00A40D55"/>
    <w:rsid w:val="00A440CE"/>
    <w:rsid w:val="00A44CA4"/>
    <w:rsid w:val="00A50026"/>
    <w:rsid w:val="00A5115F"/>
    <w:rsid w:val="00A51EA9"/>
    <w:rsid w:val="00A535B4"/>
    <w:rsid w:val="00A548CE"/>
    <w:rsid w:val="00A5497D"/>
    <w:rsid w:val="00A57F2A"/>
    <w:rsid w:val="00A60BA5"/>
    <w:rsid w:val="00A61A4B"/>
    <w:rsid w:val="00A64586"/>
    <w:rsid w:val="00A67703"/>
    <w:rsid w:val="00A709B4"/>
    <w:rsid w:val="00A7119C"/>
    <w:rsid w:val="00A75C53"/>
    <w:rsid w:val="00A76B1E"/>
    <w:rsid w:val="00A76BD4"/>
    <w:rsid w:val="00A76F0C"/>
    <w:rsid w:val="00A76F1E"/>
    <w:rsid w:val="00A778F1"/>
    <w:rsid w:val="00A77982"/>
    <w:rsid w:val="00A83C62"/>
    <w:rsid w:val="00A83D7D"/>
    <w:rsid w:val="00A8429E"/>
    <w:rsid w:val="00A86CFA"/>
    <w:rsid w:val="00A8775C"/>
    <w:rsid w:val="00A87EE8"/>
    <w:rsid w:val="00A939C6"/>
    <w:rsid w:val="00A94329"/>
    <w:rsid w:val="00A94D95"/>
    <w:rsid w:val="00A96269"/>
    <w:rsid w:val="00A963A8"/>
    <w:rsid w:val="00A96949"/>
    <w:rsid w:val="00AA1C0D"/>
    <w:rsid w:val="00AA2A16"/>
    <w:rsid w:val="00AA4133"/>
    <w:rsid w:val="00AA47DA"/>
    <w:rsid w:val="00AA5598"/>
    <w:rsid w:val="00AB15F6"/>
    <w:rsid w:val="00AB657A"/>
    <w:rsid w:val="00AC1224"/>
    <w:rsid w:val="00AC1A8A"/>
    <w:rsid w:val="00AC21DC"/>
    <w:rsid w:val="00AC3F01"/>
    <w:rsid w:val="00AC63AB"/>
    <w:rsid w:val="00AD3514"/>
    <w:rsid w:val="00AE1CE2"/>
    <w:rsid w:val="00AE2804"/>
    <w:rsid w:val="00AE3E39"/>
    <w:rsid w:val="00AE625E"/>
    <w:rsid w:val="00AE6806"/>
    <w:rsid w:val="00AF0513"/>
    <w:rsid w:val="00AF3017"/>
    <w:rsid w:val="00AF3A84"/>
    <w:rsid w:val="00B00E20"/>
    <w:rsid w:val="00B01811"/>
    <w:rsid w:val="00B03DA4"/>
    <w:rsid w:val="00B06FB8"/>
    <w:rsid w:val="00B07AB4"/>
    <w:rsid w:val="00B12537"/>
    <w:rsid w:val="00B128B2"/>
    <w:rsid w:val="00B15364"/>
    <w:rsid w:val="00B15666"/>
    <w:rsid w:val="00B15C63"/>
    <w:rsid w:val="00B16B70"/>
    <w:rsid w:val="00B20C98"/>
    <w:rsid w:val="00B243DE"/>
    <w:rsid w:val="00B245D0"/>
    <w:rsid w:val="00B247B9"/>
    <w:rsid w:val="00B26751"/>
    <w:rsid w:val="00B316A1"/>
    <w:rsid w:val="00B318F8"/>
    <w:rsid w:val="00B335EC"/>
    <w:rsid w:val="00B33986"/>
    <w:rsid w:val="00B33DF2"/>
    <w:rsid w:val="00B33E5E"/>
    <w:rsid w:val="00B35F3A"/>
    <w:rsid w:val="00B411E2"/>
    <w:rsid w:val="00B419CD"/>
    <w:rsid w:val="00B42A62"/>
    <w:rsid w:val="00B43FB8"/>
    <w:rsid w:val="00B45064"/>
    <w:rsid w:val="00B45737"/>
    <w:rsid w:val="00B45D79"/>
    <w:rsid w:val="00B46533"/>
    <w:rsid w:val="00B46B1C"/>
    <w:rsid w:val="00B47F96"/>
    <w:rsid w:val="00B50234"/>
    <w:rsid w:val="00B51FCA"/>
    <w:rsid w:val="00B55348"/>
    <w:rsid w:val="00B5561A"/>
    <w:rsid w:val="00B56A26"/>
    <w:rsid w:val="00B5714C"/>
    <w:rsid w:val="00B578C6"/>
    <w:rsid w:val="00B66ADE"/>
    <w:rsid w:val="00B742DC"/>
    <w:rsid w:val="00B76994"/>
    <w:rsid w:val="00B76B72"/>
    <w:rsid w:val="00B778ED"/>
    <w:rsid w:val="00B81629"/>
    <w:rsid w:val="00B82D27"/>
    <w:rsid w:val="00B8387B"/>
    <w:rsid w:val="00B9035B"/>
    <w:rsid w:val="00B913F8"/>
    <w:rsid w:val="00B923FA"/>
    <w:rsid w:val="00B93910"/>
    <w:rsid w:val="00B961CE"/>
    <w:rsid w:val="00B962D8"/>
    <w:rsid w:val="00BA0272"/>
    <w:rsid w:val="00BA0D4A"/>
    <w:rsid w:val="00BA0EE9"/>
    <w:rsid w:val="00BA10C9"/>
    <w:rsid w:val="00BA3180"/>
    <w:rsid w:val="00BA4231"/>
    <w:rsid w:val="00BA517A"/>
    <w:rsid w:val="00BB073D"/>
    <w:rsid w:val="00BB1027"/>
    <w:rsid w:val="00BB2F4A"/>
    <w:rsid w:val="00BB448D"/>
    <w:rsid w:val="00BB461C"/>
    <w:rsid w:val="00BB4CA9"/>
    <w:rsid w:val="00BB618E"/>
    <w:rsid w:val="00BB737B"/>
    <w:rsid w:val="00BC07DF"/>
    <w:rsid w:val="00BC3166"/>
    <w:rsid w:val="00BC31CF"/>
    <w:rsid w:val="00BC4AE6"/>
    <w:rsid w:val="00BC7092"/>
    <w:rsid w:val="00BC70CB"/>
    <w:rsid w:val="00BD11FF"/>
    <w:rsid w:val="00BD63D0"/>
    <w:rsid w:val="00BD659D"/>
    <w:rsid w:val="00BE1CB7"/>
    <w:rsid w:val="00BE2FD2"/>
    <w:rsid w:val="00BF10A9"/>
    <w:rsid w:val="00BF14F2"/>
    <w:rsid w:val="00BF2FE1"/>
    <w:rsid w:val="00BF4406"/>
    <w:rsid w:val="00C0042A"/>
    <w:rsid w:val="00C00E85"/>
    <w:rsid w:val="00C011FF"/>
    <w:rsid w:val="00C01363"/>
    <w:rsid w:val="00C03BD0"/>
    <w:rsid w:val="00C06C9C"/>
    <w:rsid w:val="00C10748"/>
    <w:rsid w:val="00C10E8C"/>
    <w:rsid w:val="00C12B9D"/>
    <w:rsid w:val="00C1614A"/>
    <w:rsid w:val="00C2092D"/>
    <w:rsid w:val="00C21CE6"/>
    <w:rsid w:val="00C234EE"/>
    <w:rsid w:val="00C27B69"/>
    <w:rsid w:val="00C301DB"/>
    <w:rsid w:val="00C306B2"/>
    <w:rsid w:val="00C3095E"/>
    <w:rsid w:val="00C30EE1"/>
    <w:rsid w:val="00C31217"/>
    <w:rsid w:val="00C3148B"/>
    <w:rsid w:val="00C316E8"/>
    <w:rsid w:val="00C31D5C"/>
    <w:rsid w:val="00C33003"/>
    <w:rsid w:val="00C3316F"/>
    <w:rsid w:val="00C33725"/>
    <w:rsid w:val="00C3403A"/>
    <w:rsid w:val="00C34CFC"/>
    <w:rsid w:val="00C36A07"/>
    <w:rsid w:val="00C36CBD"/>
    <w:rsid w:val="00C37790"/>
    <w:rsid w:val="00C379E8"/>
    <w:rsid w:val="00C41DC1"/>
    <w:rsid w:val="00C4627B"/>
    <w:rsid w:val="00C46D93"/>
    <w:rsid w:val="00C50641"/>
    <w:rsid w:val="00C515B7"/>
    <w:rsid w:val="00C51C12"/>
    <w:rsid w:val="00C52137"/>
    <w:rsid w:val="00C53CBE"/>
    <w:rsid w:val="00C54304"/>
    <w:rsid w:val="00C5458B"/>
    <w:rsid w:val="00C551AA"/>
    <w:rsid w:val="00C5543D"/>
    <w:rsid w:val="00C562C7"/>
    <w:rsid w:val="00C60068"/>
    <w:rsid w:val="00C632AA"/>
    <w:rsid w:val="00C64004"/>
    <w:rsid w:val="00C64CA6"/>
    <w:rsid w:val="00C71236"/>
    <w:rsid w:val="00C72CC7"/>
    <w:rsid w:val="00C73FCE"/>
    <w:rsid w:val="00C748A9"/>
    <w:rsid w:val="00C84C5B"/>
    <w:rsid w:val="00C84DE6"/>
    <w:rsid w:val="00C85E47"/>
    <w:rsid w:val="00C871D9"/>
    <w:rsid w:val="00C91105"/>
    <w:rsid w:val="00C914F2"/>
    <w:rsid w:val="00C92E14"/>
    <w:rsid w:val="00C94683"/>
    <w:rsid w:val="00CA022A"/>
    <w:rsid w:val="00CA13E9"/>
    <w:rsid w:val="00CA1FE2"/>
    <w:rsid w:val="00CA5D4C"/>
    <w:rsid w:val="00CA6CBF"/>
    <w:rsid w:val="00CA74B3"/>
    <w:rsid w:val="00CA7887"/>
    <w:rsid w:val="00CA79FD"/>
    <w:rsid w:val="00CB10AD"/>
    <w:rsid w:val="00CB4A5E"/>
    <w:rsid w:val="00CB4BAD"/>
    <w:rsid w:val="00CB57C9"/>
    <w:rsid w:val="00CC0659"/>
    <w:rsid w:val="00CC7161"/>
    <w:rsid w:val="00CD08D9"/>
    <w:rsid w:val="00CD2AD8"/>
    <w:rsid w:val="00CD2D3F"/>
    <w:rsid w:val="00CD327B"/>
    <w:rsid w:val="00CD4110"/>
    <w:rsid w:val="00CD4213"/>
    <w:rsid w:val="00CD7B16"/>
    <w:rsid w:val="00CE4804"/>
    <w:rsid w:val="00CE7144"/>
    <w:rsid w:val="00CF073E"/>
    <w:rsid w:val="00CF55E3"/>
    <w:rsid w:val="00CF71FD"/>
    <w:rsid w:val="00CF789F"/>
    <w:rsid w:val="00CF7B5B"/>
    <w:rsid w:val="00D02C1F"/>
    <w:rsid w:val="00D0342A"/>
    <w:rsid w:val="00D03C8C"/>
    <w:rsid w:val="00D0415F"/>
    <w:rsid w:val="00D070D0"/>
    <w:rsid w:val="00D07AE3"/>
    <w:rsid w:val="00D1441D"/>
    <w:rsid w:val="00D17FDF"/>
    <w:rsid w:val="00D216AC"/>
    <w:rsid w:val="00D21802"/>
    <w:rsid w:val="00D2197E"/>
    <w:rsid w:val="00D23FB1"/>
    <w:rsid w:val="00D24566"/>
    <w:rsid w:val="00D27647"/>
    <w:rsid w:val="00D27652"/>
    <w:rsid w:val="00D31347"/>
    <w:rsid w:val="00D31429"/>
    <w:rsid w:val="00D3273B"/>
    <w:rsid w:val="00D36A0C"/>
    <w:rsid w:val="00D45717"/>
    <w:rsid w:val="00D46E69"/>
    <w:rsid w:val="00D51ED8"/>
    <w:rsid w:val="00D53EEF"/>
    <w:rsid w:val="00D603CD"/>
    <w:rsid w:val="00D608D6"/>
    <w:rsid w:val="00D62272"/>
    <w:rsid w:val="00D6298D"/>
    <w:rsid w:val="00D650CE"/>
    <w:rsid w:val="00D67DAE"/>
    <w:rsid w:val="00D67F43"/>
    <w:rsid w:val="00D7334C"/>
    <w:rsid w:val="00D74A6B"/>
    <w:rsid w:val="00D74D4F"/>
    <w:rsid w:val="00D7560C"/>
    <w:rsid w:val="00D80319"/>
    <w:rsid w:val="00D83826"/>
    <w:rsid w:val="00D846B6"/>
    <w:rsid w:val="00D86EF4"/>
    <w:rsid w:val="00D9122A"/>
    <w:rsid w:val="00D92655"/>
    <w:rsid w:val="00D9284E"/>
    <w:rsid w:val="00D931FF"/>
    <w:rsid w:val="00D96DA8"/>
    <w:rsid w:val="00D97520"/>
    <w:rsid w:val="00DA0D44"/>
    <w:rsid w:val="00DA16DE"/>
    <w:rsid w:val="00DA179F"/>
    <w:rsid w:val="00DA1A15"/>
    <w:rsid w:val="00DA207C"/>
    <w:rsid w:val="00DA327F"/>
    <w:rsid w:val="00DA40FA"/>
    <w:rsid w:val="00DA44DB"/>
    <w:rsid w:val="00DA4DE7"/>
    <w:rsid w:val="00DA7BAE"/>
    <w:rsid w:val="00DA7DDA"/>
    <w:rsid w:val="00DA7F47"/>
    <w:rsid w:val="00DB039D"/>
    <w:rsid w:val="00DB1B89"/>
    <w:rsid w:val="00DB40D7"/>
    <w:rsid w:val="00DB7CC4"/>
    <w:rsid w:val="00DC007D"/>
    <w:rsid w:val="00DC264E"/>
    <w:rsid w:val="00DC3B06"/>
    <w:rsid w:val="00DD0AC2"/>
    <w:rsid w:val="00DD2191"/>
    <w:rsid w:val="00DD4AD1"/>
    <w:rsid w:val="00DD6882"/>
    <w:rsid w:val="00DD6E10"/>
    <w:rsid w:val="00DE199F"/>
    <w:rsid w:val="00DE4ACB"/>
    <w:rsid w:val="00DE73DC"/>
    <w:rsid w:val="00DF085E"/>
    <w:rsid w:val="00DF10E5"/>
    <w:rsid w:val="00DF1C8B"/>
    <w:rsid w:val="00DF6897"/>
    <w:rsid w:val="00DF7439"/>
    <w:rsid w:val="00E013A8"/>
    <w:rsid w:val="00E03D30"/>
    <w:rsid w:val="00E073A3"/>
    <w:rsid w:val="00E078B4"/>
    <w:rsid w:val="00E126EA"/>
    <w:rsid w:val="00E137FF"/>
    <w:rsid w:val="00E13C9F"/>
    <w:rsid w:val="00E14B4E"/>
    <w:rsid w:val="00E1746D"/>
    <w:rsid w:val="00E204E7"/>
    <w:rsid w:val="00E21BCA"/>
    <w:rsid w:val="00E26537"/>
    <w:rsid w:val="00E26DE7"/>
    <w:rsid w:val="00E26E98"/>
    <w:rsid w:val="00E26FDB"/>
    <w:rsid w:val="00E316C5"/>
    <w:rsid w:val="00E31F4D"/>
    <w:rsid w:val="00E33670"/>
    <w:rsid w:val="00E35434"/>
    <w:rsid w:val="00E37075"/>
    <w:rsid w:val="00E40734"/>
    <w:rsid w:val="00E42402"/>
    <w:rsid w:val="00E4337D"/>
    <w:rsid w:val="00E43DA8"/>
    <w:rsid w:val="00E448F8"/>
    <w:rsid w:val="00E473FC"/>
    <w:rsid w:val="00E47CEA"/>
    <w:rsid w:val="00E514E2"/>
    <w:rsid w:val="00E52CE7"/>
    <w:rsid w:val="00E54DC9"/>
    <w:rsid w:val="00E56C2F"/>
    <w:rsid w:val="00E57E57"/>
    <w:rsid w:val="00E60514"/>
    <w:rsid w:val="00E60909"/>
    <w:rsid w:val="00E63310"/>
    <w:rsid w:val="00E6644A"/>
    <w:rsid w:val="00E71B77"/>
    <w:rsid w:val="00E71FCE"/>
    <w:rsid w:val="00E725AD"/>
    <w:rsid w:val="00E81EB8"/>
    <w:rsid w:val="00E82425"/>
    <w:rsid w:val="00E825AC"/>
    <w:rsid w:val="00E85105"/>
    <w:rsid w:val="00E852AB"/>
    <w:rsid w:val="00E86878"/>
    <w:rsid w:val="00E868C6"/>
    <w:rsid w:val="00E873CD"/>
    <w:rsid w:val="00E874DC"/>
    <w:rsid w:val="00E90DD3"/>
    <w:rsid w:val="00E917F2"/>
    <w:rsid w:val="00E951D5"/>
    <w:rsid w:val="00EA1718"/>
    <w:rsid w:val="00EA2A82"/>
    <w:rsid w:val="00EA31CF"/>
    <w:rsid w:val="00EA4F20"/>
    <w:rsid w:val="00EA732C"/>
    <w:rsid w:val="00EB2990"/>
    <w:rsid w:val="00EB3686"/>
    <w:rsid w:val="00EC0F6F"/>
    <w:rsid w:val="00EC1E2B"/>
    <w:rsid w:val="00EC22F8"/>
    <w:rsid w:val="00EC31E7"/>
    <w:rsid w:val="00EC36EE"/>
    <w:rsid w:val="00EC4EB5"/>
    <w:rsid w:val="00EC5EF5"/>
    <w:rsid w:val="00ED096A"/>
    <w:rsid w:val="00ED26D4"/>
    <w:rsid w:val="00ED2F02"/>
    <w:rsid w:val="00ED58BF"/>
    <w:rsid w:val="00EE250D"/>
    <w:rsid w:val="00EE2F5B"/>
    <w:rsid w:val="00EE589A"/>
    <w:rsid w:val="00EE7084"/>
    <w:rsid w:val="00EE71EB"/>
    <w:rsid w:val="00EF028B"/>
    <w:rsid w:val="00EF19F0"/>
    <w:rsid w:val="00EF4260"/>
    <w:rsid w:val="00EF7EEC"/>
    <w:rsid w:val="00F02CCF"/>
    <w:rsid w:val="00F033E8"/>
    <w:rsid w:val="00F10C67"/>
    <w:rsid w:val="00F13D2A"/>
    <w:rsid w:val="00F14EF2"/>
    <w:rsid w:val="00F1664C"/>
    <w:rsid w:val="00F17363"/>
    <w:rsid w:val="00F175B0"/>
    <w:rsid w:val="00F17C17"/>
    <w:rsid w:val="00F2184B"/>
    <w:rsid w:val="00F2441D"/>
    <w:rsid w:val="00F27B77"/>
    <w:rsid w:val="00F30161"/>
    <w:rsid w:val="00F31AD5"/>
    <w:rsid w:val="00F33491"/>
    <w:rsid w:val="00F3381A"/>
    <w:rsid w:val="00F33E68"/>
    <w:rsid w:val="00F34317"/>
    <w:rsid w:val="00F35157"/>
    <w:rsid w:val="00F3649E"/>
    <w:rsid w:val="00F4111A"/>
    <w:rsid w:val="00F414C6"/>
    <w:rsid w:val="00F41CB0"/>
    <w:rsid w:val="00F425D3"/>
    <w:rsid w:val="00F50BB8"/>
    <w:rsid w:val="00F5131E"/>
    <w:rsid w:val="00F514CD"/>
    <w:rsid w:val="00F528AF"/>
    <w:rsid w:val="00F53183"/>
    <w:rsid w:val="00F53421"/>
    <w:rsid w:val="00F539B1"/>
    <w:rsid w:val="00F5463C"/>
    <w:rsid w:val="00F606DA"/>
    <w:rsid w:val="00F60C63"/>
    <w:rsid w:val="00F60F9A"/>
    <w:rsid w:val="00F62438"/>
    <w:rsid w:val="00F62573"/>
    <w:rsid w:val="00F63E00"/>
    <w:rsid w:val="00F64043"/>
    <w:rsid w:val="00F67449"/>
    <w:rsid w:val="00F71E45"/>
    <w:rsid w:val="00F72630"/>
    <w:rsid w:val="00F72F3A"/>
    <w:rsid w:val="00F731A3"/>
    <w:rsid w:val="00F73B3C"/>
    <w:rsid w:val="00F7471F"/>
    <w:rsid w:val="00F76223"/>
    <w:rsid w:val="00F77548"/>
    <w:rsid w:val="00F80DC0"/>
    <w:rsid w:val="00F852E2"/>
    <w:rsid w:val="00F86A31"/>
    <w:rsid w:val="00F879BD"/>
    <w:rsid w:val="00F87B10"/>
    <w:rsid w:val="00F87D77"/>
    <w:rsid w:val="00F923F2"/>
    <w:rsid w:val="00F937D0"/>
    <w:rsid w:val="00F940BE"/>
    <w:rsid w:val="00F94649"/>
    <w:rsid w:val="00FA0F7B"/>
    <w:rsid w:val="00FA22B1"/>
    <w:rsid w:val="00FA3A0C"/>
    <w:rsid w:val="00FA5C37"/>
    <w:rsid w:val="00FA7705"/>
    <w:rsid w:val="00FB11CA"/>
    <w:rsid w:val="00FB167F"/>
    <w:rsid w:val="00FB1DE5"/>
    <w:rsid w:val="00FB5DE2"/>
    <w:rsid w:val="00FB62B5"/>
    <w:rsid w:val="00FB6E4F"/>
    <w:rsid w:val="00FB72FE"/>
    <w:rsid w:val="00FC23C2"/>
    <w:rsid w:val="00FC4C36"/>
    <w:rsid w:val="00FC56FD"/>
    <w:rsid w:val="00FC5B83"/>
    <w:rsid w:val="00FC7A87"/>
    <w:rsid w:val="00FD16A1"/>
    <w:rsid w:val="00FD21F2"/>
    <w:rsid w:val="00FD3CBA"/>
    <w:rsid w:val="00FD6967"/>
    <w:rsid w:val="00FD6BF1"/>
    <w:rsid w:val="00FD6C6E"/>
    <w:rsid w:val="00FE016D"/>
    <w:rsid w:val="00FE5A40"/>
    <w:rsid w:val="00FE604D"/>
    <w:rsid w:val="00FF0186"/>
    <w:rsid w:val="00FF0D70"/>
    <w:rsid w:val="00FF3CC8"/>
    <w:rsid w:val="00FF3E51"/>
    <w:rsid w:val="00FF4566"/>
    <w:rsid w:val="00FF58C3"/>
    <w:rsid w:val="00FF6F22"/>
    <w:rsid w:val="019A6790"/>
    <w:rsid w:val="019F2D33"/>
    <w:rsid w:val="01EC2FA7"/>
    <w:rsid w:val="01EF572E"/>
    <w:rsid w:val="02230955"/>
    <w:rsid w:val="02317214"/>
    <w:rsid w:val="027C37A3"/>
    <w:rsid w:val="02A1024F"/>
    <w:rsid w:val="02B349AE"/>
    <w:rsid w:val="02B96468"/>
    <w:rsid w:val="02D92666"/>
    <w:rsid w:val="02DC3F04"/>
    <w:rsid w:val="03232A32"/>
    <w:rsid w:val="03340C72"/>
    <w:rsid w:val="03D60954"/>
    <w:rsid w:val="03E034D9"/>
    <w:rsid w:val="042E0790"/>
    <w:rsid w:val="04455E19"/>
    <w:rsid w:val="04B35E34"/>
    <w:rsid w:val="04BB40EE"/>
    <w:rsid w:val="04D01847"/>
    <w:rsid w:val="0571302A"/>
    <w:rsid w:val="05E1124E"/>
    <w:rsid w:val="06466CB5"/>
    <w:rsid w:val="06693CB2"/>
    <w:rsid w:val="067C65CA"/>
    <w:rsid w:val="06A9757C"/>
    <w:rsid w:val="06C32529"/>
    <w:rsid w:val="076B521E"/>
    <w:rsid w:val="07C40FCD"/>
    <w:rsid w:val="08006F3A"/>
    <w:rsid w:val="081027DD"/>
    <w:rsid w:val="081D62BA"/>
    <w:rsid w:val="081F6F62"/>
    <w:rsid w:val="084762C4"/>
    <w:rsid w:val="087C5C4E"/>
    <w:rsid w:val="08E104C7"/>
    <w:rsid w:val="08E853C6"/>
    <w:rsid w:val="097048DB"/>
    <w:rsid w:val="09774712"/>
    <w:rsid w:val="09872E32"/>
    <w:rsid w:val="09BE4364"/>
    <w:rsid w:val="09EE0493"/>
    <w:rsid w:val="09F62494"/>
    <w:rsid w:val="09F63D7D"/>
    <w:rsid w:val="0AAF7417"/>
    <w:rsid w:val="0ADE0ABC"/>
    <w:rsid w:val="0B6B051B"/>
    <w:rsid w:val="0B882D7F"/>
    <w:rsid w:val="0BDB17D9"/>
    <w:rsid w:val="0BE739A0"/>
    <w:rsid w:val="0BF16C73"/>
    <w:rsid w:val="0C087B18"/>
    <w:rsid w:val="0C3703FE"/>
    <w:rsid w:val="0CEB1914"/>
    <w:rsid w:val="0CFD33F5"/>
    <w:rsid w:val="0D15610F"/>
    <w:rsid w:val="0D162709"/>
    <w:rsid w:val="0D9A52C8"/>
    <w:rsid w:val="0E007979"/>
    <w:rsid w:val="0E1704E7"/>
    <w:rsid w:val="0E71409B"/>
    <w:rsid w:val="0E76520D"/>
    <w:rsid w:val="0E833B53"/>
    <w:rsid w:val="0ED80C08"/>
    <w:rsid w:val="0F2B249C"/>
    <w:rsid w:val="0F5B0B5D"/>
    <w:rsid w:val="0FAE5604"/>
    <w:rsid w:val="0FAE57C5"/>
    <w:rsid w:val="100B2C10"/>
    <w:rsid w:val="102A51E9"/>
    <w:rsid w:val="10674138"/>
    <w:rsid w:val="107443D8"/>
    <w:rsid w:val="10883B86"/>
    <w:rsid w:val="10A46ADD"/>
    <w:rsid w:val="10B931DE"/>
    <w:rsid w:val="10E15034"/>
    <w:rsid w:val="10FF6CE8"/>
    <w:rsid w:val="111C78C7"/>
    <w:rsid w:val="11760352"/>
    <w:rsid w:val="12105979"/>
    <w:rsid w:val="1215424B"/>
    <w:rsid w:val="123C28D4"/>
    <w:rsid w:val="123F688A"/>
    <w:rsid w:val="12413D84"/>
    <w:rsid w:val="12940358"/>
    <w:rsid w:val="12AD7E5A"/>
    <w:rsid w:val="12B44556"/>
    <w:rsid w:val="12BC0EF8"/>
    <w:rsid w:val="132311FD"/>
    <w:rsid w:val="133E59D2"/>
    <w:rsid w:val="13491142"/>
    <w:rsid w:val="13A670D4"/>
    <w:rsid w:val="14424A3B"/>
    <w:rsid w:val="14964FC5"/>
    <w:rsid w:val="14FA6062"/>
    <w:rsid w:val="15706BFC"/>
    <w:rsid w:val="159C3C03"/>
    <w:rsid w:val="15AB4BE4"/>
    <w:rsid w:val="15BB1E03"/>
    <w:rsid w:val="163D4862"/>
    <w:rsid w:val="168E3310"/>
    <w:rsid w:val="16930926"/>
    <w:rsid w:val="16DC051F"/>
    <w:rsid w:val="17145D71"/>
    <w:rsid w:val="17543053"/>
    <w:rsid w:val="177B7447"/>
    <w:rsid w:val="17985ABB"/>
    <w:rsid w:val="17C2750F"/>
    <w:rsid w:val="18046093"/>
    <w:rsid w:val="18047D2E"/>
    <w:rsid w:val="18890233"/>
    <w:rsid w:val="18A46E1B"/>
    <w:rsid w:val="18A60DE5"/>
    <w:rsid w:val="18E70E8B"/>
    <w:rsid w:val="191E2903"/>
    <w:rsid w:val="195A6DE8"/>
    <w:rsid w:val="197A466A"/>
    <w:rsid w:val="1AB06439"/>
    <w:rsid w:val="1ACA4C0E"/>
    <w:rsid w:val="1B6B3DF4"/>
    <w:rsid w:val="1B7C0790"/>
    <w:rsid w:val="1BE0460E"/>
    <w:rsid w:val="1C4104FA"/>
    <w:rsid w:val="1C827801"/>
    <w:rsid w:val="1D15529F"/>
    <w:rsid w:val="1D1912A7"/>
    <w:rsid w:val="1D3E0E44"/>
    <w:rsid w:val="1D77736C"/>
    <w:rsid w:val="1E416B22"/>
    <w:rsid w:val="1E6F19BB"/>
    <w:rsid w:val="1F4F31E9"/>
    <w:rsid w:val="20512D78"/>
    <w:rsid w:val="20606345"/>
    <w:rsid w:val="207440D1"/>
    <w:rsid w:val="2075087F"/>
    <w:rsid w:val="20DA7945"/>
    <w:rsid w:val="20E17A31"/>
    <w:rsid w:val="21456E7D"/>
    <w:rsid w:val="214B077B"/>
    <w:rsid w:val="214E74AD"/>
    <w:rsid w:val="218E2416"/>
    <w:rsid w:val="21A77C5D"/>
    <w:rsid w:val="2252529B"/>
    <w:rsid w:val="22773AF3"/>
    <w:rsid w:val="232A707C"/>
    <w:rsid w:val="23AE0B4E"/>
    <w:rsid w:val="23FB0842"/>
    <w:rsid w:val="24825984"/>
    <w:rsid w:val="24BE6141"/>
    <w:rsid w:val="25161C10"/>
    <w:rsid w:val="253D0E7A"/>
    <w:rsid w:val="25446DA5"/>
    <w:rsid w:val="25A02777"/>
    <w:rsid w:val="25D0124F"/>
    <w:rsid w:val="266D3002"/>
    <w:rsid w:val="26F5369A"/>
    <w:rsid w:val="277850CE"/>
    <w:rsid w:val="277946F4"/>
    <w:rsid w:val="2785329C"/>
    <w:rsid w:val="281F6A91"/>
    <w:rsid w:val="287C689F"/>
    <w:rsid w:val="28A6668A"/>
    <w:rsid w:val="28ED298C"/>
    <w:rsid w:val="28FC49FE"/>
    <w:rsid w:val="294619D0"/>
    <w:rsid w:val="2A176A9D"/>
    <w:rsid w:val="2A570191"/>
    <w:rsid w:val="2A6160BF"/>
    <w:rsid w:val="2A8F792B"/>
    <w:rsid w:val="2AFD4D22"/>
    <w:rsid w:val="2B1020EE"/>
    <w:rsid w:val="2B157704"/>
    <w:rsid w:val="2B22254D"/>
    <w:rsid w:val="2B900466"/>
    <w:rsid w:val="2BC2153F"/>
    <w:rsid w:val="2BF85DDD"/>
    <w:rsid w:val="2C4A2A9F"/>
    <w:rsid w:val="2CEE4744"/>
    <w:rsid w:val="2D8C63A3"/>
    <w:rsid w:val="2DCC2C44"/>
    <w:rsid w:val="2E3329B8"/>
    <w:rsid w:val="2F2E25E2"/>
    <w:rsid w:val="2FAA0AFC"/>
    <w:rsid w:val="302F0099"/>
    <w:rsid w:val="30E94F09"/>
    <w:rsid w:val="3116629E"/>
    <w:rsid w:val="31894E52"/>
    <w:rsid w:val="319A4973"/>
    <w:rsid w:val="31CE10C4"/>
    <w:rsid w:val="324167FF"/>
    <w:rsid w:val="324F7EF7"/>
    <w:rsid w:val="32D6426E"/>
    <w:rsid w:val="32EB00CB"/>
    <w:rsid w:val="33BF2903"/>
    <w:rsid w:val="343B642D"/>
    <w:rsid w:val="345D2848"/>
    <w:rsid w:val="349B585B"/>
    <w:rsid w:val="34E40873"/>
    <w:rsid w:val="35025F25"/>
    <w:rsid w:val="35397B62"/>
    <w:rsid w:val="35DB18E9"/>
    <w:rsid w:val="3664227A"/>
    <w:rsid w:val="36993EA6"/>
    <w:rsid w:val="36E65199"/>
    <w:rsid w:val="37023232"/>
    <w:rsid w:val="37197DF1"/>
    <w:rsid w:val="376261CE"/>
    <w:rsid w:val="37DC063C"/>
    <w:rsid w:val="38172653"/>
    <w:rsid w:val="38467A93"/>
    <w:rsid w:val="384C7622"/>
    <w:rsid w:val="389D76B7"/>
    <w:rsid w:val="389E280E"/>
    <w:rsid w:val="38A30A45"/>
    <w:rsid w:val="38BD5DB1"/>
    <w:rsid w:val="38FC32A6"/>
    <w:rsid w:val="39315375"/>
    <w:rsid w:val="395064D7"/>
    <w:rsid w:val="39916502"/>
    <w:rsid w:val="39CE564E"/>
    <w:rsid w:val="3A5848E7"/>
    <w:rsid w:val="3A716474"/>
    <w:rsid w:val="3A9B5E78"/>
    <w:rsid w:val="3AA80595"/>
    <w:rsid w:val="3AAE2D52"/>
    <w:rsid w:val="3AFD61EB"/>
    <w:rsid w:val="3B605EC0"/>
    <w:rsid w:val="3B946BCC"/>
    <w:rsid w:val="3BD1628B"/>
    <w:rsid w:val="3C235D62"/>
    <w:rsid w:val="3C574020"/>
    <w:rsid w:val="3D123B38"/>
    <w:rsid w:val="3D477F05"/>
    <w:rsid w:val="3D9F6B1D"/>
    <w:rsid w:val="3E0B6E71"/>
    <w:rsid w:val="3E55633E"/>
    <w:rsid w:val="3E671575"/>
    <w:rsid w:val="3EF70367"/>
    <w:rsid w:val="3F3763DE"/>
    <w:rsid w:val="3F5B1501"/>
    <w:rsid w:val="3F8B693A"/>
    <w:rsid w:val="3FFA17C6"/>
    <w:rsid w:val="40247A79"/>
    <w:rsid w:val="402856D7"/>
    <w:rsid w:val="403F1053"/>
    <w:rsid w:val="40907B01"/>
    <w:rsid w:val="41344930"/>
    <w:rsid w:val="41E40104"/>
    <w:rsid w:val="42497F67"/>
    <w:rsid w:val="425828A0"/>
    <w:rsid w:val="42CA75EF"/>
    <w:rsid w:val="43236A0A"/>
    <w:rsid w:val="434B7979"/>
    <w:rsid w:val="43543068"/>
    <w:rsid w:val="435B4AD2"/>
    <w:rsid w:val="43A74F98"/>
    <w:rsid w:val="44006D4C"/>
    <w:rsid w:val="44352E99"/>
    <w:rsid w:val="44A97FB6"/>
    <w:rsid w:val="45102FBE"/>
    <w:rsid w:val="45175EB5"/>
    <w:rsid w:val="45686D7A"/>
    <w:rsid w:val="462642D9"/>
    <w:rsid w:val="46EC04F8"/>
    <w:rsid w:val="46F60F4A"/>
    <w:rsid w:val="476A23A3"/>
    <w:rsid w:val="484667E8"/>
    <w:rsid w:val="48CA72AA"/>
    <w:rsid w:val="49351245"/>
    <w:rsid w:val="494B0A69"/>
    <w:rsid w:val="49971F00"/>
    <w:rsid w:val="49F35B75"/>
    <w:rsid w:val="4A183041"/>
    <w:rsid w:val="4A1D4C50"/>
    <w:rsid w:val="4AA46319"/>
    <w:rsid w:val="4B014DF9"/>
    <w:rsid w:val="4B2D3436"/>
    <w:rsid w:val="4B6B71A0"/>
    <w:rsid w:val="4B84756E"/>
    <w:rsid w:val="4BA674D4"/>
    <w:rsid w:val="4BE551A5"/>
    <w:rsid w:val="4BE807F1"/>
    <w:rsid w:val="4CAD479A"/>
    <w:rsid w:val="4CB9218D"/>
    <w:rsid w:val="4CC72AFC"/>
    <w:rsid w:val="4CD64F61"/>
    <w:rsid w:val="4D2F0520"/>
    <w:rsid w:val="4D98140C"/>
    <w:rsid w:val="4DC360A2"/>
    <w:rsid w:val="4DE85206"/>
    <w:rsid w:val="4E524648"/>
    <w:rsid w:val="4EC56BC8"/>
    <w:rsid w:val="4EDD2163"/>
    <w:rsid w:val="4F5622C7"/>
    <w:rsid w:val="4F7769ED"/>
    <w:rsid w:val="4F7A20A8"/>
    <w:rsid w:val="4F8F72F9"/>
    <w:rsid w:val="4FBE4498"/>
    <w:rsid w:val="4FD514C7"/>
    <w:rsid w:val="4FF26A8A"/>
    <w:rsid w:val="4FFD3683"/>
    <w:rsid w:val="4FFE5E70"/>
    <w:rsid w:val="50260035"/>
    <w:rsid w:val="50436AA2"/>
    <w:rsid w:val="507D0B25"/>
    <w:rsid w:val="50B10C48"/>
    <w:rsid w:val="50B746F8"/>
    <w:rsid w:val="51045B07"/>
    <w:rsid w:val="51CB46D7"/>
    <w:rsid w:val="51CC4711"/>
    <w:rsid w:val="51EE4E78"/>
    <w:rsid w:val="5237602E"/>
    <w:rsid w:val="52495D62"/>
    <w:rsid w:val="52686CFA"/>
    <w:rsid w:val="536D62FF"/>
    <w:rsid w:val="53874D93"/>
    <w:rsid w:val="538E6B22"/>
    <w:rsid w:val="53B86B6C"/>
    <w:rsid w:val="53DF072C"/>
    <w:rsid w:val="540E2C58"/>
    <w:rsid w:val="54166797"/>
    <w:rsid w:val="543071D9"/>
    <w:rsid w:val="543750FF"/>
    <w:rsid w:val="54384DB4"/>
    <w:rsid w:val="543C792C"/>
    <w:rsid w:val="545C1D7C"/>
    <w:rsid w:val="54E65AEA"/>
    <w:rsid w:val="5515395A"/>
    <w:rsid w:val="556D1D67"/>
    <w:rsid w:val="55F1544B"/>
    <w:rsid w:val="55FC63A8"/>
    <w:rsid w:val="56262642"/>
    <w:rsid w:val="56571A99"/>
    <w:rsid w:val="566C7823"/>
    <w:rsid w:val="56A47A0A"/>
    <w:rsid w:val="57816951"/>
    <w:rsid w:val="57BA2E30"/>
    <w:rsid w:val="5806097D"/>
    <w:rsid w:val="589A319D"/>
    <w:rsid w:val="58F27A61"/>
    <w:rsid w:val="592A2449"/>
    <w:rsid w:val="59305585"/>
    <w:rsid w:val="59DE4FE1"/>
    <w:rsid w:val="59E015BE"/>
    <w:rsid w:val="5A5E3DFF"/>
    <w:rsid w:val="5ACF3183"/>
    <w:rsid w:val="5B61411C"/>
    <w:rsid w:val="5B9F7F3B"/>
    <w:rsid w:val="5BA40BE5"/>
    <w:rsid w:val="5BA8278F"/>
    <w:rsid w:val="5BE07737"/>
    <w:rsid w:val="5BF172E7"/>
    <w:rsid w:val="5BFB631F"/>
    <w:rsid w:val="5C183C23"/>
    <w:rsid w:val="5C492169"/>
    <w:rsid w:val="5CF93E8F"/>
    <w:rsid w:val="5D30277E"/>
    <w:rsid w:val="5D5B0A0B"/>
    <w:rsid w:val="5D9805B3"/>
    <w:rsid w:val="5DD348AC"/>
    <w:rsid w:val="5DFB1693"/>
    <w:rsid w:val="5E4105E7"/>
    <w:rsid w:val="5E891EF8"/>
    <w:rsid w:val="5F083FC2"/>
    <w:rsid w:val="5F0D47A6"/>
    <w:rsid w:val="5F1F5556"/>
    <w:rsid w:val="5F441788"/>
    <w:rsid w:val="5F51305B"/>
    <w:rsid w:val="5F607404"/>
    <w:rsid w:val="5F9674A7"/>
    <w:rsid w:val="5FAD6C7D"/>
    <w:rsid w:val="6022031E"/>
    <w:rsid w:val="602D0A71"/>
    <w:rsid w:val="6042451C"/>
    <w:rsid w:val="605455BD"/>
    <w:rsid w:val="609E0422"/>
    <w:rsid w:val="61665A4D"/>
    <w:rsid w:val="61C84EF5"/>
    <w:rsid w:val="6264713B"/>
    <w:rsid w:val="62AE1AC1"/>
    <w:rsid w:val="62B15989"/>
    <w:rsid w:val="62E25B42"/>
    <w:rsid w:val="62F67840"/>
    <w:rsid w:val="62FB2F72"/>
    <w:rsid w:val="633C08FC"/>
    <w:rsid w:val="63597017"/>
    <w:rsid w:val="63C67212"/>
    <w:rsid w:val="63F44A83"/>
    <w:rsid w:val="63FE16DD"/>
    <w:rsid w:val="64012005"/>
    <w:rsid w:val="64155AA4"/>
    <w:rsid w:val="642826DF"/>
    <w:rsid w:val="64577284"/>
    <w:rsid w:val="64B74DAD"/>
    <w:rsid w:val="650E70C3"/>
    <w:rsid w:val="653528A1"/>
    <w:rsid w:val="659832B3"/>
    <w:rsid w:val="65CE5344"/>
    <w:rsid w:val="65DA0385"/>
    <w:rsid w:val="66275276"/>
    <w:rsid w:val="6638413B"/>
    <w:rsid w:val="6674153C"/>
    <w:rsid w:val="66BE0674"/>
    <w:rsid w:val="66E31E89"/>
    <w:rsid w:val="671007F1"/>
    <w:rsid w:val="673320BA"/>
    <w:rsid w:val="675C73F2"/>
    <w:rsid w:val="676F0F89"/>
    <w:rsid w:val="67AD6DE0"/>
    <w:rsid w:val="67C718D1"/>
    <w:rsid w:val="67F7525A"/>
    <w:rsid w:val="682C46C7"/>
    <w:rsid w:val="682C7077"/>
    <w:rsid w:val="685731D2"/>
    <w:rsid w:val="68643573"/>
    <w:rsid w:val="68B97ED7"/>
    <w:rsid w:val="68EC14C9"/>
    <w:rsid w:val="68F2342A"/>
    <w:rsid w:val="69135A28"/>
    <w:rsid w:val="69261FE1"/>
    <w:rsid w:val="696E592C"/>
    <w:rsid w:val="69B018C1"/>
    <w:rsid w:val="69B15C14"/>
    <w:rsid w:val="69BC6CFF"/>
    <w:rsid w:val="6A0E0D52"/>
    <w:rsid w:val="6A8111ED"/>
    <w:rsid w:val="6AD71D05"/>
    <w:rsid w:val="6B0625F5"/>
    <w:rsid w:val="6B1116BB"/>
    <w:rsid w:val="6B401666"/>
    <w:rsid w:val="6B75365C"/>
    <w:rsid w:val="6B7B5D96"/>
    <w:rsid w:val="6BC24763"/>
    <w:rsid w:val="6BD548F4"/>
    <w:rsid w:val="6BDD77EF"/>
    <w:rsid w:val="6BDF4B7D"/>
    <w:rsid w:val="6BE20233"/>
    <w:rsid w:val="6BF63529"/>
    <w:rsid w:val="6C2B48B6"/>
    <w:rsid w:val="6C376686"/>
    <w:rsid w:val="6C3968C7"/>
    <w:rsid w:val="6C5D740D"/>
    <w:rsid w:val="6C7A646F"/>
    <w:rsid w:val="6C7F3CDD"/>
    <w:rsid w:val="6CB43BD9"/>
    <w:rsid w:val="6CEC03EE"/>
    <w:rsid w:val="6CED5810"/>
    <w:rsid w:val="6D033285"/>
    <w:rsid w:val="6D312C6E"/>
    <w:rsid w:val="6D5744EA"/>
    <w:rsid w:val="6D7E0B27"/>
    <w:rsid w:val="6DB05CB4"/>
    <w:rsid w:val="6DB94F60"/>
    <w:rsid w:val="6DD644F6"/>
    <w:rsid w:val="6DFF1C9E"/>
    <w:rsid w:val="6E144C91"/>
    <w:rsid w:val="6E564D49"/>
    <w:rsid w:val="6E5A0AA4"/>
    <w:rsid w:val="6E774F4B"/>
    <w:rsid w:val="6E95022C"/>
    <w:rsid w:val="6F6A79F5"/>
    <w:rsid w:val="6F9B1553"/>
    <w:rsid w:val="6FAA5C3A"/>
    <w:rsid w:val="6FBB7993"/>
    <w:rsid w:val="6FD9651F"/>
    <w:rsid w:val="70132790"/>
    <w:rsid w:val="7053087D"/>
    <w:rsid w:val="70641996"/>
    <w:rsid w:val="70E60810"/>
    <w:rsid w:val="71182072"/>
    <w:rsid w:val="71C50B09"/>
    <w:rsid w:val="72A02D9E"/>
    <w:rsid w:val="72A66B8C"/>
    <w:rsid w:val="731B5CA7"/>
    <w:rsid w:val="73243F55"/>
    <w:rsid w:val="7329156C"/>
    <w:rsid w:val="735859AD"/>
    <w:rsid w:val="737E1F98"/>
    <w:rsid w:val="738B5D82"/>
    <w:rsid w:val="73CE57CC"/>
    <w:rsid w:val="743C45B0"/>
    <w:rsid w:val="74AE5885"/>
    <w:rsid w:val="74EA7D17"/>
    <w:rsid w:val="754104C0"/>
    <w:rsid w:val="75546277"/>
    <w:rsid w:val="755F2C22"/>
    <w:rsid w:val="759F04BE"/>
    <w:rsid w:val="75A634FC"/>
    <w:rsid w:val="75BB607F"/>
    <w:rsid w:val="75E11C91"/>
    <w:rsid w:val="76C26ECB"/>
    <w:rsid w:val="76D27AF8"/>
    <w:rsid w:val="76FD2F00"/>
    <w:rsid w:val="77216B8B"/>
    <w:rsid w:val="7727446A"/>
    <w:rsid w:val="77383246"/>
    <w:rsid w:val="780768A2"/>
    <w:rsid w:val="78DD1E86"/>
    <w:rsid w:val="79144124"/>
    <w:rsid w:val="79707849"/>
    <w:rsid w:val="797A07C3"/>
    <w:rsid w:val="799E680F"/>
    <w:rsid w:val="79BC4EE7"/>
    <w:rsid w:val="79DC0916"/>
    <w:rsid w:val="79F3642F"/>
    <w:rsid w:val="7A0635C0"/>
    <w:rsid w:val="7A0D74F1"/>
    <w:rsid w:val="7A1C6AC0"/>
    <w:rsid w:val="7A2715CF"/>
    <w:rsid w:val="7B2F4F94"/>
    <w:rsid w:val="7B33614A"/>
    <w:rsid w:val="7B5971BC"/>
    <w:rsid w:val="7C0E5EFB"/>
    <w:rsid w:val="7C5E3E59"/>
    <w:rsid w:val="7C852194"/>
    <w:rsid w:val="7CA26617"/>
    <w:rsid w:val="7CC75E49"/>
    <w:rsid w:val="7CF76237"/>
    <w:rsid w:val="7D2E7EC7"/>
    <w:rsid w:val="7D562013"/>
    <w:rsid w:val="7D7004C3"/>
    <w:rsid w:val="7D83519D"/>
    <w:rsid w:val="7D987C19"/>
    <w:rsid w:val="7DCD2671"/>
    <w:rsid w:val="7DEA4DB5"/>
    <w:rsid w:val="7E375583"/>
    <w:rsid w:val="7E391CF7"/>
    <w:rsid w:val="7E7B0DF9"/>
    <w:rsid w:val="7E9A7436"/>
    <w:rsid w:val="7EAA17B2"/>
    <w:rsid w:val="7EB16E12"/>
    <w:rsid w:val="7ED06D3F"/>
    <w:rsid w:val="7EE822DB"/>
    <w:rsid w:val="7F1015D2"/>
    <w:rsid w:val="7F1C3412"/>
    <w:rsid w:val="7F2D1560"/>
    <w:rsid w:val="7F346B96"/>
    <w:rsid w:val="7F3B065C"/>
    <w:rsid w:val="7F806956"/>
    <w:rsid w:val="7FB775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
    <w:autoRedefine/>
    <w:qFormat/>
    <w:uiPriority w:val="0"/>
    <w:pPr>
      <w:keepNext/>
      <w:keepLines/>
      <w:numPr>
        <w:ilvl w:val="0"/>
        <w:numId w:val="1"/>
      </w:numPr>
      <w:spacing w:line="360" w:lineRule="auto"/>
      <w:jc w:val="center"/>
      <w:outlineLvl w:val="0"/>
    </w:pPr>
    <w:rPr>
      <w:rFonts w:ascii="Calibri" w:hAnsi="Calibri" w:eastAsia="宋体"/>
      <w:b/>
      <w:bCs/>
      <w:kern w:val="44"/>
      <w:sz w:val="44"/>
      <w:szCs w:val="44"/>
    </w:rPr>
  </w:style>
  <w:style w:type="paragraph" w:styleId="3">
    <w:name w:val="heading 2"/>
    <w:basedOn w:val="1"/>
    <w:next w:val="1"/>
    <w:link w:val="107"/>
    <w:autoRedefine/>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link w:val="64"/>
    <w:autoRedefine/>
    <w:qFormat/>
    <w:uiPriority w:val="0"/>
    <w:pPr>
      <w:keepNext/>
      <w:keepLines/>
      <w:spacing w:before="260" w:after="260" w:line="415" w:lineRule="auto"/>
      <w:outlineLvl w:val="2"/>
    </w:pPr>
    <w:rPr>
      <w:b/>
      <w:bCs/>
      <w:sz w:val="32"/>
      <w:szCs w:val="32"/>
    </w:rPr>
  </w:style>
  <w:style w:type="paragraph" w:styleId="5">
    <w:name w:val="heading 4"/>
    <w:basedOn w:val="1"/>
    <w:next w:val="1"/>
    <w:link w:val="53"/>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1"/>
    <w:autoRedefine/>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link w:val="67"/>
    <w:autoRedefine/>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59"/>
    <w:autoRedefine/>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86"/>
    <w:autoRedefine/>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50"/>
    <w:autoRedefine/>
    <w:qFormat/>
    <w:uiPriority w:val="0"/>
    <w:pPr>
      <w:keepNext/>
      <w:keepLines/>
      <w:spacing w:before="240" w:after="64" w:line="317" w:lineRule="auto"/>
      <w:outlineLvl w:val="8"/>
    </w:pPr>
    <w:rPr>
      <w:rFonts w:ascii="Cambria" w:hAnsi="Cambria"/>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Normal Indent"/>
    <w:basedOn w:val="1"/>
    <w:autoRedefine/>
    <w:qFormat/>
    <w:uiPriority w:val="0"/>
    <w:pPr>
      <w:adjustRightInd w:val="0"/>
      <w:spacing w:line="360" w:lineRule="atLeast"/>
      <w:ind w:firstLine="482"/>
      <w:textAlignment w:val="baseline"/>
    </w:pPr>
    <w:rPr>
      <w:kern w:val="0"/>
      <w:sz w:val="24"/>
      <w:szCs w:val="20"/>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77"/>
    <w:autoRedefine/>
    <w:qFormat/>
    <w:uiPriority w:val="0"/>
    <w:pPr>
      <w:shd w:val="clear" w:color="auto" w:fill="000080"/>
    </w:pPr>
    <w:rPr>
      <w:kern w:val="0"/>
      <w:sz w:val="20"/>
      <w:shd w:val="clear" w:color="auto" w:fill="000080"/>
    </w:rPr>
  </w:style>
  <w:style w:type="paragraph" w:styleId="15">
    <w:name w:val="annotation text"/>
    <w:basedOn w:val="1"/>
    <w:link w:val="72"/>
    <w:autoRedefine/>
    <w:qFormat/>
    <w:uiPriority w:val="0"/>
    <w:pPr>
      <w:jc w:val="left"/>
    </w:pPr>
  </w:style>
  <w:style w:type="paragraph" w:styleId="16">
    <w:name w:val="Body Text"/>
    <w:basedOn w:val="1"/>
    <w:next w:val="1"/>
    <w:link w:val="79"/>
    <w:autoRedefine/>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7">
    <w:name w:val="Body Text Indent"/>
    <w:basedOn w:val="1"/>
    <w:next w:val="1"/>
    <w:autoRedefine/>
    <w:qFormat/>
    <w:uiPriority w:val="0"/>
    <w:pPr>
      <w:ind w:firstLine="830" w:firstLineChars="352"/>
    </w:pPr>
    <w:rPr>
      <w:rFonts w:ascii="仿宋_GB2312" w:eastAsia="仿宋_GB2312"/>
      <w:kern w:val="0"/>
      <w:sz w:val="32"/>
      <w:szCs w:val="20"/>
    </w:rPr>
  </w:style>
  <w:style w:type="paragraph" w:styleId="18">
    <w:name w:val="index 4"/>
    <w:basedOn w:val="1"/>
    <w:next w:val="1"/>
    <w:autoRedefine/>
    <w:qFormat/>
    <w:uiPriority w:val="0"/>
    <w:pPr>
      <w:ind w:left="600" w:leftChars="600"/>
    </w:pPr>
  </w:style>
  <w:style w:type="paragraph" w:styleId="19">
    <w:name w:val="toc 5"/>
    <w:basedOn w:val="1"/>
    <w:next w:val="1"/>
    <w:autoRedefine/>
    <w:qFormat/>
    <w:uiPriority w:val="0"/>
    <w:pPr>
      <w:tabs>
        <w:tab w:val="right" w:leader="dot" w:pos="8296"/>
      </w:tabs>
      <w:ind w:left="1050" w:leftChars="500"/>
    </w:pPr>
    <w:rPr>
      <w:rFonts w:ascii="Calibri" w:hAnsi="Calibri"/>
      <w:szCs w:val="22"/>
    </w:rPr>
  </w:style>
  <w:style w:type="paragraph" w:styleId="20">
    <w:name w:val="toc 3"/>
    <w:basedOn w:val="1"/>
    <w:next w:val="1"/>
    <w:autoRedefine/>
    <w:qFormat/>
    <w:uiPriority w:val="0"/>
    <w:pPr>
      <w:ind w:left="840" w:leftChars="400"/>
    </w:pPr>
    <w:rPr>
      <w:rFonts w:ascii="Calibri" w:hAnsi="Calibri"/>
      <w:szCs w:val="22"/>
    </w:rPr>
  </w:style>
  <w:style w:type="paragraph" w:styleId="21">
    <w:name w:val="Plain Text"/>
    <w:basedOn w:val="1"/>
    <w:autoRedefine/>
    <w:qFormat/>
    <w:uiPriority w:val="0"/>
    <w:pPr>
      <w:spacing w:beforeLines="50" w:line="360" w:lineRule="auto"/>
    </w:pPr>
    <w:rPr>
      <w:rFonts w:ascii="宋体" w:hAnsi="Courier New" w:eastAsia="Times New Roman"/>
      <w:kern w:val="0"/>
    </w:rPr>
  </w:style>
  <w:style w:type="paragraph" w:styleId="22">
    <w:name w:val="toc 8"/>
    <w:basedOn w:val="1"/>
    <w:next w:val="1"/>
    <w:autoRedefine/>
    <w:qFormat/>
    <w:uiPriority w:val="0"/>
    <w:pPr>
      <w:ind w:left="2940" w:leftChars="1400"/>
    </w:pPr>
    <w:rPr>
      <w:rFonts w:ascii="Calibri" w:hAnsi="Calibri"/>
      <w:szCs w:val="22"/>
    </w:rPr>
  </w:style>
  <w:style w:type="paragraph" w:styleId="23">
    <w:name w:val="Date"/>
    <w:basedOn w:val="1"/>
    <w:next w:val="1"/>
    <w:link w:val="87"/>
    <w:autoRedefine/>
    <w:qFormat/>
    <w:uiPriority w:val="0"/>
    <w:pPr>
      <w:ind w:left="100" w:leftChars="2500"/>
    </w:pPr>
    <w:rPr>
      <w:rFonts w:ascii="宋体"/>
      <w:kern w:val="0"/>
      <w:sz w:val="28"/>
      <w:szCs w:val="20"/>
    </w:rPr>
  </w:style>
  <w:style w:type="paragraph" w:styleId="24">
    <w:name w:val="Balloon Text"/>
    <w:basedOn w:val="1"/>
    <w:link w:val="80"/>
    <w:autoRedefine/>
    <w:qFormat/>
    <w:uiPriority w:val="0"/>
    <w:rPr>
      <w:rFonts w:ascii="宋体"/>
      <w:kern w:val="0"/>
      <w:sz w:val="18"/>
      <w:szCs w:val="18"/>
    </w:rPr>
  </w:style>
  <w:style w:type="paragraph" w:styleId="25">
    <w:name w:val="footer"/>
    <w:basedOn w:val="1"/>
    <w:link w:val="73"/>
    <w:autoRedefine/>
    <w:qFormat/>
    <w:uiPriority w:val="0"/>
    <w:pPr>
      <w:tabs>
        <w:tab w:val="center" w:pos="4153"/>
        <w:tab w:val="right" w:pos="8306"/>
      </w:tabs>
      <w:snapToGrid w:val="0"/>
      <w:jc w:val="left"/>
    </w:pPr>
    <w:rPr>
      <w:sz w:val="18"/>
      <w:szCs w:val="18"/>
    </w:rPr>
  </w:style>
  <w:style w:type="paragraph" w:styleId="2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0"/>
    <w:pPr>
      <w:tabs>
        <w:tab w:val="right" w:leader="dot" w:pos="8296"/>
      </w:tabs>
    </w:pPr>
    <w:rPr>
      <w:rFonts w:ascii="宋体" w:eastAsia="楷体_GB2312" w:cs="TimesNewRomanPSMT"/>
      <w:b/>
      <w:kern w:val="0"/>
      <w:sz w:val="28"/>
      <w:szCs w:val="20"/>
    </w:rPr>
  </w:style>
  <w:style w:type="paragraph" w:styleId="28">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29">
    <w:name w:val="Subtitle"/>
    <w:basedOn w:val="1"/>
    <w:next w:val="1"/>
    <w:link w:val="84"/>
    <w:autoRedefine/>
    <w:qFormat/>
    <w:uiPriority w:val="0"/>
    <w:pPr>
      <w:spacing w:before="240" w:after="60" w:line="312" w:lineRule="auto"/>
      <w:jc w:val="center"/>
      <w:outlineLvl w:val="1"/>
    </w:pPr>
    <w:rPr>
      <w:rFonts w:ascii="Cambria" w:hAnsi="Cambria"/>
      <w:b/>
      <w:bCs/>
      <w:kern w:val="28"/>
      <w:sz w:val="32"/>
      <w:szCs w:val="32"/>
    </w:rPr>
  </w:style>
  <w:style w:type="paragraph" w:styleId="30">
    <w:name w:val="toc 6"/>
    <w:basedOn w:val="1"/>
    <w:next w:val="1"/>
    <w:autoRedefine/>
    <w:qFormat/>
    <w:uiPriority w:val="0"/>
    <w:pPr>
      <w:ind w:left="2100" w:leftChars="1000"/>
    </w:pPr>
    <w:rPr>
      <w:rFonts w:ascii="Calibri" w:hAnsi="Calibri"/>
      <w:szCs w:val="22"/>
    </w:rPr>
  </w:style>
  <w:style w:type="paragraph" w:styleId="31">
    <w:name w:val="Body Text Indent 3"/>
    <w:basedOn w:val="1"/>
    <w:link w:val="102"/>
    <w:autoRedefine/>
    <w:qFormat/>
    <w:uiPriority w:val="0"/>
    <w:pPr>
      <w:spacing w:after="120"/>
      <w:ind w:left="420" w:leftChars="200"/>
    </w:pPr>
    <w:rPr>
      <w:sz w:val="16"/>
      <w:szCs w:val="16"/>
    </w:rPr>
  </w:style>
  <w:style w:type="paragraph" w:styleId="32">
    <w:name w:val="toc 2"/>
    <w:basedOn w:val="1"/>
    <w:next w:val="1"/>
    <w:autoRedefine/>
    <w:qFormat/>
    <w:uiPriority w:val="0"/>
    <w:pPr>
      <w:ind w:left="420" w:leftChars="200"/>
    </w:pPr>
    <w:rPr>
      <w:rFonts w:ascii="宋体"/>
      <w:b/>
      <w:sz w:val="28"/>
      <w:szCs w:val="20"/>
    </w:rPr>
  </w:style>
  <w:style w:type="paragraph" w:styleId="33">
    <w:name w:val="toc 9"/>
    <w:basedOn w:val="1"/>
    <w:next w:val="1"/>
    <w:autoRedefine/>
    <w:qFormat/>
    <w:uiPriority w:val="0"/>
    <w:pPr>
      <w:ind w:left="3360" w:leftChars="1600"/>
    </w:pPr>
    <w:rPr>
      <w:rFonts w:ascii="Calibri" w:hAnsi="Calibri"/>
      <w:szCs w:val="22"/>
    </w:rPr>
  </w:style>
  <w:style w:type="paragraph" w:styleId="34">
    <w:name w:val="Normal (Web)"/>
    <w:basedOn w:val="1"/>
    <w:autoRedefine/>
    <w:qFormat/>
    <w:uiPriority w:val="0"/>
    <w:pPr>
      <w:widowControl/>
      <w:spacing w:before="100" w:beforeAutospacing="1" w:after="100" w:afterAutospacing="1" w:line="320" w:lineRule="atLeast"/>
      <w:jc w:val="left"/>
    </w:pPr>
    <w:rPr>
      <w:rFonts w:ascii="宋体" w:hAnsi="宋体"/>
      <w:kern w:val="0"/>
      <w:sz w:val="18"/>
      <w:szCs w:val="18"/>
    </w:rPr>
  </w:style>
  <w:style w:type="paragraph" w:styleId="35">
    <w:name w:val="Title"/>
    <w:basedOn w:val="1"/>
    <w:next w:val="1"/>
    <w:link w:val="66"/>
    <w:autoRedefine/>
    <w:qFormat/>
    <w:uiPriority w:val="0"/>
    <w:pPr>
      <w:spacing w:before="240" w:after="60"/>
      <w:jc w:val="center"/>
      <w:outlineLvl w:val="0"/>
    </w:pPr>
    <w:rPr>
      <w:rFonts w:ascii="Cambria" w:hAnsi="Cambria"/>
      <w:b/>
      <w:bCs/>
      <w:sz w:val="32"/>
      <w:szCs w:val="32"/>
    </w:rPr>
  </w:style>
  <w:style w:type="paragraph" w:styleId="36">
    <w:name w:val="annotation subject"/>
    <w:basedOn w:val="15"/>
    <w:next w:val="15"/>
    <w:link w:val="58"/>
    <w:autoRedefine/>
    <w:qFormat/>
    <w:uiPriority w:val="0"/>
    <w:rPr>
      <w:rFonts w:ascii="宋体"/>
      <w:b/>
      <w:bCs/>
      <w:kern w:val="0"/>
      <w:sz w:val="28"/>
      <w:szCs w:val="20"/>
    </w:rPr>
  </w:style>
  <w:style w:type="paragraph" w:styleId="37">
    <w:name w:val="Body Text First Indent 2"/>
    <w:basedOn w:val="17"/>
    <w:next w:val="1"/>
    <w:autoRedefine/>
    <w:qFormat/>
    <w:uiPriority w:val="0"/>
    <w:pPr>
      <w:ind w:firstLine="420" w:firstLineChars="200"/>
    </w:pPr>
  </w:style>
  <w:style w:type="table" w:styleId="39">
    <w:name w:val="Table Grid"/>
    <w:basedOn w:val="3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autoRedefine/>
    <w:qFormat/>
    <w:uiPriority w:val="0"/>
    <w:rPr>
      <w:b/>
      <w:bCs/>
    </w:rPr>
  </w:style>
  <w:style w:type="character" w:styleId="42">
    <w:name w:val="page number"/>
    <w:basedOn w:val="40"/>
    <w:autoRedefine/>
    <w:qFormat/>
    <w:uiPriority w:val="0"/>
  </w:style>
  <w:style w:type="character" w:styleId="43">
    <w:name w:val="FollowedHyperlink"/>
    <w:basedOn w:val="40"/>
    <w:autoRedefine/>
    <w:qFormat/>
    <w:uiPriority w:val="0"/>
    <w:rPr>
      <w:color w:val="333333"/>
      <w:u w:val="none"/>
    </w:rPr>
  </w:style>
  <w:style w:type="character" w:styleId="44">
    <w:name w:val="Emphasis"/>
    <w:autoRedefine/>
    <w:qFormat/>
    <w:uiPriority w:val="0"/>
    <w:rPr>
      <w:i/>
      <w:iCs/>
    </w:rPr>
  </w:style>
  <w:style w:type="character" w:styleId="45">
    <w:name w:val="Hyperlink"/>
    <w:basedOn w:val="40"/>
    <w:autoRedefine/>
    <w:qFormat/>
    <w:uiPriority w:val="0"/>
    <w:rPr>
      <w:color w:val="333333"/>
      <w:u w:val="none"/>
    </w:rPr>
  </w:style>
  <w:style w:type="character" w:styleId="46">
    <w:name w:val="annotation reference"/>
    <w:autoRedefine/>
    <w:qFormat/>
    <w:uiPriority w:val="0"/>
    <w:rPr>
      <w:rFonts w:cs="Times New Roman"/>
      <w:sz w:val="21"/>
      <w:szCs w:val="21"/>
    </w:rPr>
  </w:style>
  <w:style w:type="paragraph" w:customStyle="1" w:styleId="47">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48">
    <w:name w:val="列出段落1"/>
    <w:basedOn w:val="1"/>
    <w:autoRedefine/>
    <w:qFormat/>
    <w:uiPriority w:val="0"/>
    <w:pPr>
      <w:ind w:firstLine="420"/>
    </w:pPr>
    <w:rPr>
      <w:szCs w:val="20"/>
    </w:rPr>
  </w:style>
  <w:style w:type="paragraph" w:customStyle="1" w:styleId="49">
    <w:name w:val="正文正"/>
    <w:basedOn w:val="1"/>
    <w:autoRedefine/>
    <w:qFormat/>
    <w:uiPriority w:val="0"/>
    <w:pPr>
      <w:spacing w:line="560" w:lineRule="exact"/>
      <w:ind w:firstLine="561"/>
    </w:pPr>
    <w:rPr>
      <w:rFonts w:eastAsia="仿宋_GB2312"/>
      <w:sz w:val="28"/>
      <w:szCs w:val="24"/>
    </w:rPr>
  </w:style>
  <w:style w:type="character" w:customStyle="1" w:styleId="50">
    <w:name w:val="标题 9 Char"/>
    <w:link w:val="10"/>
    <w:autoRedefine/>
    <w:qFormat/>
    <w:uiPriority w:val="0"/>
    <w:rPr>
      <w:rFonts w:ascii="Cambria" w:hAnsi="Cambria" w:eastAsia="宋体"/>
      <w:kern w:val="2"/>
      <w:sz w:val="21"/>
      <w:szCs w:val="21"/>
      <w:lang w:val="en-US" w:eastAsia="zh-CN" w:bidi="ar-SA"/>
    </w:rPr>
  </w:style>
  <w:style w:type="character" w:customStyle="1" w:styleId="51">
    <w:name w:val="textcontents"/>
    <w:autoRedefine/>
    <w:qFormat/>
    <w:uiPriority w:val="0"/>
    <w:rPr>
      <w:rFonts w:cs="Times New Roman"/>
    </w:rPr>
  </w:style>
  <w:style w:type="character" w:customStyle="1" w:styleId="52">
    <w:name w:val="标题 2 Char"/>
    <w:link w:val="3"/>
    <w:autoRedefine/>
    <w:qFormat/>
    <w:uiPriority w:val="0"/>
    <w:rPr>
      <w:rFonts w:ascii="Cambria" w:hAnsi="Cambria" w:eastAsia="宋体"/>
      <w:b/>
      <w:bCs/>
      <w:kern w:val="2"/>
      <w:sz w:val="32"/>
      <w:szCs w:val="32"/>
      <w:lang w:val="en-US" w:eastAsia="zh-CN" w:bidi="ar-SA"/>
    </w:rPr>
  </w:style>
  <w:style w:type="character" w:customStyle="1" w:styleId="53">
    <w:name w:val="标题 4 Char"/>
    <w:link w:val="5"/>
    <w:autoRedefine/>
    <w:qFormat/>
    <w:uiPriority w:val="0"/>
    <w:rPr>
      <w:rFonts w:ascii="Arial" w:hAnsi="Arial" w:eastAsia="黑体"/>
      <w:b/>
      <w:bCs/>
      <w:kern w:val="2"/>
      <w:sz w:val="28"/>
      <w:szCs w:val="28"/>
      <w:lang w:val="en-US" w:eastAsia="zh-CN" w:bidi="ar-SA"/>
    </w:rPr>
  </w:style>
  <w:style w:type="character" w:customStyle="1" w:styleId="54">
    <w:name w:val="引用 Char"/>
    <w:link w:val="55"/>
    <w:autoRedefine/>
    <w:qFormat/>
    <w:uiPriority w:val="0"/>
    <w:rPr>
      <w:i/>
      <w:iCs/>
      <w:color w:val="000000"/>
      <w:kern w:val="2"/>
      <w:sz w:val="21"/>
      <w:szCs w:val="22"/>
      <w:lang w:bidi="ar-SA"/>
    </w:rPr>
  </w:style>
  <w:style w:type="paragraph" w:styleId="55">
    <w:name w:val="Quote"/>
    <w:basedOn w:val="1"/>
    <w:next w:val="1"/>
    <w:link w:val="54"/>
    <w:autoRedefine/>
    <w:qFormat/>
    <w:uiPriority w:val="0"/>
    <w:rPr>
      <w:i/>
      <w:iCs/>
      <w:color w:val="000000"/>
      <w:szCs w:val="22"/>
    </w:rPr>
  </w:style>
  <w:style w:type="character" w:customStyle="1" w:styleId="56">
    <w:name w:val="标题5 Char Char"/>
    <w:link w:val="57"/>
    <w:autoRedefine/>
    <w:qFormat/>
    <w:uiPriority w:val="0"/>
    <w:rPr>
      <w:rFonts w:ascii="Arial" w:hAnsi="Arial"/>
      <w:b/>
      <w:bCs/>
      <w:sz w:val="24"/>
      <w:szCs w:val="32"/>
      <w:lang w:bidi="ar-SA"/>
    </w:rPr>
  </w:style>
  <w:style w:type="paragraph" w:customStyle="1" w:styleId="57">
    <w:name w:val="标题5"/>
    <w:basedOn w:val="4"/>
    <w:link w:val="56"/>
    <w:autoRedefine/>
    <w:qFormat/>
    <w:uiPriority w:val="0"/>
    <w:pPr>
      <w:spacing w:line="413" w:lineRule="auto"/>
    </w:pPr>
    <w:rPr>
      <w:rFonts w:ascii="Arial" w:hAnsi="Arial"/>
      <w:kern w:val="0"/>
      <w:sz w:val="24"/>
    </w:rPr>
  </w:style>
  <w:style w:type="character" w:customStyle="1" w:styleId="58">
    <w:name w:val="批注主题 Char"/>
    <w:link w:val="36"/>
    <w:autoRedefine/>
    <w:qFormat/>
    <w:uiPriority w:val="0"/>
    <w:rPr>
      <w:rFonts w:ascii="宋体"/>
      <w:b/>
      <w:bCs/>
      <w:sz w:val="28"/>
      <w:lang w:bidi="ar-SA"/>
    </w:rPr>
  </w:style>
  <w:style w:type="character" w:customStyle="1" w:styleId="59">
    <w:name w:val="标题 7 Char"/>
    <w:link w:val="8"/>
    <w:autoRedefine/>
    <w:qFormat/>
    <w:uiPriority w:val="0"/>
    <w:rPr>
      <w:rFonts w:ascii="Calibri" w:hAnsi="Calibri" w:eastAsia="宋体"/>
      <w:b/>
      <w:bCs/>
      <w:kern w:val="2"/>
      <w:sz w:val="24"/>
      <w:szCs w:val="24"/>
      <w:lang w:val="en-US" w:eastAsia="zh-CN" w:bidi="ar-SA"/>
    </w:rPr>
  </w:style>
  <w:style w:type="character" w:customStyle="1" w:styleId="60">
    <w:name w:val="文档结构图 Char1"/>
    <w:autoRedefine/>
    <w:qFormat/>
    <w:uiPriority w:val="0"/>
    <w:rPr>
      <w:rFonts w:ascii="宋体"/>
      <w:kern w:val="2"/>
      <w:sz w:val="18"/>
      <w:szCs w:val="18"/>
    </w:rPr>
  </w:style>
  <w:style w:type="character" w:customStyle="1" w:styleId="61">
    <w:name w:val="标题 5 Char"/>
    <w:link w:val="6"/>
    <w:autoRedefine/>
    <w:qFormat/>
    <w:uiPriority w:val="0"/>
    <w:rPr>
      <w:rFonts w:ascii="Calibri" w:hAnsi="Calibri" w:eastAsia="宋体"/>
      <w:b/>
      <w:bCs/>
      <w:kern w:val="2"/>
      <w:sz w:val="28"/>
      <w:szCs w:val="28"/>
      <w:lang w:val="en-US" w:eastAsia="zh-CN" w:bidi="ar-SA"/>
    </w:rPr>
  </w:style>
  <w:style w:type="character" w:customStyle="1" w:styleId="62">
    <w:name w:val="正文文本 Char1"/>
    <w:autoRedefine/>
    <w:qFormat/>
    <w:uiPriority w:val="0"/>
    <w:rPr>
      <w:kern w:val="2"/>
      <w:sz w:val="21"/>
      <w:szCs w:val="22"/>
    </w:rPr>
  </w:style>
  <w:style w:type="character" w:customStyle="1" w:styleId="63">
    <w:name w:val="日期 Char1"/>
    <w:autoRedefine/>
    <w:qFormat/>
    <w:uiPriority w:val="0"/>
    <w:rPr>
      <w:kern w:val="2"/>
      <w:sz w:val="21"/>
      <w:szCs w:val="22"/>
    </w:rPr>
  </w:style>
  <w:style w:type="character" w:customStyle="1" w:styleId="64">
    <w:name w:val="标题 3 Char"/>
    <w:basedOn w:val="40"/>
    <w:link w:val="4"/>
    <w:autoRedefine/>
    <w:qFormat/>
    <w:uiPriority w:val="0"/>
    <w:rPr>
      <w:rFonts w:eastAsia="宋体"/>
      <w:b/>
      <w:bCs/>
      <w:kern w:val="2"/>
      <w:sz w:val="32"/>
      <w:szCs w:val="32"/>
      <w:lang w:val="en-US" w:eastAsia="zh-CN" w:bidi="ar-SA"/>
    </w:rPr>
  </w:style>
  <w:style w:type="character" w:customStyle="1" w:styleId="65">
    <w:name w:val="不明显参考1"/>
    <w:autoRedefine/>
    <w:qFormat/>
    <w:uiPriority w:val="0"/>
    <w:rPr>
      <w:smallCaps/>
      <w:color w:val="C0504D"/>
      <w:u w:val="single"/>
    </w:rPr>
  </w:style>
  <w:style w:type="character" w:customStyle="1" w:styleId="66">
    <w:name w:val="标题 Char"/>
    <w:link w:val="35"/>
    <w:autoRedefine/>
    <w:qFormat/>
    <w:uiPriority w:val="0"/>
    <w:rPr>
      <w:rFonts w:ascii="Cambria" w:hAnsi="Cambria"/>
      <w:b/>
      <w:bCs/>
      <w:kern w:val="2"/>
      <w:sz w:val="32"/>
      <w:szCs w:val="32"/>
      <w:lang w:bidi="ar-SA"/>
    </w:rPr>
  </w:style>
  <w:style w:type="character" w:customStyle="1" w:styleId="67">
    <w:name w:val="标题 6 Char"/>
    <w:link w:val="7"/>
    <w:autoRedefine/>
    <w:qFormat/>
    <w:uiPriority w:val="0"/>
    <w:rPr>
      <w:rFonts w:ascii="Cambria" w:hAnsi="Cambria" w:eastAsia="宋体"/>
      <w:b/>
      <w:bCs/>
      <w:kern w:val="2"/>
      <w:sz w:val="24"/>
      <w:szCs w:val="24"/>
      <w:lang w:val="en-US" w:eastAsia="zh-CN" w:bidi="ar-SA"/>
    </w:rPr>
  </w:style>
  <w:style w:type="character" w:customStyle="1" w:styleId="68">
    <w:name w:val="明显参考1"/>
    <w:autoRedefine/>
    <w:qFormat/>
    <w:uiPriority w:val="0"/>
    <w:rPr>
      <w:b/>
      <w:bCs/>
      <w:smallCaps/>
      <w:color w:val="C0504D"/>
      <w:spacing w:val="5"/>
      <w:u w:val="single"/>
    </w:rPr>
  </w:style>
  <w:style w:type="character" w:customStyle="1" w:styleId="69">
    <w:name w:val="批注文字 Char Char"/>
    <w:autoRedefine/>
    <w:qFormat/>
    <w:uiPriority w:val="0"/>
    <w:rPr>
      <w:rFonts w:ascii="宋体" w:hAnsi="Times New Roman" w:eastAsia="宋体" w:cs="Times New Roman"/>
      <w:sz w:val="28"/>
      <w:szCs w:val="20"/>
    </w:rPr>
  </w:style>
  <w:style w:type="character" w:customStyle="1" w:styleId="70">
    <w:name w:val="标题4 Char Char"/>
    <w:link w:val="71"/>
    <w:autoRedefine/>
    <w:qFormat/>
    <w:uiPriority w:val="0"/>
    <w:rPr>
      <w:rFonts w:ascii="Arial" w:hAnsi="Arial"/>
      <w:b/>
      <w:bCs/>
      <w:sz w:val="24"/>
      <w:szCs w:val="32"/>
      <w:lang w:bidi="ar-SA"/>
    </w:rPr>
  </w:style>
  <w:style w:type="paragraph" w:customStyle="1" w:styleId="71">
    <w:name w:val="标题4"/>
    <w:basedOn w:val="3"/>
    <w:next w:val="18"/>
    <w:link w:val="70"/>
    <w:autoRedefine/>
    <w:qFormat/>
    <w:uiPriority w:val="0"/>
    <w:rPr>
      <w:rFonts w:ascii="Arial" w:hAnsi="Arial"/>
      <w:kern w:val="0"/>
      <w:sz w:val="24"/>
    </w:rPr>
  </w:style>
  <w:style w:type="character" w:customStyle="1" w:styleId="72">
    <w:name w:val="批注文字 Char"/>
    <w:basedOn w:val="40"/>
    <w:link w:val="15"/>
    <w:autoRedefine/>
    <w:qFormat/>
    <w:uiPriority w:val="0"/>
    <w:rPr>
      <w:rFonts w:eastAsia="宋体"/>
      <w:kern w:val="2"/>
      <w:sz w:val="21"/>
      <w:szCs w:val="24"/>
      <w:lang w:val="en-US" w:eastAsia="zh-CN" w:bidi="ar-SA"/>
    </w:rPr>
  </w:style>
  <w:style w:type="character" w:customStyle="1" w:styleId="73">
    <w:name w:val="页脚 Char"/>
    <w:link w:val="25"/>
    <w:autoRedefine/>
    <w:qFormat/>
    <w:uiPriority w:val="0"/>
    <w:rPr>
      <w:rFonts w:eastAsia="宋体"/>
      <w:kern w:val="2"/>
      <w:sz w:val="18"/>
      <w:szCs w:val="18"/>
      <w:lang w:val="en-US" w:eastAsia="zh-CN" w:bidi="ar-SA"/>
    </w:rPr>
  </w:style>
  <w:style w:type="character" w:customStyle="1" w:styleId="74">
    <w:name w:val="批注主题 Char1"/>
    <w:autoRedefine/>
    <w:qFormat/>
    <w:uiPriority w:val="0"/>
    <w:rPr>
      <w:b/>
      <w:bCs/>
      <w:kern w:val="2"/>
      <w:sz w:val="21"/>
      <w:szCs w:val="22"/>
    </w:rPr>
  </w:style>
  <w:style w:type="character" w:customStyle="1" w:styleId="75">
    <w:name w:val="不明显强调1"/>
    <w:autoRedefine/>
    <w:qFormat/>
    <w:uiPriority w:val="0"/>
    <w:rPr>
      <w:i/>
      <w:iCs/>
      <w:color w:val="808080"/>
    </w:rPr>
  </w:style>
  <w:style w:type="character" w:customStyle="1" w:styleId="76">
    <w:name w:val="书籍标题1"/>
    <w:autoRedefine/>
    <w:qFormat/>
    <w:uiPriority w:val="0"/>
    <w:rPr>
      <w:b/>
      <w:bCs/>
      <w:smallCaps/>
      <w:spacing w:val="5"/>
    </w:rPr>
  </w:style>
  <w:style w:type="character" w:customStyle="1" w:styleId="77">
    <w:name w:val="文档结构图 Char"/>
    <w:link w:val="14"/>
    <w:autoRedefine/>
    <w:qFormat/>
    <w:uiPriority w:val="0"/>
    <w:rPr>
      <w:szCs w:val="24"/>
      <w:shd w:val="clear" w:color="auto" w:fill="000080"/>
      <w:lang w:bidi="ar-SA"/>
    </w:rPr>
  </w:style>
  <w:style w:type="character" w:customStyle="1" w:styleId="78">
    <w:name w:val="批注框文本 Char1"/>
    <w:autoRedefine/>
    <w:qFormat/>
    <w:uiPriority w:val="0"/>
    <w:rPr>
      <w:kern w:val="2"/>
      <w:sz w:val="18"/>
      <w:szCs w:val="18"/>
    </w:rPr>
  </w:style>
  <w:style w:type="character" w:customStyle="1" w:styleId="79">
    <w:name w:val="正文文本 Char"/>
    <w:link w:val="16"/>
    <w:autoRedefine/>
    <w:qFormat/>
    <w:uiPriority w:val="0"/>
    <w:rPr>
      <w:lang w:bidi="ar-SA"/>
    </w:rPr>
  </w:style>
  <w:style w:type="character" w:customStyle="1" w:styleId="80">
    <w:name w:val="批注框文本 Char"/>
    <w:link w:val="24"/>
    <w:autoRedefine/>
    <w:qFormat/>
    <w:uiPriority w:val="0"/>
    <w:rPr>
      <w:rFonts w:ascii="宋体"/>
      <w:sz w:val="18"/>
      <w:szCs w:val="18"/>
      <w:lang w:bidi="ar-SA"/>
    </w:rPr>
  </w:style>
  <w:style w:type="character" w:customStyle="1" w:styleId="81">
    <w:name w:val="标题 1 Char"/>
    <w:link w:val="2"/>
    <w:autoRedefine/>
    <w:qFormat/>
    <w:uiPriority w:val="0"/>
    <w:rPr>
      <w:rFonts w:ascii="Calibri" w:hAnsi="Calibri" w:eastAsia="宋体"/>
      <w:b/>
      <w:bCs/>
      <w:kern w:val="44"/>
      <w:sz w:val="44"/>
      <w:szCs w:val="44"/>
      <w:lang w:val="en-US" w:eastAsia="zh-CN" w:bidi="ar-SA"/>
    </w:rPr>
  </w:style>
  <w:style w:type="character" w:customStyle="1" w:styleId="82">
    <w:name w:val="明显强调1"/>
    <w:autoRedefine/>
    <w:qFormat/>
    <w:uiPriority w:val="0"/>
    <w:rPr>
      <w:b/>
      <w:bCs/>
      <w:i/>
      <w:iCs/>
      <w:color w:val="4F81BD"/>
    </w:rPr>
  </w:style>
  <w:style w:type="character" w:customStyle="1" w:styleId="83">
    <w:name w:val="Char Char9"/>
    <w:autoRedefine/>
    <w:qFormat/>
    <w:uiPriority w:val="0"/>
    <w:rPr>
      <w:kern w:val="2"/>
      <w:sz w:val="21"/>
      <w:szCs w:val="22"/>
    </w:rPr>
  </w:style>
  <w:style w:type="character" w:customStyle="1" w:styleId="84">
    <w:name w:val="副标题 Char"/>
    <w:link w:val="29"/>
    <w:autoRedefine/>
    <w:qFormat/>
    <w:uiPriority w:val="0"/>
    <w:rPr>
      <w:rFonts w:ascii="Cambria" w:hAnsi="Cambria"/>
      <w:b/>
      <w:bCs/>
      <w:kern w:val="28"/>
      <w:sz w:val="32"/>
      <w:szCs w:val="32"/>
      <w:lang w:bidi="ar-SA"/>
    </w:rPr>
  </w:style>
  <w:style w:type="character" w:customStyle="1" w:styleId="85">
    <w:name w:val="Char Char16"/>
    <w:autoRedefine/>
    <w:qFormat/>
    <w:uiPriority w:val="0"/>
    <w:rPr>
      <w:b/>
      <w:bCs/>
      <w:kern w:val="2"/>
      <w:sz w:val="32"/>
      <w:szCs w:val="32"/>
    </w:rPr>
  </w:style>
  <w:style w:type="character" w:customStyle="1" w:styleId="86">
    <w:name w:val="标题 8 Char"/>
    <w:link w:val="9"/>
    <w:autoRedefine/>
    <w:qFormat/>
    <w:uiPriority w:val="0"/>
    <w:rPr>
      <w:rFonts w:ascii="Cambria" w:hAnsi="Cambria" w:eastAsia="宋体"/>
      <w:kern w:val="2"/>
      <w:sz w:val="24"/>
      <w:szCs w:val="24"/>
      <w:lang w:val="en-US" w:eastAsia="zh-CN" w:bidi="ar-SA"/>
    </w:rPr>
  </w:style>
  <w:style w:type="character" w:customStyle="1" w:styleId="87">
    <w:name w:val="日期 Char"/>
    <w:link w:val="23"/>
    <w:autoRedefine/>
    <w:qFormat/>
    <w:uiPriority w:val="0"/>
    <w:rPr>
      <w:rFonts w:ascii="宋体"/>
      <w:sz w:val="28"/>
      <w:lang w:bidi="ar-SA"/>
    </w:rPr>
  </w:style>
  <w:style w:type="character" w:customStyle="1" w:styleId="88">
    <w:name w:val="明显引用 Char"/>
    <w:link w:val="89"/>
    <w:autoRedefine/>
    <w:qFormat/>
    <w:uiPriority w:val="0"/>
    <w:rPr>
      <w:b/>
      <w:bCs/>
      <w:i/>
      <w:iCs/>
      <w:color w:val="4F81BD"/>
      <w:kern w:val="2"/>
      <w:sz w:val="21"/>
      <w:szCs w:val="22"/>
      <w:lang w:bidi="ar-SA"/>
    </w:rPr>
  </w:style>
  <w:style w:type="paragraph" w:styleId="89">
    <w:name w:val="Intense Quote"/>
    <w:basedOn w:val="1"/>
    <w:next w:val="1"/>
    <w:link w:val="88"/>
    <w:autoRedefine/>
    <w:qFormat/>
    <w:uiPriority w:val="0"/>
    <w:pPr>
      <w:pBdr>
        <w:bottom w:val="single" w:color="4F81BD" w:sz="4" w:space="4"/>
      </w:pBdr>
      <w:spacing w:before="200" w:after="280"/>
      <w:ind w:left="936" w:right="936"/>
    </w:pPr>
    <w:rPr>
      <w:b/>
      <w:bCs/>
      <w:i/>
      <w:iCs/>
      <w:color w:val="4F81BD"/>
      <w:szCs w:val="22"/>
    </w:rPr>
  </w:style>
  <w:style w:type="paragraph" w:styleId="90">
    <w:name w:val="List Paragraph"/>
    <w:basedOn w:val="1"/>
    <w:autoRedefine/>
    <w:qFormat/>
    <w:uiPriority w:val="34"/>
    <w:pPr>
      <w:ind w:firstLine="420" w:firstLineChars="200"/>
    </w:pPr>
    <w:rPr>
      <w:rFonts w:ascii="Calibri" w:hAnsi="Calibri"/>
      <w:szCs w:val="22"/>
    </w:rPr>
  </w:style>
  <w:style w:type="paragraph" w:customStyle="1" w:styleId="91">
    <w:name w:val="默认段落字体 Para Char Char Char Char Char Char Char Char Char1 Char Char Char Char Char Char Char"/>
    <w:basedOn w:val="14"/>
    <w:autoRedefine/>
    <w:qFormat/>
    <w:uiPriority w:val="0"/>
    <w:rPr>
      <w:rFonts w:ascii="Tahoma" w:hAnsi="Tahoma" w:cs="Tahoma"/>
      <w:kern w:val="2"/>
      <w:sz w:val="24"/>
      <w:shd w:val="clear" w:color="auto" w:fill="auto"/>
    </w:rPr>
  </w:style>
  <w:style w:type="paragraph" w:customStyle="1" w:styleId="92">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93">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94">
    <w:name w:val="TOC 标题1"/>
    <w:basedOn w:val="2"/>
    <w:next w:val="1"/>
    <w:autoRedefine/>
    <w:qFormat/>
    <w:uiPriority w:val="0"/>
    <w:pPr>
      <w:outlineLvl w:val="9"/>
    </w:pPr>
  </w:style>
  <w:style w:type="paragraph" w:customStyle="1" w:styleId="95">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kern w:val="0"/>
      <w:sz w:val="28"/>
      <w:szCs w:val="20"/>
    </w:rPr>
  </w:style>
  <w:style w:type="paragraph" w:styleId="9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98">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9">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00">
    <w:name w:val="列出段落2"/>
    <w:basedOn w:val="1"/>
    <w:autoRedefine/>
    <w:qFormat/>
    <w:uiPriority w:val="0"/>
    <w:pPr>
      <w:ind w:firstLine="420"/>
    </w:pPr>
    <w:rPr>
      <w:szCs w:val="20"/>
    </w:rPr>
  </w:style>
  <w:style w:type="paragraph" w:customStyle="1" w:styleId="101">
    <w:name w:val="列出段落3"/>
    <w:basedOn w:val="1"/>
    <w:autoRedefine/>
    <w:qFormat/>
    <w:uiPriority w:val="0"/>
    <w:pPr>
      <w:ind w:firstLine="420"/>
    </w:pPr>
    <w:rPr>
      <w:szCs w:val="20"/>
    </w:rPr>
  </w:style>
  <w:style w:type="character" w:customStyle="1" w:styleId="102">
    <w:name w:val="正文文本缩进 3 Char"/>
    <w:basedOn w:val="40"/>
    <w:link w:val="31"/>
    <w:autoRedefine/>
    <w:qFormat/>
    <w:uiPriority w:val="0"/>
    <w:rPr>
      <w:kern w:val="2"/>
      <w:sz w:val="16"/>
      <w:szCs w:val="16"/>
    </w:rPr>
  </w:style>
  <w:style w:type="character" w:customStyle="1" w:styleId="103">
    <w:name w:val="layui-laypage-curr"/>
    <w:basedOn w:val="40"/>
    <w:autoRedefine/>
    <w:qFormat/>
    <w:uiPriority w:val="0"/>
  </w:style>
  <w:style w:type="character" w:customStyle="1" w:styleId="104">
    <w:name w:val="bsharetext"/>
    <w:basedOn w:val="40"/>
    <w:autoRedefine/>
    <w:qFormat/>
    <w:uiPriority w:val="0"/>
  </w:style>
  <w:style w:type="paragraph" w:customStyle="1" w:styleId="105">
    <w:name w:val="_Style 3"/>
    <w:basedOn w:val="1"/>
    <w:next w:val="1"/>
    <w:autoRedefine/>
    <w:qFormat/>
    <w:uiPriority w:val="0"/>
    <w:pPr>
      <w:pBdr>
        <w:top w:val="single" w:color="auto" w:sz="6" w:space="1"/>
      </w:pBdr>
      <w:jc w:val="center"/>
    </w:pPr>
    <w:rPr>
      <w:rFonts w:ascii="Arial" w:eastAsia="宋体"/>
      <w:vanish/>
      <w:sz w:val="16"/>
    </w:rPr>
  </w:style>
  <w:style w:type="paragraph" w:customStyle="1" w:styleId="106">
    <w:name w:val="Table Paragraph"/>
    <w:basedOn w:val="1"/>
    <w:autoRedefine/>
    <w:qFormat/>
    <w:uiPriority w:val="1"/>
    <w:rPr>
      <w:rFonts w:ascii="宋体" w:hAnsi="宋体" w:eastAsia="宋体" w:cs="宋体"/>
    </w:rPr>
  </w:style>
  <w:style w:type="character" w:customStyle="1" w:styleId="107">
    <w:name w:val="标题 2 字符1"/>
    <w:link w:val="3"/>
    <w:autoRedefine/>
    <w:qFormat/>
    <w:locked/>
    <w:uiPriority w:val="0"/>
    <w:rPr>
      <w:rFonts w:ascii="Arial" w:hAnsi="Arial" w:eastAsia="黑体" w:cs="Times New Roman"/>
      <w:b/>
      <w:bCs/>
      <w:kern w:val="2"/>
      <w:sz w:val="32"/>
      <w:szCs w:val="32"/>
      <w:lang w:val="en-US" w:eastAsia="zh-CN" w:bidi="ar-SA"/>
    </w:rPr>
  </w:style>
  <w:style w:type="character" w:customStyle="1" w:styleId="108">
    <w:name w:val="font61"/>
    <w:basedOn w:val="40"/>
    <w:autoRedefine/>
    <w:qFormat/>
    <w:uiPriority w:val="0"/>
    <w:rPr>
      <w:rFonts w:ascii="宋体" w:hAnsi="宋体" w:eastAsia="宋体" w:cs="宋体"/>
      <w:b/>
      <w:bCs/>
      <w:color w:val="000000"/>
      <w:sz w:val="30"/>
      <w:szCs w:val="30"/>
      <w:u w:val="none"/>
    </w:rPr>
  </w:style>
  <w:style w:type="character" w:customStyle="1" w:styleId="109">
    <w:name w:val="font71"/>
    <w:basedOn w:val="40"/>
    <w:autoRedefine/>
    <w:qFormat/>
    <w:uiPriority w:val="0"/>
    <w:rPr>
      <w:rFonts w:ascii="宋体" w:hAnsi="宋体" w:eastAsia="宋体" w:cs="宋体"/>
      <w:color w:val="000000"/>
      <w:sz w:val="22"/>
      <w:szCs w:val="22"/>
      <w:u w:val="none"/>
    </w:rPr>
  </w:style>
  <w:style w:type="paragraph" w:customStyle="1" w:styleId="110">
    <w:name w:val="正文_3_0"/>
    <w:next w:val="11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
    <w:name w:val="正文首行缩进 22"/>
    <w:basedOn w:val="112"/>
    <w:qFormat/>
    <w:uiPriority w:val="0"/>
    <w:pPr>
      <w:ind w:firstLine="420" w:firstLineChars="200"/>
    </w:pPr>
  </w:style>
  <w:style w:type="paragraph" w:customStyle="1" w:styleId="112">
    <w:name w:val="正文文本缩进2"/>
    <w:basedOn w:val="113"/>
    <w:qFormat/>
    <w:uiPriority w:val="0"/>
    <w:pPr>
      <w:spacing w:after="120"/>
      <w:ind w:left="420" w:leftChars="200"/>
    </w:pPr>
  </w:style>
  <w:style w:type="paragraph" w:customStyle="1" w:styleId="11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4">
    <w:name w:val="NormalCharacter"/>
    <w:qFormat/>
    <w:uiPriority w:val="0"/>
    <w:rPr>
      <w:rFonts w:ascii="Calibri" w:hAnsi="Calibri" w:eastAsia="宋体" w:cs="Times New Roman"/>
      <w:sz w:val="21"/>
      <w:szCs w:val="21"/>
      <w:lang w:val="en-US" w:eastAsia="zh-CN" w:bidi="ar-SA"/>
    </w:rPr>
  </w:style>
  <w:style w:type="paragraph" w:customStyle="1" w:styleId="11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63C7BE-29A4-4D84-95D6-7181FC6B269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67</Pages>
  <Words>17575</Words>
  <Characters>19369</Characters>
  <Lines>286</Lines>
  <Paragraphs>80</Paragraphs>
  <TotalTime>53</TotalTime>
  <ScaleCrop>false</ScaleCrop>
  <LinksUpToDate>false</LinksUpToDate>
  <CharactersWithSpaces>19603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2020-11-13T14:00:00Z</dcterms:created>
  <dc:creator>Administrator</dc:creator>
  <cp:lastModifiedBy>.</cp:lastModifiedBy>
  <cp:lastPrinted>2024-09-29T06:34:00Z</cp:lastPrinted>
  <dcterms:modified xsi:type="dcterms:W3CDTF">2025-03-10T06:11:10Z</dcterms:modified>
  <dc:title>第二章  投标人须知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144EDD394A9749A5956BFC16C02387AC_13</vt:lpwstr>
  </property>
  <property fmtid="{D5CDD505-2E9C-101B-9397-08002B2CF9AE}" pid="4" name="KSOTemplateDocerSaveRecord">
    <vt:lpwstr>eyJoZGlkIjoiOGQxZTBlMTVhMTFiMmI4OTVjZmQ5MDhiMTk0OWNlMDEiLCJ1c2VySWQiOiIyNzg2NTI1NTkifQ==</vt:lpwstr>
  </property>
</Properties>
</file>