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05104C">
      <w:pPr>
        <w:jc w:val="center"/>
        <w:rPr>
          <w:rFonts w:hint="eastAsia" w:ascii="宋体" w:hAnsi="宋体" w:eastAsia="宋体" w:cs="宋体"/>
          <w:b/>
          <w:color w:val="000000" w:themeColor="text1"/>
          <w:sz w:val="20"/>
          <w:szCs w:val="20"/>
          <w:highlight w:val="none"/>
          <w:lang w:val="en-US" w:eastAsia="zh-CN"/>
          <w14:textFill>
            <w14:solidFill>
              <w14:schemeClr w14:val="tx1"/>
            </w14:solidFill>
          </w14:textFill>
        </w:rPr>
      </w:pPr>
      <w:bookmarkStart w:id="0" w:name="_Toc466454728"/>
      <w:bookmarkStart w:id="1" w:name="_Toc465257481"/>
      <w:bookmarkStart w:id="2" w:name="_Toc466466372"/>
      <w:r>
        <w:rPr>
          <w:rFonts w:hint="eastAsia" w:ascii="宋体" w:hAnsi="宋体" w:cs="宋体"/>
          <w:b/>
          <w:bCs/>
          <w:color w:val="000000" w:themeColor="text1"/>
          <w:kern w:val="0"/>
          <w:sz w:val="44"/>
          <w:szCs w:val="44"/>
          <w:highlight w:val="none"/>
          <w:lang w:val="en-US" w:eastAsia="zh-CN" w:bidi="ar"/>
          <w14:textFill>
            <w14:solidFill>
              <w14:schemeClr w14:val="tx1"/>
            </w14:solidFill>
          </w14:textFill>
        </w:rPr>
        <w:t>延吉市专项债券项目服务采购项目</w:t>
      </w:r>
    </w:p>
    <w:p w14:paraId="036826A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color w:val="000000" w:themeColor="text1"/>
          <w:sz w:val="36"/>
          <w:szCs w:val="144"/>
          <w:highlight w:val="none"/>
          <w14:textFill>
            <w14:solidFill>
              <w14:schemeClr w14:val="tx1"/>
            </w14:solidFill>
          </w14:textFill>
        </w:rPr>
      </w:pPr>
    </w:p>
    <w:p w14:paraId="07AFC1BF">
      <w:pPr>
        <w:pStyle w:val="14"/>
        <w:rPr>
          <w:rFonts w:hint="eastAsia" w:ascii="宋体" w:hAnsi="宋体" w:eastAsia="宋体" w:cs="宋体"/>
          <w:b/>
          <w:color w:val="000000" w:themeColor="text1"/>
          <w:sz w:val="36"/>
          <w:szCs w:val="144"/>
          <w:highlight w:val="none"/>
          <w14:textFill>
            <w14:solidFill>
              <w14:schemeClr w14:val="tx1"/>
            </w14:solidFill>
          </w14:textFill>
        </w:rPr>
      </w:pPr>
    </w:p>
    <w:p w14:paraId="5C722060">
      <w:pPr>
        <w:pStyle w:val="14"/>
        <w:rPr>
          <w:rFonts w:hint="eastAsia" w:ascii="宋体" w:hAnsi="宋体" w:eastAsia="宋体" w:cs="宋体"/>
          <w:b/>
          <w:color w:val="000000" w:themeColor="text1"/>
          <w:sz w:val="36"/>
          <w:szCs w:val="144"/>
          <w:highlight w:val="none"/>
          <w14:textFill>
            <w14:solidFill>
              <w14:schemeClr w14:val="tx1"/>
            </w14:solidFill>
          </w14:textFill>
        </w:rPr>
      </w:pPr>
    </w:p>
    <w:p w14:paraId="083640F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color w:val="000000" w:themeColor="text1"/>
          <w:sz w:val="36"/>
          <w:szCs w:val="144"/>
          <w:highlight w:val="none"/>
          <w14:textFill>
            <w14:solidFill>
              <w14:schemeClr w14:val="tx1"/>
            </w14:solidFill>
          </w14:textFill>
        </w:rPr>
      </w:pPr>
    </w:p>
    <w:p w14:paraId="6F6F7AC4">
      <w:pPr>
        <w:pStyle w:val="14"/>
        <w:rPr>
          <w:rFonts w:hint="eastAsia" w:ascii="宋体" w:hAnsi="宋体" w:eastAsia="宋体" w:cs="宋体"/>
          <w:color w:val="000000" w:themeColor="text1"/>
          <w:highlight w:val="none"/>
          <w14:textFill>
            <w14:solidFill>
              <w14:schemeClr w14:val="tx1"/>
            </w14:solidFill>
          </w14:textFill>
        </w:rPr>
      </w:pPr>
    </w:p>
    <w:p w14:paraId="2C0278D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36"/>
          <w:szCs w:val="144"/>
          <w:highlight w:val="none"/>
          <w14:textFill>
            <w14:solidFill>
              <w14:schemeClr w14:val="tx1"/>
            </w14:solidFill>
          </w14:textFill>
        </w:rPr>
        <w:t>项目编号：</w:t>
      </w:r>
      <w:r>
        <w:rPr>
          <w:rFonts w:hint="eastAsia" w:ascii="宋体" w:hAnsi="宋体" w:eastAsia="宋体" w:cs="宋体"/>
          <w:b/>
          <w:color w:val="000000" w:themeColor="text1"/>
          <w:sz w:val="36"/>
          <w:szCs w:val="144"/>
          <w:highlight w:val="none"/>
          <w:lang w:val="en-US" w:eastAsia="zh-CN"/>
          <w14:textFill>
            <w14:solidFill>
              <w14:schemeClr w14:val="tx1"/>
            </w14:solidFill>
          </w14:textFill>
        </w:rPr>
        <w:t>JLCR2024-CG60</w:t>
      </w:r>
    </w:p>
    <w:p w14:paraId="2B48A54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color w:val="000000" w:themeColor="text1"/>
          <w:sz w:val="96"/>
          <w:szCs w:val="96"/>
          <w:highlight w:val="none"/>
          <w:lang w:val="en-US" w:eastAsia="zh-CN"/>
          <w14:textFill>
            <w14:solidFill>
              <w14:schemeClr w14:val="tx1"/>
            </w14:solidFill>
          </w14:textFill>
        </w:rPr>
      </w:pPr>
    </w:p>
    <w:p w14:paraId="76B4E4B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color w:val="000000" w:themeColor="text1"/>
          <w:sz w:val="96"/>
          <w:szCs w:val="96"/>
          <w:highlight w:val="none"/>
          <w14:textFill>
            <w14:solidFill>
              <w14:schemeClr w14:val="tx1"/>
            </w14:solidFill>
          </w14:textFill>
        </w:rPr>
      </w:pPr>
      <w:r>
        <w:rPr>
          <w:rFonts w:hint="eastAsia" w:ascii="宋体" w:hAnsi="宋体" w:eastAsia="宋体" w:cs="宋体"/>
          <w:b/>
          <w:color w:val="000000" w:themeColor="text1"/>
          <w:sz w:val="96"/>
          <w:szCs w:val="96"/>
          <w:highlight w:val="none"/>
          <w:lang w:val="en-US" w:eastAsia="zh-CN"/>
          <w14:textFill>
            <w14:solidFill>
              <w14:schemeClr w14:val="tx1"/>
            </w14:solidFill>
          </w14:textFill>
        </w:rPr>
        <w:t>招标</w:t>
      </w:r>
      <w:r>
        <w:rPr>
          <w:rFonts w:hint="eastAsia" w:ascii="宋体" w:hAnsi="宋体" w:eastAsia="宋体" w:cs="宋体"/>
          <w:b/>
          <w:color w:val="000000" w:themeColor="text1"/>
          <w:sz w:val="96"/>
          <w:szCs w:val="96"/>
          <w:highlight w:val="none"/>
          <w14:textFill>
            <w14:solidFill>
              <w14:schemeClr w14:val="tx1"/>
            </w14:solidFill>
          </w14:textFill>
        </w:rPr>
        <w:t>文件</w:t>
      </w:r>
    </w:p>
    <w:p w14:paraId="5B2BCD3D">
      <w:pPr>
        <w:jc w:val="center"/>
        <w:rPr>
          <w:rFonts w:hint="eastAsia" w:ascii="宋体" w:hAnsi="宋体" w:eastAsia="宋体" w:cs="宋体"/>
          <w:b/>
          <w:color w:val="000000" w:themeColor="text1"/>
          <w:sz w:val="96"/>
          <w:szCs w:val="96"/>
          <w:highlight w:val="none"/>
          <w14:textFill>
            <w14:solidFill>
              <w14:schemeClr w14:val="tx1"/>
            </w14:solidFill>
          </w14:textFill>
        </w:rPr>
      </w:pPr>
    </w:p>
    <w:p w14:paraId="10BA5427">
      <w:pPr>
        <w:jc w:val="center"/>
        <w:rPr>
          <w:rFonts w:hint="eastAsia" w:ascii="宋体" w:hAnsi="宋体" w:eastAsia="宋体" w:cs="宋体"/>
          <w:b/>
          <w:color w:val="000000" w:themeColor="text1"/>
          <w:sz w:val="32"/>
          <w:szCs w:val="96"/>
          <w:highlight w:val="none"/>
          <w14:textFill>
            <w14:solidFill>
              <w14:schemeClr w14:val="tx1"/>
            </w14:solidFill>
          </w14:textFill>
        </w:rPr>
      </w:pPr>
    </w:p>
    <w:p w14:paraId="2A194850">
      <w:pPr>
        <w:spacing w:before="0" w:beforeLines="0" w:after="0" w:afterLines="0" w:line="240" w:lineRule="auto"/>
        <w:ind w:left="0" w:leftChars="0" w:right="0" w:rightChars="0" w:firstLine="0" w:firstLineChars="0"/>
        <w:jc w:val="both"/>
        <w:rPr>
          <w:rFonts w:hint="eastAsia" w:ascii="宋体" w:hAnsi="宋体" w:eastAsia="宋体" w:cs="宋体"/>
          <w:b/>
          <w:bCs/>
          <w:color w:val="000000" w:themeColor="text1"/>
          <w:kern w:val="0"/>
          <w:sz w:val="32"/>
          <w:szCs w:val="28"/>
          <w:highlight w:val="none"/>
          <w:lang w:eastAsia="zh-CN"/>
          <w14:textFill>
            <w14:solidFill>
              <w14:schemeClr w14:val="tx1"/>
            </w14:solidFill>
          </w14:textFill>
        </w:rPr>
      </w:pPr>
    </w:p>
    <w:p w14:paraId="5AA696B7">
      <w:pPr>
        <w:spacing w:before="0" w:beforeLines="0" w:after="0" w:afterLines="0" w:line="240" w:lineRule="auto"/>
        <w:ind w:left="0" w:leftChars="0" w:right="0" w:rightChars="0" w:firstLine="0" w:firstLineChars="0"/>
        <w:jc w:val="center"/>
        <w:rPr>
          <w:rFonts w:hint="eastAsia" w:ascii="宋体" w:hAnsi="宋体" w:eastAsia="宋体" w:cs="宋体"/>
          <w:b/>
          <w:bCs/>
          <w:color w:val="000000" w:themeColor="text1"/>
          <w:kern w:val="0"/>
          <w:sz w:val="32"/>
          <w:szCs w:val="28"/>
          <w:highlight w:val="none"/>
          <w:lang w:eastAsia="zh-CN"/>
          <w14:textFill>
            <w14:solidFill>
              <w14:schemeClr w14:val="tx1"/>
            </w14:solidFill>
          </w14:textFill>
        </w:rPr>
      </w:pPr>
    </w:p>
    <w:p w14:paraId="1DEDFDC2">
      <w:pPr>
        <w:spacing w:before="0" w:beforeLines="0" w:after="0" w:afterLines="0" w:line="240" w:lineRule="auto"/>
        <w:ind w:left="0" w:leftChars="0" w:right="0" w:rightChars="0" w:firstLine="0" w:firstLineChars="0"/>
        <w:jc w:val="center"/>
        <w:rPr>
          <w:rFonts w:hint="eastAsia" w:ascii="宋体" w:hAnsi="宋体" w:eastAsia="宋体" w:cs="宋体"/>
          <w:b/>
          <w:bCs/>
          <w:color w:val="000000" w:themeColor="text1"/>
          <w:kern w:val="0"/>
          <w:sz w:val="32"/>
          <w:szCs w:val="28"/>
          <w:highlight w:val="none"/>
          <w:lang w:eastAsia="zh-CN"/>
          <w14:textFill>
            <w14:solidFill>
              <w14:schemeClr w14:val="tx1"/>
            </w14:solidFill>
          </w14:textFill>
        </w:rPr>
      </w:pPr>
    </w:p>
    <w:p w14:paraId="6769FBE3">
      <w:pPr>
        <w:pStyle w:val="14"/>
        <w:rPr>
          <w:rFonts w:hint="eastAsia" w:ascii="宋体" w:hAnsi="宋体" w:eastAsia="宋体" w:cs="宋体"/>
          <w:color w:val="000000" w:themeColor="text1"/>
          <w:highlight w:val="none"/>
          <w:lang w:eastAsia="zh-CN"/>
          <w14:textFill>
            <w14:solidFill>
              <w14:schemeClr w14:val="tx1"/>
            </w14:solidFill>
          </w14:textFill>
        </w:rPr>
      </w:pPr>
    </w:p>
    <w:p w14:paraId="748F4DF8">
      <w:pPr>
        <w:spacing w:before="0" w:beforeLines="0" w:after="0" w:afterLines="0" w:line="240" w:lineRule="auto"/>
        <w:ind w:left="0" w:leftChars="0" w:right="0" w:rightChars="0" w:firstLine="0" w:firstLineChars="0"/>
        <w:jc w:val="center"/>
        <w:rPr>
          <w:rFonts w:hint="eastAsia" w:ascii="宋体" w:hAnsi="宋体" w:eastAsia="宋体" w:cs="宋体"/>
          <w:b/>
          <w:bCs/>
          <w:color w:val="000000" w:themeColor="text1"/>
          <w:kern w:val="0"/>
          <w:sz w:val="32"/>
          <w:szCs w:val="28"/>
          <w:highlight w:val="none"/>
          <w:lang w:eastAsia="zh-CN"/>
          <w14:textFill>
            <w14:solidFill>
              <w14:schemeClr w14:val="tx1"/>
            </w14:solidFill>
          </w14:textFill>
        </w:rPr>
      </w:pPr>
    </w:p>
    <w:p w14:paraId="57BF038C">
      <w:pPr>
        <w:pStyle w:val="44"/>
        <w:rPr>
          <w:rFonts w:hint="eastAsia" w:ascii="宋体" w:hAnsi="宋体" w:eastAsia="宋体" w:cs="宋体"/>
          <w:b/>
          <w:bCs/>
          <w:color w:val="000000" w:themeColor="text1"/>
          <w:kern w:val="0"/>
          <w:sz w:val="32"/>
          <w:szCs w:val="28"/>
          <w:highlight w:val="none"/>
          <w:lang w:eastAsia="zh-CN"/>
          <w14:textFill>
            <w14:solidFill>
              <w14:schemeClr w14:val="tx1"/>
            </w14:solidFill>
          </w14:textFill>
        </w:rPr>
      </w:pPr>
    </w:p>
    <w:p w14:paraId="4CFAFB4B">
      <w:pPr>
        <w:pStyle w:val="44"/>
        <w:rPr>
          <w:rFonts w:hint="eastAsia" w:ascii="宋体" w:hAnsi="宋体" w:eastAsia="宋体" w:cs="宋体"/>
          <w:b/>
          <w:bCs/>
          <w:color w:val="000000" w:themeColor="text1"/>
          <w:kern w:val="0"/>
          <w:sz w:val="32"/>
          <w:szCs w:val="28"/>
          <w:highlight w:val="none"/>
          <w:lang w:eastAsia="zh-CN"/>
          <w14:textFill>
            <w14:solidFill>
              <w14:schemeClr w14:val="tx1"/>
            </w14:solidFill>
          </w14:textFill>
        </w:rPr>
      </w:pPr>
    </w:p>
    <w:p w14:paraId="21BF7B0A">
      <w:pPr>
        <w:pStyle w:val="44"/>
        <w:rPr>
          <w:rFonts w:hint="eastAsia" w:ascii="宋体" w:hAnsi="宋体" w:eastAsia="宋体" w:cs="宋体"/>
          <w:b/>
          <w:bCs/>
          <w:color w:val="000000" w:themeColor="text1"/>
          <w:kern w:val="0"/>
          <w:sz w:val="32"/>
          <w:szCs w:val="28"/>
          <w:highlight w:val="none"/>
          <w:lang w:eastAsia="zh-CN"/>
          <w14:textFill>
            <w14:solidFill>
              <w14:schemeClr w14:val="tx1"/>
            </w14:solidFill>
          </w14:textFill>
        </w:rPr>
      </w:pPr>
    </w:p>
    <w:p w14:paraId="218A532F">
      <w:pPr>
        <w:spacing w:before="0" w:beforeLines="0" w:after="0" w:afterLines="0" w:line="240" w:lineRule="auto"/>
        <w:ind w:left="0" w:leftChars="0" w:right="0" w:rightChars="0" w:firstLine="0" w:firstLineChars="0"/>
        <w:jc w:val="center"/>
        <w:rPr>
          <w:rFonts w:hint="eastAsia" w:ascii="宋体" w:hAnsi="宋体" w:eastAsia="宋体" w:cs="宋体"/>
          <w:b/>
          <w:color w:val="000000" w:themeColor="text1"/>
          <w:sz w:val="32"/>
          <w:szCs w:val="52"/>
          <w:highlight w:val="none"/>
          <w14:textFill>
            <w14:solidFill>
              <w14:schemeClr w14:val="tx1"/>
            </w14:solidFill>
          </w14:textFill>
        </w:rPr>
      </w:pPr>
      <w:r>
        <w:rPr>
          <w:rFonts w:hint="eastAsia" w:ascii="宋体" w:hAnsi="宋体" w:eastAsia="宋体" w:cs="宋体"/>
          <w:b/>
          <w:bCs/>
          <w:color w:val="000000" w:themeColor="text1"/>
          <w:kern w:val="0"/>
          <w:sz w:val="32"/>
          <w:szCs w:val="28"/>
          <w:highlight w:val="none"/>
          <w:lang w:eastAsia="zh-CN"/>
          <w14:textFill>
            <w14:solidFill>
              <w14:schemeClr w14:val="tx1"/>
            </w14:solidFill>
          </w14:textFill>
        </w:rPr>
        <w:t>吉林省</w:t>
      </w:r>
      <w:r>
        <w:rPr>
          <w:rFonts w:hint="eastAsia" w:ascii="宋体" w:hAnsi="宋体" w:eastAsia="宋体" w:cs="宋体"/>
          <w:b/>
          <w:bCs/>
          <w:color w:val="000000" w:themeColor="text1"/>
          <w:kern w:val="0"/>
          <w:sz w:val="32"/>
          <w:szCs w:val="28"/>
          <w:highlight w:val="none"/>
          <w:lang w:val="en-US" w:eastAsia="zh-CN"/>
          <w14:textFill>
            <w14:solidFill>
              <w14:schemeClr w14:val="tx1"/>
            </w14:solidFill>
          </w14:textFill>
        </w:rPr>
        <w:t>长润</w:t>
      </w:r>
      <w:r>
        <w:rPr>
          <w:rFonts w:hint="eastAsia" w:ascii="宋体" w:hAnsi="宋体" w:eastAsia="宋体" w:cs="宋体"/>
          <w:b/>
          <w:bCs/>
          <w:color w:val="000000" w:themeColor="text1"/>
          <w:kern w:val="0"/>
          <w:sz w:val="32"/>
          <w:szCs w:val="28"/>
          <w:highlight w:val="none"/>
          <w:lang w:eastAsia="zh-CN"/>
          <w14:textFill>
            <w14:solidFill>
              <w14:schemeClr w14:val="tx1"/>
            </w14:solidFill>
          </w14:textFill>
        </w:rPr>
        <w:t>工程咨询有限公司</w:t>
      </w:r>
      <w:r>
        <w:rPr>
          <w:rFonts w:hint="eastAsia" w:ascii="宋体" w:hAnsi="宋体" w:eastAsia="宋体" w:cs="宋体"/>
          <w:b/>
          <w:bCs/>
          <w:color w:val="000000" w:themeColor="text1"/>
          <w:sz w:val="32"/>
          <w:szCs w:val="32"/>
          <w:highlight w:val="none"/>
          <w14:textFill>
            <w14:solidFill>
              <w14:schemeClr w14:val="tx1"/>
            </w14:solidFill>
          </w14:textFill>
        </w:rPr>
        <w:t>·</w:t>
      </w:r>
      <w:r>
        <w:rPr>
          <w:rFonts w:hint="eastAsia" w:ascii="宋体" w:hAnsi="宋体" w:eastAsia="宋体" w:cs="宋体"/>
          <w:b/>
          <w:bCs/>
          <w:color w:val="000000" w:themeColor="text1"/>
          <w:kern w:val="0"/>
          <w:sz w:val="32"/>
          <w:szCs w:val="28"/>
          <w:highlight w:val="none"/>
          <w:lang w:val="en-US" w:eastAsia="zh-CN"/>
          <w14:textFill>
            <w14:solidFill>
              <w14:schemeClr w14:val="tx1"/>
            </w14:solidFill>
          </w14:textFill>
        </w:rPr>
        <w:t>编制</w:t>
      </w:r>
    </w:p>
    <w:p w14:paraId="1099654F">
      <w:pPr>
        <w:jc w:val="center"/>
        <w:rPr>
          <w:rFonts w:hint="eastAsia" w:ascii="宋体" w:hAnsi="宋体" w:eastAsia="宋体" w:cs="宋体"/>
          <w:b/>
          <w:bCs/>
          <w:color w:val="000000" w:themeColor="text1"/>
          <w:kern w:val="0"/>
          <w:sz w:val="48"/>
          <w:szCs w:val="48"/>
          <w:highlight w:val="none"/>
          <w:lang w:val="en-US" w:eastAsia="zh-CN" w:bidi="ar"/>
          <w14:textFill>
            <w14:solidFill>
              <w14:schemeClr w14:val="tx1"/>
            </w14:solidFill>
          </w14:textFill>
        </w:rPr>
      </w:pPr>
    </w:p>
    <w:p w14:paraId="7225F860">
      <w:pPr>
        <w:jc w:val="center"/>
        <w:rPr>
          <w:rFonts w:hint="eastAsia" w:ascii="宋体" w:hAnsi="宋体" w:eastAsia="宋体" w:cs="宋体"/>
          <w:b/>
          <w:color w:val="000000" w:themeColor="text1"/>
          <w:sz w:val="56"/>
          <w:szCs w:val="56"/>
          <w:highlight w:val="none"/>
          <w:lang w:val="en-US" w:eastAsia="zh-CN"/>
          <w14:textFill>
            <w14:solidFill>
              <w14:schemeClr w14:val="tx1"/>
            </w14:solidFill>
          </w14:textFill>
        </w:rPr>
      </w:pPr>
      <w:r>
        <w:rPr>
          <w:rFonts w:hint="eastAsia" w:ascii="宋体" w:hAnsi="宋体" w:cs="宋体"/>
          <w:b/>
          <w:bCs/>
          <w:color w:val="000000" w:themeColor="text1"/>
          <w:kern w:val="0"/>
          <w:sz w:val="44"/>
          <w:szCs w:val="44"/>
          <w:highlight w:val="none"/>
          <w:lang w:val="en-US" w:eastAsia="zh-CN" w:bidi="ar"/>
          <w14:textFill>
            <w14:solidFill>
              <w14:schemeClr w14:val="tx1"/>
            </w14:solidFill>
          </w14:textFill>
        </w:rPr>
        <w:t>延吉市专项债券项目服务采购项目</w:t>
      </w:r>
    </w:p>
    <w:p w14:paraId="00E06F92">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color w:val="000000" w:themeColor="text1"/>
          <w:sz w:val="36"/>
          <w:szCs w:val="144"/>
          <w:highlight w:val="none"/>
          <w14:textFill>
            <w14:solidFill>
              <w14:schemeClr w14:val="tx1"/>
            </w14:solidFill>
          </w14:textFill>
        </w:rPr>
      </w:pPr>
    </w:p>
    <w:p w14:paraId="10790D36">
      <w:pPr>
        <w:pStyle w:val="14"/>
        <w:rPr>
          <w:rFonts w:hint="eastAsia" w:ascii="宋体" w:hAnsi="宋体" w:eastAsia="宋体" w:cs="宋体"/>
          <w:b/>
          <w:color w:val="000000" w:themeColor="text1"/>
          <w:sz w:val="36"/>
          <w:szCs w:val="144"/>
          <w:highlight w:val="none"/>
          <w14:textFill>
            <w14:solidFill>
              <w14:schemeClr w14:val="tx1"/>
            </w14:solidFill>
          </w14:textFill>
        </w:rPr>
      </w:pPr>
    </w:p>
    <w:p w14:paraId="2854B1B9">
      <w:pPr>
        <w:pStyle w:val="14"/>
        <w:rPr>
          <w:rFonts w:hint="eastAsia" w:ascii="宋体" w:hAnsi="宋体" w:eastAsia="宋体" w:cs="宋体"/>
          <w:b/>
          <w:color w:val="000000" w:themeColor="text1"/>
          <w:sz w:val="36"/>
          <w:szCs w:val="144"/>
          <w:highlight w:val="none"/>
          <w14:textFill>
            <w14:solidFill>
              <w14:schemeClr w14:val="tx1"/>
            </w14:solidFill>
          </w14:textFill>
        </w:rPr>
      </w:pPr>
    </w:p>
    <w:p w14:paraId="7AABED78">
      <w:pPr>
        <w:pStyle w:val="45"/>
        <w:rPr>
          <w:rFonts w:hint="eastAsia" w:ascii="宋体" w:hAnsi="宋体" w:eastAsia="宋体" w:cs="宋体"/>
          <w:b/>
          <w:color w:val="000000" w:themeColor="text1"/>
          <w:sz w:val="36"/>
          <w:szCs w:val="144"/>
          <w:highlight w:val="none"/>
          <w14:textFill>
            <w14:solidFill>
              <w14:schemeClr w14:val="tx1"/>
            </w14:solidFill>
          </w14:textFill>
        </w:rPr>
      </w:pPr>
    </w:p>
    <w:p w14:paraId="72AA4EB0">
      <w:pPr>
        <w:pStyle w:val="45"/>
        <w:rPr>
          <w:rFonts w:hint="eastAsia" w:ascii="宋体" w:hAnsi="宋体" w:eastAsia="宋体" w:cs="宋体"/>
          <w:b/>
          <w:color w:val="000000" w:themeColor="text1"/>
          <w:sz w:val="36"/>
          <w:szCs w:val="144"/>
          <w:highlight w:val="none"/>
          <w14:textFill>
            <w14:solidFill>
              <w14:schemeClr w14:val="tx1"/>
            </w14:solidFill>
          </w14:textFill>
        </w:rPr>
      </w:pPr>
    </w:p>
    <w:p w14:paraId="009D285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color w:val="000000" w:themeColor="text1"/>
          <w:sz w:val="36"/>
          <w:szCs w:val="144"/>
          <w:highlight w:val="none"/>
          <w:lang w:val="en-US" w:eastAsia="zh-CN"/>
          <w14:textFill>
            <w14:solidFill>
              <w14:schemeClr w14:val="tx1"/>
            </w14:solidFill>
          </w14:textFill>
        </w:rPr>
      </w:pPr>
      <w:r>
        <w:rPr>
          <w:rFonts w:hint="eastAsia" w:ascii="宋体" w:hAnsi="宋体" w:eastAsia="宋体" w:cs="宋体"/>
          <w:b/>
          <w:color w:val="000000" w:themeColor="text1"/>
          <w:sz w:val="36"/>
          <w:szCs w:val="144"/>
          <w:highlight w:val="none"/>
          <w14:textFill>
            <w14:solidFill>
              <w14:schemeClr w14:val="tx1"/>
            </w14:solidFill>
          </w14:textFill>
        </w:rPr>
        <w:t>项目编号：</w:t>
      </w:r>
      <w:r>
        <w:rPr>
          <w:rFonts w:hint="eastAsia" w:ascii="宋体" w:hAnsi="宋体" w:eastAsia="宋体" w:cs="宋体"/>
          <w:b/>
          <w:color w:val="000000" w:themeColor="text1"/>
          <w:sz w:val="36"/>
          <w:szCs w:val="144"/>
          <w:highlight w:val="none"/>
          <w:lang w:val="en-US" w:eastAsia="zh-CN"/>
          <w14:textFill>
            <w14:solidFill>
              <w14:schemeClr w14:val="tx1"/>
            </w14:solidFill>
          </w14:textFill>
        </w:rPr>
        <w:t>JLCR2024-CG60</w:t>
      </w:r>
    </w:p>
    <w:p w14:paraId="61758BC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color w:val="000000" w:themeColor="text1"/>
          <w:sz w:val="96"/>
          <w:szCs w:val="96"/>
          <w:highlight w:val="none"/>
          <w:lang w:val="en-US" w:eastAsia="zh-CN"/>
          <w14:textFill>
            <w14:solidFill>
              <w14:schemeClr w14:val="tx1"/>
            </w14:solidFill>
          </w14:textFill>
        </w:rPr>
      </w:pPr>
    </w:p>
    <w:p w14:paraId="083BF30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color w:val="000000" w:themeColor="text1"/>
          <w:sz w:val="96"/>
          <w:szCs w:val="96"/>
          <w:highlight w:val="none"/>
          <w14:textFill>
            <w14:solidFill>
              <w14:schemeClr w14:val="tx1"/>
            </w14:solidFill>
          </w14:textFill>
        </w:rPr>
      </w:pPr>
      <w:r>
        <w:rPr>
          <w:rFonts w:hint="eastAsia" w:ascii="宋体" w:hAnsi="宋体" w:eastAsia="宋体" w:cs="宋体"/>
          <w:b/>
          <w:color w:val="000000" w:themeColor="text1"/>
          <w:sz w:val="96"/>
          <w:szCs w:val="96"/>
          <w:highlight w:val="none"/>
          <w:lang w:val="en-US" w:eastAsia="zh-CN"/>
          <w14:textFill>
            <w14:solidFill>
              <w14:schemeClr w14:val="tx1"/>
            </w14:solidFill>
          </w14:textFill>
        </w:rPr>
        <w:t>招标</w:t>
      </w:r>
      <w:r>
        <w:rPr>
          <w:rFonts w:hint="eastAsia" w:ascii="宋体" w:hAnsi="宋体" w:eastAsia="宋体" w:cs="宋体"/>
          <w:b/>
          <w:color w:val="000000" w:themeColor="text1"/>
          <w:sz w:val="96"/>
          <w:szCs w:val="96"/>
          <w:highlight w:val="none"/>
          <w14:textFill>
            <w14:solidFill>
              <w14:schemeClr w14:val="tx1"/>
            </w14:solidFill>
          </w14:textFill>
        </w:rPr>
        <w:t>文件</w:t>
      </w:r>
    </w:p>
    <w:p w14:paraId="6233FF72">
      <w:pPr>
        <w:pStyle w:val="45"/>
        <w:rPr>
          <w:rFonts w:hint="eastAsia" w:ascii="宋体" w:hAnsi="宋体" w:eastAsia="宋体" w:cs="宋体"/>
          <w:b/>
          <w:color w:val="000000" w:themeColor="text1"/>
          <w:sz w:val="32"/>
          <w:szCs w:val="96"/>
          <w:highlight w:val="none"/>
          <w:lang w:eastAsia="zh-CN"/>
          <w14:textFill>
            <w14:solidFill>
              <w14:schemeClr w14:val="tx1"/>
            </w14:solidFill>
          </w14:textFill>
        </w:rPr>
      </w:pPr>
    </w:p>
    <w:p w14:paraId="1A110E52">
      <w:pPr>
        <w:pStyle w:val="45"/>
        <w:rPr>
          <w:rFonts w:hint="eastAsia" w:ascii="宋体" w:hAnsi="宋体" w:eastAsia="宋体" w:cs="宋体"/>
          <w:b/>
          <w:color w:val="000000" w:themeColor="text1"/>
          <w:sz w:val="32"/>
          <w:szCs w:val="96"/>
          <w:highlight w:val="none"/>
          <w:lang w:eastAsia="zh-CN"/>
          <w14:textFill>
            <w14:solidFill>
              <w14:schemeClr w14:val="tx1"/>
            </w14:solidFill>
          </w14:textFill>
        </w:rPr>
      </w:pPr>
    </w:p>
    <w:p w14:paraId="53396429">
      <w:pPr>
        <w:pStyle w:val="45"/>
        <w:rPr>
          <w:rFonts w:hint="eastAsia" w:ascii="宋体" w:hAnsi="宋体" w:eastAsia="宋体" w:cs="宋体"/>
          <w:b/>
          <w:color w:val="000000" w:themeColor="text1"/>
          <w:sz w:val="32"/>
          <w:szCs w:val="96"/>
          <w:highlight w:val="none"/>
          <w:lang w:eastAsia="zh-CN"/>
          <w14:textFill>
            <w14:solidFill>
              <w14:schemeClr w14:val="tx1"/>
            </w14:solidFill>
          </w14:textFill>
        </w:rPr>
      </w:pPr>
    </w:p>
    <w:p w14:paraId="5E2166B0">
      <w:pPr>
        <w:pStyle w:val="45"/>
        <w:rPr>
          <w:rFonts w:hint="eastAsia" w:ascii="宋体" w:hAnsi="宋体" w:eastAsia="宋体" w:cs="宋体"/>
          <w:b/>
          <w:color w:val="000000" w:themeColor="text1"/>
          <w:sz w:val="32"/>
          <w:szCs w:val="96"/>
          <w:highlight w:val="none"/>
          <w:lang w:eastAsia="zh-CN"/>
          <w14:textFill>
            <w14:solidFill>
              <w14:schemeClr w14:val="tx1"/>
            </w14:solidFill>
          </w14:textFill>
        </w:rPr>
      </w:pPr>
    </w:p>
    <w:p w14:paraId="60169976">
      <w:pPr>
        <w:pStyle w:val="45"/>
        <w:rPr>
          <w:rFonts w:hint="eastAsia" w:ascii="宋体" w:hAnsi="宋体" w:eastAsia="宋体" w:cs="宋体"/>
          <w:b/>
          <w:color w:val="000000" w:themeColor="text1"/>
          <w:sz w:val="32"/>
          <w:szCs w:val="96"/>
          <w:highlight w:val="none"/>
          <w:lang w:eastAsia="zh-CN"/>
          <w14:textFill>
            <w14:solidFill>
              <w14:schemeClr w14:val="tx1"/>
            </w14:solidFill>
          </w14:textFill>
        </w:rPr>
      </w:pPr>
    </w:p>
    <w:p w14:paraId="318E2665">
      <w:pPr>
        <w:widowControl/>
        <w:autoSpaceDE w:val="0"/>
        <w:autoSpaceDN w:val="0"/>
        <w:adjustRightInd w:val="0"/>
        <w:spacing w:line="480" w:lineRule="auto"/>
        <w:ind w:right="-28" w:firstLine="1928" w:firstLineChars="600"/>
        <w:jc w:val="both"/>
        <w:textAlignment w:val="bottom"/>
        <w:rPr>
          <w:rFonts w:hint="eastAsia" w:ascii="宋体" w:hAnsi="宋体" w:eastAsia="宋体" w:cs="宋体"/>
          <w:b/>
          <w:color w:val="000000" w:themeColor="text1"/>
          <w:kern w:val="0"/>
          <w:sz w:val="36"/>
          <w:szCs w:val="32"/>
          <w:highlight w:val="none"/>
          <w:lang w:val="en-US" w:eastAsia="zh-CN"/>
          <w14:textFill>
            <w14:solidFill>
              <w14:schemeClr w14:val="tx1"/>
            </w14:solidFill>
          </w14:textFill>
        </w:rPr>
      </w:pPr>
      <w:r>
        <w:rPr>
          <w:rFonts w:hint="eastAsia" w:ascii="宋体" w:hAnsi="宋体" w:eastAsia="宋体" w:cs="宋体"/>
          <w:b/>
          <w:color w:val="000000" w:themeColor="text1"/>
          <w:kern w:val="0"/>
          <w:sz w:val="32"/>
          <w:szCs w:val="28"/>
          <w:highlight w:val="none"/>
          <w14:textFill>
            <w14:solidFill>
              <w14:schemeClr w14:val="tx1"/>
            </w14:solidFill>
          </w14:textFill>
        </w:rPr>
        <w:t>招 标 人：</w:t>
      </w:r>
      <w:r>
        <w:rPr>
          <w:rFonts w:hint="eastAsia" w:ascii="宋体" w:hAnsi="宋体" w:eastAsia="宋体" w:cs="宋体"/>
          <w:b/>
          <w:bCs/>
          <w:color w:val="000000" w:themeColor="text1"/>
          <w:sz w:val="32"/>
          <w:szCs w:val="32"/>
          <w:highlight w:val="none"/>
          <w:u w:val="none"/>
          <w:lang w:eastAsia="zh-CN"/>
          <w14:textFill>
            <w14:solidFill>
              <w14:schemeClr w14:val="tx1"/>
            </w14:solidFill>
          </w14:textFill>
        </w:rPr>
        <w:t>延吉市财政局</w:t>
      </w:r>
    </w:p>
    <w:p w14:paraId="4ACBDD23">
      <w:pPr>
        <w:widowControl/>
        <w:autoSpaceDE w:val="0"/>
        <w:autoSpaceDN w:val="0"/>
        <w:adjustRightInd w:val="0"/>
        <w:spacing w:line="480" w:lineRule="auto"/>
        <w:ind w:right="-28" w:firstLine="1285" w:firstLineChars="400"/>
        <w:jc w:val="left"/>
        <w:textAlignment w:val="bottom"/>
        <w:rPr>
          <w:rFonts w:hint="eastAsia" w:ascii="宋体" w:hAnsi="宋体" w:eastAsia="宋体" w:cs="宋体"/>
          <w:b/>
          <w:color w:val="000000" w:themeColor="text1"/>
          <w:kern w:val="0"/>
          <w:sz w:val="32"/>
          <w:szCs w:val="28"/>
          <w:highlight w:val="none"/>
          <w:lang w:val="zh-CN"/>
          <w14:textFill>
            <w14:solidFill>
              <w14:schemeClr w14:val="tx1"/>
            </w14:solidFill>
          </w14:textFill>
        </w:rPr>
      </w:pPr>
    </w:p>
    <w:p w14:paraId="13B9B8C6">
      <w:pPr>
        <w:widowControl/>
        <w:autoSpaceDE w:val="0"/>
        <w:autoSpaceDN w:val="0"/>
        <w:adjustRightInd w:val="0"/>
        <w:spacing w:line="480" w:lineRule="auto"/>
        <w:ind w:right="-28" w:firstLine="1928" w:firstLineChars="600"/>
        <w:jc w:val="left"/>
        <w:textAlignment w:val="bottom"/>
        <w:rPr>
          <w:rFonts w:hint="eastAsia" w:ascii="宋体" w:hAnsi="宋体" w:eastAsia="宋体" w:cs="宋体"/>
          <w:b/>
          <w:bCs/>
          <w:color w:val="000000" w:themeColor="text1"/>
          <w:kern w:val="0"/>
          <w:sz w:val="32"/>
          <w:szCs w:val="28"/>
          <w:highlight w:val="none"/>
          <w:lang w:eastAsia="zh-CN"/>
          <w14:textFill>
            <w14:solidFill>
              <w14:schemeClr w14:val="tx1"/>
            </w14:solidFill>
          </w14:textFill>
        </w:rPr>
      </w:pPr>
      <w:r>
        <w:rPr>
          <w:rFonts w:hint="eastAsia" w:ascii="宋体" w:hAnsi="宋体" w:eastAsia="宋体" w:cs="宋体"/>
          <w:b/>
          <w:color w:val="000000" w:themeColor="text1"/>
          <w:kern w:val="0"/>
          <w:sz w:val="32"/>
          <w:szCs w:val="28"/>
          <w:highlight w:val="none"/>
          <w:lang w:val="zh-CN"/>
          <w14:textFill>
            <w14:solidFill>
              <w14:schemeClr w14:val="tx1"/>
            </w14:solidFill>
          </w14:textFill>
        </w:rPr>
        <w:t>代理机构：</w:t>
      </w:r>
      <w:r>
        <w:rPr>
          <w:rFonts w:hint="eastAsia" w:ascii="宋体" w:hAnsi="宋体" w:eastAsia="宋体" w:cs="宋体"/>
          <w:b/>
          <w:bCs/>
          <w:color w:val="000000" w:themeColor="text1"/>
          <w:kern w:val="0"/>
          <w:sz w:val="32"/>
          <w:szCs w:val="28"/>
          <w:highlight w:val="none"/>
          <w:lang w:eastAsia="zh-CN"/>
          <w14:textFill>
            <w14:solidFill>
              <w14:schemeClr w14:val="tx1"/>
            </w14:solidFill>
          </w14:textFill>
        </w:rPr>
        <w:t>吉林省</w:t>
      </w:r>
      <w:r>
        <w:rPr>
          <w:rFonts w:hint="eastAsia" w:ascii="宋体" w:hAnsi="宋体" w:eastAsia="宋体" w:cs="宋体"/>
          <w:b/>
          <w:bCs/>
          <w:color w:val="000000" w:themeColor="text1"/>
          <w:kern w:val="0"/>
          <w:sz w:val="32"/>
          <w:szCs w:val="28"/>
          <w:highlight w:val="none"/>
          <w:lang w:val="en-US" w:eastAsia="zh-CN"/>
          <w14:textFill>
            <w14:solidFill>
              <w14:schemeClr w14:val="tx1"/>
            </w14:solidFill>
          </w14:textFill>
        </w:rPr>
        <w:t>长润</w:t>
      </w:r>
      <w:r>
        <w:rPr>
          <w:rFonts w:hint="eastAsia" w:ascii="宋体" w:hAnsi="宋体" w:eastAsia="宋体" w:cs="宋体"/>
          <w:b/>
          <w:bCs/>
          <w:color w:val="000000" w:themeColor="text1"/>
          <w:kern w:val="0"/>
          <w:sz w:val="32"/>
          <w:szCs w:val="28"/>
          <w:highlight w:val="none"/>
          <w:lang w:eastAsia="zh-CN"/>
          <w14:textFill>
            <w14:solidFill>
              <w14:schemeClr w14:val="tx1"/>
            </w14:solidFill>
          </w14:textFill>
        </w:rPr>
        <w:t>工程咨询有限公司</w:t>
      </w:r>
    </w:p>
    <w:p w14:paraId="317EC930">
      <w:pPr>
        <w:widowControl/>
        <w:autoSpaceDE w:val="0"/>
        <w:autoSpaceDN w:val="0"/>
        <w:adjustRightInd w:val="0"/>
        <w:spacing w:line="480" w:lineRule="auto"/>
        <w:ind w:right="-28"/>
        <w:jc w:val="both"/>
        <w:textAlignment w:val="bottom"/>
        <w:rPr>
          <w:rFonts w:hint="eastAsia" w:ascii="宋体" w:hAnsi="宋体" w:eastAsia="宋体" w:cs="宋体"/>
          <w:b/>
          <w:color w:val="000000" w:themeColor="text1"/>
          <w:sz w:val="32"/>
          <w:szCs w:val="52"/>
          <w:highlight w:val="none"/>
          <w:lang w:eastAsia="zh-CN"/>
          <w14:textFill>
            <w14:solidFill>
              <w14:schemeClr w14:val="tx1"/>
            </w14:solidFill>
          </w14:textFill>
        </w:rPr>
      </w:pPr>
    </w:p>
    <w:p w14:paraId="6734AFA9">
      <w:pPr>
        <w:widowControl/>
        <w:autoSpaceDE w:val="0"/>
        <w:autoSpaceDN w:val="0"/>
        <w:adjustRightInd w:val="0"/>
        <w:spacing w:line="480" w:lineRule="auto"/>
        <w:ind w:right="-28"/>
        <w:jc w:val="center"/>
        <w:textAlignment w:val="bottom"/>
        <w:rPr>
          <w:rFonts w:hint="eastAsia" w:ascii="宋体" w:hAnsi="宋体" w:eastAsia="宋体" w:cs="宋体"/>
          <w:b/>
          <w:color w:val="000000" w:themeColor="text1"/>
          <w:sz w:val="32"/>
          <w:szCs w:val="52"/>
          <w:highlight w:val="none"/>
          <w14:textFill>
            <w14:solidFill>
              <w14:schemeClr w14:val="tx1"/>
            </w14:solidFill>
          </w14:textFill>
        </w:rPr>
      </w:pPr>
      <w:r>
        <w:rPr>
          <w:rFonts w:hint="eastAsia" w:ascii="宋体" w:hAnsi="宋体" w:eastAsia="宋体" w:cs="宋体"/>
          <w:b/>
          <w:color w:val="000000" w:themeColor="text1"/>
          <w:sz w:val="32"/>
          <w:szCs w:val="52"/>
          <w:highlight w:val="none"/>
          <w:lang w:eastAsia="zh-CN"/>
          <w14:textFill>
            <w14:solidFill>
              <w14:schemeClr w14:val="tx1"/>
            </w14:solidFill>
          </w14:textFill>
        </w:rPr>
        <w:t>二</w:t>
      </w:r>
      <w:r>
        <w:rPr>
          <w:rFonts w:hint="eastAsia" w:ascii="宋体" w:hAnsi="宋体" w:eastAsia="宋体" w:cs="宋体"/>
          <w:b/>
          <w:color w:val="000000" w:themeColor="text1"/>
          <w:sz w:val="32"/>
          <w:szCs w:val="52"/>
          <w:highlight w:val="none"/>
          <w:lang w:val="en-US" w:eastAsia="zh-CN"/>
          <w14:textFill>
            <w14:solidFill>
              <w14:schemeClr w14:val="tx1"/>
            </w14:solidFill>
          </w14:textFill>
        </w:rPr>
        <w:t>〇</w:t>
      </w:r>
      <w:r>
        <w:rPr>
          <w:rFonts w:hint="eastAsia" w:ascii="宋体" w:hAnsi="宋体" w:eastAsia="宋体" w:cs="宋体"/>
          <w:b/>
          <w:color w:val="000000" w:themeColor="text1"/>
          <w:sz w:val="32"/>
          <w:szCs w:val="52"/>
          <w:highlight w:val="none"/>
          <w:lang w:eastAsia="zh-CN"/>
          <w14:textFill>
            <w14:solidFill>
              <w14:schemeClr w14:val="tx1"/>
            </w14:solidFill>
          </w14:textFill>
        </w:rPr>
        <w:t>二</w:t>
      </w:r>
      <w:r>
        <w:rPr>
          <w:rFonts w:hint="eastAsia" w:ascii="宋体" w:hAnsi="宋体" w:eastAsia="宋体" w:cs="宋体"/>
          <w:b/>
          <w:color w:val="000000" w:themeColor="text1"/>
          <w:sz w:val="32"/>
          <w:szCs w:val="52"/>
          <w:highlight w:val="none"/>
          <w:lang w:val="en-US" w:eastAsia="zh-CN"/>
          <w14:textFill>
            <w14:solidFill>
              <w14:schemeClr w14:val="tx1"/>
            </w14:solidFill>
          </w14:textFill>
        </w:rPr>
        <w:t>四</w:t>
      </w:r>
      <w:r>
        <w:rPr>
          <w:rFonts w:hint="eastAsia" w:ascii="宋体" w:hAnsi="宋体" w:eastAsia="宋体" w:cs="宋体"/>
          <w:b/>
          <w:color w:val="000000" w:themeColor="text1"/>
          <w:sz w:val="32"/>
          <w:szCs w:val="52"/>
          <w:highlight w:val="none"/>
          <w14:textFill>
            <w14:solidFill>
              <w14:schemeClr w14:val="tx1"/>
            </w14:solidFill>
          </w14:textFill>
        </w:rPr>
        <w:t>年</w:t>
      </w:r>
      <w:r>
        <w:rPr>
          <w:rFonts w:hint="eastAsia" w:ascii="宋体" w:hAnsi="宋体" w:eastAsia="宋体" w:cs="宋体"/>
          <w:b/>
          <w:color w:val="000000" w:themeColor="text1"/>
          <w:sz w:val="32"/>
          <w:szCs w:val="52"/>
          <w:highlight w:val="none"/>
          <w:lang w:eastAsia="zh-CN"/>
          <w14:textFill>
            <w14:solidFill>
              <w14:schemeClr w14:val="tx1"/>
            </w14:solidFill>
          </w14:textFill>
        </w:rPr>
        <w:t>十二</w:t>
      </w:r>
      <w:r>
        <w:rPr>
          <w:rFonts w:hint="eastAsia" w:ascii="宋体" w:hAnsi="宋体" w:eastAsia="宋体" w:cs="宋体"/>
          <w:b/>
          <w:color w:val="000000" w:themeColor="text1"/>
          <w:sz w:val="32"/>
          <w:szCs w:val="52"/>
          <w:highlight w:val="none"/>
          <w14:textFill>
            <w14:solidFill>
              <w14:schemeClr w14:val="tx1"/>
            </w14:solidFill>
          </w14:textFill>
        </w:rPr>
        <w:t>月</w:t>
      </w:r>
    </w:p>
    <w:p w14:paraId="6A63111A">
      <w:pPr>
        <w:rPr>
          <w:rFonts w:hint="eastAsia" w:ascii="宋体" w:hAnsi="宋体" w:eastAsia="宋体" w:cs="宋体"/>
          <w:color w:val="000000" w:themeColor="text1"/>
          <w:highlight w:val="none"/>
          <w14:textFill>
            <w14:solidFill>
              <w14:schemeClr w14:val="tx1"/>
            </w14:solidFill>
          </w14:textFill>
        </w:rPr>
      </w:pPr>
    </w:p>
    <w:p w14:paraId="67E0327D">
      <w:pPr>
        <w:pStyle w:val="44"/>
        <w:rPr>
          <w:rFonts w:hint="eastAsia" w:ascii="宋体" w:hAnsi="宋体" w:eastAsia="宋体" w:cs="宋体"/>
        </w:rPr>
      </w:pPr>
    </w:p>
    <w:p w14:paraId="21AAC6F3">
      <w:pPr>
        <w:pStyle w:val="35"/>
        <w:rPr>
          <w:rFonts w:hint="eastAsia" w:ascii="宋体" w:hAnsi="宋体" w:eastAsia="宋体" w:cs="宋体"/>
        </w:rPr>
      </w:pPr>
    </w:p>
    <w:sdt>
      <w:sdtP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id w:val="147477770"/>
        <w15:color w:val="DBDBDB"/>
        <w:docPartObj>
          <w:docPartGallery w:val="Table of Contents"/>
          <w:docPartUnique/>
        </w:docPartObj>
      </w:sdtPr>
      <w:sdtEndPr>
        <w:rPr>
          <w:rFonts w:hint="eastAsia" w:ascii="宋体" w:hAnsi="宋体" w:eastAsia="宋体" w:cs="宋体"/>
          <w:b/>
          <w:bCs w:val="0"/>
          <w:caps/>
          <w:color w:val="000000" w:themeColor="text1"/>
          <w:kern w:val="2"/>
          <w:sz w:val="32"/>
          <w:szCs w:val="32"/>
          <w:highlight w:val="none"/>
          <w:lang w:val="en-US" w:eastAsia="zh-CN" w:bidi="ar-SA"/>
          <w14:textFill>
            <w14:solidFill>
              <w14:schemeClr w14:val="tx1"/>
            </w14:solidFill>
          </w14:textFill>
        </w:rPr>
      </w:sdtEndPr>
      <w:sdtContent>
        <w:p w14:paraId="581F3CCE">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0"/>
            <w:rPr>
              <w:rFonts w:hint="eastAsia" w:ascii="宋体" w:hAnsi="宋体" w:eastAsia="宋体" w:cs="宋体"/>
              <w:highlight w:val="none"/>
            </w:rPr>
          </w:pPr>
          <w:bookmarkStart w:id="3" w:name="_Toc969"/>
          <w:bookmarkStart w:id="4" w:name="_Toc23952"/>
          <w:r>
            <w:rPr>
              <w:rStyle w:val="43"/>
              <w:rFonts w:hint="eastAsia" w:ascii="宋体" w:hAnsi="宋体" w:eastAsia="宋体" w:cs="宋体"/>
              <w:b/>
              <w:bCs/>
              <w:color w:val="000000" w:themeColor="text1"/>
              <w:sz w:val="56"/>
              <w:szCs w:val="56"/>
              <w:highlight w:val="none"/>
              <w14:textFill>
                <w14:solidFill>
                  <w14:schemeClr w14:val="tx1"/>
                </w14:solidFill>
              </w14:textFill>
            </w:rPr>
            <w:t>目</w:t>
          </w:r>
          <w:r>
            <w:rPr>
              <w:rStyle w:val="43"/>
              <w:rFonts w:hint="eastAsia" w:ascii="宋体" w:hAnsi="宋体" w:eastAsia="宋体" w:cs="宋体"/>
              <w:b/>
              <w:bCs/>
              <w:color w:val="000000" w:themeColor="text1"/>
              <w:sz w:val="56"/>
              <w:szCs w:val="56"/>
              <w:highlight w:val="none"/>
              <w:lang w:val="en-US" w:eastAsia="zh-CN"/>
              <w14:textFill>
                <w14:solidFill>
                  <w14:schemeClr w14:val="tx1"/>
                </w14:solidFill>
              </w14:textFill>
            </w:rPr>
            <w:t xml:space="preserve">  </w:t>
          </w:r>
          <w:r>
            <w:rPr>
              <w:rStyle w:val="43"/>
              <w:rFonts w:hint="eastAsia" w:ascii="宋体" w:hAnsi="宋体" w:eastAsia="宋体" w:cs="宋体"/>
              <w:b/>
              <w:bCs/>
              <w:color w:val="000000" w:themeColor="text1"/>
              <w:sz w:val="56"/>
              <w:szCs w:val="56"/>
              <w:highlight w:val="none"/>
              <w14:textFill>
                <w14:solidFill>
                  <w14:schemeClr w14:val="tx1"/>
                </w14:solidFill>
              </w14:textFill>
            </w:rPr>
            <w:t>录</w:t>
          </w:r>
          <w:bookmarkEnd w:id="3"/>
          <w:bookmarkEnd w:id="4"/>
          <w:r>
            <w:rPr>
              <w:rFonts w:hint="eastAsia" w:ascii="宋体" w:hAnsi="宋体" w:eastAsia="宋体" w:cs="宋体"/>
              <w:b w:val="0"/>
              <w:bCs w:val="0"/>
              <w:color w:val="000000" w:themeColor="text1"/>
              <w:sz w:val="36"/>
              <w:szCs w:val="36"/>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sz w:val="36"/>
              <w:szCs w:val="36"/>
              <w:highlight w:val="none"/>
              <w:lang w:val="en-US" w:eastAsia="zh-CN"/>
              <w14:textFill>
                <w14:solidFill>
                  <w14:schemeClr w14:val="tx1"/>
                </w14:solidFill>
              </w14:textFill>
            </w:rPr>
            <w:instrText xml:space="preserve">TOC \o "1-1" \h \u </w:instrText>
          </w:r>
          <w:r>
            <w:rPr>
              <w:rFonts w:hint="eastAsia" w:ascii="宋体" w:hAnsi="宋体" w:eastAsia="宋体" w:cs="宋体"/>
              <w:b w:val="0"/>
              <w:bCs w:val="0"/>
              <w:color w:val="000000" w:themeColor="text1"/>
              <w:sz w:val="36"/>
              <w:szCs w:val="36"/>
              <w:highlight w:val="none"/>
              <w:lang w:val="en-US" w:eastAsia="zh-CN"/>
              <w14:textFill>
                <w14:solidFill>
                  <w14:schemeClr w14:val="tx1"/>
                </w14:solidFill>
              </w14:textFill>
            </w:rPr>
            <w:fldChar w:fldCharType="separate"/>
          </w:r>
        </w:p>
        <w:p w14:paraId="4AD1FF4B">
          <w:pPr>
            <w:pStyle w:val="27"/>
            <w:keepNext w:val="0"/>
            <w:keepLines w:val="0"/>
            <w:pageBreakBefore w:val="0"/>
            <w:widowControl w:val="0"/>
            <w:tabs>
              <w:tab w:val="right" w:leader="dot" w:pos="8305"/>
              <w:tab w:val="clear" w:pos="8390"/>
            </w:tabs>
            <w:kinsoku/>
            <w:wordWrap/>
            <w:overflowPunct/>
            <w:topLinePunct w:val="0"/>
            <w:autoSpaceDE/>
            <w:autoSpaceDN/>
            <w:bidi w:val="0"/>
            <w:adjustRightInd/>
            <w:snapToGrid/>
            <w:spacing w:line="1000" w:lineRule="exact"/>
            <w:textAlignment w:val="auto"/>
            <w:rPr>
              <w:rFonts w:hint="eastAsia" w:ascii="宋体" w:hAnsi="宋体" w:eastAsia="宋体" w:cs="宋体"/>
              <w:b w:val="0"/>
              <w:bCs/>
              <w:sz w:val="32"/>
              <w:szCs w:val="32"/>
              <w:highlight w:val="none"/>
            </w:rPr>
          </w:pPr>
          <w:r>
            <w:rPr>
              <w:rFonts w:hint="eastAsia" w:ascii="宋体" w:hAnsi="宋体" w:eastAsia="宋体" w:cs="宋体"/>
              <w:b w:val="0"/>
              <w:bCs/>
              <w:color w:val="000000" w:themeColor="text1"/>
              <w:sz w:val="32"/>
              <w:szCs w:val="44"/>
              <w:highlight w:val="none"/>
              <w:lang w:val="en-US" w:eastAsia="zh-CN"/>
              <w14:textFill>
                <w14:solidFill>
                  <w14:schemeClr w14:val="tx1"/>
                </w14:solidFill>
              </w14:textFill>
            </w:rPr>
            <w:fldChar w:fldCharType="begin"/>
          </w:r>
          <w:r>
            <w:rPr>
              <w:rFonts w:hint="eastAsia" w:ascii="宋体" w:hAnsi="宋体" w:eastAsia="宋体" w:cs="宋体"/>
              <w:b w:val="0"/>
              <w:bCs/>
              <w:sz w:val="32"/>
              <w:szCs w:val="44"/>
              <w:highlight w:val="none"/>
              <w:lang w:val="en-US" w:eastAsia="zh-CN"/>
            </w:rPr>
            <w:instrText xml:space="preserve"> HYPERLINK \l _Toc8172 </w:instrText>
          </w:r>
          <w:r>
            <w:rPr>
              <w:rFonts w:hint="eastAsia" w:ascii="宋体" w:hAnsi="宋体" w:eastAsia="宋体" w:cs="宋体"/>
              <w:b w:val="0"/>
              <w:bCs/>
              <w:sz w:val="32"/>
              <w:szCs w:val="44"/>
              <w:highlight w:val="none"/>
              <w:lang w:val="en-US" w:eastAsia="zh-CN"/>
            </w:rPr>
            <w:fldChar w:fldCharType="separate"/>
          </w:r>
          <w:r>
            <w:rPr>
              <w:rFonts w:hint="eastAsia" w:ascii="宋体" w:hAnsi="宋体" w:eastAsia="宋体" w:cs="宋体"/>
              <w:b w:val="0"/>
              <w:bCs/>
              <w:sz w:val="32"/>
              <w:szCs w:val="44"/>
              <w:highlight w:val="none"/>
            </w:rPr>
            <w:t xml:space="preserve">第一章 </w:t>
          </w:r>
          <w:r>
            <w:rPr>
              <w:rFonts w:hint="eastAsia" w:ascii="宋体" w:hAnsi="宋体" w:eastAsia="宋体" w:cs="宋体"/>
              <w:b w:val="0"/>
              <w:bCs/>
              <w:sz w:val="32"/>
              <w:szCs w:val="44"/>
              <w:highlight w:val="none"/>
              <w:lang w:val="en-US" w:eastAsia="zh-CN"/>
            </w:rPr>
            <w:t>招标</w:t>
          </w:r>
          <w:r>
            <w:rPr>
              <w:rFonts w:hint="eastAsia" w:ascii="宋体" w:hAnsi="宋体" w:eastAsia="宋体" w:cs="宋体"/>
              <w:b w:val="0"/>
              <w:bCs/>
              <w:sz w:val="32"/>
              <w:szCs w:val="44"/>
              <w:highlight w:val="none"/>
            </w:rPr>
            <w:t>公告</w:t>
          </w:r>
          <w:r>
            <w:rPr>
              <w:rFonts w:hint="eastAsia" w:ascii="宋体" w:hAnsi="宋体" w:eastAsia="宋体" w:cs="宋体"/>
              <w:b w:val="0"/>
              <w:bCs/>
              <w:sz w:val="32"/>
              <w:szCs w:val="32"/>
              <w:highlight w:val="none"/>
            </w:rPr>
            <w:tab/>
          </w:r>
          <w:r>
            <w:rPr>
              <w:rFonts w:hint="eastAsia" w:ascii="宋体" w:hAnsi="宋体" w:eastAsia="宋体" w:cs="宋体"/>
              <w:b w:val="0"/>
              <w:bCs/>
              <w:sz w:val="32"/>
              <w:szCs w:val="32"/>
              <w:highlight w:val="none"/>
            </w:rPr>
            <w:fldChar w:fldCharType="begin"/>
          </w:r>
          <w:r>
            <w:rPr>
              <w:rFonts w:hint="eastAsia" w:ascii="宋体" w:hAnsi="宋体" w:eastAsia="宋体" w:cs="宋体"/>
              <w:b w:val="0"/>
              <w:bCs/>
              <w:sz w:val="32"/>
              <w:szCs w:val="32"/>
              <w:highlight w:val="none"/>
            </w:rPr>
            <w:instrText xml:space="preserve"> PAGEREF _Toc8172 \h </w:instrText>
          </w:r>
          <w:r>
            <w:rPr>
              <w:rFonts w:hint="eastAsia" w:ascii="宋体" w:hAnsi="宋体" w:eastAsia="宋体" w:cs="宋体"/>
              <w:b w:val="0"/>
              <w:bCs/>
              <w:sz w:val="32"/>
              <w:szCs w:val="32"/>
              <w:highlight w:val="none"/>
            </w:rPr>
            <w:fldChar w:fldCharType="separate"/>
          </w:r>
          <w:r>
            <w:rPr>
              <w:rFonts w:hint="eastAsia" w:ascii="宋体" w:hAnsi="宋体" w:eastAsia="宋体" w:cs="宋体"/>
              <w:b w:val="0"/>
              <w:bCs/>
              <w:sz w:val="32"/>
              <w:szCs w:val="32"/>
              <w:highlight w:val="none"/>
            </w:rPr>
            <w:t>1</w:t>
          </w:r>
          <w:r>
            <w:rPr>
              <w:rFonts w:hint="eastAsia" w:ascii="宋体" w:hAnsi="宋体" w:eastAsia="宋体" w:cs="宋体"/>
              <w:b w:val="0"/>
              <w:bCs/>
              <w:sz w:val="32"/>
              <w:szCs w:val="32"/>
              <w:highlight w:val="none"/>
            </w:rPr>
            <w:fldChar w:fldCharType="end"/>
          </w:r>
          <w:r>
            <w:rPr>
              <w:rFonts w:hint="eastAsia" w:ascii="宋体" w:hAnsi="宋体" w:eastAsia="宋体" w:cs="宋体"/>
              <w:b w:val="0"/>
              <w:bCs/>
              <w:color w:val="000000" w:themeColor="text1"/>
              <w:sz w:val="32"/>
              <w:szCs w:val="44"/>
              <w:highlight w:val="none"/>
              <w:lang w:val="en-US" w:eastAsia="zh-CN"/>
              <w14:textFill>
                <w14:solidFill>
                  <w14:schemeClr w14:val="tx1"/>
                </w14:solidFill>
              </w14:textFill>
            </w:rPr>
            <w:fldChar w:fldCharType="end"/>
          </w:r>
        </w:p>
        <w:p w14:paraId="14AC40BA">
          <w:pPr>
            <w:pStyle w:val="27"/>
            <w:keepNext w:val="0"/>
            <w:keepLines w:val="0"/>
            <w:pageBreakBefore w:val="0"/>
            <w:widowControl w:val="0"/>
            <w:tabs>
              <w:tab w:val="right" w:leader="dot" w:pos="8305"/>
              <w:tab w:val="clear" w:pos="8390"/>
            </w:tabs>
            <w:kinsoku/>
            <w:wordWrap/>
            <w:overflowPunct/>
            <w:topLinePunct w:val="0"/>
            <w:autoSpaceDE/>
            <w:autoSpaceDN/>
            <w:bidi w:val="0"/>
            <w:adjustRightInd/>
            <w:snapToGrid/>
            <w:spacing w:line="1000" w:lineRule="exact"/>
            <w:textAlignment w:val="auto"/>
            <w:rPr>
              <w:rFonts w:hint="eastAsia" w:ascii="宋体" w:hAnsi="宋体" w:eastAsia="宋体" w:cs="宋体"/>
              <w:b w:val="0"/>
              <w:bCs/>
              <w:sz w:val="32"/>
              <w:szCs w:val="32"/>
              <w:highlight w:val="none"/>
            </w:rPr>
          </w:pPr>
          <w:r>
            <w:rPr>
              <w:rFonts w:hint="eastAsia" w:ascii="宋体" w:hAnsi="宋体" w:eastAsia="宋体" w:cs="宋体"/>
              <w:b w:val="0"/>
              <w:bCs/>
              <w:color w:val="000000" w:themeColor="text1"/>
              <w:sz w:val="32"/>
              <w:szCs w:val="44"/>
              <w:highlight w:val="none"/>
              <w:lang w:val="en-US" w:eastAsia="zh-CN"/>
              <w14:textFill>
                <w14:solidFill>
                  <w14:schemeClr w14:val="tx1"/>
                </w14:solidFill>
              </w14:textFill>
            </w:rPr>
            <w:fldChar w:fldCharType="begin"/>
          </w:r>
          <w:r>
            <w:rPr>
              <w:rFonts w:hint="eastAsia" w:ascii="宋体" w:hAnsi="宋体" w:eastAsia="宋体" w:cs="宋体"/>
              <w:b w:val="0"/>
              <w:bCs/>
              <w:sz w:val="32"/>
              <w:szCs w:val="44"/>
              <w:highlight w:val="none"/>
              <w:lang w:val="en-US" w:eastAsia="zh-CN"/>
            </w:rPr>
            <w:instrText xml:space="preserve"> HYPERLINK \l _Toc27122 </w:instrText>
          </w:r>
          <w:r>
            <w:rPr>
              <w:rFonts w:hint="eastAsia" w:ascii="宋体" w:hAnsi="宋体" w:eastAsia="宋体" w:cs="宋体"/>
              <w:b w:val="0"/>
              <w:bCs/>
              <w:sz w:val="32"/>
              <w:szCs w:val="44"/>
              <w:highlight w:val="none"/>
              <w:lang w:val="en-US" w:eastAsia="zh-CN"/>
            </w:rPr>
            <w:fldChar w:fldCharType="separate"/>
          </w:r>
          <w:r>
            <w:rPr>
              <w:rFonts w:hint="eastAsia" w:ascii="宋体" w:hAnsi="宋体" w:eastAsia="宋体" w:cs="宋体"/>
              <w:b w:val="0"/>
              <w:bCs/>
              <w:sz w:val="32"/>
              <w:szCs w:val="44"/>
              <w:highlight w:val="none"/>
            </w:rPr>
            <w:t>第二章</w:t>
          </w:r>
          <w:r>
            <w:rPr>
              <w:rFonts w:hint="eastAsia" w:ascii="宋体" w:hAnsi="宋体" w:eastAsia="宋体" w:cs="宋体"/>
              <w:b w:val="0"/>
              <w:bCs/>
              <w:sz w:val="32"/>
              <w:szCs w:val="44"/>
              <w:highlight w:val="none"/>
              <w:lang w:val="en-US" w:eastAsia="zh-CN"/>
            </w:rPr>
            <w:t xml:space="preserve"> </w:t>
          </w:r>
          <w:r>
            <w:rPr>
              <w:rFonts w:hint="eastAsia" w:ascii="宋体" w:hAnsi="宋体" w:eastAsia="宋体" w:cs="宋体"/>
              <w:b w:val="0"/>
              <w:bCs/>
              <w:sz w:val="32"/>
              <w:szCs w:val="44"/>
              <w:highlight w:val="none"/>
            </w:rPr>
            <w:t>供应商须知</w:t>
          </w:r>
          <w:r>
            <w:rPr>
              <w:rFonts w:hint="eastAsia" w:ascii="宋体" w:hAnsi="宋体" w:eastAsia="宋体" w:cs="宋体"/>
              <w:b w:val="0"/>
              <w:bCs/>
              <w:sz w:val="32"/>
              <w:szCs w:val="32"/>
              <w:highlight w:val="none"/>
            </w:rPr>
            <w:tab/>
          </w:r>
          <w:r>
            <w:rPr>
              <w:rFonts w:hint="eastAsia" w:ascii="宋体" w:hAnsi="宋体" w:eastAsia="宋体" w:cs="宋体"/>
              <w:b w:val="0"/>
              <w:bCs/>
              <w:sz w:val="32"/>
              <w:szCs w:val="32"/>
              <w:highlight w:val="none"/>
            </w:rPr>
            <w:fldChar w:fldCharType="begin"/>
          </w:r>
          <w:r>
            <w:rPr>
              <w:rFonts w:hint="eastAsia" w:ascii="宋体" w:hAnsi="宋体" w:eastAsia="宋体" w:cs="宋体"/>
              <w:b w:val="0"/>
              <w:bCs/>
              <w:sz w:val="32"/>
              <w:szCs w:val="32"/>
              <w:highlight w:val="none"/>
            </w:rPr>
            <w:instrText xml:space="preserve"> PAGEREF _Toc27122 \h </w:instrText>
          </w:r>
          <w:r>
            <w:rPr>
              <w:rFonts w:hint="eastAsia" w:ascii="宋体" w:hAnsi="宋体" w:eastAsia="宋体" w:cs="宋体"/>
              <w:b w:val="0"/>
              <w:bCs/>
              <w:sz w:val="32"/>
              <w:szCs w:val="32"/>
              <w:highlight w:val="none"/>
            </w:rPr>
            <w:fldChar w:fldCharType="separate"/>
          </w:r>
          <w:r>
            <w:rPr>
              <w:rFonts w:hint="eastAsia" w:ascii="宋体" w:hAnsi="宋体" w:eastAsia="宋体" w:cs="宋体"/>
              <w:b w:val="0"/>
              <w:bCs/>
              <w:sz w:val="32"/>
              <w:szCs w:val="32"/>
              <w:highlight w:val="none"/>
            </w:rPr>
            <w:t>9</w:t>
          </w:r>
          <w:r>
            <w:rPr>
              <w:rFonts w:hint="eastAsia" w:ascii="宋体" w:hAnsi="宋体" w:eastAsia="宋体" w:cs="宋体"/>
              <w:b w:val="0"/>
              <w:bCs/>
              <w:sz w:val="32"/>
              <w:szCs w:val="32"/>
              <w:highlight w:val="none"/>
            </w:rPr>
            <w:fldChar w:fldCharType="end"/>
          </w:r>
          <w:r>
            <w:rPr>
              <w:rFonts w:hint="eastAsia" w:ascii="宋体" w:hAnsi="宋体" w:eastAsia="宋体" w:cs="宋体"/>
              <w:b w:val="0"/>
              <w:bCs/>
              <w:color w:val="000000" w:themeColor="text1"/>
              <w:sz w:val="32"/>
              <w:szCs w:val="44"/>
              <w:highlight w:val="none"/>
              <w:lang w:val="en-US" w:eastAsia="zh-CN"/>
              <w14:textFill>
                <w14:solidFill>
                  <w14:schemeClr w14:val="tx1"/>
                </w14:solidFill>
              </w14:textFill>
            </w:rPr>
            <w:fldChar w:fldCharType="end"/>
          </w:r>
        </w:p>
        <w:p w14:paraId="315BD0BC">
          <w:pPr>
            <w:pStyle w:val="27"/>
            <w:keepNext w:val="0"/>
            <w:keepLines w:val="0"/>
            <w:pageBreakBefore w:val="0"/>
            <w:widowControl w:val="0"/>
            <w:tabs>
              <w:tab w:val="right" w:leader="dot" w:pos="8305"/>
              <w:tab w:val="clear" w:pos="8390"/>
            </w:tabs>
            <w:kinsoku/>
            <w:wordWrap/>
            <w:overflowPunct/>
            <w:topLinePunct w:val="0"/>
            <w:autoSpaceDE/>
            <w:autoSpaceDN/>
            <w:bidi w:val="0"/>
            <w:adjustRightInd/>
            <w:snapToGrid/>
            <w:spacing w:line="1000" w:lineRule="exact"/>
            <w:textAlignment w:val="auto"/>
            <w:rPr>
              <w:rFonts w:hint="eastAsia" w:ascii="宋体" w:hAnsi="宋体" w:eastAsia="宋体" w:cs="宋体"/>
              <w:b w:val="0"/>
              <w:bCs/>
              <w:sz w:val="32"/>
              <w:szCs w:val="32"/>
              <w:highlight w:val="none"/>
            </w:rPr>
          </w:pPr>
          <w:r>
            <w:rPr>
              <w:rFonts w:hint="eastAsia" w:ascii="宋体" w:hAnsi="宋体" w:eastAsia="宋体" w:cs="宋体"/>
              <w:b w:val="0"/>
              <w:bCs/>
              <w:color w:val="000000" w:themeColor="text1"/>
              <w:sz w:val="32"/>
              <w:szCs w:val="44"/>
              <w:highlight w:val="none"/>
              <w:lang w:val="en-US" w:eastAsia="zh-CN"/>
              <w14:textFill>
                <w14:solidFill>
                  <w14:schemeClr w14:val="tx1"/>
                </w14:solidFill>
              </w14:textFill>
            </w:rPr>
            <w:fldChar w:fldCharType="begin"/>
          </w:r>
          <w:r>
            <w:rPr>
              <w:rFonts w:hint="eastAsia" w:ascii="宋体" w:hAnsi="宋体" w:eastAsia="宋体" w:cs="宋体"/>
              <w:b w:val="0"/>
              <w:bCs/>
              <w:sz w:val="32"/>
              <w:szCs w:val="44"/>
              <w:highlight w:val="none"/>
              <w:lang w:val="en-US" w:eastAsia="zh-CN"/>
            </w:rPr>
            <w:instrText xml:space="preserve"> HYPERLINK \l _Toc26815 </w:instrText>
          </w:r>
          <w:r>
            <w:rPr>
              <w:rFonts w:hint="eastAsia" w:ascii="宋体" w:hAnsi="宋体" w:eastAsia="宋体" w:cs="宋体"/>
              <w:b w:val="0"/>
              <w:bCs/>
              <w:sz w:val="32"/>
              <w:szCs w:val="44"/>
              <w:highlight w:val="none"/>
              <w:lang w:val="en-US" w:eastAsia="zh-CN"/>
            </w:rPr>
            <w:fldChar w:fldCharType="separate"/>
          </w:r>
          <w:r>
            <w:rPr>
              <w:rFonts w:hint="eastAsia" w:ascii="宋体" w:hAnsi="宋体" w:eastAsia="宋体" w:cs="宋体"/>
              <w:b w:val="0"/>
              <w:bCs/>
              <w:sz w:val="32"/>
              <w:szCs w:val="44"/>
              <w:highlight w:val="none"/>
            </w:rPr>
            <w:t>第三章 评标办法</w:t>
          </w:r>
          <w:r>
            <w:rPr>
              <w:rFonts w:hint="eastAsia" w:ascii="宋体" w:hAnsi="宋体" w:eastAsia="宋体" w:cs="宋体"/>
              <w:b w:val="0"/>
              <w:bCs/>
              <w:sz w:val="32"/>
              <w:szCs w:val="32"/>
              <w:highlight w:val="none"/>
            </w:rPr>
            <w:tab/>
          </w:r>
          <w:r>
            <w:rPr>
              <w:rFonts w:hint="eastAsia" w:ascii="宋体" w:hAnsi="宋体" w:eastAsia="宋体" w:cs="宋体"/>
              <w:b w:val="0"/>
              <w:bCs/>
              <w:sz w:val="32"/>
              <w:szCs w:val="32"/>
              <w:highlight w:val="none"/>
            </w:rPr>
            <w:fldChar w:fldCharType="begin"/>
          </w:r>
          <w:r>
            <w:rPr>
              <w:rFonts w:hint="eastAsia" w:ascii="宋体" w:hAnsi="宋体" w:eastAsia="宋体" w:cs="宋体"/>
              <w:b w:val="0"/>
              <w:bCs/>
              <w:sz w:val="32"/>
              <w:szCs w:val="32"/>
              <w:highlight w:val="none"/>
            </w:rPr>
            <w:instrText xml:space="preserve"> PAGEREF _Toc26815 \h </w:instrText>
          </w:r>
          <w:r>
            <w:rPr>
              <w:rFonts w:hint="eastAsia" w:ascii="宋体" w:hAnsi="宋体" w:eastAsia="宋体" w:cs="宋体"/>
              <w:b w:val="0"/>
              <w:bCs/>
              <w:sz w:val="32"/>
              <w:szCs w:val="32"/>
              <w:highlight w:val="none"/>
            </w:rPr>
            <w:fldChar w:fldCharType="separate"/>
          </w:r>
          <w:r>
            <w:rPr>
              <w:rFonts w:hint="eastAsia" w:ascii="宋体" w:hAnsi="宋体" w:eastAsia="宋体" w:cs="宋体"/>
              <w:b w:val="0"/>
              <w:bCs/>
              <w:sz w:val="32"/>
              <w:szCs w:val="32"/>
              <w:highlight w:val="none"/>
            </w:rPr>
            <w:t>41</w:t>
          </w:r>
          <w:r>
            <w:rPr>
              <w:rFonts w:hint="eastAsia" w:ascii="宋体" w:hAnsi="宋体" w:eastAsia="宋体" w:cs="宋体"/>
              <w:b w:val="0"/>
              <w:bCs/>
              <w:sz w:val="32"/>
              <w:szCs w:val="32"/>
              <w:highlight w:val="none"/>
            </w:rPr>
            <w:fldChar w:fldCharType="end"/>
          </w:r>
          <w:r>
            <w:rPr>
              <w:rFonts w:hint="eastAsia" w:ascii="宋体" w:hAnsi="宋体" w:eastAsia="宋体" w:cs="宋体"/>
              <w:b w:val="0"/>
              <w:bCs/>
              <w:color w:val="000000" w:themeColor="text1"/>
              <w:sz w:val="32"/>
              <w:szCs w:val="44"/>
              <w:highlight w:val="none"/>
              <w:lang w:val="en-US" w:eastAsia="zh-CN"/>
              <w14:textFill>
                <w14:solidFill>
                  <w14:schemeClr w14:val="tx1"/>
                </w14:solidFill>
              </w14:textFill>
            </w:rPr>
            <w:fldChar w:fldCharType="end"/>
          </w:r>
        </w:p>
        <w:p w14:paraId="5A15DD9A">
          <w:pPr>
            <w:pStyle w:val="27"/>
            <w:keepNext w:val="0"/>
            <w:keepLines w:val="0"/>
            <w:pageBreakBefore w:val="0"/>
            <w:widowControl w:val="0"/>
            <w:tabs>
              <w:tab w:val="right" w:leader="dot" w:pos="8305"/>
              <w:tab w:val="clear" w:pos="8390"/>
            </w:tabs>
            <w:kinsoku/>
            <w:wordWrap/>
            <w:overflowPunct/>
            <w:topLinePunct w:val="0"/>
            <w:autoSpaceDE/>
            <w:autoSpaceDN/>
            <w:bidi w:val="0"/>
            <w:adjustRightInd/>
            <w:snapToGrid/>
            <w:spacing w:line="1000" w:lineRule="exact"/>
            <w:textAlignment w:val="auto"/>
            <w:rPr>
              <w:rFonts w:hint="eastAsia" w:ascii="宋体" w:hAnsi="宋体" w:eastAsia="宋体" w:cs="宋体"/>
              <w:b w:val="0"/>
              <w:bCs/>
              <w:sz w:val="32"/>
              <w:szCs w:val="32"/>
              <w:highlight w:val="none"/>
            </w:rPr>
          </w:pPr>
          <w:r>
            <w:rPr>
              <w:rFonts w:hint="eastAsia" w:ascii="宋体" w:hAnsi="宋体" w:eastAsia="宋体" w:cs="宋体"/>
              <w:b w:val="0"/>
              <w:bCs/>
              <w:color w:val="000000" w:themeColor="text1"/>
              <w:sz w:val="32"/>
              <w:szCs w:val="44"/>
              <w:highlight w:val="none"/>
              <w:lang w:val="en-US" w:eastAsia="zh-CN"/>
              <w14:textFill>
                <w14:solidFill>
                  <w14:schemeClr w14:val="tx1"/>
                </w14:solidFill>
              </w14:textFill>
            </w:rPr>
            <w:fldChar w:fldCharType="begin"/>
          </w:r>
          <w:r>
            <w:rPr>
              <w:rFonts w:hint="eastAsia" w:ascii="宋体" w:hAnsi="宋体" w:eastAsia="宋体" w:cs="宋体"/>
              <w:b w:val="0"/>
              <w:bCs/>
              <w:sz w:val="32"/>
              <w:szCs w:val="44"/>
              <w:highlight w:val="none"/>
              <w:lang w:val="en-US" w:eastAsia="zh-CN"/>
            </w:rPr>
            <w:instrText xml:space="preserve"> HYPERLINK \l _Toc27947 </w:instrText>
          </w:r>
          <w:r>
            <w:rPr>
              <w:rFonts w:hint="eastAsia" w:ascii="宋体" w:hAnsi="宋体" w:eastAsia="宋体" w:cs="宋体"/>
              <w:b w:val="0"/>
              <w:bCs/>
              <w:sz w:val="32"/>
              <w:szCs w:val="44"/>
              <w:highlight w:val="none"/>
              <w:lang w:val="en-US" w:eastAsia="zh-CN"/>
            </w:rPr>
            <w:fldChar w:fldCharType="separate"/>
          </w:r>
          <w:r>
            <w:rPr>
              <w:rFonts w:hint="eastAsia" w:ascii="宋体" w:hAnsi="宋体" w:eastAsia="宋体" w:cs="宋体"/>
              <w:b w:val="0"/>
              <w:bCs/>
              <w:sz w:val="32"/>
              <w:szCs w:val="44"/>
              <w:highlight w:val="none"/>
              <w:lang w:val="en-US" w:eastAsia="zh-CN"/>
            </w:rPr>
            <w:t>第四章 政府采购合同书格式及条款</w:t>
          </w:r>
          <w:r>
            <w:rPr>
              <w:rFonts w:hint="eastAsia" w:ascii="宋体" w:hAnsi="宋体" w:eastAsia="宋体" w:cs="宋体"/>
              <w:b w:val="0"/>
              <w:bCs/>
              <w:sz w:val="32"/>
              <w:szCs w:val="32"/>
              <w:highlight w:val="none"/>
            </w:rPr>
            <w:tab/>
          </w:r>
          <w:r>
            <w:rPr>
              <w:rFonts w:hint="eastAsia" w:ascii="宋体" w:hAnsi="宋体" w:eastAsia="宋体" w:cs="宋体"/>
              <w:b w:val="0"/>
              <w:bCs/>
              <w:sz w:val="32"/>
              <w:szCs w:val="32"/>
              <w:highlight w:val="none"/>
            </w:rPr>
            <w:fldChar w:fldCharType="begin"/>
          </w:r>
          <w:r>
            <w:rPr>
              <w:rFonts w:hint="eastAsia" w:ascii="宋体" w:hAnsi="宋体" w:eastAsia="宋体" w:cs="宋体"/>
              <w:b w:val="0"/>
              <w:bCs/>
              <w:sz w:val="32"/>
              <w:szCs w:val="32"/>
              <w:highlight w:val="none"/>
            </w:rPr>
            <w:instrText xml:space="preserve"> PAGEREF _Toc27947 \h </w:instrText>
          </w:r>
          <w:r>
            <w:rPr>
              <w:rFonts w:hint="eastAsia" w:ascii="宋体" w:hAnsi="宋体" w:eastAsia="宋体" w:cs="宋体"/>
              <w:b w:val="0"/>
              <w:bCs/>
              <w:sz w:val="32"/>
              <w:szCs w:val="32"/>
              <w:highlight w:val="none"/>
            </w:rPr>
            <w:fldChar w:fldCharType="separate"/>
          </w:r>
          <w:r>
            <w:rPr>
              <w:rFonts w:hint="eastAsia" w:ascii="宋体" w:hAnsi="宋体" w:eastAsia="宋体" w:cs="宋体"/>
              <w:b w:val="0"/>
              <w:bCs/>
              <w:sz w:val="32"/>
              <w:szCs w:val="32"/>
              <w:highlight w:val="none"/>
            </w:rPr>
            <w:t>54</w:t>
          </w:r>
          <w:r>
            <w:rPr>
              <w:rFonts w:hint="eastAsia" w:ascii="宋体" w:hAnsi="宋体" w:eastAsia="宋体" w:cs="宋体"/>
              <w:b w:val="0"/>
              <w:bCs/>
              <w:sz w:val="32"/>
              <w:szCs w:val="32"/>
              <w:highlight w:val="none"/>
            </w:rPr>
            <w:fldChar w:fldCharType="end"/>
          </w:r>
          <w:r>
            <w:rPr>
              <w:rFonts w:hint="eastAsia" w:ascii="宋体" w:hAnsi="宋体" w:eastAsia="宋体" w:cs="宋体"/>
              <w:b w:val="0"/>
              <w:bCs/>
              <w:color w:val="000000" w:themeColor="text1"/>
              <w:sz w:val="32"/>
              <w:szCs w:val="44"/>
              <w:highlight w:val="none"/>
              <w:lang w:val="en-US" w:eastAsia="zh-CN"/>
              <w14:textFill>
                <w14:solidFill>
                  <w14:schemeClr w14:val="tx1"/>
                </w14:solidFill>
              </w14:textFill>
            </w:rPr>
            <w:fldChar w:fldCharType="end"/>
          </w:r>
        </w:p>
        <w:p w14:paraId="535EB5D5">
          <w:pPr>
            <w:pStyle w:val="27"/>
            <w:keepNext w:val="0"/>
            <w:keepLines w:val="0"/>
            <w:pageBreakBefore w:val="0"/>
            <w:widowControl w:val="0"/>
            <w:tabs>
              <w:tab w:val="right" w:leader="dot" w:pos="8305"/>
              <w:tab w:val="clear" w:pos="8390"/>
            </w:tabs>
            <w:kinsoku/>
            <w:wordWrap/>
            <w:overflowPunct/>
            <w:topLinePunct w:val="0"/>
            <w:autoSpaceDE/>
            <w:autoSpaceDN/>
            <w:bidi w:val="0"/>
            <w:adjustRightInd/>
            <w:snapToGrid/>
            <w:spacing w:line="1000" w:lineRule="exact"/>
            <w:textAlignment w:val="auto"/>
            <w:rPr>
              <w:rFonts w:hint="eastAsia" w:ascii="宋体" w:hAnsi="宋体" w:eastAsia="宋体" w:cs="宋体"/>
              <w:b w:val="0"/>
              <w:bCs/>
              <w:sz w:val="32"/>
              <w:szCs w:val="32"/>
              <w:highlight w:val="none"/>
            </w:rPr>
          </w:pPr>
          <w:r>
            <w:rPr>
              <w:rFonts w:hint="eastAsia" w:ascii="宋体" w:hAnsi="宋体" w:eastAsia="宋体" w:cs="宋体"/>
              <w:b w:val="0"/>
              <w:bCs/>
              <w:color w:val="000000" w:themeColor="text1"/>
              <w:sz w:val="32"/>
              <w:szCs w:val="44"/>
              <w:highlight w:val="none"/>
              <w:lang w:val="en-US" w:eastAsia="zh-CN"/>
              <w14:textFill>
                <w14:solidFill>
                  <w14:schemeClr w14:val="tx1"/>
                </w14:solidFill>
              </w14:textFill>
            </w:rPr>
            <w:fldChar w:fldCharType="begin"/>
          </w:r>
          <w:r>
            <w:rPr>
              <w:rFonts w:hint="eastAsia" w:ascii="宋体" w:hAnsi="宋体" w:eastAsia="宋体" w:cs="宋体"/>
              <w:b w:val="0"/>
              <w:bCs/>
              <w:sz w:val="32"/>
              <w:szCs w:val="44"/>
              <w:highlight w:val="none"/>
              <w:lang w:val="en-US" w:eastAsia="zh-CN"/>
            </w:rPr>
            <w:instrText xml:space="preserve"> HYPERLINK \l _Toc22303 </w:instrText>
          </w:r>
          <w:r>
            <w:rPr>
              <w:rFonts w:hint="eastAsia" w:ascii="宋体" w:hAnsi="宋体" w:eastAsia="宋体" w:cs="宋体"/>
              <w:b w:val="0"/>
              <w:bCs/>
              <w:sz w:val="32"/>
              <w:szCs w:val="44"/>
              <w:highlight w:val="none"/>
              <w:lang w:val="en-US" w:eastAsia="zh-CN"/>
            </w:rPr>
            <w:fldChar w:fldCharType="separate"/>
          </w:r>
          <w:r>
            <w:rPr>
              <w:rFonts w:hint="eastAsia" w:ascii="宋体" w:hAnsi="宋体" w:eastAsia="宋体" w:cs="宋体"/>
              <w:b w:val="0"/>
              <w:bCs/>
              <w:sz w:val="32"/>
              <w:szCs w:val="52"/>
              <w:highlight w:val="none"/>
              <w:lang w:val="en-US" w:eastAsia="zh-CN"/>
            </w:rPr>
            <w:t>第五章 服务内容及要求</w:t>
          </w:r>
          <w:r>
            <w:rPr>
              <w:rFonts w:hint="eastAsia" w:ascii="宋体" w:hAnsi="宋体" w:eastAsia="宋体" w:cs="宋体"/>
              <w:b w:val="0"/>
              <w:bCs/>
              <w:sz w:val="32"/>
              <w:szCs w:val="32"/>
              <w:highlight w:val="none"/>
            </w:rPr>
            <w:tab/>
          </w:r>
          <w:r>
            <w:rPr>
              <w:rFonts w:hint="eastAsia" w:ascii="宋体" w:hAnsi="宋体" w:eastAsia="宋体" w:cs="宋体"/>
              <w:b w:val="0"/>
              <w:bCs/>
              <w:sz w:val="32"/>
              <w:szCs w:val="32"/>
              <w:highlight w:val="none"/>
            </w:rPr>
            <w:fldChar w:fldCharType="begin"/>
          </w:r>
          <w:r>
            <w:rPr>
              <w:rFonts w:hint="eastAsia" w:ascii="宋体" w:hAnsi="宋体" w:eastAsia="宋体" w:cs="宋体"/>
              <w:b w:val="0"/>
              <w:bCs/>
              <w:sz w:val="32"/>
              <w:szCs w:val="32"/>
              <w:highlight w:val="none"/>
            </w:rPr>
            <w:instrText xml:space="preserve"> PAGEREF _Toc22303 \h </w:instrText>
          </w:r>
          <w:r>
            <w:rPr>
              <w:rFonts w:hint="eastAsia" w:ascii="宋体" w:hAnsi="宋体" w:eastAsia="宋体" w:cs="宋体"/>
              <w:b w:val="0"/>
              <w:bCs/>
              <w:sz w:val="32"/>
              <w:szCs w:val="32"/>
              <w:highlight w:val="none"/>
            </w:rPr>
            <w:fldChar w:fldCharType="separate"/>
          </w:r>
          <w:r>
            <w:rPr>
              <w:rFonts w:hint="eastAsia" w:ascii="宋体" w:hAnsi="宋体" w:eastAsia="宋体" w:cs="宋体"/>
              <w:b w:val="0"/>
              <w:bCs/>
              <w:sz w:val="32"/>
              <w:szCs w:val="32"/>
              <w:highlight w:val="none"/>
            </w:rPr>
            <w:t>76</w:t>
          </w:r>
          <w:r>
            <w:rPr>
              <w:rFonts w:hint="eastAsia" w:ascii="宋体" w:hAnsi="宋体" w:eastAsia="宋体" w:cs="宋体"/>
              <w:b w:val="0"/>
              <w:bCs/>
              <w:sz w:val="32"/>
              <w:szCs w:val="32"/>
              <w:highlight w:val="none"/>
            </w:rPr>
            <w:fldChar w:fldCharType="end"/>
          </w:r>
          <w:r>
            <w:rPr>
              <w:rFonts w:hint="eastAsia" w:ascii="宋体" w:hAnsi="宋体" w:eastAsia="宋体" w:cs="宋体"/>
              <w:b w:val="0"/>
              <w:bCs/>
              <w:color w:val="000000" w:themeColor="text1"/>
              <w:sz w:val="32"/>
              <w:szCs w:val="44"/>
              <w:highlight w:val="none"/>
              <w:lang w:val="en-US" w:eastAsia="zh-CN"/>
              <w14:textFill>
                <w14:solidFill>
                  <w14:schemeClr w14:val="tx1"/>
                </w14:solidFill>
              </w14:textFill>
            </w:rPr>
            <w:fldChar w:fldCharType="end"/>
          </w:r>
        </w:p>
        <w:p w14:paraId="11B25C6C">
          <w:pPr>
            <w:pStyle w:val="27"/>
            <w:keepNext w:val="0"/>
            <w:keepLines w:val="0"/>
            <w:pageBreakBefore w:val="0"/>
            <w:widowControl w:val="0"/>
            <w:tabs>
              <w:tab w:val="right" w:leader="dot" w:pos="8305"/>
              <w:tab w:val="clear" w:pos="8390"/>
            </w:tabs>
            <w:kinsoku/>
            <w:wordWrap/>
            <w:overflowPunct/>
            <w:topLinePunct w:val="0"/>
            <w:autoSpaceDE/>
            <w:autoSpaceDN/>
            <w:bidi w:val="0"/>
            <w:adjustRightInd/>
            <w:snapToGrid/>
            <w:spacing w:line="1000" w:lineRule="exact"/>
            <w:textAlignment w:val="auto"/>
            <w:rPr>
              <w:rFonts w:hint="eastAsia" w:ascii="宋体" w:hAnsi="宋体" w:eastAsia="宋体" w:cs="宋体"/>
              <w:b w:val="0"/>
              <w:bCs/>
              <w:sz w:val="32"/>
              <w:szCs w:val="32"/>
              <w:highlight w:val="none"/>
            </w:rPr>
          </w:pPr>
          <w:r>
            <w:rPr>
              <w:rFonts w:hint="eastAsia" w:ascii="宋体" w:hAnsi="宋体" w:eastAsia="宋体" w:cs="宋体"/>
              <w:b w:val="0"/>
              <w:bCs/>
              <w:color w:val="000000" w:themeColor="text1"/>
              <w:sz w:val="32"/>
              <w:szCs w:val="44"/>
              <w:highlight w:val="none"/>
              <w:lang w:val="en-US" w:eastAsia="zh-CN"/>
              <w14:textFill>
                <w14:solidFill>
                  <w14:schemeClr w14:val="tx1"/>
                </w14:solidFill>
              </w14:textFill>
            </w:rPr>
            <w:fldChar w:fldCharType="begin"/>
          </w:r>
          <w:r>
            <w:rPr>
              <w:rFonts w:hint="eastAsia" w:ascii="宋体" w:hAnsi="宋体" w:eastAsia="宋体" w:cs="宋体"/>
              <w:b w:val="0"/>
              <w:bCs/>
              <w:sz w:val="32"/>
              <w:szCs w:val="44"/>
              <w:highlight w:val="none"/>
              <w:lang w:val="en-US" w:eastAsia="zh-CN"/>
            </w:rPr>
            <w:instrText xml:space="preserve"> HYPERLINK \l _Toc1676 </w:instrText>
          </w:r>
          <w:r>
            <w:rPr>
              <w:rFonts w:hint="eastAsia" w:ascii="宋体" w:hAnsi="宋体" w:eastAsia="宋体" w:cs="宋体"/>
              <w:b w:val="0"/>
              <w:bCs/>
              <w:sz w:val="32"/>
              <w:szCs w:val="44"/>
              <w:highlight w:val="none"/>
              <w:lang w:val="en-US" w:eastAsia="zh-CN"/>
            </w:rPr>
            <w:fldChar w:fldCharType="separate"/>
          </w:r>
          <w:r>
            <w:rPr>
              <w:rFonts w:hint="eastAsia" w:ascii="宋体" w:hAnsi="宋体" w:eastAsia="宋体" w:cs="宋体"/>
              <w:b w:val="0"/>
              <w:bCs/>
              <w:sz w:val="32"/>
              <w:szCs w:val="44"/>
              <w:highlight w:val="none"/>
              <w:lang w:val="en-US" w:eastAsia="zh-CN"/>
            </w:rPr>
            <w:t>第六章 投标文件格式</w:t>
          </w:r>
          <w:r>
            <w:rPr>
              <w:rFonts w:hint="eastAsia" w:ascii="宋体" w:hAnsi="宋体" w:eastAsia="宋体" w:cs="宋体"/>
              <w:b w:val="0"/>
              <w:bCs/>
              <w:sz w:val="32"/>
              <w:szCs w:val="32"/>
              <w:highlight w:val="none"/>
            </w:rPr>
            <w:tab/>
          </w:r>
          <w:r>
            <w:rPr>
              <w:rFonts w:hint="eastAsia" w:ascii="宋体" w:hAnsi="宋体" w:eastAsia="宋体" w:cs="宋体"/>
              <w:b w:val="0"/>
              <w:bCs/>
              <w:sz w:val="32"/>
              <w:szCs w:val="32"/>
              <w:highlight w:val="none"/>
            </w:rPr>
            <w:fldChar w:fldCharType="begin"/>
          </w:r>
          <w:r>
            <w:rPr>
              <w:rFonts w:hint="eastAsia" w:ascii="宋体" w:hAnsi="宋体" w:eastAsia="宋体" w:cs="宋体"/>
              <w:b w:val="0"/>
              <w:bCs/>
              <w:sz w:val="32"/>
              <w:szCs w:val="32"/>
              <w:highlight w:val="none"/>
            </w:rPr>
            <w:instrText xml:space="preserve"> PAGEREF _Toc1676 \h </w:instrText>
          </w:r>
          <w:r>
            <w:rPr>
              <w:rFonts w:hint="eastAsia" w:ascii="宋体" w:hAnsi="宋体" w:eastAsia="宋体" w:cs="宋体"/>
              <w:b w:val="0"/>
              <w:bCs/>
              <w:sz w:val="32"/>
              <w:szCs w:val="32"/>
              <w:highlight w:val="none"/>
            </w:rPr>
            <w:fldChar w:fldCharType="separate"/>
          </w:r>
          <w:r>
            <w:rPr>
              <w:rFonts w:hint="eastAsia" w:ascii="宋体" w:hAnsi="宋体" w:eastAsia="宋体" w:cs="宋体"/>
              <w:b w:val="0"/>
              <w:bCs/>
              <w:sz w:val="32"/>
              <w:szCs w:val="32"/>
              <w:highlight w:val="none"/>
            </w:rPr>
            <w:t>78</w:t>
          </w:r>
          <w:r>
            <w:rPr>
              <w:rFonts w:hint="eastAsia" w:ascii="宋体" w:hAnsi="宋体" w:eastAsia="宋体" w:cs="宋体"/>
              <w:b w:val="0"/>
              <w:bCs/>
              <w:sz w:val="32"/>
              <w:szCs w:val="32"/>
              <w:highlight w:val="none"/>
            </w:rPr>
            <w:fldChar w:fldCharType="end"/>
          </w:r>
          <w:r>
            <w:rPr>
              <w:rFonts w:hint="eastAsia" w:ascii="宋体" w:hAnsi="宋体" w:eastAsia="宋体" w:cs="宋体"/>
              <w:b w:val="0"/>
              <w:bCs/>
              <w:color w:val="000000" w:themeColor="text1"/>
              <w:sz w:val="32"/>
              <w:szCs w:val="44"/>
              <w:highlight w:val="none"/>
              <w:lang w:val="en-US" w:eastAsia="zh-CN"/>
              <w14:textFill>
                <w14:solidFill>
                  <w14:schemeClr w14:val="tx1"/>
                </w14:solidFill>
              </w14:textFill>
            </w:rPr>
            <w:fldChar w:fldCharType="end"/>
          </w:r>
        </w:p>
        <w:p w14:paraId="5017AA98">
          <w:pPr>
            <w:pStyle w:val="27"/>
            <w:keepNext w:val="0"/>
            <w:keepLines w:val="0"/>
            <w:pageBreakBefore w:val="0"/>
            <w:widowControl w:val="0"/>
            <w:tabs>
              <w:tab w:val="right" w:leader="dot" w:pos="8306"/>
              <w:tab w:val="clear" w:pos="8390"/>
            </w:tabs>
            <w:kinsoku/>
            <w:wordWrap/>
            <w:overflowPunct/>
            <w:topLinePunct w:val="0"/>
            <w:autoSpaceDE/>
            <w:autoSpaceDN/>
            <w:bidi w:val="0"/>
            <w:adjustRightInd/>
            <w:snapToGrid/>
            <w:spacing w:line="1000" w:lineRule="exact"/>
            <w:textAlignment w:val="auto"/>
            <w:rPr>
              <w:rFonts w:hint="eastAsia" w:ascii="宋体" w:hAnsi="宋体" w:eastAsia="宋体" w:cs="宋体"/>
              <w:b w:val="0"/>
              <w:bCs w:val="0"/>
              <w:color w:val="000000" w:themeColor="text1"/>
              <w:sz w:val="32"/>
              <w:szCs w:val="32"/>
              <w:highlight w:val="none"/>
              <w:lang w:val="en-US" w:eastAsia="zh-CN"/>
              <w14:textFill>
                <w14:solidFill>
                  <w14:schemeClr w14:val="tx1"/>
                </w14:solidFill>
              </w14:textFill>
            </w:rPr>
          </w:pPr>
          <w:r>
            <w:rPr>
              <w:rFonts w:hint="eastAsia" w:ascii="宋体" w:hAnsi="宋体" w:eastAsia="宋体" w:cs="宋体"/>
              <w:bCs w:val="0"/>
              <w:color w:val="000000" w:themeColor="text1"/>
              <w:szCs w:val="36"/>
              <w:highlight w:val="none"/>
              <w:lang w:val="en-US" w:eastAsia="zh-CN"/>
              <w14:textFill>
                <w14:solidFill>
                  <w14:schemeClr w14:val="tx1"/>
                </w14:solidFill>
              </w14:textFill>
            </w:rPr>
            <w:fldChar w:fldCharType="end"/>
          </w:r>
        </w:p>
      </w:sdtContent>
    </w:sdt>
    <w:p w14:paraId="3553B2C9">
      <w:pPr>
        <w:rPr>
          <w:rFonts w:hint="eastAsia" w:ascii="宋体" w:hAnsi="宋体" w:eastAsia="宋体" w:cs="宋体"/>
          <w:color w:val="000000" w:themeColor="text1"/>
          <w:highlight w:val="none"/>
          <w14:textFill>
            <w14:solidFill>
              <w14:schemeClr w14:val="tx1"/>
            </w14:solidFill>
          </w14:textFill>
        </w:rPr>
      </w:pPr>
    </w:p>
    <w:bookmarkEnd w:id="0"/>
    <w:bookmarkEnd w:id="1"/>
    <w:bookmarkEnd w:id="2"/>
    <w:p w14:paraId="41834B89">
      <w:pPr>
        <w:pStyle w:val="21"/>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7BD47F8B">
      <w:pPr>
        <w:rPr>
          <w:rFonts w:hint="eastAsia" w:ascii="宋体" w:hAnsi="宋体" w:eastAsia="宋体" w:cs="宋体"/>
          <w:color w:val="000000" w:themeColor="text1"/>
          <w:highlight w:val="none"/>
          <w14:textFill>
            <w14:solidFill>
              <w14:schemeClr w14:val="tx1"/>
            </w14:solidFill>
          </w14:textFill>
        </w:rPr>
        <w:sectPr>
          <w:headerReference r:id="rId3" w:type="default"/>
          <w:footerReference r:id="rId4" w:type="default"/>
          <w:pgSz w:w="11905" w:h="16838"/>
          <w:pgMar w:top="1440" w:right="1800" w:bottom="1440" w:left="1800" w:header="1140" w:footer="720" w:gutter="0"/>
          <w:cols w:space="0" w:num="1"/>
          <w:rtlGutter w:val="0"/>
          <w:docGrid w:type="lines" w:linePitch="317" w:charSpace="0"/>
        </w:sectPr>
      </w:pPr>
    </w:p>
    <w:p w14:paraId="75DB1491">
      <w:pPr>
        <w:pStyle w:val="3"/>
        <w:keepNext/>
        <w:keepLines/>
        <w:pageBreakBefore w:val="0"/>
        <w:widowControl w:val="0"/>
        <w:numPr>
          <w:ilvl w:val="0"/>
          <w:numId w:val="1"/>
        </w:numPr>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bCs/>
          <w:color w:val="000000" w:themeColor="text1"/>
          <w:sz w:val="36"/>
          <w:szCs w:val="36"/>
          <w:highlight w:val="none"/>
          <w14:textFill>
            <w14:solidFill>
              <w14:schemeClr w14:val="tx1"/>
            </w14:solidFill>
          </w14:textFill>
        </w:rPr>
      </w:pPr>
      <w:bookmarkStart w:id="5" w:name="_Toc19476"/>
      <w:bookmarkStart w:id="6" w:name="_Toc6853"/>
      <w:bookmarkStart w:id="7" w:name="_Toc8172"/>
      <w:r>
        <w:rPr>
          <w:rFonts w:hint="eastAsia" w:ascii="宋体" w:hAnsi="宋体" w:eastAsia="宋体" w:cs="宋体"/>
          <w:b/>
          <w:bCs/>
          <w:color w:val="000000" w:themeColor="text1"/>
          <w:sz w:val="36"/>
          <w:szCs w:val="36"/>
          <w:highlight w:val="none"/>
          <w:lang w:val="en-US" w:eastAsia="zh-CN"/>
          <w14:textFill>
            <w14:solidFill>
              <w14:schemeClr w14:val="tx1"/>
            </w14:solidFill>
          </w14:textFill>
        </w:rPr>
        <w:t>招标</w:t>
      </w:r>
      <w:r>
        <w:rPr>
          <w:rFonts w:hint="eastAsia" w:ascii="宋体" w:hAnsi="宋体" w:eastAsia="宋体" w:cs="宋体"/>
          <w:b/>
          <w:bCs/>
          <w:color w:val="000000" w:themeColor="text1"/>
          <w:sz w:val="36"/>
          <w:szCs w:val="36"/>
          <w:highlight w:val="none"/>
          <w14:textFill>
            <w14:solidFill>
              <w14:schemeClr w14:val="tx1"/>
            </w14:solidFill>
          </w14:textFill>
        </w:rPr>
        <w:t>公告</w:t>
      </w:r>
      <w:bookmarkEnd w:id="5"/>
      <w:bookmarkEnd w:id="6"/>
      <w:bookmarkEnd w:id="7"/>
    </w:p>
    <w:p w14:paraId="08A13019">
      <w:pPr>
        <w:numPr>
          <w:ilvl w:val="0"/>
          <w:numId w:val="0"/>
        </w:numPr>
        <w:rPr>
          <w:rFonts w:hint="eastAsia" w:ascii="宋体" w:hAnsi="宋体" w:eastAsia="宋体" w:cs="宋体"/>
          <w:color w:val="000000" w:themeColor="text1"/>
          <w:highlight w:val="none"/>
          <w14:textFill>
            <w14:solidFill>
              <w14:schemeClr w14:val="tx1"/>
            </w14:solidFill>
          </w14:textFill>
        </w:rPr>
      </w:pPr>
    </w:p>
    <w:p w14:paraId="11D91A2D">
      <w:pPr>
        <w:pStyle w:val="81"/>
        <w:keepNext w:val="0"/>
        <w:keepLines w:val="0"/>
        <w:pageBreakBefore w:val="0"/>
        <w:widowControl w:val="0"/>
        <w:pBdr>
          <w:top w:val="single" w:color="auto" w:sz="4" w:space="0"/>
          <w:left w:val="single" w:color="auto" w:sz="4" w:space="0"/>
          <w:bottom w:val="single" w:color="auto" w:sz="4" w:space="0"/>
          <w:right w:val="single" w:color="auto" w:sz="4" w:space="0"/>
        </w:pBdr>
        <w:shd w:val="clear" w:color="auto" w:fill="auto"/>
        <w:kinsoku/>
        <w:wordWrap/>
        <w:overflowPunct/>
        <w:topLinePunct w:val="0"/>
        <w:autoSpaceDE/>
        <w:autoSpaceDN/>
        <w:bidi w:val="0"/>
        <w:adjustRightInd/>
        <w:snapToGrid/>
        <w:spacing w:before="0" w:after="0" w:line="500" w:lineRule="exact"/>
        <w:ind w:left="0" w:right="0" w:firstLine="480" w:firstLineChars="200"/>
        <w:jc w:val="left"/>
        <w:textAlignment w:val="auto"/>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pPr>
      <w:bookmarkStart w:id="8" w:name="_Toc465257483"/>
      <w:bookmarkStart w:id="9" w:name="_Toc466454730"/>
      <w:bookmarkStart w:id="10" w:name="_Toc466466374"/>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项目概况：</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r>
        <w:rPr>
          <w:rFonts w:hint="eastAsia" w:cs="宋体"/>
          <w:b w:val="0"/>
          <w:bCs/>
          <w:color w:val="000000" w:themeColor="text1"/>
          <w:sz w:val="24"/>
          <w:szCs w:val="24"/>
          <w:highlight w:val="none"/>
          <w:u w:val="single"/>
          <w:lang w:val="en-US" w:eastAsia="zh-CN"/>
          <w14:textFill>
            <w14:solidFill>
              <w14:schemeClr w14:val="tx1"/>
            </w14:solidFill>
          </w14:textFill>
        </w:rPr>
        <w:t>延吉市专项债券项目服务采购项目</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的潜在供应商应在</w:t>
      </w:r>
      <w:r>
        <w:rPr>
          <w:rFonts w:hint="eastAsia" w:ascii="宋体" w:hAnsi="宋体" w:eastAsia="宋体" w:cs="宋体"/>
          <w:color w:val="auto"/>
          <w:sz w:val="24"/>
          <w:szCs w:val="32"/>
          <w:highlight w:val="none"/>
          <w:u w:val="single"/>
          <w:lang w:val="en-US" w:eastAsia="zh-CN"/>
        </w:rPr>
        <w:t>“政采云”平台（h</w:t>
      </w:r>
      <w:r>
        <w:rPr>
          <w:rFonts w:hint="eastAsia" w:ascii="宋体" w:hAnsi="宋体" w:eastAsia="宋体" w:cs="宋体"/>
          <w:sz w:val="24"/>
          <w:szCs w:val="24"/>
          <w:u w:val="single"/>
          <w:lang w:val="en-US" w:eastAsia="zh-CN"/>
        </w:rPr>
        <w:t xml:space="preserve">ttp:// </w:t>
      </w:r>
      <w:r>
        <w:rPr>
          <w:rFonts w:hint="eastAsia" w:ascii="宋体" w:hAnsi="宋体" w:eastAsia="宋体" w:cs="宋体"/>
          <w:sz w:val="24"/>
          <w:szCs w:val="24"/>
          <w:u w:val="single"/>
          <w:lang w:val="en-US" w:eastAsia="zh-CN"/>
        </w:rPr>
        <w:fldChar w:fldCharType="begin"/>
      </w:r>
      <w:r>
        <w:rPr>
          <w:rFonts w:hint="eastAsia" w:ascii="宋体" w:hAnsi="宋体" w:eastAsia="宋体" w:cs="宋体"/>
          <w:sz w:val="24"/>
          <w:szCs w:val="24"/>
          <w:u w:val="single"/>
          <w:lang w:val="en-US" w:eastAsia="zh-CN"/>
        </w:rPr>
        <w:instrText xml:space="preserve"> HYPERLINK "http://www.zcygov.cn）" </w:instrText>
      </w:r>
      <w:r>
        <w:rPr>
          <w:rFonts w:hint="eastAsia" w:ascii="宋体" w:hAnsi="宋体" w:eastAsia="宋体" w:cs="宋体"/>
          <w:sz w:val="24"/>
          <w:szCs w:val="24"/>
          <w:u w:val="single"/>
          <w:lang w:val="en-US" w:eastAsia="zh-CN"/>
        </w:rPr>
        <w:fldChar w:fldCharType="separate"/>
      </w:r>
      <w:r>
        <w:rPr>
          <w:rFonts w:hint="eastAsia" w:ascii="宋体" w:hAnsi="宋体" w:eastAsia="宋体" w:cs="宋体"/>
          <w:sz w:val="24"/>
          <w:szCs w:val="24"/>
          <w:u w:val="single"/>
          <w:lang w:val="en-US" w:eastAsia="zh-CN"/>
        </w:rPr>
        <w:t>www.zcygov.cn）</w:t>
      </w:r>
      <w:r>
        <w:rPr>
          <w:rFonts w:hint="eastAsia" w:ascii="宋体" w:hAnsi="宋体" w:eastAsia="宋体" w:cs="宋体"/>
          <w:sz w:val="24"/>
          <w:szCs w:val="24"/>
          <w:u w:val="single"/>
          <w:lang w:val="en-US" w:eastAsia="zh-CN"/>
        </w:rPr>
        <w:fldChar w:fldCharType="end"/>
      </w:r>
      <w:r>
        <w:rPr>
          <w:rFonts w:hint="eastAsia" w:ascii="宋体" w:hAnsi="宋体" w:eastAsia="宋体" w:cs="宋体"/>
          <w:color w:val="000000" w:themeColor="text1"/>
          <w:sz w:val="24"/>
          <w:szCs w:val="24"/>
          <w:highlight w:val="none"/>
          <w:lang w:val="en-US" w:eastAsia="zh-CN"/>
          <w14:textFill>
            <w14:solidFill>
              <w14:schemeClr w14:val="tx1"/>
            </w14:solidFill>
          </w14:textFill>
        </w:rPr>
        <w:t>获取招标文件，并于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2025年</w:t>
      </w:r>
      <w:r>
        <w:rPr>
          <w:rFonts w:hint="eastAsia"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月</w:t>
      </w:r>
      <w:r>
        <w:rPr>
          <w:rFonts w:hint="eastAsia" w:cs="宋体"/>
          <w:color w:val="000000" w:themeColor="text1"/>
          <w:sz w:val="24"/>
          <w:szCs w:val="24"/>
          <w:highlight w:val="none"/>
          <w:u w:val="singl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日,上午9时00分</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（北京时间）</w:t>
      </w:r>
      <w:r>
        <w:rPr>
          <w:rFonts w:hint="eastAsia" w:ascii="宋体" w:hAnsi="宋体" w:eastAsia="宋体" w:cs="宋体"/>
          <w:color w:val="000000" w:themeColor="text1"/>
          <w:sz w:val="24"/>
          <w:szCs w:val="24"/>
          <w:highlight w:val="none"/>
          <w:lang w:val="en-US" w:eastAsia="zh-CN"/>
          <w14:textFill>
            <w14:solidFill>
              <w14:schemeClr w14:val="tx1"/>
            </w14:solidFill>
          </w14:textFill>
        </w:rPr>
        <w:t>前递交投标文件。</w:t>
      </w:r>
    </w:p>
    <w:p w14:paraId="727BD425">
      <w:pPr>
        <w:pageBreakBefore w:val="0"/>
        <w:widowControl w:val="0"/>
        <w:numPr>
          <w:ilvl w:val="0"/>
          <w:numId w:val="0"/>
        </w:numPr>
        <w:kinsoku/>
        <w:wordWrap/>
        <w:overflowPunct/>
        <w:topLinePunct w:val="0"/>
        <w:autoSpaceDE w:val="0"/>
        <w:autoSpaceDN w:val="0"/>
        <w:bidi w:val="0"/>
        <w:adjustRightInd w:val="0"/>
        <w:snapToGrid/>
        <w:spacing w:line="360" w:lineRule="auto"/>
        <w:jc w:val="left"/>
        <w:textAlignment w:val="auto"/>
        <w:outlineLvl w:val="1"/>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szCs w:val="24"/>
          <w:highlight w:val="none"/>
          <w14:textFill>
            <w14:solidFill>
              <w14:schemeClr w14:val="tx1"/>
            </w14:solidFill>
          </w14:textFill>
        </w:rPr>
        <w:t xml:space="preserve">项目基本情况 </w:t>
      </w:r>
    </w:p>
    <w:p w14:paraId="390D406A">
      <w:pPr>
        <w:autoSpaceDE w:val="0"/>
        <w:autoSpaceDN w:val="0"/>
        <w:adjustRightInd w:val="0"/>
        <w:spacing w:line="46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1.采购编号：</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采购计划</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202</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00</w:t>
      </w:r>
      <w:r>
        <w:rPr>
          <w:rFonts w:hint="eastAsia" w:ascii="宋体" w:hAnsi="宋体" w:cs="宋体"/>
          <w:color w:val="000000" w:themeColor="text1"/>
          <w:sz w:val="24"/>
          <w:szCs w:val="24"/>
          <w:highlight w:val="none"/>
          <w:lang w:val="en-US" w:eastAsia="zh-CN"/>
          <w14:textFill>
            <w14:solidFill>
              <w14:schemeClr w14:val="tx1"/>
            </w14:solidFill>
          </w14:textFill>
        </w:rPr>
        <w:t>266</w:t>
      </w:r>
      <w:r>
        <w:rPr>
          <w:rFonts w:hint="eastAsia" w:ascii="宋体" w:hAnsi="宋体" w:eastAsia="宋体" w:cs="宋体"/>
          <w:color w:val="000000" w:themeColor="text1"/>
          <w:sz w:val="24"/>
          <w:szCs w:val="24"/>
          <w:highlight w:val="none"/>
          <w14:textFill>
            <w14:solidFill>
              <w14:schemeClr w14:val="tx1"/>
            </w14:solidFill>
          </w14:textFill>
        </w:rPr>
        <w:t>号</w:t>
      </w:r>
    </w:p>
    <w:p w14:paraId="0A506EDE">
      <w:pPr>
        <w:tabs>
          <w:tab w:val="left" w:pos="-3675"/>
        </w:tabs>
        <w:autoSpaceDE w:val="0"/>
        <w:autoSpaceDN w:val="0"/>
        <w:adjustRightInd w:val="0"/>
        <w:spacing w:line="460" w:lineRule="exact"/>
        <w:ind w:right="97" w:rightChars="46"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2.项目名称：</w:t>
      </w:r>
      <w:r>
        <w:rPr>
          <w:rFonts w:hint="eastAsia" w:ascii="宋体" w:hAnsi="宋体" w:cs="宋体"/>
          <w:color w:val="000000" w:themeColor="text1"/>
          <w:sz w:val="24"/>
          <w:szCs w:val="24"/>
          <w:highlight w:val="none"/>
          <w:lang w:eastAsia="zh-CN"/>
          <w14:textFill>
            <w14:solidFill>
              <w14:schemeClr w14:val="tx1"/>
            </w14:solidFill>
          </w14:textFill>
        </w:rPr>
        <w:t>延吉市专项债券项目服务采购项目</w:t>
      </w:r>
    </w:p>
    <w:tbl>
      <w:tblPr>
        <w:tblStyle w:val="37"/>
        <w:tblpPr w:leftFromText="180" w:rightFromText="180" w:vertAnchor="text" w:horzAnchor="page" w:tblpX="1662" w:tblpY="456"/>
        <w:tblOverlap w:val="never"/>
        <w:tblW w:w="8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6"/>
        <w:gridCol w:w="3547"/>
        <w:gridCol w:w="3172"/>
      </w:tblGrid>
      <w:tr w14:paraId="30D85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16" w:type="dxa"/>
            <w:vAlign w:val="center"/>
          </w:tcPr>
          <w:p w14:paraId="3CFF954B">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p>
        </w:tc>
        <w:tc>
          <w:tcPr>
            <w:tcW w:w="3547" w:type="dxa"/>
            <w:vAlign w:val="center"/>
          </w:tcPr>
          <w:p w14:paraId="5AB35925">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品目名称</w:t>
            </w:r>
          </w:p>
        </w:tc>
        <w:tc>
          <w:tcPr>
            <w:tcW w:w="3172" w:type="dxa"/>
            <w:vAlign w:val="center"/>
          </w:tcPr>
          <w:p w14:paraId="530DAD8B">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预算金额（以实际结算为准）</w:t>
            </w:r>
          </w:p>
        </w:tc>
      </w:tr>
      <w:tr w14:paraId="699E8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16" w:type="dxa"/>
            <w:vAlign w:val="center"/>
          </w:tcPr>
          <w:p w14:paraId="5B5FAB32">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JLCR2024-CG60</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3547" w:type="dxa"/>
            <w:vAlign w:val="center"/>
          </w:tcPr>
          <w:p w14:paraId="7B3BBE07">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法律服务</w:t>
            </w:r>
          </w:p>
        </w:tc>
        <w:tc>
          <w:tcPr>
            <w:tcW w:w="3172" w:type="dxa"/>
            <w:vAlign w:val="center"/>
          </w:tcPr>
          <w:p w14:paraId="7DDF2C26">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1,250,000元</w:t>
            </w:r>
          </w:p>
        </w:tc>
      </w:tr>
      <w:tr w14:paraId="0F29F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16" w:type="dxa"/>
            <w:vAlign w:val="center"/>
          </w:tcPr>
          <w:p w14:paraId="73D7A34A">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JLCR2024-CG60</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3547" w:type="dxa"/>
            <w:vAlign w:val="center"/>
          </w:tcPr>
          <w:p w14:paraId="3D676D84">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财务审核服务</w:t>
            </w:r>
          </w:p>
        </w:tc>
        <w:tc>
          <w:tcPr>
            <w:tcW w:w="3172" w:type="dxa"/>
            <w:vAlign w:val="center"/>
          </w:tcPr>
          <w:p w14:paraId="0FA7F486">
            <w:pPr>
              <w:keepNext w:val="0"/>
              <w:keepLines w:val="0"/>
              <w:suppressLineNumbers w:val="0"/>
              <w:spacing w:before="0" w:beforeAutospacing="0" w:after="0" w:afterAutospacing="0" w:line="460" w:lineRule="exact"/>
              <w:ind w:left="0" w:right="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1,750,000元</w:t>
            </w:r>
          </w:p>
        </w:tc>
      </w:tr>
      <w:tr w14:paraId="456E0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16" w:type="dxa"/>
            <w:vAlign w:val="center"/>
          </w:tcPr>
          <w:p w14:paraId="3C0FC418">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JLCR2024-CG60</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3547" w:type="dxa"/>
            <w:vAlign w:val="center"/>
          </w:tcPr>
          <w:p w14:paraId="6EC2C648">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可行性研究报告编制服务</w:t>
            </w:r>
          </w:p>
        </w:tc>
        <w:tc>
          <w:tcPr>
            <w:tcW w:w="3172" w:type="dxa"/>
            <w:vAlign w:val="center"/>
          </w:tcPr>
          <w:p w14:paraId="67FEE703">
            <w:pPr>
              <w:keepNext w:val="0"/>
              <w:keepLines w:val="0"/>
              <w:suppressLineNumbers w:val="0"/>
              <w:spacing w:before="0" w:beforeAutospacing="0" w:after="0" w:afterAutospacing="0" w:line="460" w:lineRule="exact"/>
              <w:ind w:left="0" w:right="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1,250,000元</w:t>
            </w:r>
          </w:p>
        </w:tc>
      </w:tr>
      <w:tr w14:paraId="07508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16" w:type="dxa"/>
            <w:vAlign w:val="center"/>
          </w:tcPr>
          <w:p w14:paraId="0A077901">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JLCR2024-CG60</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3547" w:type="dxa"/>
            <w:vAlign w:val="center"/>
          </w:tcPr>
          <w:p w14:paraId="5DF8E184">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绩效评价咨询服务</w:t>
            </w:r>
          </w:p>
        </w:tc>
        <w:tc>
          <w:tcPr>
            <w:tcW w:w="3172" w:type="dxa"/>
            <w:vAlign w:val="center"/>
          </w:tcPr>
          <w:p w14:paraId="05B09BE7">
            <w:pPr>
              <w:keepNext w:val="0"/>
              <w:keepLines w:val="0"/>
              <w:suppressLineNumbers w:val="0"/>
              <w:spacing w:before="0" w:beforeAutospacing="0" w:after="0" w:afterAutospacing="0" w:line="460" w:lineRule="exact"/>
              <w:ind w:left="0" w:right="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1,500,000元</w:t>
            </w:r>
          </w:p>
        </w:tc>
      </w:tr>
      <w:tr w14:paraId="05EFD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exact"/>
        </w:trPr>
        <w:tc>
          <w:tcPr>
            <w:tcW w:w="2016" w:type="dxa"/>
            <w:vAlign w:val="center"/>
          </w:tcPr>
          <w:p w14:paraId="248FEE16">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JLCR2024-CG60</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3547" w:type="dxa"/>
            <w:vAlign w:val="center"/>
          </w:tcPr>
          <w:p w14:paraId="4D5079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收益与融资自求平衡专项债券</w:t>
            </w:r>
            <w:r>
              <w:rPr>
                <w:rFonts w:hint="eastAsia" w:ascii="宋体" w:hAnsi="宋体" w:eastAsia="宋体" w:cs="宋体"/>
                <w:color w:val="000000" w:themeColor="text1"/>
                <w:sz w:val="24"/>
                <w:szCs w:val="24"/>
                <w:highlight w:val="none"/>
                <w:lang w:eastAsia="zh-CN"/>
                <w14:textFill>
                  <w14:solidFill>
                    <w14:schemeClr w14:val="tx1"/>
                  </w14:solidFill>
                </w14:textFill>
              </w:rPr>
              <w:t>咨询服务</w:t>
            </w:r>
          </w:p>
        </w:tc>
        <w:tc>
          <w:tcPr>
            <w:tcW w:w="3172" w:type="dxa"/>
            <w:vAlign w:val="center"/>
          </w:tcPr>
          <w:p w14:paraId="6976291A">
            <w:pPr>
              <w:keepNext w:val="0"/>
              <w:keepLines w:val="0"/>
              <w:suppressLineNumbers w:val="0"/>
              <w:spacing w:before="0" w:beforeAutospacing="0" w:after="0" w:afterAutospacing="0" w:line="460" w:lineRule="exact"/>
              <w:ind w:left="0" w:right="0"/>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1,100,000元</w:t>
            </w:r>
          </w:p>
        </w:tc>
      </w:tr>
    </w:tbl>
    <w:p w14:paraId="49C13459">
      <w:pPr>
        <w:tabs>
          <w:tab w:val="left" w:pos="-3675"/>
        </w:tabs>
        <w:autoSpaceDE w:val="0"/>
        <w:autoSpaceDN w:val="0"/>
        <w:adjustRightInd w:val="0"/>
        <w:spacing w:line="460" w:lineRule="exact"/>
        <w:ind w:right="97" w:rightChars="46"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3.项目编号及品目名称：见下表</w:t>
      </w:r>
    </w:p>
    <w:p w14:paraId="7FAF3E19">
      <w:pPr>
        <w:tabs>
          <w:tab w:val="left" w:pos="-3675"/>
        </w:tabs>
        <w:autoSpaceDE w:val="0"/>
        <w:autoSpaceDN w:val="0"/>
        <w:adjustRightInd w:val="0"/>
        <w:spacing w:line="460" w:lineRule="exact"/>
        <w:ind w:right="97" w:rightChars="46"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4.采购方式</w:t>
      </w: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公开招标</w:t>
      </w:r>
    </w:p>
    <w:p w14:paraId="45237E96">
      <w:pPr>
        <w:keepNext w:val="0"/>
        <w:keepLines w:val="0"/>
        <w:pageBreakBefore w:val="0"/>
        <w:widowControl w:val="0"/>
        <w:tabs>
          <w:tab w:val="left" w:pos="-3675"/>
        </w:tabs>
        <w:kinsoku/>
        <w:wordWrap/>
        <w:overflowPunct/>
        <w:topLinePunct w:val="0"/>
        <w:autoSpaceDE w:val="0"/>
        <w:autoSpaceDN w:val="0"/>
        <w:bidi w:val="0"/>
        <w:adjustRightInd w:val="0"/>
        <w:snapToGrid/>
        <w:spacing w:line="500" w:lineRule="exact"/>
        <w:ind w:right="97" w:rightChars="46" w:firstLine="480" w:firstLineChars="200"/>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5.预算金额：</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人民币 </w:t>
      </w:r>
      <w:r>
        <w:rPr>
          <w:rFonts w:hint="eastAsia" w:ascii="宋体" w:hAnsi="宋体" w:cs="宋体"/>
          <w:color w:val="000000" w:themeColor="text1"/>
          <w:sz w:val="24"/>
          <w:szCs w:val="24"/>
          <w:highlight w:val="none"/>
          <w:u w:val="none"/>
          <w:lang w:val="en-US" w:eastAsia="zh-CN"/>
          <w14:textFill>
            <w14:solidFill>
              <w14:schemeClr w14:val="tx1"/>
            </w14:solidFill>
          </w14:textFill>
        </w:rPr>
        <w:t>6,850,000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元</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以实际结算为准</w:t>
      </w:r>
      <w:r>
        <w:rPr>
          <w:rFonts w:hint="eastAsia" w:ascii="宋体" w:hAnsi="宋体" w:eastAsia="宋体" w:cs="宋体"/>
          <w:color w:val="auto"/>
          <w:sz w:val="24"/>
          <w:szCs w:val="24"/>
          <w:highlight w:val="none"/>
          <w:u w:val="none"/>
          <w:lang w:val="en-US" w:eastAsia="zh-CN"/>
        </w:rPr>
        <w:t>）</w:t>
      </w:r>
    </w:p>
    <w:p w14:paraId="37F57C1D">
      <w:pPr>
        <w:tabs>
          <w:tab w:val="left" w:pos="-3675"/>
        </w:tabs>
        <w:autoSpaceDE w:val="0"/>
        <w:autoSpaceDN w:val="0"/>
        <w:adjustRightInd w:val="0"/>
        <w:spacing w:line="460" w:lineRule="exact"/>
        <w:ind w:right="97" w:rightChars="46"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6.最高投标限价</w:t>
      </w:r>
      <w:r>
        <w:rPr>
          <w:rFonts w:hint="eastAsia" w:ascii="宋体" w:hAnsi="宋体" w:eastAsia="宋体" w:cs="宋体"/>
          <w:color w:val="000000" w:themeColor="text1"/>
          <w:sz w:val="24"/>
          <w:szCs w:val="24"/>
          <w:highlight w:val="none"/>
          <w:u w:val="none"/>
          <w:lang w:val="zh-CN" w:eastAsia="zh-CN"/>
          <w14:textFill>
            <w14:solidFill>
              <w14:schemeClr w14:val="tx1"/>
            </w14:solidFill>
          </w14:textFill>
        </w:rPr>
        <w:t>：折扣系数1.0。</w:t>
      </w:r>
    </w:p>
    <w:p w14:paraId="6C873935">
      <w:pPr>
        <w:tabs>
          <w:tab w:val="left" w:pos="-3675"/>
        </w:tabs>
        <w:autoSpaceDE w:val="0"/>
        <w:autoSpaceDN w:val="0"/>
        <w:adjustRightInd w:val="0"/>
        <w:spacing w:line="460" w:lineRule="exact"/>
        <w:ind w:right="97" w:rightChars="46"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7.采购需求：</w:t>
      </w:r>
      <w:r>
        <w:rPr>
          <w:rFonts w:hint="eastAsia" w:ascii="宋体" w:hAnsi="宋体" w:eastAsia="宋体" w:cs="宋体"/>
          <w:color w:val="000000" w:themeColor="text1"/>
          <w:sz w:val="24"/>
          <w:szCs w:val="24"/>
          <w:highlight w:val="none"/>
          <w:lang w:eastAsia="zh-CN"/>
          <w14:textFill>
            <w14:solidFill>
              <w14:schemeClr w14:val="tx1"/>
            </w14:solidFill>
          </w14:textFill>
        </w:rPr>
        <w:t>详见服务内容及要求</w:t>
      </w:r>
      <w:r>
        <w:rPr>
          <w:rFonts w:hint="eastAsia" w:ascii="宋体" w:hAnsi="宋体" w:eastAsia="宋体" w:cs="宋体"/>
          <w:color w:val="000000" w:themeColor="text1"/>
          <w:sz w:val="24"/>
          <w:szCs w:val="24"/>
          <w:highlight w:val="none"/>
          <w14:textFill>
            <w14:solidFill>
              <w14:schemeClr w14:val="tx1"/>
            </w14:solidFill>
          </w14:textFill>
        </w:rPr>
        <w:t>。</w:t>
      </w:r>
    </w:p>
    <w:p w14:paraId="5D9C5FBA">
      <w:pPr>
        <w:tabs>
          <w:tab w:val="left" w:pos="-3675"/>
        </w:tabs>
        <w:autoSpaceDE w:val="0"/>
        <w:autoSpaceDN w:val="0"/>
        <w:adjustRightInd w:val="0"/>
        <w:spacing w:line="460" w:lineRule="exact"/>
        <w:ind w:right="97" w:rightChars="46" w:firstLine="480" w:firstLineChars="200"/>
        <w:jc w:val="lef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r>
        <w:rPr>
          <w:rFonts w:hint="eastAsia" w:ascii="宋体" w:hAnsi="宋体" w:eastAsia="宋体" w:cs="宋体"/>
          <w:color w:val="000000" w:themeColor="text1"/>
          <w:sz w:val="24"/>
          <w:szCs w:val="24"/>
          <w:highlight w:val="none"/>
          <w:lang w:val="zh-CN"/>
          <w14:textFill>
            <w14:solidFill>
              <w14:schemeClr w14:val="tx1"/>
            </w14:solidFill>
          </w14:textFill>
        </w:rPr>
        <w:t>合同履行期限：自合同签订之日起至</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1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年</w:t>
      </w:r>
      <w:r>
        <w:rPr>
          <w:rFonts w:hint="eastAsia" w:ascii="宋体" w:hAnsi="宋体" w:eastAsia="宋体" w:cs="宋体"/>
          <w:color w:val="000000" w:themeColor="text1"/>
          <w:sz w:val="24"/>
          <w:szCs w:val="24"/>
          <w:highlight w:val="none"/>
          <w:lang w:val="zh-CN"/>
          <w14:textFill>
            <w14:solidFill>
              <w14:schemeClr w14:val="tx1"/>
            </w14:solidFill>
          </w14:textFill>
        </w:rPr>
        <w:t>内完成</w:t>
      </w:r>
      <w:r>
        <w:rPr>
          <w:rFonts w:hint="eastAsia" w:ascii="宋体" w:hAnsi="宋体" w:eastAsia="宋体" w:cs="宋体"/>
          <w:color w:val="000000" w:themeColor="text1"/>
          <w:sz w:val="24"/>
          <w:szCs w:val="24"/>
          <w:highlight w:val="none"/>
          <w14:textFill>
            <w14:solidFill>
              <w14:schemeClr w14:val="tx1"/>
            </w14:solidFill>
          </w14:textFill>
        </w:rPr>
        <w:t>。</w:t>
      </w:r>
    </w:p>
    <w:p w14:paraId="7AAA1658">
      <w:pPr>
        <w:tabs>
          <w:tab w:val="left" w:pos="-3675"/>
        </w:tabs>
        <w:autoSpaceDE w:val="0"/>
        <w:autoSpaceDN w:val="0"/>
        <w:adjustRightInd w:val="0"/>
        <w:spacing w:line="460" w:lineRule="exact"/>
        <w:ind w:right="97" w:rightChars="46" w:firstLine="480" w:firstLineChars="200"/>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9.服务要求</w:t>
      </w:r>
      <w:r>
        <w:rPr>
          <w:rFonts w:hint="eastAsia" w:ascii="宋体" w:hAnsi="宋体" w:eastAsia="宋体" w:cs="宋体"/>
          <w:color w:val="000000" w:themeColor="text1"/>
          <w:sz w:val="24"/>
          <w:szCs w:val="24"/>
          <w:highlight w:val="none"/>
          <w:lang w:eastAsia="zh-CN"/>
          <w14:textFill>
            <w14:solidFill>
              <w14:schemeClr w14:val="tx1"/>
            </w14:solidFill>
          </w14:textFill>
        </w:rPr>
        <w:t>：符合现行国家及行业合格标准</w:t>
      </w:r>
      <w:r>
        <w:rPr>
          <w:rFonts w:hint="eastAsia" w:ascii="宋体" w:hAnsi="宋体" w:eastAsia="宋体" w:cs="宋体"/>
          <w:color w:val="000000" w:themeColor="text1"/>
          <w:sz w:val="24"/>
          <w:szCs w:val="24"/>
          <w:highlight w:val="none"/>
          <w14:textFill>
            <w14:solidFill>
              <w14:schemeClr w14:val="tx1"/>
            </w14:solidFill>
          </w14:textFill>
        </w:rPr>
        <w:t>。</w:t>
      </w:r>
    </w:p>
    <w:p w14:paraId="015F27C4">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420" w:firstLineChars="175"/>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r>
        <w:rPr>
          <w:rFonts w:hint="eastAsia" w:ascii="宋体" w:hAnsi="宋体" w:eastAsia="宋体" w:cs="宋体"/>
          <w:color w:val="000000" w:themeColor="text1"/>
          <w:sz w:val="24"/>
          <w:szCs w:val="24"/>
          <w:highlight w:val="none"/>
          <w:lang w:val="zh-CN"/>
          <w14:textFill>
            <w14:solidFill>
              <w14:schemeClr w14:val="tx1"/>
            </w14:solidFill>
          </w14:textFill>
        </w:rPr>
        <w:t>本项目</w:t>
      </w:r>
      <w:r>
        <w:rPr>
          <w:rFonts w:hint="eastAsia" w:ascii="宋体" w:hAnsi="宋体" w:eastAsia="宋体" w:cs="宋体"/>
          <w:b/>
          <w:bCs/>
          <w:color w:val="000000" w:themeColor="text1"/>
          <w:sz w:val="24"/>
          <w:szCs w:val="24"/>
          <w:highlight w:val="none"/>
          <w:lang w:val="zh-CN"/>
          <w14:textFill>
            <w14:solidFill>
              <w14:schemeClr w14:val="tx1"/>
            </w14:solidFill>
          </w14:textFill>
        </w:rPr>
        <w:t>不接受</w:t>
      </w:r>
      <w:r>
        <w:rPr>
          <w:rFonts w:hint="eastAsia" w:ascii="宋体" w:hAnsi="宋体" w:eastAsia="宋体" w:cs="宋体"/>
          <w:color w:val="000000" w:themeColor="text1"/>
          <w:sz w:val="24"/>
          <w:szCs w:val="24"/>
          <w:highlight w:val="none"/>
          <w:lang w:val="zh-CN"/>
          <w14:textFill>
            <w14:solidFill>
              <w14:schemeClr w14:val="tx1"/>
            </w14:solidFill>
          </w14:textFill>
        </w:rPr>
        <w:t>联合体。</w:t>
      </w:r>
    </w:p>
    <w:p w14:paraId="7C540EF8">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420" w:firstLineChars="175"/>
        <w:textAlignment w:val="auto"/>
        <w:rPr>
          <w:rFonts w:hint="eastAsia" w:ascii="宋体" w:hAnsi="宋体" w:eastAsia="宋体" w:cs="宋体"/>
          <w:highlight w:val="none"/>
          <w:lang w:val="en-US" w:eastAsia="zh-CN"/>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本项目兼投</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不</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兼中</w:t>
      </w: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（本项目共5个标段，一个供应商最多中标1个标段）</w:t>
      </w:r>
      <w:r>
        <w:rPr>
          <w:rFonts w:hint="eastAsia" w:ascii="宋体" w:hAnsi="宋体" w:eastAsia="宋体" w:cs="宋体"/>
          <w:color w:val="000000" w:themeColor="text1"/>
          <w:sz w:val="24"/>
          <w:szCs w:val="24"/>
          <w:highlight w:val="none"/>
          <w:lang w:val="zh-CN"/>
          <w14:textFill>
            <w14:solidFill>
              <w14:schemeClr w14:val="tx1"/>
            </w14:solidFill>
          </w14:textFill>
        </w:rPr>
        <w:t>。</w:t>
      </w:r>
    </w:p>
    <w:p w14:paraId="03F988A1">
      <w:pPr>
        <w:pageBreakBefore w:val="0"/>
        <w:widowControl w:val="0"/>
        <w:kinsoku/>
        <w:wordWrap/>
        <w:overflowPunct/>
        <w:topLinePunct w:val="0"/>
        <w:autoSpaceDE w:val="0"/>
        <w:autoSpaceDN w:val="0"/>
        <w:bidi w:val="0"/>
        <w:adjustRightInd w:val="0"/>
        <w:snapToGrid/>
        <w:spacing w:line="360" w:lineRule="auto"/>
        <w:jc w:val="left"/>
        <w:textAlignment w:val="auto"/>
        <w:outlineLvl w:val="1"/>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二、申请人的资格要求</w:t>
      </w:r>
    </w:p>
    <w:p w14:paraId="553D8C14">
      <w:pPr>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1.满足《中华人民共和国政府采购法》第二十二条的规定；</w:t>
      </w:r>
    </w:p>
    <w:p w14:paraId="613193E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2.落实政府采购政策需满足的资格要求：</w:t>
      </w:r>
    </w:p>
    <w:p w14:paraId="26A33E4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《政府采购促进中小企业发展管理办法》(财库[2020]46号)；</w:t>
      </w:r>
    </w:p>
    <w:p w14:paraId="5AC7507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《关于进一步加大政府采购支持中小企业力度的通知》(财库[2022]19号)；</w:t>
      </w:r>
    </w:p>
    <w:p w14:paraId="41BE604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关于印发《吉林省强化政府采购政策支持中小企业发展落实举措》的通知(吉财采购[2022]478号)</w:t>
      </w:r>
    </w:p>
    <w:p w14:paraId="648D331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3.本项目的特定资格要求：</w:t>
      </w:r>
    </w:p>
    <w:p w14:paraId="3CF9B249">
      <w:pPr>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（1）具有独立承担民事责任的能力：</w:t>
      </w:r>
      <w:r>
        <w:rPr>
          <w:rFonts w:hint="eastAsia" w:ascii="宋体" w:hAnsi="宋体" w:eastAsia="宋体" w:cs="宋体"/>
          <w:color w:val="000000" w:themeColor="text1"/>
          <w:sz w:val="24"/>
          <w:szCs w:val="24"/>
          <w:highlight w:val="none"/>
          <w:lang w:eastAsia="zh-CN"/>
          <w14:textFill>
            <w14:solidFill>
              <w14:schemeClr w14:val="tx1"/>
            </w14:solidFill>
          </w14:textFill>
        </w:rPr>
        <w:t>供应商必须是具有独立承担民事责任能力的在中华人民共和国境内注册的法人或其他组织，投标时提交有效的营业执照副本，</w:t>
      </w:r>
      <w:r>
        <w:rPr>
          <w:rFonts w:hint="eastAsia" w:ascii="宋体" w:hAnsi="宋体" w:eastAsia="宋体" w:cs="宋体"/>
          <w:b/>
          <w:bCs/>
          <w:color w:val="000000" w:themeColor="text1"/>
          <w:sz w:val="24"/>
          <w:szCs w:val="24"/>
          <w:highlight w:val="none"/>
          <w:lang w:eastAsia="zh-CN"/>
          <w14:textFill>
            <w14:solidFill>
              <w14:schemeClr w14:val="tx1"/>
            </w14:solidFill>
          </w14:textFill>
        </w:rPr>
        <w:t>并要求每标段具备以下资格：①第一标段具备行政主管部门颁发的有效期内的《律师事务所执业许可证》或《律师事务所分所执业许可证》，分支机构参与本项目的提交总公司授权书原件须加盖总公司公章；②第二标段具备行政主管部门颁发的有效期内的《会计师事务所执业证书》，分支机构参与本项目的提交总公司授权书原件须加盖总公司公章；③第三标段具备行政主管部门颁发的有效期内的《工程咨询单位资信证书》（建筑、市政公用工程）乙级（含）及以上资质，分支机构参与本项目的提交总公司授权书原件须加盖总公司公章；④第四标段具备本标段相适应的相关经营范围（绩效评价</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等相关范围</w:t>
      </w:r>
      <w:r>
        <w:rPr>
          <w:rFonts w:hint="eastAsia" w:ascii="宋体" w:hAnsi="宋体" w:eastAsia="宋体" w:cs="宋体"/>
          <w:b/>
          <w:bCs/>
          <w:color w:val="000000" w:themeColor="text1"/>
          <w:sz w:val="24"/>
          <w:szCs w:val="24"/>
          <w:highlight w:val="none"/>
          <w:lang w:eastAsia="zh-CN"/>
          <w14:textFill>
            <w14:solidFill>
              <w14:schemeClr w14:val="tx1"/>
            </w14:solidFill>
          </w14:textFill>
        </w:rPr>
        <w:t>）；⑤第五标段具备本标段相适应的相关经营范围，</w:t>
      </w:r>
      <w:r>
        <w:rPr>
          <w:rFonts w:hint="eastAsia" w:ascii="宋体" w:hAnsi="宋体" w:eastAsia="宋体" w:cs="宋体"/>
          <w:color w:val="000000" w:themeColor="text1"/>
          <w:sz w:val="24"/>
          <w:szCs w:val="24"/>
          <w:highlight w:val="none"/>
          <w:lang w:eastAsia="zh-CN"/>
          <w14:textFill>
            <w14:solidFill>
              <w14:schemeClr w14:val="tx1"/>
            </w14:solidFill>
          </w14:textFill>
        </w:rPr>
        <w:t>另具有相应的人员、设备、资金、经验等方面的能力</w:t>
      </w:r>
      <w:r>
        <w:rPr>
          <w:rFonts w:hint="eastAsia" w:ascii="宋体" w:hAnsi="宋体" w:eastAsia="宋体" w:cs="宋体"/>
          <w:color w:val="000000" w:themeColor="text1"/>
          <w:sz w:val="24"/>
          <w:szCs w:val="24"/>
          <w:highlight w:val="none"/>
          <w14:textFill>
            <w14:solidFill>
              <w14:schemeClr w14:val="tx1"/>
            </w14:solidFill>
          </w14:textFill>
        </w:rPr>
        <w:t>；</w:t>
      </w:r>
    </w:p>
    <w:p w14:paraId="3B68D81A">
      <w:pPr>
        <w:spacing w:line="460" w:lineRule="exact"/>
        <w:ind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（2）具有良好的商业信誉和健全的财务会计制度：未被工商行政管理机关在全国企业信用信息公示系统 </w:t>
      </w:r>
      <w:r>
        <w:rPr>
          <w:rFonts w:hint="eastAsia" w:ascii="宋体" w:hAnsi="宋体" w:eastAsia="宋体" w:cs="宋体"/>
          <w:color w:val="000000" w:themeColor="text1"/>
          <w:sz w:val="24"/>
          <w:szCs w:val="24"/>
          <w:highlight w:val="none"/>
          <w:lang w:bidi="en-US"/>
          <w14:textFill>
            <w14:solidFill>
              <w14:schemeClr w14:val="tx1"/>
            </w14:solidFill>
          </w14:textFill>
        </w:rPr>
        <w:t>（http://www.gsxt.gov.cn/）</w:t>
      </w:r>
      <w:r>
        <w:rPr>
          <w:rFonts w:hint="eastAsia" w:ascii="宋体" w:hAnsi="宋体" w:eastAsia="宋体" w:cs="宋体"/>
          <w:color w:val="000000" w:themeColor="text1"/>
          <w:sz w:val="24"/>
          <w:szCs w:val="24"/>
          <w:highlight w:val="none"/>
          <w14:textFill>
            <w14:solidFill>
              <w14:schemeClr w14:val="tx1"/>
            </w14:solidFill>
          </w14:textFill>
        </w:rPr>
        <w:t>中列入严重违法失信企业名单；（须提供网络截图加盖公章）、供应商未被列入</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信用</w:t>
      </w:r>
      <w:r>
        <w:rPr>
          <w:rFonts w:hint="eastAsia" w:ascii="宋体" w:hAnsi="宋体" w:eastAsia="宋体" w:cs="宋体"/>
          <w:color w:val="000000" w:themeColor="text1"/>
          <w:sz w:val="24"/>
          <w:szCs w:val="24"/>
          <w:highlight w:val="none"/>
          <w:lang w:val="zh-CN" w:bidi="zh-CN"/>
          <w14:textFill>
            <w14:solidFill>
              <w14:schemeClr w14:val="tx1"/>
            </w14:solidFill>
          </w14:textFill>
        </w:rPr>
        <w:t>中国”</w:t>
      </w:r>
      <w:r>
        <w:rPr>
          <w:rFonts w:hint="eastAsia" w:ascii="宋体" w:hAnsi="宋体" w:eastAsia="宋体" w:cs="宋体"/>
          <w:color w:val="000000" w:themeColor="text1"/>
          <w:sz w:val="24"/>
          <w:szCs w:val="24"/>
          <w:highlight w:val="none"/>
          <w14:textFill>
            <w14:solidFill>
              <w14:schemeClr w14:val="tx1"/>
            </w14:solidFill>
          </w14:textFill>
        </w:rPr>
        <w:t>网站</w:t>
      </w:r>
      <w:r>
        <w:rPr>
          <w:rFonts w:hint="eastAsia" w:ascii="宋体" w:hAnsi="宋体" w:eastAsia="宋体" w:cs="宋体"/>
          <w:color w:val="000000" w:themeColor="text1"/>
          <w:sz w:val="24"/>
          <w:szCs w:val="24"/>
          <w:highlight w:val="none"/>
          <w:lang w:bidi="en-US"/>
          <w14:textFill>
            <w14:solidFill>
              <w14:schemeClr w14:val="tx1"/>
            </w14:solidFill>
          </w14:textFill>
        </w:rPr>
        <w:t>（www.creditchina.gov.cn）</w:t>
      </w:r>
      <w:r>
        <w:rPr>
          <w:rFonts w:hint="eastAsia" w:ascii="宋体" w:hAnsi="宋体" w:eastAsia="宋体" w:cs="宋体"/>
          <w:color w:val="000000" w:themeColor="text1"/>
          <w:sz w:val="24"/>
          <w:szCs w:val="24"/>
          <w:highlight w:val="none"/>
          <w14:textFill>
            <w14:solidFill>
              <w14:schemeClr w14:val="tx1"/>
            </w14:solidFill>
          </w14:textFill>
        </w:rPr>
        <w:t>、中国政府采购网</w:t>
      </w:r>
      <w:r>
        <w:rPr>
          <w:rFonts w:hint="eastAsia" w:ascii="宋体" w:hAnsi="宋体" w:eastAsia="宋体" w:cs="宋体"/>
          <w:color w:val="000000" w:themeColor="text1"/>
          <w:sz w:val="24"/>
          <w:szCs w:val="24"/>
          <w:highlight w:val="none"/>
          <w:lang w:bidi="en-US"/>
          <w14:textFill>
            <w14:solidFill>
              <w14:schemeClr w14:val="tx1"/>
            </w14:solidFill>
          </w14:textFill>
        </w:rPr>
        <w:t>（www.ccgp.gov.cn）</w:t>
      </w:r>
      <w:r>
        <w:rPr>
          <w:rFonts w:hint="eastAsia" w:ascii="宋体" w:hAnsi="宋体" w:eastAsia="宋体" w:cs="宋体"/>
          <w:color w:val="000000" w:themeColor="text1"/>
          <w:sz w:val="24"/>
          <w:szCs w:val="24"/>
          <w:highlight w:val="none"/>
          <w14:textFill>
            <w14:solidFill>
              <w14:schemeClr w14:val="tx1"/>
            </w14:solidFill>
          </w14:textFill>
        </w:rPr>
        <w:t>等渠道信用记录失信被执行人、</w:t>
      </w:r>
      <w:r>
        <w:rPr>
          <w:rFonts w:hint="eastAsia" w:ascii="宋体" w:hAnsi="宋体" w:eastAsia="宋体" w:cs="宋体"/>
          <w:color w:val="000000" w:themeColor="text1"/>
          <w:sz w:val="24"/>
          <w:szCs w:val="24"/>
          <w:highlight w:val="none"/>
          <w:lang w:eastAsia="zh-CN"/>
          <w14:textFill>
            <w14:solidFill>
              <w14:schemeClr w14:val="tx1"/>
            </w14:solidFill>
          </w14:textFill>
        </w:rPr>
        <w:t>重大税收违法失信主体</w:t>
      </w:r>
      <w:r>
        <w:rPr>
          <w:rFonts w:hint="eastAsia" w:ascii="宋体" w:hAnsi="宋体" w:eastAsia="宋体" w:cs="宋体"/>
          <w:color w:val="000000" w:themeColor="text1"/>
          <w:sz w:val="24"/>
          <w:szCs w:val="24"/>
          <w:highlight w:val="none"/>
          <w14:textFill>
            <w14:solidFill>
              <w14:schemeClr w14:val="tx1"/>
            </w14:solidFill>
          </w14:textFill>
        </w:rPr>
        <w:t>、政府采购严重违法失信行为记录名单（须提供网络截图加盖公章）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近年（202</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zh-CN"/>
          <w14:textFill>
            <w14:solidFill>
              <w14:schemeClr w14:val="tx1"/>
            </w14:solidFill>
          </w14:textFill>
        </w:rPr>
        <w:t>年度）经会计师事务所出具的财务审计报告或财务报表（含资产负债表、现金流量表、利润表）</w:t>
      </w:r>
      <w:r>
        <w:rPr>
          <w:rFonts w:hint="eastAsia" w:ascii="宋体" w:hAnsi="宋体" w:eastAsia="宋体" w:cs="宋体"/>
          <w:color w:val="000000" w:themeColor="text1"/>
          <w:sz w:val="24"/>
          <w:szCs w:val="24"/>
          <w:highlight w:val="none"/>
          <w14:textFill>
            <w14:solidFill>
              <w14:schemeClr w14:val="tx1"/>
            </w14:solidFill>
          </w14:textFill>
        </w:rPr>
        <w:t>，新成立企业提供当年验资报告或银行出具的公司资信证明；</w:t>
      </w:r>
    </w:p>
    <w:p w14:paraId="49EA2450">
      <w:pPr>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（3）具有履行合同所必需的设备和专业技术能力</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供应商须具有保证项目顺利实施完成的人员和专业技术能力条件，并拟派往本项目每标段的负责人应具备以下资格要求：①第一标段具备《中华人民共和国律师执业证》；②第二标段具备注册会计师资格证书；③第三标段具备高级工程师职称；④第四标段具备以下任意一项要求：1）具备国家注册咨询师并同时具有中级及以上经济师职称；2）具备注册造价工程师并同时具有中级及以上职称；3）具备注册会计师同时具有中级及以上会计师职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eastAsia="zh-CN"/>
          <w14:textFill>
            <w14:solidFill>
              <w14:schemeClr w14:val="tx1"/>
            </w14:solidFill>
          </w14:textFill>
        </w:rPr>
        <w:t>⑤第五标段</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具备高级工程师职称；</w:t>
      </w:r>
    </w:p>
    <w:p w14:paraId="54C1E31D">
      <w:pPr>
        <w:spacing w:line="460" w:lineRule="exact"/>
        <w:ind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val="zh-CN"/>
          <w14:textFill>
            <w14:solidFill>
              <w14:schemeClr w14:val="tx1"/>
            </w14:solidFill>
          </w14:textFill>
        </w:rPr>
        <w:t>）有依法缴纳税收和社会保障资金的良好记录：投标人须提供投标截止日期前六个月内任意一个月的依法缴纳税收和社会保障资金相关证明材料，提供项目负责人投标截止日期前六个月内任意一个月社保缴费证明；</w:t>
      </w:r>
    </w:p>
    <w:p w14:paraId="6D5C33DA">
      <w:pPr>
        <w:spacing w:line="460" w:lineRule="exact"/>
        <w:ind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（5）参加政府采购活动前三年内，在经营活动中没有重大违法记录；</w:t>
      </w:r>
    </w:p>
    <w:p w14:paraId="50C3281D">
      <w:pPr>
        <w:spacing w:line="460" w:lineRule="exact"/>
        <w:ind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6</w:t>
      </w:r>
      <w:r>
        <w:rPr>
          <w:rFonts w:hint="eastAsia" w:ascii="宋体" w:hAnsi="宋体" w:eastAsia="宋体" w:cs="宋体"/>
          <w:color w:val="000000" w:themeColor="text1"/>
          <w:sz w:val="24"/>
          <w:szCs w:val="24"/>
          <w:highlight w:val="none"/>
          <w:lang w:val="zh-CN"/>
          <w14:textFill>
            <w14:solidFill>
              <w14:schemeClr w14:val="tx1"/>
            </w14:solidFill>
          </w14:textFill>
        </w:rPr>
        <w:t>）拒绝列入政府取消投标资格记录期间的企业或个人投标；</w:t>
      </w:r>
    </w:p>
    <w:p w14:paraId="69089AB8">
      <w:pPr>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11" w:name="bookmark26"/>
      <w:bookmarkStart w:id="12" w:name="bookmark27"/>
      <w:r>
        <w:rPr>
          <w:rFonts w:hint="eastAsia" w:ascii="宋体" w:hAnsi="宋体" w:eastAsia="宋体" w:cs="宋体"/>
          <w:color w:val="000000" w:themeColor="text1"/>
          <w:sz w:val="24"/>
          <w:szCs w:val="24"/>
          <w:highlight w:val="none"/>
          <w14:textFill>
            <w14:solidFill>
              <w14:schemeClr w14:val="tx1"/>
            </w14:solidFill>
          </w14:textFill>
        </w:rPr>
        <w:t>（</w:t>
      </w:r>
      <w:bookmarkEnd w:id="11"/>
      <w:r>
        <w:rPr>
          <w:rFonts w:hint="eastAsia" w:ascii="宋体" w:hAnsi="宋体" w:eastAsia="宋体" w:cs="宋体"/>
          <w:color w:val="000000" w:themeColor="text1"/>
          <w:sz w:val="24"/>
          <w:szCs w:val="24"/>
          <w:highlight w:val="none"/>
          <w14:textFill>
            <w14:solidFill>
              <w14:schemeClr w14:val="tx1"/>
            </w14:solidFill>
          </w14:textFill>
        </w:rPr>
        <w:t>7）本项目中标人不允许转包、拆包；</w:t>
      </w:r>
    </w:p>
    <w:p w14:paraId="715ABBB8">
      <w:pPr>
        <w:spacing w:line="4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bookmarkEnd w:id="12"/>
      <w:r>
        <w:rPr>
          <w:rFonts w:hint="eastAsia" w:ascii="宋体" w:hAnsi="宋体" w:eastAsia="宋体" w:cs="宋体"/>
          <w:color w:val="000000" w:themeColor="text1"/>
          <w:sz w:val="24"/>
          <w:szCs w:val="24"/>
          <w:highlight w:val="none"/>
          <w14:textFill>
            <w14:solidFill>
              <w14:schemeClr w14:val="tx1"/>
            </w14:solidFill>
          </w14:textFill>
        </w:rPr>
        <w:t>8）企业名称不同但法定代表人为同一个自然人的两个或者两个以上的投标人不得参加同一采购项目的投标；单位负责人为同一人或者存在控股、管理关系的不同单位，不得参加同一标段投标或者未划分标段的同一招标项目投标。如果出现上述情况，相关投标人的投标均将被拒绝；</w:t>
      </w:r>
    </w:p>
    <w:p w14:paraId="5C89901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eastAsia="宋体"/>
          <w:highlight w:val="yellow"/>
          <w:lang w:val="en-US" w:eastAsia="zh-CN"/>
        </w:rPr>
      </w:pPr>
      <w:r>
        <w:rPr>
          <w:rFonts w:hint="eastAsia" w:ascii="宋体" w:hAnsi="宋体" w:eastAsia="宋体" w:cs="宋体"/>
          <w:color w:val="000000" w:themeColor="text1"/>
          <w:sz w:val="24"/>
          <w:szCs w:val="24"/>
          <w:highlight w:val="none"/>
          <w14:textFill>
            <w14:solidFill>
              <w14:schemeClr w14:val="tx1"/>
            </w14:solidFill>
          </w14:textFill>
        </w:rPr>
        <w:t>（9）法律、行政法规规定的其他条件</w:t>
      </w:r>
      <w:r>
        <w:rPr>
          <w:rFonts w:hint="eastAsia" w:ascii="宋体" w:hAnsi="宋体" w:cs="宋体"/>
          <w:color w:val="000000" w:themeColor="text1"/>
          <w:sz w:val="24"/>
          <w:szCs w:val="24"/>
          <w:highlight w:val="none"/>
          <w:lang w:eastAsia="zh-CN"/>
          <w14:textFill>
            <w14:solidFill>
              <w14:schemeClr w14:val="tx1"/>
            </w14:solidFill>
          </w14:textFill>
        </w:rPr>
        <w:t>。</w:t>
      </w:r>
    </w:p>
    <w:p w14:paraId="0599AAED">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1"/>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三、获取采购文件</w:t>
      </w:r>
    </w:p>
    <w:p w14:paraId="75CF7638">
      <w:pPr>
        <w:keepNext w:val="0"/>
        <w:keepLines w:val="0"/>
        <w:pageBreakBefore w:val="0"/>
        <w:widowControl w:val="0"/>
        <w:tabs>
          <w:tab w:val="left" w:pos="-3675"/>
        </w:tabs>
        <w:kinsoku/>
        <w:wordWrap/>
        <w:overflowPunct/>
        <w:topLinePunct w:val="0"/>
        <w:autoSpaceDE w:val="0"/>
        <w:autoSpaceDN w:val="0"/>
        <w:bidi w:val="0"/>
        <w:adjustRightInd w:val="0"/>
        <w:snapToGrid/>
        <w:spacing w:line="360" w:lineRule="auto"/>
        <w:ind w:left="0" w:leftChars="0" w:right="97" w:rightChars="46" w:firstLine="501" w:firstLineChars="209"/>
        <w:jc w:val="left"/>
        <w:textAlignment w:val="auto"/>
        <w:rPr>
          <w:rFonts w:hint="eastAsia" w:ascii="宋体" w:hAnsi="宋体" w:eastAsia="宋体" w:cs="宋体"/>
          <w:b w:val="0"/>
          <w:b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zh-CN" w:eastAsia="zh-CN"/>
          <w14:textFill>
            <w14:solidFill>
              <w14:schemeClr w14:val="tx1"/>
            </w14:solidFill>
          </w14:textFill>
        </w:rPr>
        <w:t>1.时间：</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2024</w:t>
      </w:r>
      <w:r>
        <w:rPr>
          <w:rFonts w:hint="eastAsia" w:ascii="宋体" w:hAnsi="宋体" w:eastAsia="宋体" w:cs="宋体"/>
          <w:b w:val="0"/>
          <w:bCs w:val="0"/>
          <w:color w:val="000000" w:themeColor="text1"/>
          <w:sz w:val="24"/>
          <w:szCs w:val="24"/>
          <w:highlight w:val="none"/>
          <w:lang w:val="zh-CN" w:eastAsia="zh-CN"/>
          <w14:textFill>
            <w14:solidFill>
              <w14:schemeClr w14:val="tx1"/>
            </w14:solidFill>
          </w14:textFill>
        </w:rPr>
        <w:t>年</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lang w:val="zh-CN" w:eastAsia="zh-CN"/>
          <w14:textFill>
            <w14:solidFill>
              <w14:schemeClr w14:val="tx1"/>
            </w14:solidFill>
          </w14:textFill>
        </w:rPr>
        <w:t>月</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23</w:t>
      </w:r>
      <w:r>
        <w:rPr>
          <w:rFonts w:hint="eastAsia" w:ascii="宋体" w:hAnsi="宋体" w:eastAsia="宋体" w:cs="宋体"/>
          <w:b w:val="0"/>
          <w:bCs w:val="0"/>
          <w:color w:val="000000" w:themeColor="text1"/>
          <w:sz w:val="24"/>
          <w:szCs w:val="24"/>
          <w:highlight w:val="none"/>
          <w:lang w:val="zh-CN" w:eastAsia="zh-CN"/>
          <w14:textFill>
            <w14:solidFill>
              <w14:schemeClr w14:val="tx1"/>
            </w14:solidFill>
          </w14:textFill>
        </w:rPr>
        <w:t>日至</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2024</w:t>
      </w:r>
      <w:r>
        <w:rPr>
          <w:rFonts w:hint="eastAsia" w:ascii="宋体" w:hAnsi="宋体" w:eastAsia="宋体" w:cs="宋体"/>
          <w:b w:val="0"/>
          <w:bCs w:val="0"/>
          <w:color w:val="000000" w:themeColor="text1"/>
          <w:sz w:val="24"/>
          <w:szCs w:val="24"/>
          <w:highlight w:val="none"/>
          <w:lang w:val="zh-CN" w:eastAsia="zh-CN"/>
          <w14:textFill>
            <w14:solidFill>
              <w14:schemeClr w14:val="tx1"/>
            </w14:solidFill>
          </w14:textFill>
        </w:rPr>
        <w:t>年</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b w:val="0"/>
          <w:bCs w:val="0"/>
          <w:color w:val="000000" w:themeColor="text1"/>
          <w:sz w:val="24"/>
          <w:szCs w:val="24"/>
          <w:highlight w:val="none"/>
          <w:lang w:val="zh-CN" w:eastAsia="zh-CN"/>
          <w14:textFill>
            <w14:solidFill>
              <w14:schemeClr w14:val="tx1"/>
            </w14:solidFill>
          </w14:textFill>
        </w:rPr>
        <w:t>月</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27</w:t>
      </w:r>
      <w:r>
        <w:rPr>
          <w:rFonts w:hint="eastAsia" w:ascii="宋体" w:hAnsi="宋体" w:eastAsia="宋体" w:cs="宋体"/>
          <w:b w:val="0"/>
          <w:bCs w:val="0"/>
          <w:color w:val="000000" w:themeColor="text1"/>
          <w:sz w:val="24"/>
          <w:szCs w:val="24"/>
          <w:highlight w:val="none"/>
          <w:lang w:val="zh-CN" w:eastAsia="zh-CN"/>
          <w14:textFill>
            <w14:solidFill>
              <w14:schemeClr w14:val="tx1"/>
            </w14:solidFill>
          </w14:textFill>
        </w:rPr>
        <w:t>日，每日上午</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 w:val="0"/>
          <w:bCs w:val="0"/>
          <w:color w:val="000000" w:themeColor="text1"/>
          <w:sz w:val="24"/>
          <w:szCs w:val="24"/>
          <w:highlight w:val="none"/>
          <w:lang w:val="zh-CN"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00</w:t>
      </w:r>
      <w:r>
        <w:rPr>
          <w:rFonts w:hint="eastAsia" w:ascii="宋体" w:hAnsi="宋体" w:eastAsia="宋体" w:cs="宋体"/>
          <w:b w:val="0"/>
          <w:bCs w:val="0"/>
          <w:color w:val="000000" w:themeColor="text1"/>
          <w:sz w:val="24"/>
          <w:szCs w:val="24"/>
          <w:highlight w:val="none"/>
          <w:lang w:val="zh-CN" w:eastAsia="zh-CN"/>
          <w14:textFill>
            <w14:solidFill>
              <w14:schemeClr w14:val="tx1"/>
            </w14:solidFill>
          </w14:textFill>
        </w:rPr>
        <w:t>至11:</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lang w:val="zh-CN" w:eastAsia="zh-CN"/>
          <w14:textFill>
            <w14:solidFill>
              <w14:schemeClr w14:val="tx1"/>
            </w14:solidFill>
          </w14:textFill>
        </w:rPr>
        <w:t>0，下午13:30至16:00(法定公休日、法定节假日除外)(北京时间)。</w:t>
      </w:r>
    </w:p>
    <w:p w14:paraId="451DA57E">
      <w:pPr>
        <w:keepNext w:val="0"/>
        <w:keepLines w:val="0"/>
        <w:pageBreakBefore w:val="0"/>
        <w:widowControl w:val="0"/>
        <w:tabs>
          <w:tab w:val="left" w:pos="-3675"/>
        </w:tabs>
        <w:kinsoku/>
        <w:wordWrap/>
        <w:overflowPunct/>
        <w:topLinePunct w:val="0"/>
        <w:autoSpaceDE w:val="0"/>
        <w:autoSpaceDN w:val="0"/>
        <w:bidi w:val="0"/>
        <w:adjustRightInd w:val="0"/>
        <w:snapToGrid/>
        <w:spacing w:line="500" w:lineRule="exact"/>
        <w:ind w:left="0" w:leftChars="0" w:right="0" w:rightChars="0" w:firstLine="501" w:firstLineChars="209"/>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2.地点：</w:t>
      </w:r>
      <w:r>
        <w:rPr>
          <w:rFonts w:hint="eastAsia" w:ascii="宋体" w:hAnsi="宋体" w:eastAsia="宋体" w:cs="宋体"/>
          <w:b w:val="0"/>
          <w:bCs w:val="0"/>
          <w:color w:val="auto"/>
          <w:sz w:val="24"/>
          <w:szCs w:val="24"/>
          <w:highlight w:val="none"/>
          <w:lang w:val="en-US" w:eastAsia="zh-CN"/>
        </w:rPr>
        <w:t>在“政采云”平台（http:// www.zcygov.cn）自行下载</w:t>
      </w:r>
      <w:r>
        <w:rPr>
          <w:rFonts w:hint="eastAsia" w:ascii="宋体" w:hAnsi="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lang w:val="en-US" w:eastAsia="zh-CN"/>
        </w:rPr>
        <w:t>文件</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p>
    <w:p w14:paraId="7F060D18">
      <w:pPr>
        <w:keepNext w:val="0"/>
        <w:keepLines w:val="0"/>
        <w:pageBreakBefore w:val="0"/>
        <w:widowControl w:val="0"/>
        <w:tabs>
          <w:tab w:val="left" w:pos="-3675"/>
        </w:tabs>
        <w:kinsoku/>
        <w:wordWrap/>
        <w:overflowPunct/>
        <w:topLinePunct w:val="0"/>
        <w:autoSpaceDE w:val="0"/>
        <w:autoSpaceDN w:val="0"/>
        <w:bidi w:val="0"/>
        <w:adjustRightInd w:val="0"/>
        <w:snapToGrid/>
        <w:spacing w:line="360" w:lineRule="auto"/>
        <w:ind w:left="0" w:leftChars="0" w:right="97" w:rightChars="46" w:firstLine="501" w:firstLineChars="209"/>
        <w:jc w:val="left"/>
        <w:textAlignment w:val="auto"/>
        <w:rPr>
          <w:rFonts w:hint="eastAsia" w:ascii="宋体" w:hAnsi="宋体" w:eastAsia="宋体" w:cs="宋体"/>
          <w:b w:val="0"/>
          <w:b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3.方式：</w:t>
      </w:r>
      <w:r>
        <w:rPr>
          <w:rFonts w:hint="eastAsia" w:ascii="宋体" w:hAnsi="宋体" w:eastAsia="宋体" w:cs="宋体"/>
          <w:b w:val="0"/>
          <w:bCs w:val="0"/>
          <w:color w:val="auto"/>
          <w:sz w:val="24"/>
          <w:szCs w:val="24"/>
          <w:highlight w:val="none"/>
          <w:lang w:val="en-US" w:eastAsia="zh-CN"/>
        </w:rPr>
        <w:t>凡有意投标者，应当注册成为“政采云”平台供应商。凡已注册的供应商，按照授予的操作权限自行在“政采云”平台（http：//www.zcygov.cn）（操作路径：登录“政采云”平台-进入我的工作台-项目采购-获取采购文件-右上角搜索找到本项目-点击“申请获取采购文件”）按采购包下载采购文件并点击下载确认参加本项目采购招标。具体注册及下载采购文件方法请访问“政采云”平台查询相关信息。未进行网上注册的供应商将无法参加本次招标。</w:t>
      </w:r>
    </w:p>
    <w:p w14:paraId="4C64410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.售价：免费</w:t>
      </w:r>
      <w:r>
        <w:rPr>
          <w:rFonts w:hint="eastAsia" w:ascii="宋体" w:hAnsi="宋体" w:eastAsia="宋体" w:cs="宋体"/>
          <w:color w:val="000000" w:themeColor="text1"/>
          <w:sz w:val="24"/>
          <w:szCs w:val="24"/>
          <w:highlight w:val="none"/>
          <w:lang w:val="zh-CN" w:eastAsia="zh-CN"/>
          <w14:textFill>
            <w14:solidFill>
              <w14:schemeClr w14:val="tx1"/>
            </w14:solidFill>
          </w14:textFill>
        </w:rPr>
        <w:t>。</w:t>
      </w:r>
    </w:p>
    <w:p w14:paraId="1D5310CB">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1"/>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四、投标文件提交</w:t>
      </w:r>
    </w:p>
    <w:p w14:paraId="5523C34C">
      <w:pPr>
        <w:keepNext w:val="0"/>
        <w:keepLines w:val="0"/>
        <w:pageBreakBefore w:val="0"/>
        <w:widowControl w:val="0"/>
        <w:tabs>
          <w:tab w:val="left" w:pos="-3675"/>
        </w:tabs>
        <w:kinsoku/>
        <w:wordWrap/>
        <w:overflowPunct/>
        <w:topLinePunct w:val="0"/>
        <w:autoSpaceDE w:val="0"/>
        <w:autoSpaceDN w:val="0"/>
        <w:bidi w:val="0"/>
        <w:adjustRightInd w:val="0"/>
        <w:snapToGrid/>
        <w:spacing w:line="360" w:lineRule="auto"/>
        <w:ind w:left="0" w:leftChars="0" w:right="97" w:rightChars="46" w:firstLine="501" w:firstLineChars="209"/>
        <w:jc w:val="lef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1.截止时间：202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zh-CN" w:eastAsia="zh-CN"/>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zh-CN" w:eastAsia="zh-CN"/>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lang w:val="zh-CN" w:eastAsia="zh-CN"/>
          <w14:textFill>
            <w14:solidFill>
              <w14:schemeClr w14:val="tx1"/>
            </w14:solidFill>
          </w14:textFill>
        </w:rPr>
        <w:t>日,上午9时00分（北京时间）。</w:t>
      </w:r>
    </w:p>
    <w:p w14:paraId="28368DBE">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.提交</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方式</w:t>
      </w:r>
      <w:r>
        <w:rPr>
          <w:rFonts w:hint="eastAsia" w:ascii="宋体" w:hAnsi="宋体" w:eastAsia="宋体" w:cs="宋体"/>
          <w:color w:val="auto"/>
          <w:sz w:val="24"/>
          <w:szCs w:val="24"/>
          <w:highlight w:val="none"/>
        </w:rPr>
        <w:t>：本项目为全流程电子化项目，通过“政采云”平台（http：//www.zcygov.cn）实行在线电子投标，</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文件应加密并在提交截止时间前通过政府采购云平台在线提交</w:t>
      </w:r>
      <w:r>
        <w:rPr>
          <w:rFonts w:hint="eastAsia" w:ascii="宋体" w:hAnsi="宋体" w:eastAsia="宋体" w:cs="宋体"/>
          <w:color w:val="auto"/>
          <w:sz w:val="24"/>
          <w:szCs w:val="24"/>
          <w:highlight w:val="none"/>
          <w:lang w:val="en-US" w:eastAsia="zh-CN"/>
        </w:rPr>
        <w:t>。</w:t>
      </w:r>
    </w:p>
    <w:p w14:paraId="7BB8B8A6">
      <w:pPr>
        <w:pStyle w:val="1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pacing w:val="0"/>
          <w:kern w:val="2"/>
          <w:sz w:val="24"/>
          <w:szCs w:val="24"/>
          <w:highlight w:val="none"/>
          <w:lang w:val="en-US" w:eastAsia="zh-CN" w:bidi="ar-SA"/>
        </w:rPr>
      </w:pPr>
      <w:r>
        <w:rPr>
          <w:rFonts w:hint="eastAsia" w:ascii="宋体" w:hAnsi="宋体" w:eastAsia="宋体" w:cs="宋体"/>
          <w:b w:val="0"/>
          <w:bCs w:val="0"/>
          <w:color w:val="auto"/>
          <w:spacing w:val="0"/>
          <w:kern w:val="2"/>
          <w:sz w:val="24"/>
          <w:szCs w:val="24"/>
          <w:highlight w:val="none"/>
          <w:lang w:val="en-US" w:eastAsia="zh-CN" w:bidi="ar-SA"/>
        </w:rPr>
        <w:t>操作步骤：</w:t>
      </w:r>
    </w:p>
    <w:p w14:paraId="083646A4">
      <w:pPr>
        <w:pStyle w:val="1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pacing w:val="0"/>
          <w:kern w:val="2"/>
          <w:sz w:val="24"/>
          <w:szCs w:val="24"/>
          <w:highlight w:val="none"/>
          <w:lang w:val="en-US" w:eastAsia="zh-CN" w:bidi="ar-SA"/>
        </w:rPr>
      </w:pPr>
      <w:r>
        <w:rPr>
          <w:rFonts w:hint="eastAsia" w:ascii="宋体" w:hAnsi="宋体" w:eastAsia="宋体" w:cs="宋体"/>
          <w:b w:val="0"/>
          <w:bCs w:val="0"/>
          <w:color w:val="auto"/>
          <w:spacing w:val="0"/>
          <w:kern w:val="2"/>
          <w:sz w:val="24"/>
          <w:szCs w:val="24"/>
          <w:highlight w:val="none"/>
          <w:lang w:val="en-US" w:eastAsia="zh-CN" w:bidi="ar-SA"/>
        </w:rPr>
        <w:t>（1）未进行政采云注册并办理数字证书（CA认证）的供应商将无法参与本项目政府采购活动，潜在供应商应当在响应截止时间前，完成政采云平台上的CA数字证书办理及响应文件的提交。完成CA数字证书办理预计7日左右，建议各供应商抓紧时间办理。</w:t>
      </w:r>
    </w:p>
    <w:p w14:paraId="4EFF3D7A">
      <w:pPr>
        <w:pStyle w:val="1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pacing w:val="0"/>
          <w:kern w:val="2"/>
          <w:sz w:val="24"/>
          <w:szCs w:val="24"/>
          <w:highlight w:val="none"/>
          <w:lang w:val="en-US" w:eastAsia="zh-CN" w:bidi="ar-SA"/>
        </w:rPr>
      </w:pPr>
      <w:r>
        <w:rPr>
          <w:rFonts w:hint="eastAsia" w:ascii="宋体" w:hAnsi="宋体" w:eastAsia="宋体" w:cs="宋体"/>
          <w:b w:val="0"/>
          <w:bCs w:val="0"/>
          <w:color w:val="auto"/>
          <w:spacing w:val="0"/>
          <w:kern w:val="2"/>
          <w:sz w:val="24"/>
          <w:szCs w:val="24"/>
          <w:highlight w:val="none"/>
          <w:lang w:val="en-US" w:eastAsia="zh-CN" w:bidi="ar-SA"/>
        </w:rPr>
        <w:t>（2）为确保网上操作合法、有效和安全，请供应商确保在电子响应过程中能够对相关数据电文进行加密和使用电子签章，妥善保管CA数字证书并使用有效的CA数字证书参与整个采购活动。</w:t>
      </w:r>
    </w:p>
    <w:p w14:paraId="4C7D46BC">
      <w:pPr>
        <w:pStyle w:val="1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pacing w:val="0"/>
          <w:kern w:val="2"/>
          <w:sz w:val="24"/>
          <w:szCs w:val="24"/>
          <w:highlight w:val="none"/>
          <w:lang w:val="en-US" w:eastAsia="zh-CN" w:bidi="ar-SA"/>
        </w:rPr>
      </w:pPr>
      <w:r>
        <w:rPr>
          <w:rFonts w:hint="eastAsia" w:ascii="宋体" w:hAnsi="宋体" w:eastAsia="宋体" w:cs="宋体"/>
          <w:b w:val="0"/>
          <w:bCs w:val="0"/>
          <w:color w:val="auto"/>
          <w:spacing w:val="0"/>
          <w:kern w:val="2"/>
          <w:sz w:val="24"/>
          <w:szCs w:val="24"/>
          <w:highlight w:val="none"/>
          <w:lang w:val="en-US" w:eastAsia="zh-CN" w:bidi="ar-SA"/>
        </w:rPr>
        <w:t>（3）若对项目采购电子交易系统操作有疑问，可登录政采云平台，点击右侧咨询小采获取采小蜜智能服务管家帮助或点击右侧帮助文档查看供应商指南或拨打政采云服务热线95763获取热线服务帮助。</w:t>
      </w:r>
    </w:p>
    <w:p w14:paraId="532D86CC">
      <w:pPr>
        <w:pStyle w:val="14"/>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lang w:val="zh-CN" w:eastAsia="zh-CN"/>
        </w:rPr>
      </w:pPr>
      <w:r>
        <w:rPr>
          <w:rFonts w:hint="eastAsia" w:ascii="宋体" w:hAnsi="宋体" w:eastAsia="宋体" w:cs="宋体"/>
          <w:b w:val="0"/>
          <w:bCs w:val="0"/>
          <w:color w:val="auto"/>
          <w:spacing w:val="0"/>
          <w:kern w:val="2"/>
          <w:sz w:val="24"/>
          <w:szCs w:val="24"/>
          <w:highlight w:val="none"/>
          <w:lang w:val="en-US" w:eastAsia="zh-CN" w:bidi="ar-SA"/>
        </w:rPr>
        <w:t>（4）各供应商在投标截止前应确保成为政采云平台正式注册入库供应商，并完成CA 数字证书申领。因未注册入库、未办理CA数字证书等原因造成无法投标或投标失败等后果由供应商自行承担。</w:t>
      </w:r>
    </w:p>
    <w:p w14:paraId="5EE1254F">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1"/>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五、开启</w:t>
      </w:r>
    </w:p>
    <w:p w14:paraId="64656E23">
      <w:pPr>
        <w:keepNext w:val="0"/>
        <w:keepLines w:val="0"/>
        <w:pageBreakBefore w:val="0"/>
        <w:widowControl w:val="0"/>
        <w:tabs>
          <w:tab w:val="left" w:pos="-3675"/>
        </w:tabs>
        <w:kinsoku/>
        <w:wordWrap/>
        <w:overflowPunct/>
        <w:topLinePunct w:val="0"/>
        <w:autoSpaceDE w:val="0"/>
        <w:autoSpaceDN w:val="0"/>
        <w:bidi w:val="0"/>
        <w:adjustRightInd w:val="0"/>
        <w:snapToGrid/>
        <w:spacing w:line="360" w:lineRule="auto"/>
        <w:ind w:left="0" w:leftChars="0" w:right="97" w:rightChars="46" w:firstLine="501" w:firstLineChars="209"/>
        <w:jc w:val="lef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1.时间：202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zh-CN" w:eastAsia="zh-CN"/>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zh-CN" w:eastAsia="zh-CN"/>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lang w:val="zh-CN" w:eastAsia="zh-CN"/>
          <w14:textFill>
            <w14:solidFill>
              <w14:schemeClr w14:val="tx1"/>
            </w14:solidFill>
          </w14:textFill>
        </w:rPr>
        <w:t>日,上午9时00分（北京时间）。</w:t>
      </w:r>
    </w:p>
    <w:p w14:paraId="7282F836">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.开启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解密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方式：</w:t>
      </w:r>
      <w:r>
        <w:rPr>
          <w:rFonts w:hint="eastAsia" w:ascii="宋体" w:hAnsi="宋体" w:eastAsia="宋体" w:cs="宋体"/>
          <w:color w:val="auto"/>
          <w:sz w:val="24"/>
          <w:szCs w:val="24"/>
          <w:highlight w:val="none"/>
          <w:lang w:val="zh-CN" w:eastAsia="zh-CN"/>
        </w:rPr>
        <w:t>电子响应文件解密期限及方式：开启时间后</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0分钟内，由供应商持制作该电子响应文件的同一数字证书（CA锁）及电脑进行远程解密（各投标人开标前及网上开评标系统公布投标人名单前，不要提前进行远程解密），没有在规定时间内解密成功的，视为无效响应</w:t>
      </w:r>
      <w:r>
        <w:rPr>
          <w:rFonts w:hint="eastAsia" w:ascii="宋体" w:hAnsi="宋体" w:eastAsia="宋体" w:cs="宋体"/>
          <w:color w:val="auto"/>
          <w:sz w:val="24"/>
          <w:szCs w:val="24"/>
          <w:highlight w:val="none"/>
        </w:rPr>
        <w:t>。</w:t>
      </w:r>
    </w:p>
    <w:p w14:paraId="232B8D2B">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textAlignment w:val="auto"/>
        <w:rPr>
          <w:rFonts w:hint="eastAsia" w:ascii="宋体" w:hAnsi="宋体" w:eastAsia="宋体" w:cs="宋体"/>
          <w:highlight w:val="none"/>
          <w:lang w:val="zh-CN"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.开启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解密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val="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月</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zh-CN"/>
        </w:rPr>
        <w:t>日，上午</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lang w:val="zh-CN"/>
        </w:rPr>
        <w:t>时</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zh-CN"/>
        </w:rPr>
        <w:t>0分（北京时间）。</w:t>
      </w:r>
    </w:p>
    <w:p w14:paraId="53997E88">
      <w:pPr>
        <w:keepNext w:val="0"/>
        <w:keepLines w:val="0"/>
        <w:pageBreakBefore w:val="0"/>
        <w:widowControl w:val="0"/>
        <w:tabs>
          <w:tab w:val="left" w:pos="-3675"/>
        </w:tabs>
        <w:kinsoku/>
        <w:wordWrap/>
        <w:overflowPunct/>
        <w:topLinePunct w:val="0"/>
        <w:autoSpaceDE w:val="0"/>
        <w:autoSpaceDN w:val="0"/>
        <w:bidi w:val="0"/>
        <w:adjustRightInd w:val="0"/>
        <w:snapToGrid/>
        <w:spacing w:line="360" w:lineRule="auto"/>
        <w:ind w:left="0" w:leftChars="0" w:right="97" w:rightChars="46" w:firstLine="501" w:firstLineChars="209"/>
        <w:jc w:val="lef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zh-CN" w:eastAsia="zh-CN"/>
          <w14:textFill>
            <w14:solidFill>
              <w14:schemeClr w14:val="tx1"/>
            </w14:solidFill>
          </w14:textFill>
        </w:rPr>
        <w:t>.地点：</w:t>
      </w:r>
      <w:r>
        <w:rPr>
          <w:rFonts w:hint="eastAsia" w:ascii="宋体" w:hAnsi="宋体" w:eastAsia="宋体" w:cs="宋体"/>
          <w:color w:val="000000" w:themeColor="text1"/>
          <w:sz w:val="24"/>
          <w:szCs w:val="24"/>
          <w:highlight w:val="none"/>
          <w:lang w:val="en-US" w:eastAsia="zh-CN"/>
          <w14:textFill>
            <w14:solidFill>
              <w14:schemeClr w14:val="tx1"/>
            </w14:solidFill>
          </w14:textFill>
        </w:rPr>
        <w:t>延吉市</w:t>
      </w:r>
      <w:r>
        <w:rPr>
          <w:rFonts w:hint="eastAsia" w:ascii="宋体" w:hAnsi="宋体" w:eastAsia="宋体" w:cs="宋体"/>
          <w:color w:val="000000" w:themeColor="text1"/>
          <w:sz w:val="24"/>
          <w:szCs w:val="24"/>
          <w:highlight w:val="none"/>
          <w:lang w:val="zh-CN" w:eastAsia="zh-CN"/>
          <w14:textFill>
            <w14:solidFill>
              <w14:schemeClr w14:val="tx1"/>
            </w14:solidFill>
          </w14:textFill>
        </w:rPr>
        <w:t>公共资源交易中心（延吉市政</w:t>
      </w:r>
      <w:bookmarkStart w:id="134" w:name="_GoBack"/>
      <w:bookmarkEnd w:id="134"/>
      <w:r>
        <w:rPr>
          <w:rFonts w:hint="eastAsia" w:ascii="宋体" w:hAnsi="宋体" w:eastAsia="宋体" w:cs="宋体"/>
          <w:color w:val="000000" w:themeColor="text1"/>
          <w:sz w:val="24"/>
          <w:szCs w:val="24"/>
          <w:highlight w:val="none"/>
          <w:lang w:val="zh-CN" w:eastAsia="zh-CN"/>
          <w14:textFill>
            <w14:solidFill>
              <w14:schemeClr w14:val="tx1"/>
            </w14:solidFill>
          </w14:textFill>
        </w:rPr>
        <w:t>务大厅6楼开标二室）。地址：延吉市光华路166－1号。</w:t>
      </w:r>
    </w:p>
    <w:p w14:paraId="2988D7E5">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1"/>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六、公告期限</w:t>
      </w:r>
    </w:p>
    <w:p w14:paraId="6FC93CC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自本公告发出之日起5个工作日。</w:t>
      </w:r>
    </w:p>
    <w:p w14:paraId="21A0935F">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1"/>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七、其他补充事宜</w:t>
      </w:r>
    </w:p>
    <w:p w14:paraId="1AC5C73D">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outlineLvl w:val="1"/>
        <w:rPr>
          <w:rFonts w:hint="eastAsia" w:ascii="宋体" w:hAnsi="宋体" w:eastAsia="宋体" w:cs="宋体"/>
          <w:color w:val="auto"/>
          <w:sz w:val="24"/>
          <w:szCs w:val="24"/>
          <w:highlight w:val="none"/>
          <w:lang w:val="en-US" w:eastAsia="zh-CN"/>
        </w:rPr>
      </w:pPr>
      <w:bookmarkStart w:id="13" w:name="_Toc16390"/>
      <w:bookmarkStart w:id="14" w:name="_Toc7416"/>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CA 办理方式：</w:t>
      </w:r>
    </w:p>
    <w:p w14:paraId="21706A01">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（1）准备材料：①企业营业执照；② 法定代表人身份证；③经办人身份证；④数字证书申请表 (在获取响应文件附件处下载模板)；⑤授权委托书 (在获取响应文件附件处下载模板) 。</w:t>
      </w:r>
    </w:p>
    <w:p w14:paraId="7EA050AF">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（2）办理流程：第一步：吉林省公共资源交易平台主体库注册：请先在主体库中注册、完善企业基本信息并上传企业相关资料 ，请进入以下链接进入供应商注册界面。http://139.215.214.77/PSPBidder/memberLogin；第二步：完成主体库注册的用户持以上材料联系软件公司现场或邮寄办理 CA 锁。</w:t>
      </w:r>
    </w:p>
    <w:p w14:paraId="5D7B53EC">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（3）软件公司联系方式：安信CA 联系电话：0431-85177688；翔晟CA咨询电话：0431-88779428（长春）、15604331467（延边）。</w:t>
      </w:r>
    </w:p>
    <w:p w14:paraId="5A8EEE94">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（4）收到 CA 以后在“政采云”登陆界面，点击 CA 登录-CA 驱动下载-下载并安装政采云投标客户端和安信CA 驱动，账号绑定 CA 后才能进行响应文件制作。</w:t>
      </w:r>
    </w:p>
    <w:p w14:paraId="03755364">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（5）未进行网上注册并办理 CA 认证的供应商将无法参与本次采购活动。数字证书办理时限为3-5个工作日，供应商须自行考虑办理时间，由于供应商自身原因在开启前无法完成办理，后果自负。</w:t>
      </w:r>
    </w:p>
    <w:p w14:paraId="520955E8">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有效供应商不足法定数量时，征集人另行组织征集。</w:t>
      </w:r>
    </w:p>
    <w:p w14:paraId="29D5787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outlineLvl w:val="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本次招标公告同时在“政采云”平台（http:// www.zcygov.cn）、同步推送到吉林省政府采购网（http://www.ccgp-jilin.gov.cn/），并同时在《中国政府采购网》上发布</w:t>
      </w:r>
      <w:r>
        <w:rPr>
          <w:rFonts w:hint="eastAsia" w:ascii="宋体" w:hAnsi="宋体" w:eastAsia="宋体" w:cs="宋体"/>
          <w:color w:val="auto"/>
          <w:sz w:val="24"/>
          <w:szCs w:val="24"/>
          <w:highlight w:val="none"/>
          <w:lang w:val="zh-CN" w:eastAsia="zh-CN"/>
        </w:rPr>
        <w:t>。</w:t>
      </w:r>
    </w:p>
    <w:p w14:paraId="3A586F13">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1"/>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八、凡对本次采购提出询问，请按以下方式联系。</w:t>
      </w:r>
    </w:p>
    <w:p w14:paraId="0EFC410F">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zh-CN"/>
          <w14:textFill>
            <w14:solidFill>
              <w14:schemeClr w14:val="tx1"/>
            </w14:solidFill>
          </w14:textFill>
        </w:rPr>
        <w:t>.采购人信息</w:t>
      </w:r>
    </w:p>
    <w:p w14:paraId="174225A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名</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称：</w:t>
      </w: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延吉市财政局</w:t>
      </w:r>
    </w:p>
    <w:p w14:paraId="4C925F7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地    址：延吉市天池路3000号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4FEA539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 系 人：</w:t>
      </w:r>
      <w:r>
        <w:rPr>
          <w:rFonts w:hint="eastAsia" w:ascii="宋体" w:hAnsi="宋体" w:eastAsia="宋体" w:cs="宋体"/>
          <w:color w:val="000000" w:themeColor="text1"/>
          <w:sz w:val="24"/>
          <w:szCs w:val="24"/>
          <w:highlight w:val="none"/>
          <w:lang w:val="en-US" w:eastAsia="zh-CN"/>
          <w14:textFill>
            <w14:solidFill>
              <w14:schemeClr w14:val="tx1"/>
            </w14:solidFill>
          </w14:textFill>
        </w:rPr>
        <w:t>李禹宾</w:t>
      </w:r>
    </w:p>
    <w:p w14:paraId="58C3400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联系方式：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17644048161</w:t>
      </w:r>
    </w:p>
    <w:p w14:paraId="60A90F60">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zh-CN"/>
          <w14:textFill>
            <w14:solidFill>
              <w14:schemeClr w14:val="tx1"/>
            </w14:solidFill>
          </w14:textFill>
        </w:rPr>
        <w:t>采购代理机构信息</w:t>
      </w:r>
    </w:p>
    <w:p w14:paraId="1D3EBAE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名</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称：</w:t>
      </w:r>
      <w:r>
        <w:rPr>
          <w:rFonts w:hint="eastAsia" w:ascii="宋体" w:hAnsi="宋体" w:eastAsia="宋体" w:cs="宋体"/>
          <w:color w:val="000000" w:themeColor="text1"/>
          <w:sz w:val="24"/>
          <w:szCs w:val="24"/>
          <w:highlight w:val="none"/>
          <w:lang w:val="en-US" w:eastAsia="zh-CN"/>
          <w14:textFill>
            <w14:solidFill>
              <w14:schemeClr w14:val="tx1"/>
            </w14:solidFill>
          </w14:textFill>
        </w:rPr>
        <w:t>吉林省长润</w:t>
      </w:r>
      <w:r>
        <w:rPr>
          <w:rFonts w:hint="eastAsia" w:ascii="宋体" w:hAnsi="宋体" w:eastAsia="宋体" w:cs="宋体"/>
          <w:color w:val="000000" w:themeColor="text1"/>
          <w:sz w:val="24"/>
          <w:szCs w:val="24"/>
          <w:highlight w:val="none"/>
          <w:lang w:val="zh-CN"/>
          <w14:textFill>
            <w14:solidFill>
              <w14:schemeClr w14:val="tx1"/>
            </w14:solidFill>
          </w14:textFill>
        </w:rPr>
        <w:t>工程咨询有限公司</w:t>
      </w:r>
    </w:p>
    <w:p w14:paraId="508497D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地</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址：延吉市人民路1977号</w:t>
      </w:r>
    </w:p>
    <w:p w14:paraId="2CE2C85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联系方式：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0433-2099999</w:t>
      </w:r>
    </w:p>
    <w:p w14:paraId="5DBE6C64">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3.项目联系方式</w:t>
      </w:r>
    </w:p>
    <w:p w14:paraId="5B9D5DE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项目联系人：</w:t>
      </w:r>
      <w:r>
        <w:rPr>
          <w:rFonts w:hint="eastAsia" w:ascii="宋体" w:hAnsi="宋体" w:eastAsia="宋体" w:cs="宋体"/>
          <w:b w:val="0"/>
          <w:bCs w:val="0"/>
          <w:color w:val="auto"/>
          <w:sz w:val="24"/>
          <w:szCs w:val="24"/>
          <w:highlight w:val="none"/>
          <w:lang w:val="zh-CN"/>
        </w:rPr>
        <w:t>孙明峰</w:t>
      </w:r>
      <w:r>
        <w:rPr>
          <w:rFonts w:hint="eastAsia" w:ascii="宋体" w:hAnsi="宋体" w:eastAsia="宋体" w:cs="宋体"/>
          <w:color w:val="000000" w:themeColor="text1"/>
          <w:sz w:val="24"/>
          <w:szCs w:val="24"/>
          <w:highlight w:val="none"/>
          <w:lang w:val="zh-CN"/>
          <w14:textFill>
            <w14:solidFill>
              <w14:schemeClr w14:val="tx1"/>
            </w14:solidFill>
          </w14:textFill>
        </w:rPr>
        <w:t xml:space="preserve"> </w:t>
      </w:r>
    </w:p>
    <w:p w14:paraId="51E2BBB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电     话</w:t>
      </w: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b w:val="0"/>
          <w:bCs w:val="0"/>
          <w:color w:val="auto"/>
          <w:sz w:val="24"/>
          <w:szCs w:val="24"/>
          <w:highlight w:val="none"/>
          <w:lang w:val="en-US" w:eastAsia="zh-CN"/>
        </w:rPr>
        <w:t>18843339002</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09F21D4F">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监督管理部门：</w:t>
      </w:r>
      <w:r>
        <w:rPr>
          <w:rFonts w:hint="eastAsia" w:ascii="宋体" w:hAnsi="宋体" w:eastAsia="宋体" w:cs="宋体"/>
          <w:color w:val="000000" w:themeColor="text1"/>
          <w:sz w:val="24"/>
          <w:szCs w:val="24"/>
          <w:highlight w:val="none"/>
          <w:lang w:val="en-US" w:eastAsia="zh-CN"/>
          <w14:textFill>
            <w14:solidFill>
              <w14:schemeClr w14:val="tx1"/>
            </w14:solidFill>
          </w14:textFill>
        </w:rPr>
        <w:t>延吉市</w:t>
      </w:r>
      <w:r>
        <w:rPr>
          <w:rFonts w:hint="eastAsia" w:ascii="宋体" w:hAnsi="宋体" w:eastAsia="宋体" w:cs="宋体"/>
          <w:color w:val="000000" w:themeColor="text1"/>
          <w:sz w:val="24"/>
          <w:szCs w:val="24"/>
          <w:highlight w:val="none"/>
          <w14:textFill>
            <w14:solidFill>
              <w14:schemeClr w14:val="tx1"/>
            </w14:solidFill>
          </w14:textFill>
        </w:rPr>
        <w:t>财政局政府采购管理办公室</w:t>
      </w:r>
    </w:p>
    <w:p w14:paraId="0F2C660D">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360" w:lineRule="auto"/>
        <w:ind w:firstLine="3600" w:firstLineChars="1500"/>
        <w:jc w:val="righ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0711D69F">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360" w:lineRule="auto"/>
        <w:ind w:firstLine="3600" w:firstLineChars="1500"/>
        <w:jc w:val="righ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吉林省长润</w:t>
      </w:r>
      <w:r>
        <w:rPr>
          <w:rFonts w:hint="eastAsia" w:ascii="宋体" w:hAnsi="宋体" w:eastAsia="宋体" w:cs="宋体"/>
          <w:color w:val="000000" w:themeColor="text1"/>
          <w:sz w:val="24"/>
          <w:szCs w:val="24"/>
          <w:highlight w:val="none"/>
          <w:lang w:val="zh-CN"/>
          <w14:textFill>
            <w14:solidFill>
              <w14:schemeClr w14:val="tx1"/>
            </w14:solidFill>
          </w14:textFill>
        </w:rPr>
        <w:t>工程咨询有限公司</w:t>
      </w:r>
    </w:p>
    <w:p w14:paraId="17EA3BE4">
      <w:pPr>
        <w:spacing w:line="360" w:lineRule="auto"/>
        <w:jc w:val="right"/>
        <w:rPr>
          <w:rFonts w:hint="eastAsia" w:ascii="宋体" w:hAnsi="宋体" w:eastAsia="宋体" w:cs="宋体"/>
          <w:color w:val="000000" w:themeColor="text1"/>
          <w:kern w:val="2"/>
          <w:sz w:val="24"/>
          <w:szCs w:val="24"/>
          <w:highlight w:val="none"/>
          <w14:textFill>
            <w14:solidFill>
              <w14:schemeClr w14:val="tx1"/>
            </w14:solidFill>
          </w14:textFill>
        </w:rPr>
      </w:pPr>
      <w:bookmarkStart w:id="15" w:name="_Toc32728"/>
      <w:bookmarkStart w:id="16" w:name="_Toc26736"/>
      <w:r>
        <w:rPr>
          <w:rFonts w:hint="eastAsia" w:ascii="宋体" w:hAnsi="宋体" w:eastAsia="宋体" w:cs="宋体"/>
          <w:color w:val="000000" w:themeColor="text1"/>
          <w:kern w:val="2"/>
          <w:sz w:val="24"/>
          <w:szCs w:val="24"/>
          <w:highlight w:val="none"/>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zh-CN"/>
          <w14:textFill>
            <w14:solidFill>
              <w14:schemeClr w14:val="tx1"/>
            </w14:solidFill>
          </w14:textFill>
        </w:rPr>
        <w:t>202</w:t>
      </w:r>
      <w:r>
        <w:rPr>
          <w:rFonts w:hint="eastAsia" w:ascii="宋体" w:hAnsi="宋体" w:cs="宋体"/>
          <w:color w:val="000000" w:themeColor="text1"/>
          <w:kern w:val="2"/>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2"/>
          <w:sz w:val="24"/>
          <w:szCs w:val="24"/>
          <w:highlight w:val="none"/>
          <w:lang w:val="zh-CN"/>
          <w14:textFill>
            <w14:solidFill>
              <w14:schemeClr w14:val="tx1"/>
            </w14:solidFill>
          </w14:textFill>
        </w:rPr>
        <w:t>年</w:t>
      </w:r>
      <w:r>
        <w:rPr>
          <w:rFonts w:hint="eastAsia" w:ascii="宋体" w:hAnsi="宋体" w:cs="宋体"/>
          <w:color w:val="000000" w:themeColor="text1"/>
          <w:kern w:val="2"/>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kern w:val="2"/>
          <w:sz w:val="24"/>
          <w:szCs w:val="24"/>
          <w:highlight w:val="none"/>
          <w:lang w:val="zh-CN"/>
          <w14:textFill>
            <w14:solidFill>
              <w14:schemeClr w14:val="tx1"/>
            </w14:solidFill>
          </w14:textFill>
        </w:rPr>
        <w:t>月</w:t>
      </w:r>
      <w:bookmarkEnd w:id="15"/>
      <w:r>
        <w:rPr>
          <w:rFonts w:hint="eastAsia" w:ascii="宋体" w:hAnsi="宋体" w:cs="宋体"/>
          <w:color w:val="000000" w:themeColor="text1"/>
          <w:kern w:val="2"/>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kern w:val="2"/>
          <w:sz w:val="24"/>
          <w:szCs w:val="24"/>
          <w:highlight w:val="none"/>
          <w14:textFill>
            <w14:solidFill>
              <w14:schemeClr w14:val="tx1"/>
            </w14:solidFill>
          </w14:textFill>
        </w:rPr>
        <w:t>日</w:t>
      </w:r>
      <w:bookmarkEnd w:id="16"/>
    </w:p>
    <w:p w14:paraId="28CB553C">
      <w:pPr>
        <w:spacing w:line="360" w:lineRule="auto"/>
        <w:jc w:val="left"/>
        <w:rPr>
          <w:rFonts w:hint="eastAsia" w:ascii="宋体" w:hAnsi="宋体" w:eastAsia="宋体" w:cs="宋体"/>
          <w:color w:val="auto"/>
          <w:kern w:val="0"/>
          <w:sz w:val="24"/>
          <w:szCs w:val="24"/>
          <w:highlight w:val="none"/>
          <w:shd w:val="clear" w:color="auto" w:fill="FFFFFF"/>
          <w:lang w:bidi="ar"/>
        </w:rPr>
      </w:pPr>
    </w:p>
    <w:p w14:paraId="1C260C82">
      <w:pPr>
        <w:spacing w:line="360" w:lineRule="auto"/>
        <w:jc w:val="left"/>
        <w:rPr>
          <w:rFonts w:hint="eastAsia" w:ascii="宋体" w:hAnsi="宋体" w:eastAsia="宋体" w:cs="宋体"/>
          <w:color w:val="auto"/>
          <w:kern w:val="0"/>
          <w:sz w:val="24"/>
          <w:szCs w:val="24"/>
          <w:highlight w:val="none"/>
          <w:shd w:val="clear" w:color="auto" w:fill="FFFFFF"/>
          <w:lang w:bidi="ar"/>
        </w:rPr>
      </w:pPr>
    </w:p>
    <w:p w14:paraId="62594E9A">
      <w:pPr>
        <w:pStyle w:val="2"/>
        <w:rPr>
          <w:rFonts w:hint="eastAsia" w:ascii="宋体" w:hAnsi="宋体" w:eastAsia="宋体" w:cs="宋体"/>
          <w:color w:val="auto"/>
          <w:kern w:val="0"/>
          <w:sz w:val="24"/>
          <w:szCs w:val="24"/>
          <w:highlight w:val="none"/>
          <w:shd w:val="clear" w:color="auto" w:fill="FFFFFF"/>
          <w:lang w:bidi="ar"/>
        </w:rPr>
      </w:pPr>
    </w:p>
    <w:p w14:paraId="4D5A5166">
      <w:pPr>
        <w:rPr>
          <w:rFonts w:hint="eastAsia" w:ascii="宋体" w:hAnsi="宋体" w:eastAsia="宋体" w:cs="宋体"/>
          <w:color w:val="auto"/>
          <w:kern w:val="0"/>
          <w:sz w:val="24"/>
          <w:szCs w:val="24"/>
          <w:highlight w:val="none"/>
          <w:shd w:val="clear" w:color="auto" w:fill="FFFFFF"/>
          <w:lang w:bidi="ar"/>
        </w:rPr>
      </w:pPr>
    </w:p>
    <w:p w14:paraId="7666C2F8">
      <w:pPr>
        <w:pStyle w:val="2"/>
        <w:rPr>
          <w:rFonts w:hint="eastAsia" w:ascii="宋体" w:hAnsi="宋体" w:eastAsia="宋体" w:cs="宋体"/>
          <w:color w:val="auto"/>
          <w:kern w:val="0"/>
          <w:sz w:val="24"/>
          <w:szCs w:val="24"/>
          <w:highlight w:val="none"/>
          <w:shd w:val="clear" w:color="auto" w:fill="FFFFFF"/>
          <w:lang w:bidi="ar"/>
        </w:rPr>
      </w:pPr>
    </w:p>
    <w:p w14:paraId="213E9B93">
      <w:pPr>
        <w:rPr>
          <w:rFonts w:hint="eastAsia" w:ascii="宋体" w:hAnsi="宋体" w:eastAsia="宋体" w:cs="宋体"/>
          <w:color w:val="auto"/>
          <w:kern w:val="0"/>
          <w:sz w:val="24"/>
          <w:szCs w:val="24"/>
          <w:highlight w:val="none"/>
          <w:shd w:val="clear" w:color="auto" w:fill="FFFFFF"/>
          <w:lang w:bidi="ar"/>
        </w:rPr>
      </w:pPr>
    </w:p>
    <w:p w14:paraId="2DDBA26A">
      <w:pPr>
        <w:pStyle w:val="2"/>
        <w:rPr>
          <w:rFonts w:hint="eastAsia" w:ascii="宋体" w:hAnsi="宋体" w:eastAsia="宋体" w:cs="宋体"/>
          <w:color w:val="auto"/>
          <w:kern w:val="0"/>
          <w:sz w:val="24"/>
          <w:szCs w:val="24"/>
          <w:highlight w:val="none"/>
          <w:shd w:val="clear" w:color="auto" w:fill="FFFFFF"/>
          <w:lang w:bidi="ar"/>
        </w:rPr>
      </w:pPr>
    </w:p>
    <w:p w14:paraId="1AA4B705">
      <w:pPr>
        <w:rPr>
          <w:rFonts w:hint="eastAsia" w:ascii="宋体" w:hAnsi="宋体" w:eastAsia="宋体" w:cs="宋体"/>
          <w:color w:val="auto"/>
          <w:kern w:val="0"/>
          <w:sz w:val="24"/>
          <w:szCs w:val="24"/>
          <w:highlight w:val="none"/>
          <w:shd w:val="clear" w:color="auto" w:fill="FFFFFF"/>
          <w:lang w:bidi="ar"/>
        </w:rPr>
      </w:pPr>
    </w:p>
    <w:p w14:paraId="38620B6C">
      <w:pPr>
        <w:pStyle w:val="2"/>
        <w:rPr>
          <w:rFonts w:hint="eastAsia" w:ascii="宋体" w:hAnsi="宋体" w:eastAsia="宋体" w:cs="宋体"/>
          <w:color w:val="auto"/>
          <w:kern w:val="0"/>
          <w:sz w:val="24"/>
          <w:szCs w:val="24"/>
          <w:highlight w:val="none"/>
          <w:shd w:val="clear" w:color="auto" w:fill="FFFFFF"/>
          <w:lang w:bidi="ar"/>
        </w:rPr>
      </w:pPr>
    </w:p>
    <w:p w14:paraId="0D134448">
      <w:pPr>
        <w:rPr>
          <w:rFonts w:hint="eastAsia" w:ascii="宋体" w:hAnsi="宋体" w:eastAsia="宋体" w:cs="宋体"/>
          <w:color w:val="auto"/>
          <w:kern w:val="0"/>
          <w:sz w:val="24"/>
          <w:szCs w:val="24"/>
          <w:highlight w:val="none"/>
          <w:shd w:val="clear" w:color="auto" w:fill="FFFFFF"/>
          <w:lang w:bidi="ar"/>
        </w:rPr>
      </w:pPr>
    </w:p>
    <w:p w14:paraId="7A6E46E8">
      <w:pPr>
        <w:pStyle w:val="2"/>
        <w:rPr>
          <w:rFonts w:hint="eastAsia" w:ascii="宋体" w:hAnsi="宋体" w:eastAsia="宋体" w:cs="宋体"/>
          <w:color w:val="auto"/>
          <w:kern w:val="0"/>
          <w:sz w:val="24"/>
          <w:szCs w:val="24"/>
          <w:highlight w:val="none"/>
          <w:shd w:val="clear" w:color="auto" w:fill="FFFFFF"/>
          <w:lang w:bidi="ar"/>
        </w:rPr>
      </w:pPr>
    </w:p>
    <w:p w14:paraId="7259094C">
      <w:pPr>
        <w:rPr>
          <w:rFonts w:hint="eastAsia" w:ascii="宋体" w:hAnsi="宋体" w:eastAsia="宋体" w:cs="宋体"/>
          <w:color w:val="auto"/>
          <w:kern w:val="0"/>
          <w:sz w:val="24"/>
          <w:szCs w:val="24"/>
          <w:highlight w:val="none"/>
          <w:shd w:val="clear" w:color="auto" w:fill="FFFFFF"/>
          <w:lang w:bidi="ar"/>
        </w:rPr>
      </w:pPr>
    </w:p>
    <w:p w14:paraId="70A56BC0">
      <w:pPr>
        <w:pStyle w:val="2"/>
        <w:rPr>
          <w:rFonts w:hint="eastAsia" w:ascii="宋体" w:hAnsi="宋体" w:eastAsia="宋体" w:cs="宋体"/>
          <w:color w:val="auto"/>
          <w:kern w:val="0"/>
          <w:sz w:val="24"/>
          <w:szCs w:val="24"/>
          <w:highlight w:val="none"/>
          <w:shd w:val="clear" w:color="auto" w:fill="FFFFFF"/>
          <w:lang w:bidi="ar"/>
        </w:rPr>
      </w:pPr>
    </w:p>
    <w:p w14:paraId="700C0379">
      <w:pPr>
        <w:rPr>
          <w:rFonts w:hint="eastAsia" w:ascii="宋体" w:hAnsi="宋体" w:eastAsia="宋体" w:cs="宋体"/>
          <w:color w:val="auto"/>
          <w:kern w:val="0"/>
          <w:sz w:val="24"/>
          <w:szCs w:val="24"/>
          <w:highlight w:val="none"/>
          <w:shd w:val="clear" w:color="auto" w:fill="FFFFFF"/>
          <w:lang w:bidi="ar"/>
        </w:rPr>
      </w:pPr>
    </w:p>
    <w:p w14:paraId="414A3F42">
      <w:pPr>
        <w:pStyle w:val="2"/>
        <w:rPr>
          <w:rFonts w:hint="eastAsia" w:ascii="宋体" w:hAnsi="宋体" w:eastAsia="宋体" w:cs="宋体"/>
          <w:color w:val="auto"/>
          <w:kern w:val="0"/>
          <w:sz w:val="24"/>
          <w:szCs w:val="24"/>
          <w:highlight w:val="none"/>
          <w:shd w:val="clear" w:color="auto" w:fill="FFFFFF"/>
          <w:lang w:bidi="ar"/>
        </w:rPr>
      </w:pPr>
    </w:p>
    <w:p w14:paraId="411240B6">
      <w:pPr>
        <w:rPr>
          <w:rFonts w:hint="eastAsia" w:ascii="宋体" w:hAnsi="宋体" w:eastAsia="宋体" w:cs="宋体"/>
          <w:color w:val="auto"/>
          <w:kern w:val="0"/>
          <w:sz w:val="24"/>
          <w:szCs w:val="24"/>
          <w:highlight w:val="none"/>
          <w:shd w:val="clear" w:color="auto" w:fill="FFFFFF"/>
          <w:lang w:bidi="ar"/>
        </w:rPr>
      </w:pPr>
    </w:p>
    <w:p w14:paraId="2D8588AF">
      <w:pPr>
        <w:pStyle w:val="2"/>
        <w:rPr>
          <w:rFonts w:hint="eastAsia" w:ascii="宋体" w:hAnsi="宋体" w:eastAsia="宋体" w:cs="宋体"/>
          <w:color w:val="auto"/>
          <w:kern w:val="0"/>
          <w:sz w:val="24"/>
          <w:szCs w:val="24"/>
          <w:highlight w:val="none"/>
          <w:shd w:val="clear" w:color="auto" w:fill="FFFFFF"/>
          <w:lang w:bidi="ar"/>
        </w:rPr>
      </w:pPr>
    </w:p>
    <w:p w14:paraId="74C9370F">
      <w:pPr>
        <w:rPr>
          <w:rFonts w:hint="eastAsia" w:ascii="宋体" w:hAnsi="宋体" w:eastAsia="宋体" w:cs="宋体"/>
          <w:color w:val="auto"/>
          <w:kern w:val="0"/>
          <w:sz w:val="24"/>
          <w:szCs w:val="24"/>
          <w:highlight w:val="none"/>
          <w:shd w:val="clear" w:color="auto" w:fill="FFFFFF"/>
          <w:lang w:bidi="ar"/>
        </w:rPr>
      </w:pPr>
    </w:p>
    <w:p w14:paraId="610BF4D8">
      <w:pPr>
        <w:pStyle w:val="2"/>
        <w:rPr>
          <w:rFonts w:hint="eastAsia" w:ascii="宋体" w:hAnsi="宋体" w:eastAsia="宋体" w:cs="宋体"/>
          <w:color w:val="auto"/>
          <w:kern w:val="0"/>
          <w:sz w:val="24"/>
          <w:szCs w:val="24"/>
          <w:highlight w:val="none"/>
          <w:shd w:val="clear" w:color="auto" w:fill="FFFFFF"/>
          <w:lang w:bidi="ar"/>
        </w:rPr>
      </w:pPr>
    </w:p>
    <w:p w14:paraId="08E96680">
      <w:pPr>
        <w:rPr>
          <w:rFonts w:hint="eastAsia" w:ascii="宋体" w:hAnsi="宋体" w:eastAsia="宋体" w:cs="宋体"/>
          <w:color w:val="auto"/>
          <w:kern w:val="0"/>
          <w:sz w:val="24"/>
          <w:szCs w:val="24"/>
          <w:highlight w:val="none"/>
          <w:shd w:val="clear" w:color="auto" w:fill="FFFFFF"/>
          <w:lang w:bidi="ar"/>
        </w:rPr>
      </w:pPr>
    </w:p>
    <w:p w14:paraId="1E1E54CD">
      <w:pPr>
        <w:pStyle w:val="2"/>
        <w:rPr>
          <w:rFonts w:hint="eastAsia" w:ascii="宋体" w:hAnsi="宋体" w:eastAsia="宋体" w:cs="宋体"/>
          <w:color w:val="auto"/>
          <w:kern w:val="0"/>
          <w:sz w:val="24"/>
          <w:szCs w:val="24"/>
          <w:highlight w:val="none"/>
          <w:shd w:val="clear" w:color="auto" w:fill="FFFFFF"/>
          <w:lang w:bidi="ar"/>
        </w:rPr>
      </w:pPr>
    </w:p>
    <w:p w14:paraId="7C3FD0F3">
      <w:pPr>
        <w:rPr>
          <w:rFonts w:hint="eastAsia" w:ascii="宋体" w:hAnsi="宋体" w:eastAsia="宋体" w:cs="宋体"/>
          <w:color w:val="auto"/>
          <w:kern w:val="0"/>
          <w:sz w:val="24"/>
          <w:szCs w:val="24"/>
          <w:highlight w:val="none"/>
          <w:shd w:val="clear" w:color="auto" w:fill="FFFFFF"/>
          <w:lang w:bidi="ar"/>
        </w:rPr>
      </w:pPr>
    </w:p>
    <w:p w14:paraId="7856B65F">
      <w:pPr>
        <w:pStyle w:val="2"/>
        <w:rPr>
          <w:rFonts w:hint="eastAsia" w:ascii="宋体" w:hAnsi="宋体" w:eastAsia="宋体" w:cs="宋体"/>
          <w:color w:val="auto"/>
          <w:kern w:val="0"/>
          <w:sz w:val="24"/>
          <w:szCs w:val="24"/>
          <w:highlight w:val="none"/>
          <w:shd w:val="clear" w:color="auto" w:fill="FFFFFF"/>
          <w:lang w:bidi="ar"/>
        </w:rPr>
      </w:pPr>
    </w:p>
    <w:p w14:paraId="201381B6">
      <w:pPr>
        <w:rPr>
          <w:rFonts w:hint="eastAsia" w:ascii="宋体" w:hAnsi="宋体" w:eastAsia="宋体" w:cs="宋体"/>
          <w:color w:val="auto"/>
          <w:kern w:val="0"/>
          <w:sz w:val="24"/>
          <w:szCs w:val="24"/>
          <w:highlight w:val="none"/>
          <w:shd w:val="clear" w:color="auto" w:fill="FFFFFF"/>
          <w:lang w:bidi="ar"/>
        </w:rPr>
      </w:pPr>
    </w:p>
    <w:p w14:paraId="08D14364">
      <w:pPr>
        <w:pStyle w:val="2"/>
        <w:rPr>
          <w:rFonts w:hint="eastAsia" w:ascii="宋体" w:hAnsi="宋体" w:eastAsia="宋体" w:cs="宋体"/>
          <w:color w:val="auto"/>
          <w:kern w:val="0"/>
          <w:sz w:val="24"/>
          <w:szCs w:val="24"/>
          <w:highlight w:val="none"/>
          <w:shd w:val="clear" w:color="auto" w:fill="FFFFFF"/>
          <w:lang w:bidi="ar"/>
        </w:rPr>
      </w:pPr>
    </w:p>
    <w:p w14:paraId="74F9D351">
      <w:pPr>
        <w:rPr>
          <w:rFonts w:hint="eastAsia" w:ascii="宋体" w:hAnsi="宋体" w:eastAsia="宋体" w:cs="宋体"/>
          <w:color w:val="auto"/>
          <w:kern w:val="0"/>
          <w:sz w:val="24"/>
          <w:szCs w:val="24"/>
          <w:highlight w:val="none"/>
          <w:shd w:val="clear" w:color="auto" w:fill="FFFFFF"/>
          <w:lang w:bidi="ar"/>
        </w:rPr>
      </w:pPr>
    </w:p>
    <w:p w14:paraId="1534AFF0">
      <w:pPr>
        <w:pStyle w:val="2"/>
        <w:rPr>
          <w:rFonts w:hint="eastAsia"/>
        </w:rPr>
      </w:pPr>
    </w:p>
    <w:p w14:paraId="305CF205">
      <w:pPr>
        <w:spacing w:line="360" w:lineRule="auto"/>
        <w:jc w:val="left"/>
        <w:rPr>
          <w:rFonts w:hint="eastAsia" w:ascii="宋体" w:hAnsi="宋体" w:eastAsia="宋体" w:cs="宋体"/>
          <w:color w:val="auto"/>
          <w:kern w:val="0"/>
          <w:sz w:val="24"/>
          <w:szCs w:val="24"/>
          <w:highlight w:val="none"/>
          <w:shd w:val="clear" w:color="auto" w:fill="FFFFFF"/>
          <w:lang w:bidi="ar"/>
        </w:rPr>
      </w:pPr>
    </w:p>
    <w:p w14:paraId="6A57EAAC">
      <w:pPr>
        <w:pStyle w:val="44"/>
        <w:rPr>
          <w:rFonts w:hint="eastAsia" w:ascii="宋体" w:hAnsi="宋体" w:eastAsia="宋体" w:cs="宋体"/>
          <w:color w:val="auto"/>
          <w:kern w:val="0"/>
          <w:sz w:val="24"/>
          <w:szCs w:val="24"/>
          <w:highlight w:val="none"/>
          <w:shd w:val="clear" w:color="auto" w:fill="FFFFFF"/>
          <w:lang w:bidi="ar"/>
        </w:rPr>
      </w:pPr>
    </w:p>
    <w:p w14:paraId="116EFFED">
      <w:pPr>
        <w:pStyle w:val="44"/>
        <w:rPr>
          <w:rFonts w:hint="eastAsia" w:ascii="宋体" w:hAnsi="宋体" w:eastAsia="宋体" w:cs="宋体"/>
          <w:color w:val="auto"/>
          <w:kern w:val="0"/>
          <w:sz w:val="24"/>
          <w:szCs w:val="24"/>
          <w:highlight w:val="none"/>
          <w:shd w:val="clear" w:color="auto" w:fill="FFFFFF"/>
          <w:lang w:bidi="ar"/>
        </w:rPr>
      </w:pPr>
    </w:p>
    <w:p w14:paraId="170BFACA">
      <w:pPr>
        <w:spacing w:line="360" w:lineRule="auto"/>
        <w:jc w:val="left"/>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bidi="ar"/>
        </w:rPr>
        <w:t xml:space="preserve">附件：     </w:t>
      </w:r>
    </w:p>
    <w:p w14:paraId="117B4BBD">
      <w:pPr>
        <w:spacing w:line="360" w:lineRule="auto"/>
        <w:jc w:val="center"/>
        <w:rPr>
          <w:rFonts w:hint="eastAsia" w:ascii="宋体" w:hAnsi="宋体" w:eastAsia="宋体" w:cs="宋体"/>
          <w:color w:val="auto"/>
          <w:highlight w:val="none"/>
        </w:rPr>
      </w:pPr>
      <w:r>
        <w:rPr>
          <w:rFonts w:hint="eastAsia" w:ascii="宋体" w:hAnsi="宋体" w:eastAsia="宋体" w:cs="宋体"/>
          <w:b/>
          <w:bCs/>
          <w:color w:val="auto"/>
          <w:sz w:val="32"/>
          <w:szCs w:val="32"/>
          <w:highlight w:val="none"/>
        </w:rPr>
        <w:t>（一）法定代表人身份证明</w:t>
      </w:r>
    </w:p>
    <w:p w14:paraId="066E484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14:paraId="4351F48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14:paraId="3107357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14:paraId="10511B2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A11B25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50A28B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698F7B7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（供应商名称）     </w:t>
      </w:r>
      <w:r>
        <w:rPr>
          <w:rFonts w:hint="eastAsia" w:ascii="宋体" w:hAnsi="宋体" w:eastAsia="宋体" w:cs="宋体"/>
          <w:color w:val="auto"/>
          <w:sz w:val="24"/>
          <w:szCs w:val="24"/>
          <w:highlight w:val="none"/>
        </w:rPr>
        <w:t>的法定代表人</w:t>
      </w:r>
      <w:r>
        <w:rPr>
          <w:rFonts w:hint="eastAsia" w:ascii="宋体" w:hAnsi="宋体" w:eastAsia="宋体" w:cs="宋体"/>
          <w:color w:val="auto"/>
          <w:sz w:val="24"/>
          <w:szCs w:val="24"/>
          <w:highlight w:val="none"/>
          <w:u w:val="single"/>
        </w:rPr>
        <w:t>（负责人）</w:t>
      </w:r>
      <w:r>
        <w:rPr>
          <w:rFonts w:hint="eastAsia" w:ascii="宋体" w:hAnsi="宋体" w:eastAsia="宋体" w:cs="宋体"/>
          <w:color w:val="auto"/>
          <w:sz w:val="24"/>
          <w:szCs w:val="24"/>
          <w:highlight w:val="none"/>
        </w:rPr>
        <w:t>。</w:t>
      </w:r>
    </w:p>
    <w:p w14:paraId="6D05B1F4">
      <w:pPr>
        <w:spacing w:line="360" w:lineRule="auto"/>
        <w:ind w:firstLine="960" w:firstLineChars="400"/>
        <w:rPr>
          <w:rFonts w:hint="eastAsia" w:ascii="宋体" w:hAnsi="宋体" w:eastAsia="宋体" w:cs="宋体"/>
          <w:color w:val="auto"/>
          <w:highlight w:val="none"/>
        </w:rPr>
      </w:pPr>
      <w:r>
        <w:rPr>
          <w:rFonts w:hint="eastAsia" w:ascii="宋体" w:hAnsi="宋体" w:eastAsia="宋体" w:cs="宋体"/>
          <w:color w:val="auto"/>
          <w:sz w:val="24"/>
          <w:szCs w:val="24"/>
          <w:highlight w:val="none"/>
        </w:rPr>
        <w:t>特此证明。</w:t>
      </w:r>
    </w:p>
    <w:tbl>
      <w:tblPr>
        <w:tblStyle w:val="37"/>
        <w:tblpPr w:leftFromText="180" w:rightFromText="180" w:vertAnchor="text" w:horzAnchor="page" w:tblpX="3178" w:tblpY="3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0"/>
      </w:tblGrid>
      <w:tr w14:paraId="169D4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5800" w:type="dxa"/>
            <w:vAlign w:val="center"/>
          </w:tcPr>
          <w:p w14:paraId="3702F13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vertAlign w:val="baseline"/>
              </w:rPr>
            </w:pPr>
            <w:r>
              <w:rPr>
                <w:rFonts w:hint="eastAsia" w:ascii="宋体" w:hAnsi="宋体" w:eastAsia="宋体" w:cs="宋体"/>
                <w:color w:val="auto"/>
                <w:sz w:val="24"/>
                <w:szCs w:val="24"/>
                <w:highlight w:val="none"/>
              </w:rPr>
              <w:t>法定代表人（负责人）身份证</w:t>
            </w:r>
            <w:r>
              <w:rPr>
                <w:rFonts w:hint="eastAsia" w:ascii="宋体" w:hAnsi="宋体" w:eastAsia="宋体" w:cs="宋体"/>
                <w:color w:val="auto"/>
                <w:sz w:val="24"/>
                <w:szCs w:val="24"/>
                <w:highlight w:val="none"/>
                <w:lang w:eastAsia="zh-CN"/>
              </w:rPr>
              <w:t>正、反</w:t>
            </w:r>
            <w:r>
              <w:rPr>
                <w:rFonts w:hint="eastAsia" w:ascii="宋体" w:hAnsi="宋体" w:eastAsia="宋体" w:cs="宋体"/>
                <w:color w:val="auto"/>
                <w:sz w:val="24"/>
                <w:szCs w:val="24"/>
                <w:highlight w:val="none"/>
              </w:rPr>
              <w:t>复印件</w:t>
            </w:r>
          </w:p>
        </w:tc>
      </w:tr>
    </w:tbl>
    <w:p w14:paraId="1F5601F9">
      <w:pPr>
        <w:spacing w:line="360" w:lineRule="auto"/>
        <w:ind w:firstLine="420" w:firstLineChars="200"/>
        <w:rPr>
          <w:rFonts w:hint="eastAsia" w:ascii="宋体" w:hAnsi="宋体" w:eastAsia="宋体" w:cs="宋体"/>
          <w:color w:val="auto"/>
          <w:highlight w:val="none"/>
        </w:rPr>
      </w:pPr>
    </w:p>
    <w:p w14:paraId="390031B3">
      <w:pPr>
        <w:spacing w:line="360" w:lineRule="auto"/>
        <w:ind w:firstLine="420" w:firstLineChars="200"/>
        <w:rPr>
          <w:rFonts w:hint="eastAsia" w:ascii="宋体" w:hAnsi="宋体" w:eastAsia="宋体" w:cs="宋体"/>
          <w:color w:val="auto"/>
          <w:highlight w:val="none"/>
        </w:rPr>
      </w:pPr>
    </w:p>
    <w:p w14:paraId="4BF3BBE8">
      <w:pPr>
        <w:spacing w:line="360" w:lineRule="auto"/>
        <w:rPr>
          <w:rFonts w:hint="eastAsia" w:ascii="宋体" w:hAnsi="宋体" w:eastAsia="宋体" w:cs="宋体"/>
          <w:color w:val="auto"/>
          <w:highlight w:val="none"/>
        </w:rPr>
      </w:pPr>
    </w:p>
    <w:p w14:paraId="07D976C3">
      <w:pPr>
        <w:pStyle w:val="35"/>
        <w:rPr>
          <w:rFonts w:hint="eastAsia" w:ascii="宋体" w:hAnsi="宋体" w:eastAsia="宋体" w:cs="宋体"/>
          <w:color w:val="auto"/>
          <w:highlight w:val="none"/>
        </w:rPr>
      </w:pPr>
    </w:p>
    <w:p w14:paraId="116114FC">
      <w:pPr>
        <w:spacing w:line="360" w:lineRule="auto"/>
        <w:jc w:val="right"/>
        <w:rPr>
          <w:rFonts w:hint="eastAsia" w:ascii="宋体" w:hAnsi="宋体" w:eastAsia="宋体" w:cs="宋体"/>
          <w:color w:val="auto"/>
          <w:sz w:val="24"/>
          <w:szCs w:val="24"/>
          <w:highlight w:val="none"/>
        </w:rPr>
      </w:pPr>
    </w:p>
    <w:p w14:paraId="4647CC76">
      <w:pPr>
        <w:spacing w:line="360" w:lineRule="auto"/>
        <w:jc w:val="right"/>
        <w:rPr>
          <w:rFonts w:hint="eastAsia" w:ascii="宋体" w:hAnsi="宋体" w:eastAsia="宋体" w:cs="宋体"/>
          <w:color w:val="auto"/>
          <w:sz w:val="24"/>
          <w:szCs w:val="24"/>
          <w:highlight w:val="none"/>
        </w:rPr>
      </w:pPr>
    </w:p>
    <w:p w14:paraId="445D6790">
      <w:pPr>
        <w:spacing w:line="360" w:lineRule="auto"/>
        <w:jc w:val="right"/>
        <w:rPr>
          <w:rFonts w:hint="eastAsia" w:ascii="宋体" w:hAnsi="宋体" w:eastAsia="宋体" w:cs="宋体"/>
          <w:color w:val="auto"/>
          <w:sz w:val="24"/>
          <w:szCs w:val="24"/>
          <w:highlight w:val="none"/>
        </w:rPr>
      </w:pPr>
    </w:p>
    <w:p w14:paraId="75DCBD94">
      <w:pPr>
        <w:spacing w:line="360" w:lineRule="auto"/>
        <w:jc w:val="right"/>
        <w:rPr>
          <w:rFonts w:hint="eastAsia" w:ascii="宋体" w:hAnsi="宋体" w:eastAsia="宋体" w:cs="宋体"/>
          <w:color w:val="auto"/>
          <w:sz w:val="24"/>
          <w:szCs w:val="24"/>
          <w:highlight w:val="none"/>
        </w:rPr>
      </w:pPr>
    </w:p>
    <w:p w14:paraId="2E16535C">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718A5806">
      <w:pPr>
        <w:spacing w:line="360" w:lineRule="auto"/>
        <w:ind w:firstLine="5160" w:firstLineChars="2150"/>
        <w:rPr>
          <w:rFonts w:hint="eastAsia" w:ascii="宋体" w:hAnsi="宋体" w:eastAsia="宋体" w:cs="宋体"/>
          <w:color w:val="auto"/>
          <w:sz w:val="24"/>
          <w:szCs w:val="24"/>
          <w:highlight w:val="none"/>
          <w:u w:val="single"/>
        </w:rPr>
      </w:pPr>
    </w:p>
    <w:p w14:paraId="24C03780">
      <w:pPr>
        <w:pStyle w:val="21"/>
        <w:spacing w:line="36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75FC0EC">
      <w:pPr>
        <w:pStyle w:val="21"/>
        <w:spacing w:line="360" w:lineRule="auto"/>
        <w:ind w:firstLine="562" w:firstLineChars="200"/>
        <w:jc w:val="center"/>
        <w:rPr>
          <w:rFonts w:hint="eastAsia" w:ascii="宋体" w:hAnsi="宋体" w:eastAsia="宋体" w:cs="宋体"/>
          <w:b/>
          <w:color w:val="auto"/>
          <w:sz w:val="28"/>
          <w:szCs w:val="28"/>
          <w:highlight w:val="none"/>
        </w:rPr>
      </w:pPr>
    </w:p>
    <w:p w14:paraId="6AE5C782">
      <w:pPr>
        <w:pStyle w:val="21"/>
        <w:spacing w:line="360" w:lineRule="auto"/>
        <w:ind w:firstLine="562" w:firstLineChars="200"/>
        <w:jc w:val="center"/>
        <w:rPr>
          <w:rFonts w:hint="eastAsia" w:ascii="宋体" w:hAnsi="宋体" w:eastAsia="宋体" w:cs="宋体"/>
          <w:b/>
          <w:color w:val="auto"/>
          <w:sz w:val="28"/>
          <w:szCs w:val="28"/>
          <w:highlight w:val="none"/>
        </w:rPr>
      </w:pPr>
    </w:p>
    <w:p w14:paraId="1266A19F">
      <w:pPr>
        <w:rPr>
          <w:rFonts w:hint="eastAsia" w:ascii="宋体" w:hAnsi="宋体" w:eastAsia="宋体" w:cs="宋体"/>
          <w:b/>
          <w:color w:val="auto"/>
          <w:sz w:val="28"/>
          <w:szCs w:val="28"/>
          <w:highlight w:val="none"/>
        </w:rPr>
      </w:pPr>
    </w:p>
    <w:p w14:paraId="4A2FC599">
      <w:pPr>
        <w:pStyle w:val="2"/>
        <w:rPr>
          <w:rFonts w:hint="eastAsia" w:ascii="宋体" w:hAnsi="宋体" w:eastAsia="宋体" w:cs="宋体"/>
          <w:b/>
          <w:color w:val="auto"/>
          <w:sz w:val="28"/>
          <w:szCs w:val="28"/>
          <w:highlight w:val="none"/>
        </w:rPr>
      </w:pPr>
    </w:p>
    <w:p w14:paraId="0FDE07D6">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07FF8731">
      <w:pPr>
        <w:pStyle w:val="21"/>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28"/>
          <w:szCs w:val="28"/>
          <w:highlight w:val="none"/>
        </w:rPr>
        <w:t xml:space="preserve">（二） </w:t>
      </w:r>
      <w:r>
        <w:rPr>
          <w:rFonts w:hint="eastAsia" w:ascii="宋体" w:hAnsi="宋体" w:eastAsia="宋体" w:cs="宋体"/>
          <w:b/>
          <w:color w:val="auto"/>
          <w:sz w:val="32"/>
          <w:szCs w:val="32"/>
          <w:highlight w:val="none"/>
        </w:rPr>
        <w:t>授权委托书</w:t>
      </w:r>
    </w:p>
    <w:p w14:paraId="40CD1D4F">
      <w:pPr>
        <w:spacing w:line="360" w:lineRule="auto"/>
        <w:ind w:firstLine="480" w:firstLineChars="200"/>
        <w:rPr>
          <w:rFonts w:hint="eastAsia" w:ascii="宋体" w:hAnsi="宋体" w:eastAsia="宋体" w:cs="宋体"/>
          <w:color w:val="auto"/>
          <w:sz w:val="24"/>
          <w:szCs w:val="24"/>
          <w:highlight w:val="none"/>
        </w:rPr>
      </w:pPr>
    </w:p>
    <w:p w14:paraId="2708B11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（供应商名称）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的法定代表人，现委托</w:t>
      </w:r>
      <w:r>
        <w:rPr>
          <w:rFonts w:hint="eastAsia" w:ascii="宋体" w:hAnsi="宋体" w:eastAsia="宋体" w:cs="宋体"/>
          <w:color w:val="auto"/>
          <w:sz w:val="24"/>
          <w:szCs w:val="24"/>
          <w:highlight w:val="none"/>
          <w:u w:val="single"/>
        </w:rPr>
        <w:t xml:space="preserve"> （姓名） </w:t>
      </w:r>
      <w:r>
        <w:rPr>
          <w:rFonts w:hint="eastAsia" w:ascii="宋体" w:hAnsi="宋体" w:eastAsia="宋体" w:cs="宋体"/>
          <w:color w:val="auto"/>
          <w:sz w:val="24"/>
          <w:szCs w:val="24"/>
          <w:highlight w:val="none"/>
        </w:rPr>
        <w:t>为我方代理人。代理人根据授权，以我方名义签署、澄清、说明、补正、递交、撤回、修改</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响应文件、签订合同和处理有关事宜，其法律后果由我方承担。</w:t>
      </w:r>
    </w:p>
    <w:p w14:paraId="69E1D5C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w:t>
      </w:r>
      <w:r>
        <w:rPr>
          <w:rFonts w:hint="eastAsia" w:ascii="宋体" w:hAnsi="宋体" w:eastAsia="宋体" w:cs="宋体"/>
          <w:color w:val="auto"/>
          <w:sz w:val="24"/>
          <w:szCs w:val="24"/>
          <w:highlight w:val="none"/>
          <w:u w:val="single"/>
        </w:rPr>
        <w:t xml:space="preserve">                                </w:t>
      </w:r>
    </w:p>
    <w:p w14:paraId="57E5902A">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代理人无转委托权。</w:t>
      </w:r>
    </w:p>
    <w:tbl>
      <w:tblPr>
        <w:tblStyle w:val="37"/>
        <w:tblpPr w:leftFromText="180" w:rightFromText="180" w:vertAnchor="text" w:horzAnchor="page" w:tblpX="3166" w:tblpY="8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0"/>
      </w:tblGrid>
      <w:tr w14:paraId="0F8FF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5800" w:type="dxa"/>
            <w:vAlign w:val="center"/>
          </w:tcPr>
          <w:p w14:paraId="1528CCA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vertAlign w:val="baseline"/>
              </w:rPr>
            </w:pPr>
            <w:r>
              <w:rPr>
                <w:rFonts w:hint="eastAsia" w:ascii="宋体" w:hAnsi="宋体" w:eastAsia="宋体" w:cs="宋体"/>
                <w:color w:val="auto"/>
                <w:sz w:val="24"/>
                <w:szCs w:val="24"/>
                <w:highlight w:val="none"/>
              </w:rPr>
              <w:t>法定代表人（负责人）身份证</w:t>
            </w:r>
            <w:r>
              <w:rPr>
                <w:rFonts w:hint="eastAsia" w:ascii="宋体" w:hAnsi="宋体" w:eastAsia="宋体" w:cs="宋体"/>
                <w:color w:val="auto"/>
                <w:sz w:val="24"/>
                <w:szCs w:val="24"/>
                <w:highlight w:val="none"/>
                <w:lang w:eastAsia="zh-CN"/>
              </w:rPr>
              <w:t>正、反</w:t>
            </w:r>
            <w:r>
              <w:rPr>
                <w:rFonts w:hint="eastAsia" w:ascii="宋体" w:hAnsi="宋体" w:eastAsia="宋体" w:cs="宋体"/>
                <w:color w:val="auto"/>
                <w:sz w:val="24"/>
                <w:szCs w:val="24"/>
                <w:highlight w:val="none"/>
              </w:rPr>
              <w:t>复印件</w:t>
            </w:r>
          </w:p>
        </w:tc>
      </w:tr>
    </w:tbl>
    <w:p w14:paraId="10DF3152">
      <w:pPr>
        <w:spacing w:line="360" w:lineRule="auto"/>
        <w:ind w:firstLine="420" w:firstLineChars="200"/>
        <w:rPr>
          <w:rFonts w:hint="eastAsia" w:ascii="宋体" w:hAnsi="宋体" w:eastAsia="宋体" w:cs="宋体"/>
          <w:color w:val="auto"/>
          <w:highlight w:val="none"/>
        </w:rPr>
      </w:pPr>
    </w:p>
    <w:p w14:paraId="2E2DBC42">
      <w:pPr>
        <w:spacing w:line="360" w:lineRule="auto"/>
        <w:ind w:firstLine="420" w:firstLineChars="200"/>
        <w:rPr>
          <w:rFonts w:hint="eastAsia" w:ascii="宋体" w:hAnsi="宋体" w:eastAsia="宋体" w:cs="宋体"/>
          <w:color w:val="auto"/>
          <w:highlight w:val="none"/>
        </w:rPr>
      </w:pPr>
    </w:p>
    <w:p w14:paraId="55451BBB">
      <w:pPr>
        <w:spacing w:line="360" w:lineRule="auto"/>
        <w:ind w:firstLine="420" w:firstLineChars="200"/>
        <w:rPr>
          <w:rFonts w:hint="eastAsia" w:ascii="宋体" w:hAnsi="宋体" w:eastAsia="宋体" w:cs="宋体"/>
          <w:color w:val="auto"/>
          <w:highlight w:val="none"/>
        </w:rPr>
      </w:pPr>
    </w:p>
    <w:p w14:paraId="38E3E9C0">
      <w:pPr>
        <w:spacing w:line="360" w:lineRule="auto"/>
        <w:ind w:firstLine="420" w:firstLineChars="200"/>
        <w:rPr>
          <w:rFonts w:hint="eastAsia" w:ascii="宋体" w:hAnsi="宋体" w:eastAsia="宋体" w:cs="宋体"/>
          <w:color w:val="auto"/>
          <w:highlight w:val="none"/>
        </w:rPr>
      </w:pPr>
    </w:p>
    <w:p w14:paraId="1EBE85EA">
      <w:pPr>
        <w:spacing w:line="360" w:lineRule="auto"/>
        <w:ind w:firstLine="420" w:firstLineChars="200"/>
        <w:rPr>
          <w:rFonts w:hint="eastAsia" w:ascii="宋体" w:hAnsi="宋体" w:eastAsia="宋体" w:cs="宋体"/>
          <w:color w:val="auto"/>
          <w:highlight w:val="none"/>
        </w:rPr>
      </w:pPr>
    </w:p>
    <w:p w14:paraId="5C4D46C3">
      <w:pPr>
        <w:spacing w:line="360" w:lineRule="auto"/>
        <w:ind w:right="-13" w:rightChars="-6"/>
        <w:jc w:val="right"/>
        <w:rPr>
          <w:rFonts w:hint="eastAsia" w:ascii="宋体" w:hAnsi="宋体" w:eastAsia="宋体" w:cs="宋体"/>
          <w:color w:val="auto"/>
          <w:highlight w:val="none"/>
        </w:rPr>
      </w:pPr>
    </w:p>
    <w:p w14:paraId="1E3AA7EC">
      <w:pPr>
        <w:spacing w:line="480" w:lineRule="auto"/>
        <w:ind w:right="-13" w:rightChars="-6" w:firstLine="2160" w:firstLineChars="9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67D9D22D">
      <w:pPr>
        <w:spacing w:line="480" w:lineRule="auto"/>
        <w:ind w:right="-13" w:rightChars="-6" w:firstLine="2160" w:firstLineChars="9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字）</w:t>
      </w:r>
    </w:p>
    <w:tbl>
      <w:tblPr>
        <w:tblStyle w:val="37"/>
        <w:tblpPr w:leftFromText="180" w:rightFromText="180" w:vertAnchor="text" w:horzAnchor="page" w:tblpX="3178" w:tblpY="1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7"/>
      </w:tblGrid>
      <w:tr w14:paraId="236F2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5767" w:type="dxa"/>
            <w:vAlign w:val="center"/>
          </w:tcPr>
          <w:p w14:paraId="7445D78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vertAlign w:val="baseline"/>
              </w:rPr>
            </w:pPr>
            <w:r>
              <w:rPr>
                <w:rFonts w:hint="eastAsia" w:ascii="宋体" w:hAnsi="宋体" w:eastAsia="宋体" w:cs="宋体"/>
                <w:color w:val="auto"/>
                <w:sz w:val="24"/>
                <w:szCs w:val="24"/>
                <w:highlight w:val="none"/>
                <w:lang w:eastAsia="zh-CN"/>
              </w:rPr>
              <w:t>委托代理人</w:t>
            </w:r>
            <w:r>
              <w:rPr>
                <w:rFonts w:hint="eastAsia" w:ascii="宋体" w:hAnsi="宋体" w:eastAsia="宋体" w:cs="宋体"/>
                <w:color w:val="auto"/>
                <w:sz w:val="24"/>
                <w:szCs w:val="24"/>
                <w:highlight w:val="none"/>
              </w:rPr>
              <w:t>身份证</w:t>
            </w:r>
            <w:r>
              <w:rPr>
                <w:rFonts w:hint="eastAsia" w:ascii="宋体" w:hAnsi="宋体" w:eastAsia="宋体" w:cs="宋体"/>
                <w:color w:val="auto"/>
                <w:sz w:val="24"/>
                <w:szCs w:val="24"/>
                <w:highlight w:val="none"/>
                <w:lang w:eastAsia="zh-CN"/>
              </w:rPr>
              <w:t>正、反</w:t>
            </w:r>
            <w:r>
              <w:rPr>
                <w:rFonts w:hint="eastAsia" w:ascii="宋体" w:hAnsi="宋体" w:eastAsia="宋体" w:cs="宋体"/>
                <w:color w:val="auto"/>
                <w:sz w:val="24"/>
                <w:szCs w:val="24"/>
                <w:highlight w:val="none"/>
              </w:rPr>
              <w:t>复印件</w:t>
            </w:r>
          </w:p>
        </w:tc>
      </w:tr>
    </w:tbl>
    <w:p w14:paraId="076E721F">
      <w:pPr>
        <w:spacing w:line="360" w:lineRule="auto"/>
        <w:ind w:firstLine="420" w:firstLineChars="200"/>
        <w:rPr>
          <w:rFonts w:hint="eastAsia" w:ascii="宋体" w:hAnsi="宋体" w:eastAsia="宋体" w:cs="宋体"/>
          <w:color w:val="auto"/>
          <w:highlight w:val="none"/>
        </w:rPr>
      </w:pPr>
    </w:p>
    <w:p w14:paraId="6086ED42">
      <w:pPr>
        <w:spacing w:line="360" w:lineRule="auto"/>
        <w:ind w:firstLine="420" w:firstLineChars="200"/>
        <w:rPr>
          <w:rFonts w:hint="eastAsia" w:ascii="宋体" w:hAnsi="宋体" w:eastAsia="宋体" w:cs="宋体"/>
          <w:color w:val="auto"/>
          <w:highlight w:val="none"/>
        </w:rPr>
      </w:pPr>
    </w:p>
    <w:p w14:paraId="2ECABA6E">
      <w:pPr>
        <w:spacing w:line="360" w:lineRule="auto"/>
        <w:ind w:firstLine="420" w:firstLineChars="200"/>
        <w:rPr>
          <w:rFonts w:hint="eastAsia" w:ascii="宋体" w:hAnsi="宋体" w:eastAsia="宋体" w:cs="宋体"/>
          <w:color w:val="auto"/>
          <w:highlight w:val="none"/>
        </w:rPr>
      </w:pPr>
    </w:p>
    <w:p w14:paraId="483DAA33">
      <w:pPr>
        <w:spacing w:line="360" w:lineRule="auto"/>
        <w:ind w:firstLine="420" w:firstLineChars="200"/>
        <w:rPr>
          <w:rFonts w:hint="eastAsia" w:ascii="宋体" w:hAnsi="宋体" w:eastAsia="宋体" w:cs="宋体"/>
          <w:color w:val="auto"/>
          <w:highlight w:val="none"/>
        </w:rPr>
      </w:pPr>
    </w:p>
    <w:p w14:paraId="28C21D32">
      <w:pPr>
        <w:spacing w:line="360" w:lineRule="auto"/>
        <w:ind w:firstLine="420" w:firstLineChars="200"/>
        <w:rPr>
          <w:rFonts w:hint="eastAsia" w:ascii="宋体" w:hAnsi="宋体" w:eastAsia="宋体" w:cs="宋体"/>
          <w:color w:val="auto"/>
          <w:highlight w:val="none"/>
        </w:rPr>
      </w:pPr>
    </w:p>
    <w:p w14:paraId="22DE2D59">
      <w:pPr>
        <w:wordWrap w:val="0"/>
        <w:spacing w:line="360" w:lineRule="auto"/>
        <w:ind w:right="-13" w:rightChars="-6"/>
        <w:jc w:val="right"/>
        <w:rPr>
          <w:rFonts w:hint="eastAsia" w:ascii="宋体" w:hAnsi="宋体" w:eastAsia="宋体" w:cs="宋体"/>
          <w:color w:val="auto"/>
          <w:sz w:val="24"/>
          <w:szCs w:val="24"/>
          <w:highlight w:val="none"/>
        </w:rPr>
      </w:pPr>
    </w:p>
    <w:p w14:paraId="5E94BF63">
      <w:pPr>
        <w:wordWrap w:val="0"/>
        <w:spacing w:line="480" w:lineRule="auto"/>
        <w:ind w:right="-13" w:rightChars="-6" w:firstLine="2640" w:firstLineChars="1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（签字）性  别：</w:t>
      </w:r>
      <w:r>
        <w:rPr>
          <w:rFonts w:hint="eastAsia" w:ascii="宋体" w:hAnsi="宋体" w:eastAsia="宋体" w:cs="宋体"/>
          <w:color w:val="auto"/>
          <w:sz w:val="24"/>
          <w:szCs w:val="24"/>
          <w:highlight w:val="none"/>
          <w:u w:val="single"/>
        </w:rPr>
        <w:t xml:space="preserve">         </w:t>
      </w:r>
    </w:p>
    <w:p w14:paraId="21715FA4">
      <w:pPr>
        <w:wordWrap w:val="0"/>
        <w:spacing w:line="480" w:lineRule="auto"/>
        <w:ind w:right="-13" w:rightChars="-6" w:firstLine="3120" w:firstLineChars="130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年  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职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务：</w:t>
      </w:r>
      <w:r>
        <w:rPr>
          <w:rFonts w:hint="eastAsia" w:ascii="宋体" w:hAnsi="宋体" w:eastAsia="宋体" w:cs="宋体"/>
          <w:color w:val="auto"/>
          <w:sz w:val="24"/>
          <w:szCs w:val="24"/>
          <w:highlight w:val="none"/>
          <w:u w:val="single"/>
        </w:rPr>
        <w:t xml:space="preserve">         </w:t>
      </w:r>
    </w:p>
    <w:p w14:paraId="72C65FD5">
      <w:pPr>
        <w:spacing w:line="360" w:lineRule="auto"/>
        <w:ind w:firstLine="1200" w:firstLineChars="500"/>
        <w:jc w:val="both"/>
        <w:rPr>
          <w:rFonts w:hint="eastAsia" w:ascii="宋体" w:hAnsi="宋体" w:eastAsia="宋体" w:cs="宋体"/>
          <w:color w:val="auto"/>
          <w:sz w:val="24"/>
          <w:szCs w:val="24"/>
          <w:highlight w:val="none"/>
          <w:u w:val="single"/>
        </w:rPr>
      </w:pPr>
    </w:p>
    <w:p w14:paraId="70F906E4">
      <w:pPr>
        <w:keepNext w:val="0"/>
        <w:keepLines w:val="0"/>
        <w:pageBreakBefore w:val="0"/>
        <w:widowControl w:val="0"/>
        <w:kinsoku/>
        <w:wordWrap/>
        <w:overflowPunct/>
        <w:topLinePunct w:val="0"/>
        <w:bidi w:val="0"/>
        <w:snapToGrid/>
        <w:spacing w:before="0" w:after="0" w:line="360" w:lineRule="auto"/>
        <w:jc w:val="right"/>
        <w:textAlignment w:val="auto"/>
        <w:outlineLvl w:val="9"/>
        <w:rPr>
          <w:rFonts w:hint="eastAsia" w:ascii="宋体" w:hAnsi="宋体" w:eastAsia="宋体" w:cs="宋体"/>
          <w:color w:val="000000" w:themeColor="text1"/>
          <w:kern w:val="2"/>
          <w:sz w:val="24"/>
          <w:szCs w:val="24"/>
          <w:highlight w:val="none"/>
          <w:lang w:val="zh-CN"/>
          <w14:textFill>
            <w14:solidFill>
              <w14:schemeClr w14:val="tx1"/>
            </w14:solidFill>
          </w14:textFill>
        </w:rPr>
        <w:sectPr>
          <w:headerReference r:id="rId5" w:type="default"/>
          <w:footerReference r:id="rId6" w:type="default"/>
          <w:pgSz w:w="11905" w:h="16838"/>
          <w:pgMar w:top="1440" w:right="1800" w:bottom="1440" w:left="1800" w:header="1140" w:footer="720" w:gutter="0"/>
          <w:pgNumType w:fmt="decimal" w:start="1"/>
          <w:cols w:space="0" w:num="1"/>
          <w:rtlGutter w:val="0"/>
          <w:docGrid w:type="lines" w:linePitch="317" w:charSpace="0"/>
        </w:sectPr>
      </w:pP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日</w:t>
      </w:r>
    </w:p>
    <w:p w14:paraId="12BE8631">
      <w:pPr>
        <w:pStyle w:val="3"/>
        <w:spacing w:before="0" w:after="0" w:line="360" w:lineRule="auto"/>
        <w:jc w:val="center"/>
        <w:rPr>
          <w:rFonts w:hint="eastAsia" w:ascii="宋体" w:hAnsi="宋体" w:eastAsia="宋体" w:cs="宋体"/>
          <w:b/>
          <w:bCs/>
          <w:color w:val="000000" w:themeColor="text1"/>
          <w:sz w:val="44"/>
          <w:szCs w:val="44"/>
          <w:highlight w:val="none"/>
          <w14:textFill>
            <w14:solidFill>
              <w14:schemeClr w14:val="tx1"/>
            </w14:solidFill>
          </w14:textFill>
        </w:rPr>
      </w:pPr>
      <w:bookmarkStart w:id="17" w:name="_Toc27122"/>
      <w:r>
        <w:rPr>
          <w:rFonts w:hint="eastAsia" w:ascii="宋体" w:hAnsi="宋体" w:eastAsia="宋体" w:cs="宋体"/>
          <w:b/>
          <w:bCs/>
          <w:color w:val="000000" w:themeColor="text1"/>
          <w:sz w:val="36"/>
          <w:szCs w:val="36"/>
          <w:highlight w:val="none"/>
          <w14:textFill>
            <w14:solidFill>
              <w14:schemeClr w14:val="tx1"/>
            </w14:solidFill>
          </w14:textFill>
        </w:rPr>
        <w:t>第二章</w:t>
      </w:r>
      <w:r>
        <w:rPr>
          <w:rFonts w:hint="eastAsia" w:ascii="宋体" w:hAnsi="宋体" w:eastAsia="宋体" w:cs="宋体"/>
          <w:b/>
          <w:bCs/>
          <w:color w:val="000000" w:themeColor="text1"/>
          <w:sz w:val="36"/>
          <w:szCs w:val="36"/>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36"/>
          <w:szCs w:val="36"/>
          <w:highlight w:val="none"/>
          <w14:textFill>
            <w14:solidFill>
              <w14:schemeClr w14:val="tx1"/>
            </w14:solidFill>
          </w14:textFill>
        </w:rPr>
        <w:t>供应商须知</w:t>
      </w:r>
      <w:bookmarkEnd w:id="8"/>
      <w:bookmarkEnd w:id="9"/>
      <w:bookmarkEnd w:id="10"/>
      <w:bookmarkEnd w:id="13"/>
      <w:bookmarkEnd w:id="14"/>
      <w:bookmarkEnd w:id="17"/>
    </w:p>
    <w:p w14:paraId="0FA17160">
      <w:pPr>
        <w:pStyle w:val="88"/>
        <w:keepNext w:val="0"/>
        <w:keepLines w:val="0"/>
        <w:pageBreakBefore w:val="0"/>
        <w:widowControl w:val="0"/>
        <w:kinsoku/>
        <w:wordWrap/>
        <w:overflowPunct/>
        <w:topLinePunct w:val="0"/>
        <w:autoSpaceDE/>
        <w:autoSpaceDN/>
        <w:bidi w:val="0"/>
        <w:adjustRightInd/>
        <w:snapToGrid/>
        <w:ind w:left="102" w:right="102"/>
        <w:jc w:val="center"/>
        <w:textAlignment w:val="auto"/>
        <w:outlineLvl w:val="1"/>
        <w:rPr>
          <w:rFonts w:hint="eastAsia" w:ascii="宋体" w:hAnsi="宋体" w:eastAsia="宋体" w:cs="宋体"/>
          <w:color w:val="000000" w:themeColor="text1"/>
          <w:highlight w:val="none"/>
          <w14:textFill>
            <w14:solidFill>
              <w14:schemeClr w14:val="tx1"/>
            </w14:solidFill>
          </w14:textFill>
        </w:rPr>
      </w:pPr>
      <w:bookmarkStart w:id="18" w:name="bookmark60"/>
      <w:bookmarkStart w:id="19" w:name="bookmark62"/>
      <w:bookmarkStart w:id="20" w:name="bookmark61"/>
      <w:r>
        <w:rPr>
          <w:rFonts w:hint="eastAsia" w:ascii="宋体" w:hAnsi="宋体" w:eastAsia="宋体" w:cs="宋体"/>
          <w:color w:val="000000" w:themeColor="text1"/>
          <w:highlight w:val="none"/>
          <w:lang w:eastAsia="zh-CN"/>
          <w14:textFill>
            <w14:solidFill>
              <w14:schemeClr w14:val="tx1"/>
            </w14:solidFill>
          </w14:textFill>
        </w:rPr>
        <w:t>一、</w:t>
      </w:r>
      <w:r>
        <w:rPr>
          <w:rFonts w:hint="eastAsia" w:ascii="宋体" w:hAnsi="宋体" w:eastAsia="宋体" w:cs="宋体"/>
          <w:color w:val="000000" w:themeColor="text1"/>
          <w:highlight w:val="none"/>
          <w14:textFill>
            <w14:solidFill>
              <w14:schemeClr w14:val="tx1"/>
            </w14:solidFill>
          </w14:textFill>
        </w:rPr>
        <w:t>供应商须知前附表</w:t>
      </w:r>
      <w:bookmarkEnd w:id="18"/>
      <w:bookmarkEnd w:id="19"/>
      <w:bookmarkEnd w:id="20"/>
    </w:p>
    <w:tbl>
      <w:tblPr>
        <w:tblStyle w:val="36"/>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2065"/>
        <w:gridCol w:w="5264"/>
      </w:tblGrid>
      <w:tr w14:paraId="4FD34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06568A85">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序号</w:t>
            </w:r>
          </w:p>
        </w:tc>
        <w:tc>
          <w:tcPr>
            <w:tcW w:w="2065" w:type="dxa"/>
            <w:tcBorders>
              <w:top w:val="single" w:color="auto" w:sz="4" w:space="0"/>
              <w:left w:val="nil"/>
              <w:bottom w:val="single" w:color="auto" w:sz="4" w:space="0"/>
              <w:right w:val="single" w:color="auto" w:sz="4" w:space="0"/>
            </w:tcBorders>
            <w:vAlign w:val="center"/>
          </w:tcPr>
          <w:p w14:paraId="4059FCBA">
            <w:pPr>
              <w:keepNext w:val="0"/>
              <w:keepLines w:val="0"/>
              <w:suppressLineNumbers w:val="0"/>
              <w:spacing w:before="0" w:beforeAutospacing="0" w:after="0" w:afterAutospacing="0"/>
              <w:ind w:left="0" w:right="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条款名称</w:t>
            </w:r>
          </w:p>
        </w:tc>
        <w:tc>
          <w:tcPr>
            <w:tcW w:w="5264" w:type="dxa"/>
            <w:tcBorders>
              <w:top w:val="single" w:color="auto" w:sz="4" w:space="0"/>
              <w:left w:val="nil"/>
              <w:bottom w:val="single" w:color="auto" w:sz="4" w:space="0"/>
              <w:right w:val="single" w:color="auto" w:sz="4" w:space="0"/>
            </w:tcBorders>
            <w:vAlign w:val="center"/>
          </w:tcPr>
          <w:p w14:paraId="48831D20">
            <w:pPr>
              <w:keepNext w:val="0"/>
              <w:keepLines w:val="0"/>
              <w:suppressLineNumbers w:val="0"/>
              <w:spacing w:before="0" w:beforeAutospacing="0" w:after="0" w:afterAutospacing="0"/>
              <w:ind w:left="0" w:right="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编列内容</w:t>
            </w:r>
          </w:p>
        </w:tc>
      </w:tr>
      <w:tr w14:paraId="55943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2BF9EBD2">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2065" w:type="dxa"/>
            <w:tcBorders>
              <w:top w:val="single" w:color="auto" w:sz="4" w:space="0"/>
              <w:left w:val="nil"/>
              <w:bottom w:val="single" w:color="auto" w:sz="4" w:space="0"/>
              <w:right w:val="single" w:color="auto" w:sz="4" w:space="0"/>
            </w:tcBorders>
            <w:vAlign w:val="center"/>
          </w:tcPr>
          <w:p w14:paraId="721B480C">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w:t>
            </w:r>
          </w:p>
        </w:tc>
        <w:tc>
          <w:tcPr>
            <w:tcW w:w="5264" w:type="dxa"/>
            <w:tcBorders>
              <w:top w:val="single" w:color="auto" w:sz="4" w:space="0"/>
              <w:left w:val="nil"/>
              <w:bottom w:val="single" w:color="auto" w:sz="4" w:space="0"/>
              <w:right w:val="single" w:color="auto" w:sz="4" w:space="0"/>
            </w:tcBorders>
            <w:vAlign w:val="top"/>
          </w:tcPr>
          <w:p w14:paraId="04D0B7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名</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称：</w:t>
            </w: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延吉市财政局</w:t>
            </w:r>
          </w:p>
          <w:p w14:paraId="5D2D0B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地    址：延吉市天池路3000号</w:t>
            </w:r>
          </w:p>
          <w:p w14:paraId="3A99C0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 系 人：</w:t>
            </w:r>
            <w:r>
              <w:rPr>
                <w:rFonts w:hint="eastAsia" w:ascii="宋体" w:hAnsi="宋体" w:eastAsia="宋体" w:cs="宋体"/>
                <w:color w:val="000000" w:themeColor="text1"/>
                <w:sz w:val="24"/>
                <w:szCs w:val="24"/>
                <w:highlight w:val="none"/>
                <w:lang w:val="en-US" w:eastAsia="zh-CN"/>
                <w14:textFill>
                  <w14:solidFill>
                    <w14:schemeClr w14:val="tx1"/>
                  </w14:solidFill>
                </w14:textFill>
              </w:rPr>
              <w:t>李禹宾</w:t>
            </w:r>
          </w:p>
          <w:p w14:paraId="764949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联系方式：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17644048161</w:t>
            </w:r>
          </w:p>
        </w:tc>
      </w:tr>
      <w:tr w14:paraId="09729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202E0355">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2065" w:type="dxa"/>
            <w:tcBorders>
              <w:top w:val="single" w:color="auto" w:sz="4" w:space="0"/>
              <w:left w:val="nil"/>
              <w:bottom w:val="single" w:color="auto" w:sz="4" w:space="0"/>
              <w:right w:val="single" w:color="auto" w:sz="4" w:space="0"/>
            </w:tcBorders>
            <w:vAlign w:val="center"/>
          </w:tcPr>
          <w:p w14:paraId="7AFE7C08">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招标代理机构</w:t>
            </w:r>
          </w:p>
        </w:tc>
        <w:tc>
          <w:tcPr>
            <w:tcW w:w="5264" w:type="dxa"/>
            <w:tcBorders>
              <w:top w:val="single" w:color="auto" w:sz="4" w:space="0"/>
              <w:left w:val="nil"/>
              <w:bottom w:val="single" w:color="auto" w:sz="4" w:space="0"/>
              <w:right w:val="single" w:color="auto" w:sz="4" w:space="0"/>
            </w:tcBorders>
            <w:vAlign w:val="top"/>
          </w:tcPr>
          <w:p w14:paraId="5DB5C6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称：</w:t>
            </w:r>
            <w:r>
              <w:rPr>
                <w:rFonts w:hint="eastAsia" w:ascii="宋体" w:hAnsi="宋体" w:eastAsia="宋体" w:cs="宋体"/>
                <w:color w:val="000000" w:themeColor="text1"/>
                <w:sz w:val="24"/>
                <w:szCs w:val="24"/>
                <w:highlight w:val="none"/>
                <w:lang w:val="en-US" w:eastAsia="zh-CN"/>
                <w14:textFill>
                  <w14:solidFill>
                    <w14:schemeClr w14:val="tx1"/>
                  </w14:solidFill>
                </w14:textFill>
              </w:rPr>
              <w:t>吉林省长润</w:t>
            </w:r>
            <w:r>
              <w:rPr>
                <w:rFonts w:hint="eastAsia" w:ascii="宋体" w:hAnsi="宋体" w:eastAsia="宋体" w:cs="宋体"/>
                <w:color w:val="000000" w:themeColor="text1"/>
                <w:sz w:val="24"/>
                <w:szCs w:val="24"/>
                <w:highlight w:val="none"/>
                <w14:textFill>
                  <w14:solidFill>
                    <w14:schemeClr w14:val="tx1"/>
                  </w14:solidFill>
                </w14:textFill>
              </w:rPr>
              <w:t>工程咨询有限公司</w:t>
            </w:r>
          </w:p>
          <w:p w14:paraId="5CCFBA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址：</w:t>
            </w:r>
            <w:r>
              <w:rPr>
                <w:rFonts w:hint="eastAsia" w:ascii="宋体" w:hAnsi="宋体" w:eastAsia="宋体" w:cs="宋体"/>
                <w:color w:val="000000" w:themeColor="text1"/>
                <w:sz w:val="24"/>
                <w:szCs w:val="24"/>
                <w:highlight w:val="none"/>
                <w:lang w:val="zh-CN"/>
                <w14:textFill>
                  <w14:solidFill>
                    <w14:schemeClr w14:val="tx1"/>
                  </w14:solidFill>
                </w14:textFill>
              </w:rPr>
              <w:t>延吉市人民路1977号</w:t>
            </w:r>
          </w:p>
          <w:p w14:paraId="69F9F5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系</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人：</w:t>
            </w:r>
            <w:r>
              <w:rPr>
                <w:rFonts w:hint="eastAsia" w:ascii="宋体" w:hAnsi="宋体" w:eastAsia="宋体" w:cs="宋体"/>
                <w:b w:val="0"/>
                <w:bCs w:val="0"/>
                <w:color w:val="auto"/>
                <w:sz w:val="24"/>
                <w:szCs w:val="24"/>
                <w:highlight w:val="none"/>
                <w:lang w:val="zh-CN"/>
              </w:rPr>
              <w:t>孙明峰</w:t>
            </w:r>
          </w:p>
          <w:p w14:paraId="12EA82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话：</w:t>
            </w:r>
            <w:r>
              <w:rPr>
                <w:rFonts w:hint="eastAsia" w:ascii="宋体" w:hAnsi="宋体" w:eastAsia="宋体" w:cs="宋体"/>
                <w:b w:val="0"/>
                <w:bCs w:val="0"/>
                <w:color w:val="auto"/>
                <w:sz w:val="24"/>
                <w:szCs w:val="24"/>
                <w:highlight w:val="none"/>
                <w:lang w:val="en-US" w:eastAsia="zh-CN"/>
              </w:rPr>
              <w:t>18843339002</w:t>
            </w:r>
          </w:p>
          <w:p w14:paraId="748570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电子邮箱：</w:t>
            </w:r>
            <w:r>
              <w:rPr>
                <w:rFonts w:hint="eastAsia" w:ascii="宋体" w:hAnsi="宋体" w:eastAsia="宋体" w:cs="宋体"/>
                <w:color w:val="000000" w:themeColor="text1"/>
                <w:sz w:val="24"/>
                <w:szCs w:val="24"/>
                <w:highlight w:val="none"/>
                <w:lang w:val="en-US" w:eastAsia="zh-CN"/>
                <w14:textFill>
                  <w14:solidFill>
                    <w14:schemeClr w14:val="tx1"/>
                  </w14:solidFill>
                </w14:textFill>
              </w:rPr>
              <w:t>jlcr9999</w:t>
            </w:r>
            <w:r>
              <w:rPr>
                <w:rFonts w:hint="eastAsia" w:ascii="宋体" w:hAnsi="宋体" w:eastAsia="宋体" w:cs="宋体"/>
                <w:color w:val="000000" w:themeColor="text1"/>
                <w:sz w:val="24"/>
                <w:szCs w:val="24"/>
                <w:highlight w:val="none"/>
                <w14:textFill>
                  <w14:solidFill>
                    <w14:schemeClr w14:val="tx1"/>
                  </w14:solidFill>
                </w14:textFill>
              </w:rPr>
              <w:t>@163.com</w:t>
            </w:r>
          </w:p>
        </w:tc>
      </w:tr>
      <w:tr w14:paraId="43CC8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01" w:type="dxa"/>
            <w:vMerge w:val="restart"/>
            <w:tcBorders>
              <w:top w:val="single" w:color="auto" w:sz="4" w:space="0"/>
              <w:left w:val="single" w:color="auto" w:sz="4" w:space="0"/>
              <w:right w:val="single" w:color="auto" w:sz="4" w:space="0"/>
            </w:tcBorders>
            <w:vAlign w:val="center"/>
          </w:tcPr>
          <w:p w14:paraId="3E17526A">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2065" w:type="dxa"/>
            <w:tcBorders>
              <w:top w:val="single" w:color="auto" w:sz="4" w:space="0"/>
              <w:left w:val="nil"/>
              <w:bottom w:val="single" w:color="auto" w:sz="4" w:space="0"/>
              <w:right w:val="single" w:color="auto" w:sz="4" w:space="0"/>
            </w:tcBorders>
            <w:vAlign w:val="center"/>
          </w:tcPr>
          <w:p w14:paraId="11658A7E">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标段划分</w:t>
            </w:r>
          </w:p>
        </w:tc>
        <w:tc>
          <w:tcPr>
            <w:tcW w:w="5264" w:type="dxa"/>
            <w:tcBorders>
              <w:top w:val="single" w:color="auto" w:sz="4" w:space="0"/>
              <w:left w:val="nil"/>
              <w:bottom w:val="single" w:color="auto" w:sz="4" w:space="0"/>
              <w:right w:val="single" w:color="auto" w:sz="4" w:space="0"/>
            </w:tcBorders>
            <w:vAlign w:val="center"/>
          </w:tcPr>
          <w:p w14:paraId="7C4E4533">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5个标段</w:t>
            </w:r>
          </w:p>
        </w:tc>
      </w:tr>
      <w:tr w14:paraId="6443D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01" w:type="dxa"/>
            <w:vMerge w:val="continue"/>
            <w:tcBorders>
              <w:left w:val="single" w:color="auto" w:sz="4" w:space="0"/>
              <w:right w:val="single" w:color="auto" w:sz="4" w:space="0"/>
            </w:tcBorders>
            <w:vAlign w:val="center"/>
          </w:tcPr>
          <w:p w14:paraId="773C1118">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65" w:type="dxa"/>
            <w:tcBorders>
              <w:top w:val="single" w:color="auto" w:sz="4" w:space="0"/>
              <w:left w:val="nil"/>
              <w:bottom w:val="single" w:color="auto" w:sz="4" w:space="0"/>
              <w:right w:val="single" w:color="auto" w:sz="4" w:space="0"/>
            </w:tcBorders>
            <w:vAlign w:val="center"/>
          </w:tcPr>
          <w:p w14:paraId="35F9BBBB">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项目编号</w:t>
            </w:r>
          </w:p>
        </w:tc>
        <w:tc>
          <w:tcPr>
            <w:tcW w:w="5264" w:type="dxa"/>
            <w:tcBorders>
              <w:top w:val="single" w:color="auto" w:sz="4" w:space="0"/>
              <w:left w:val="nil"/>
              <w:bottom w:val="single" w:color="auto" w:sz="4" w:space="0"/>
              <w:right w:val="single" w:color="auto" w:sz="4" w:space="0"/>
            </w:tcBorders>
            <w:vAlign w:val="center"/>
          </w:tcPr>
          <w:p w14:paraId="727EF998">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JLCR2024-CG60</w:t>
            </w:r>
          </w:p>
        </w:tc>
      </w:tr>
      <w:tr w14:paraId="00373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1" w:type="dxa"/>
            <w:vMerge w:val="continue"/>
            <w:tcBorders>
              <w:left w:val="single" w:color="auto" w:sz="4" w:space="0"/>
              <w:bottom w:val="single" w:color="auto" w:sz="4" w:space="0"/>
              <w:right w:val="single" w:color="auto" w:sz="4" w:space="0"/>
            </w:tcBorders>
            <w:vAlign w:val="center"/>
          </w:tcPr>
          <w:p w14:paraId="71046CB7">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65" w:type="dxa"/>
            <w:tcBorders>
              <w:top w:val="single" w:color="auto" w:sz="4" w:space="0"/>
              <w:left w:val="nil"/>
              <w:bottom w:val="single" w:color="auto" w:sz="4" w:space="0"/>
              <w:right w:val="single" w:color="auto" w:sz="4" w:space="0"/>
            </w:tcBorders>
            <w:vAlign w:val="center"/>
          </w:tcPr>
          <w:p w14:paraId="68E77E8C">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tc>
        <w:tc>
          <w:tcPr>
            <w:tcW w:w="5264" w:type="dxa"/>
            <w:tcBorders>
              <w:top w:val="single" w:color="auto" w:sz="4" w:space="0"/>
              <w:left w:val="nil"/>
              <w:bottom w:val="single" w:color="auto" w:sz="4" w:space="0"/>
              <w:right w:val="single" w:color="auto" w:sz="4" w:space="0"/>
            </w:tcBorders>
            <w:vAlign w:val="center"/>
          </w:tcPr>
          <w:p w14:paraId="2245C16A">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b w:val="0"/>
                <w:bCs/>
                <w:i w:val="0"/>
                <w:iCs w:val="0"/>
                <w:color w:val="000000" w:themeColor="text1"/>
                <w:sz w:val="24"/>
                <w:szCs w:val="24"/>
                <w:highlight w:val="none"/>
                <w:u w:val="none"/>
                <w:lang w:val="en-US" w:eastAsia="zh-CN"/>
                <w14:textFill>
                  <w14:solidFill>
                    <w14:schemeClr w14:val="tx1"/>
                  </w14:solidFill>
                </w14:textFill>
              </w:rPr>
              <w:t>延吉市专项债券项目服务采购项目</w:t>
            </w:r>
          </w:p>
        </w:tc>
      </w:tr>
      <w:tr w14:paraId="6BC92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004EB784">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2065" w:type="dxa"/>
            <w:tcBorders>
              <w:top w:val="single" w:color="auto" w:sz="4" w:space="0"/>
              <w:left w:val="nil"/>
              <w:bottom w:val="single" w:color="auto" w:sz="4" w:space="0"/>
              <w:right w:val="single" w:color="auto" w:sz="4" w:space="0"/>
            </w:tcBorders>
            <w:vAlign w:val="center"/>
          </w:tcPr>
          <w:p w14:paraId="5080C873">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项目</w:t>
            </w:r>
            <w:r>
              <w:rPr>
                <w:rFonts w:hint="eastAsia" w:ascii="宋体" w:hAnsi="宋体" w:eastAsia="宋体" w:cs="宋体"/>
                <w:color w:val="000000" w:themeColor="text1"/>
                <w:sz w:val="24"/>
                <w:szCs w:val="24"/>
                <w:highlight w:val="none"/>
                <w14:textFill>
                  <w14:solidFill>
                    <w14:schemeClr w14:val="tx1"/>
                  </w14:solidFill>
                </w14:textFill>
              </w:rPr>
              <w:t>地点</w:t>
            </w:r>
          </w:p>
        </w:tc>
        <w:tc>
          <w:tcPr>
            <w:tcW w:w="5264" w:type="dxa"/>
            <w:tcBorders>
              <w:top w:val="single" w:color="auto" w:sz="4" w:space="0"/>
              <w:left w:val="nil"/>
              <w:bottom w:val="single" w:color="auto" w:sz="4" w:space="0"/>
              <w:right w:val="single" w:color="auto" w:sz="4" w:space="0"/>
            </w:tcBorders>
            <w:vAlign w:val="center"/>
          </w:tcPr>
          <w:p w14:paraId="084DD251">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采购人指定</w:t>
            </w:r>
          </w:p>
        </w:tc>
      </w:tr>
      <w:tr w14:paraId="4143A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47F0D234">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l.2.1</w:t>
            </w:r>
          </w:p>
        </w:tc>
        <w:tc>
          <w:tcPr>
            <w:tcW w:w="2065" w:type="dxa"/>
            <w:tcBorders>
              <w:top w:val="single" w:color="auto" w:sz="4" w:space="0"/>
              <w:left w:val="nil"/>
              <w:bottom w:val="single" w:color="auto" w:sz="4" w:space="0"/>
              <w:right w:val="single" w:color="auto" w:sz="4" w:space="0"/>
            </w:tcBorders>
            <w:vAlign w:val="center"/>
          </w:tcPr>
          <w:p w14:paraId="6D16C5CC">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采购预算</w:t>
            </w:r>
          </w:p>
        </w:tc>
        <w:tc>
          <w:tcPr>
            <w:tcW w:w="5264" w:type="dxa"/>
            <w:tcBorders>
              <w:top w:val="single" w:color="auto" w:sz="4" w:space="0"/>
              <w:left w:val="nil"/>
              <w:bottom w:val="single" w:color="auto" w:sz="4" w:space="0"/>
              <w:right w:val="single" w:color="auto" w:sz="4" w:space="0"/>
            </w:tcBorders>
            <w:vAlign w:val="center"/>
          </w:tcPr>
          <w:p w14:paraId="3DB052F0">
            <w:pPr>
              <w:keepNext w:val="0"/>
              <w:keepLines w:val="0"/>
              <w:pageBreakBefore w:val="0"/>
              <w:widowControl w:val="0"/>
              <w:suppressLineNumbers w:val="0"/>
              <w:tabs>
                <w:tab w:val="left" w:pos="-3675"/>
              </w:tabs>
              <w:kinsoku/>
              <w:wordWrap/>
              <w:overflowPunct/>
              <w:topLinePunct w:val="0"/>
              <w:autoSpaceDE w:val="0"/>
              <w:autoSpaceDN w:val="0"/>
              <w:bidi w:val="0"/>
              <w:adjustRightInd w:val="0"/>
              <w:snapToGrid/>
              <w:spacing w:before="0" w:beforeAutospacing="0" w:after="0" w:afterAutospacing="0" w:line="500" w:lineRule="exact"/>
              <w:ind w:left="0" w:right="97" w:rightChars="46"/>
              <w:jc w:val="left"/>
              <w:textAlignment w:val="auto"/>
              <w:rPr>
                <w:rFonts w:hint="eastAsia" w:ascii="宋体" w:hAnsi="宋体" w:eastAsia="宋体" w:cs="宋体"/>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预算金额：</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人民币</w:t>
            </w:r>
            <w:r>
              <w:rPr>
                <w:rFonts w:hint="eastAsia" w:ascii="宋体" w:hAnsi="宋体" w:cs="宋体"/>
                <w:color w:val="000000" w:themeColor="text1"/>
                <w:sz w:val="24"/>
                <w:szCs w:val="24"/>
                <w:highlight w:val="none"/>
                <w:u w:val="none"/>
                <w:lang w:val="en-US" w:eastAsia="zh-CN"/>
                <w14:textFill>
                  <w14:solidFill>
                    <w14:schemeClr w14:val="tx1"/>
                  </w14:solidFill>
                </w14:textFill>
              </w:rPr>
              <w:t>6,850,000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元</w:t>
            </w:r>
          </w:p>
        </w:tc>
      </w:tr>
      <w:tr w14:paraId="4593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7D0C7E71">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1.2.2</w:t>
            </w:r>
          </w:p>
        </w:tc>
        <w:tc>
          <w:tcPr>
            <w:tcW w:w="2065" w:type="dxa"/>
            <w:tcBorders>
              <w:top w:val="single" w:color="auto" w:sz="4" w:space="0"/>
              <w:left w:val="nil"/>
              <w:bottom w:val="single" w:color="auto" w:sz="4" w:space="0"/>
              <w:right w:val="single" w:color="auto" w:sz="4" w:space="0"/>
            </w:tcBorders>
            <w:vAlign w:val="center"/>
          </w:tcPr>
          <w:p w14:paraId="38873805">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资金来源</w:t>
            </w:r>
          </w:p>
        </w:tc>
        <w:tc>
          <w:tcPr>
            <w:tcW w:w="5264" w:type="dxa"/>
            <w:tcBorders>
              <w:top w:val="single" w:color="auto" w:sz="4" w:space="0"/>
              <w:left w:val="nil"/>
              <w:bottom w:val="single" w:color="auto" w:sz="4" w:space="0"/>
              <w:right w:val="single" w:color="auto" w:sz="4" w:space="0"/>
            </w:tcBorders>
            <w:vAlign w:val="center"/>
          </w:tcPr>
          <w:p w14:paraId="78BBD45B">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政府性基金</w:t>
            </w:r>
          </w:p>
        </w:tc>
      </w:tr>
      <w:tr w14:paraId="3083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716A24A3">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1.2.3</w:t>
            </w:r>
          </w:p>
        </w:tc>
        <w:tc>
          <w:tcPr>
            <w:tcW w:w="2065" w:type="dxa"/>
            <w:tcBorders>
              <w:top w:val="single" w:color="auto" w:sz="4" w:space="0"/>
              <w:left w:val="nil"/>
              <w:bottom w:val="single" w:color="auto" w:sz="4" w:space="0"/>
              <w:right w:val="single" w:color="auto" w:sz="4" w:space="0"/>
            </w:tcBorders>
            <w:vAlign w:val="center"/>
          </w:tcPr>
          <w:p w14:paraId="232833B6">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资金落实情况</w:t>
            </w:r>
          </w:p>
        </w:tc>
        <w:tc>
          <w:tcPr>
            <w:tcW w:w="5264" w:type="dxa"/>
            <w:tcBorders>
              <w:top w:val="single" w:color="auto" w:sz="4" w:space="0"/>
              <w:left w:val="nil"/>
              <w:bottom w:val="single" w:color="auto" w:sz="4" w:space="0"/>
              <w:right w:val="single" w:color="auto" w:sz="4" w:space="0"/>
            </w:tcBorders>
            <w:vAlign w:val="center"/>
          </w:tcPr>
          <w:p w14:paraId="31C8C22E">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已落实</w:t>
            </w:r>
          </w:p>
        </w:tc>
      </w:tr>
      <w:tr w14:paraId="06C72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2C6295AF">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1.3.1</w:t>
            </w:r>
          </w:p>
        </w:tc>
        <w:tc>
          <w:tcPr>
            <w:tcW w:w="2065" w:type="dxa"/>
            <w:tcBorders>
              <w:top w:val="single" w:color="auto" w:sz="4" w:space="0"/>
              <w:left w:val="nil"/>
              <w:bottom w:val="single" w:color="auto" w:sz="4" w:space="0"/>
              <w:right w:val="single" w:color="auto" w:sz="4" w:space="0"/>
            </w:tcBorders>
            <w:vAlign w:val="center"/>
          </w:tcPr>
          <w:p w14:paraId="28F277AA">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w:t>
            </w:r>
            <w:r>
              <w:rPr>
                <w:rFonts w:hint="eastAsia" w:ascii="宋体" w:hAnsi="宋体" w:eastAsia="宋体" w:cs="宋体"/>
                <w:color w:val="000000" w:themeColor="text1"/>
                <w:sz w:val="24"/>
                <w:szCs w:val="24"/>
                <w:highlight w:val="none"/>
                <w:lang w:eastAsia="zh-CN"/>
                <w14:textFill>
                  <w14:solidFill>
                    <w14:schemeClr w14:val="tx1"/>
                  </w14:solidFill>
                </w14:textFill>
              </w:rPr>
              <w:t>内容</w:t>
            </w:r>
          </w:p>
        </w:tc>
        <w:tc>
          <w:tcPr>
            <w:tcW w:w="5264" w:type="dxa"/>
            <w:tcBorders>
              <w:top w:val="single" w:color="auto" w:sz="4" w:space="0"/>
              <w:left w:val="nil"/>
              <w:bottom w:val="single" w:color="auto" w:sz="4" w:space="0"/>
              <w:right w:val="single" w:color="auto" w:sz="4" w:space="0"/>
            </w:tcBorders>
            <w:vAlign w:val="center"/>
          </w:tcPr>
          <w:p w14:paraId="03D599AC">
            <w:pPr>
              <w:keepNext w:val="0"/>
              <w:keepLines w:val="0"/>
              <w:suppressLineNumbers w:val="0"/>
              <w:spacing w:before="0" w:beforeAutospacing="0" w:after="0" w:afterAutospacing="0" w:line="360" w:lineRule="exact"/>
              <w:ind w:left="0" w:right="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专项债券服务采购</w:t>
            </w:r>
          </w:p>
        </w:tc>
      </w:tr>
      <w:tr w14:paraId="50F51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51795C97">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1.3.2</w:t>
            </w:r>
          </w:p>
        </w:tc>
        <w:tc>
          <w:tcPr>
            <w:tcW w:w="2065" w:type="dxa"/>
            <w:tcBorders>
              <w:top w:val="single" w:color="auto" w:sz="4" w:space="0"/>
              <w:left w:val="nil"/>
              <w:bottom w:val="single" w:color="auto" w:sz="4" w:space="0"/>
              <w:right w:val="single" w:color="auto" w:sz="4" w:space="0"/>
            </w:tcBorders>
            <w:vAlign w:val="center"/>
          </w:tcPr>
          <w:p w14:paraId="2FBB0A71">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合同履行期限</w:t>
            </w:r>
          </w:p>
        </w:tc>
        <w:tc>
          <w:tcPr>
            <w:tcW w:w="5264" w:type="dxa"/>
            <w:tcBorders>
              <w:top w:val="nil"/>
              <w:left w:val="nil"/>
              <w:bottom w:val="single" w:color="auto" w:sz="4" w:space="0"/>
              <w:right w:val="single" w:color="auto" w:sz="4" w:space="0"/>
            </w:tcBorders>
            <w:vAlign w:val="center"/>
          </w:tcPr>
          <w:p w14:paraId="783EE8CD">
            <w:pPr>
              <w:keepNext w:val="0"/>
              <w:keepLines w:val="0"/>
              <w:suppressLineNumbers w:val="0"/>
              <w:spacing w:before="0" w:beforeAutospacing="0" w:after="0" w:afterAutospacing="0" w:line="360" w:lineRule="exact"/>
              <w:ind w:left="0" w:right="0"/>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自合同签订之日起至</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1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年</w:t>
            </w:r>
            <w:r>
              <w:rPr>
                <w:rFonts w:hint="eastAsia" w:ascii="宋体" w:hAnsi="宋体" w:eastAsia="宋体" w:cs="宋体"/>
                <w:color w:val="000000" w:themeColor="text1"/>
                <w:sz w:val="24"/>
                <w:szCs w:val="24"/>
                <w:highlight w:val="none"/>
                <w:lang w:val="zh-CN"/>
                <w14:textFill>
                  <w14:solidFill>
                    <w14:schemeClr w14:val="tx1"/>
                  </w14:solidFill>
                </w14:textFill>
              </w:rPr>
              <w:t>内完成</w:t>
            </w:r>
            <w:r>
              <w:rPr>
                <w:rFonts w:hint="eastAsia" w:ascii="宋体" w:hAnsi="宋体" w:eastAsia="宋体" w:cs="宋体"/>
                <w:color w:val="000000" w:themeColor="text1"/>
                <w:sz w:val="24"/>
                <w:szCs w:val="24"/>
                <w:highlight w:val="none"/>
                <w14:textFill>
                  <w14:solidFill>
                    <w14:schemeClr w14:val="tx1"/>
                  </w14:solidFill>
                </w14:textFill>
              </w:rPr>
              <w:t>。</w:t>
            </w:r>
          </w:p>
        </w:tc>
      </w:tr>
      <w:tr w14:paraId="2776B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37BB13DB">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1.3.3</w:t>
            </w:r>
          </w:p>
        </w:tc>
        <w:tc>
          <w:tcPr>
            <w:tcW w:w="2065" w:type="dxa"/>
            <w:tcBorders>
              <w:top w:val="single" w:color="auto" w:sz="4" w:space="0"/>
              <w:left w:val="nil"/>
              <w:bottom w:val="single" w:color="auto" w:sz="4" w:space="0"/>
              <w:right w:val="single" w:color="auto" w:sz="4" w:space="0"/>
            </w:tcBorders>
            <w:vAlign w:val="center"/>
          </w:tcPr>
          <w:p w14:paraId="67277EE5">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服务</w:t>
            </w:r>
            <w:r>
              <w:rPr>
                <w:rFonts w:hint="eastAsia" w:ascii="宋体" w:hAnsi="宋体" w:eastAsia="宋体" w:cs="宋体"/>
                <w:color w:val="000000" w:themeColor="text1"/>
                <w:sz w:val="24"/>
                <w:szCs w:val="24"/>
                <w:highlight w:val="none"/>
                <w14:textFill>
                  <w14:solidFill>
                    <w14:schemeClr w14:val="tx1"/>
                  </w14:solidFill>
                </w14:textFill>
              </w:rPr>
              <w:t>要求</w:t>
            </w:r>
          </w:p>
        </w:tc>
        <w:tc>
          <w:tcPr>
            <w:tcW w:w="5264" w:type="dxa"/>
            <w:tcBorders>
              <w:top w:val="single" w:color="auto" w:sz="4" w:space="0"/>
              <w:left w:val="nil"/>
              <w:bottom w:val="single" w:color="auto" w:sz="4" w:space="0"/>
              <w:right w:val="single" w:color="auto" w:sz="4" w:space="0"/>
            </w:tcBorders>
            <w:vAlign w:val="center"/>
          </w:tcPr>
          <w:p w14:paraId="4F00FD33">
            <w:pPr>
              <w:keepNext w:val="0"/>
              <w:keepLines w:val="0"/>
              <w:widowControl/>
              <w:suppressLineNumbers w:val="0"/>
              <w:spacing w:before="0" w:beforeAutospacing="0" w:after="0" w:afterAutospacing="0" w:line="360" w:lineRule="exact"/>
              <w:ind w:left="0" w:right="0"/>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符合现行国家及行业合格标准</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p>
        </w:tc>
      </w:tr>
      <w:tr w14:paraId="06210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76C40249">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1.4.1</w:t>
            </w:r>
          </w:p>
        </w:tc>
        <w:tc>
          <w:tcPr>
            <w:tcW w:w="2065" w:type="dxa"/>
            <w:tcBorders>
              <w:top w:val="single" w:color="auto" w:sz="4" w:space="0"/>
              <w:left w:val="nil"/>
              <w:bottom w:val="single" w:color="auto" w:sz="4" w:space="0"/>
              <w:right w:val="single" w:color="auto" w:sz="4" w:space="0"/>
            </w:tcBorders>
            <w:vAlign w:val="center"/>
          </w:tcPr>
          <w:p w14:paraId="57DC5FCF">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供应商资质条件、能力和信誉</w:t>
            </w:r>
          </w:p>
        </w:tc>
        <w:tc>
          <w:tcPr>
            <w:tcW w:w="5264" w:type="dxa"/>
            <w:tcBorders>
              <w:top w:val="single" w:color="auto" w:sz="4" w:space="0"/>
              <w:left w:val="nil"/>
              <w:bottom w:val="single" w:color="auto" w:sz="4" w:space="0"/>
              <w:right w:val="single" w:color="auto" w:sz="4" w:space="0"/>
            </w:tcBorders>
            <w:vAlign w:val="center"/>
          </w:tcPr>
          <w:p w14:paraId="2BF14132">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40" w:lineRule="exact"/>
              <w:ind w:left="0" w:right="0" w:firstLine="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资质条件：</w:t>
            </w:r>
            <w:r>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pacing w:val="0"/>
                <w:w w:val="100"/>
                <w:position w:val="0"/>
                <w:sz w:val="24"/>
                <w:szCs w:val="24"/>
                <w:highlight w:val="none"/>
                <w:lang w:val="en-US" w:eastAsia="zh-CN"/>
                <w14:textFill>
                  <w14:solidFill>
                    <w14:schemeClr w14:val="tx1"/>
                  </w14:solidFill>
                </w14:textFill>
              </w:rPr>
              <w:t>1</w:t>
            </w:r>
            <w:r>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须符合《中华人民共和国政府采购法》第二十二条的规定，在中华人民共和国境内注册，能够独立承担民事责任、具有良好的商业信誉和健全的财务会计制度；具有履行合同所必须的设备和专业技术能力；</w:t>
            </w:r>
            <w:r>
              <w:rPr>
                <w:rFonts w:hint="eastAsia" w:ascii="宋体" w:hAnsi="宋体" w:eastAsia="宋体" w:cs="宋体"/>
                <w:b w:val="0"/>
                <w:bCs w:val="0"/>
                <w:color w:val="000000" w:themeColor="text1"/>
                <w:sz w:val="24"/>
                <w:szCs w:val="24"/>
                <w:highlight w:val="none"/>
                <w:lang w:val="zh-CN"/>
                <w14:textFill>
                  <w14:solidFill>
                    <w14:schemeClr w14:val="tx1"/>
                  </w14:solidFill>
                </w14:textFill>
              </w:rPr>
              <w:t>有依法</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依法缴纳税收和良好的社会保障资金；</w:t>
            </w:r>
            <w:r>
              <w:rPr>
                <w:rFonts w:hint="eastAsia" w:ascii="宋体" w:hAnsi="宋体" w:eastAsia="宋体" w:cs="宋体"/>
                <w:b w:val="0"/>
                <w:bCs w:val="0"/>
                <w:color w:val="000000" w:themeColor="text1"/>
                <w:spacing w:val="0"/>
                <w:w w:val="100"/>
                <w:position w:val="0"/>
                <w:sz w:val="24"/>
                <w:szCs w:val="24"/>
                <w:highlight w:val="none"/>
                <w:lang w:val="en-US" w:eastAsia="zh-CN"/>
                <w14:textFill>
                  <w14:solidFill>
                    <w14:schemeClr w14:val="tx1"/>
                  </w14:solidFill>
                </w14:textFill>
              </w:rPr>
              <w:t>参加政府活动采购活动前三年内，</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在经营活动中没有重大违法记录；法律、行政法规规定的其他条件；</w:t>
            </w:r>
          </w:p>
          <w:p w14:paraId="31567A2F">
            <w:pPr>
              <w:pStyle w:val="83"/>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snapToGrid/>
              <w:spacing w:before="0" w:beforeAutospacing="0" w:after="160" w:afterAutospacing="0" w:line="340" w:lineRule="exact"/>
              <w:ind w:left="0" w:leftChars="0" w:right="0" w:rightChars="0"/>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pacing w:val="-7"/>
                <w:sz w:val="24"/>
                <w:szCs w:val="24"/>
                <w:highlight w:val="none"/>
                <w:lang w:eastAsia="zh-CN"/>
                <w14:textFill>
                  <w14:solidFill>
                    <w14:schemeClr w14:val="tx1"/>
                  </w14:solidFill>
                </w14:textFill>
              </w:rPr>
              <w:t>供应商必须是具有独立承担民事责任能力的在中华人民共和国境内注册的法人或其他组织，投标时提交有效的营业执照副本，</w:t>
            </w:r>
            <w:r>
              <w:rPr>
                <w:rFonts w:hint="eastAsia" w:ascii="宋体" w:hAnsi="宋体" w:eastAsia="宋体" w:cs="宋体"/>
                <w:b/>
                <w:bCs w:val="0"/>
                <w:color w:val="000000" w:themeColor="text1"/>
                <w:spacing w:val="-7"/>
                <w:sz w:val="24"/>
                <w:szCs w:val="24"/>
                <w:highlight w:val="none"/>
                <w:lang w:eastAsia="zh-CN"/>
                <w14:textFill>
                  <w14:solidFill>
                    <w14:schemeClr w14:val="tx1"/>
                  </w14:solidFill>
                </w14:textFill>
              </w:rPr>
              <w:t>并要求每标段具备以下资格：①第一标段具备行政主管部门颁发的有效期内的《律师事务所执业许可证》或《律师事务所分所执业许可证》，分支机构参与本项目的提交总公司授权书原件须加盖总公司公章；②第二标段具备行政主管部门颁发的有效期内的《会计师事务所执业证书》，分支机构参与本项目的提交总公司授权书原件须加盖总公司公章；③第三标段具备行政主管部门颁发的有效期内的《工程咨询单位资信证书》（建筑、市政公用工程）乙级（含）及以上资质，分支机构参与本项目的提交总公司授权书原件须加盖总公司公章；④第四标段具备本标段相适应的相关经营范围（</w:t>
            </w:r>
            <w:r>
              <w:rPr>
                <w:rFonts w:hint="eastAsia" w:ascii="宋体" w:hAnsi="宋体" w:eastAsia="宋体" w:cs="宋体"/>
                <w:b/>
                <w:bCs/>
                <w:color w:val="000000" w:themeColor="text1"/>
                <w:sz w:val="24"/>
                <w:szCs w:val="24"/>
                <w:highlight w:val="none"/>
                <w:lang w:eastAsia="zh-CN"/>
                <w14:textFill>
                  <w14:solidFill>
                    <w14:schemeClr w14:val="tx1"/>
                  </w14:solidFill>
                </w14:textFill>
              </w:rPr>
              <w:t>绩效评价</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等相关范围</w:t>
            </w:r>
            <w:r>
              <w:rPr>
                <w:rFonts w:hint="eastAsia" w:ascii="宋体" w:hAnsi="宋体" w:eastAsia="宋体" w:cs="宋体"/>
                <w:b/>
                <w:bCs w:val="0"/>
                <w:color w:val="000000" w:themeColor="text1"/>
                <w:spacing w:val="-7"/>
                <w:sz w:val="24"/>
                <w:szCs w:val="24"/>
                <w:highlight w:val="none"/>
                <w:lang w:eastAsia="zh-CN"/>
                <w14:textFill>
                  <w14:solidFill>
                    <w14:schemeClr w14:val="tx1"/>
                  </w14:solidFill>
                </w14:textFill>
              </w:rPr>
              <w:t>）；⑤第五标段具备本标段相适应的相关经营范围，</w:t>
            </w:r>
            <w:r>
              <w:rPr>
                <w:rFonts w:hint="eastAsia" w:ascii="宋体" w:hAnsi="宋体" w:eastAsia="宋体" w:cs="宋体"/>
                <w:b w:val="0"/>
                <w:bCs/>
                <w:color w:val="000000" w:themeColor="text1"/>
                <w:spacing w:val="-7"/>
                <w:sz w:val="24"/>
                <w:szCs w:val="24"/>
                <w:highlight w:val="none"/>
                <w:lang w:eastAsia="zh-CN"/>
                <w14:textFill>
                  <w14:solidFill>
                    <w14:schemeClr w14:val="tx1"/>
                  </w14:solidFill>
                </w14:textFill>
              </w:rPr>
              <w:t>另具有相应的人员、设备、资金、经验等方面的能力</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p>
          <w:p w14:paraId="017E9389">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160" w:afterAutospacing="0" w:line="340" w:lineRule="exact"/>
              <w:ind w:left="0" w:right="0" w:firstLine="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财务要求：</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近年度（2023年度）</w:t>
            </w:r>
            <w:r>
              <w:rPr>
                <w:rFonts w:hint="eastAsia" w:ascii="宋体" w:hAnsi="宋体" w:eastAsia="宋体" w:cs="宋体"/>
                <w:b w:val="0"/>
                <w:bCs w:val="0"/>
                <w:color w:val="000000" w:themeColor="text1"/>
                <w:sz w:val="24"/>
                <w:szCs w:val="24"/>
                <w:highlight w:val="none"/>
                <w:lang w:val="zh-CN" w:eastAsia="zh-CN"/>
                <w14:textFill>
                  <w14:solidFill>
                    <w14:schemeClr w14:val="tx1"/>
                  </w14:solidFill>
                </w14:textFill>
              </w:rPr>
              <w:t>经会计师事务所出具的财务审计报告或财务报表（含资产负债表、现金流量表、利润表），</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新成立企业提供当年验资报告或银行出具的公司资信证明。</w:t>
            </w:r>
          </w:p>
          <w:p w14:paraId="5F8055DD">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40" w:lineRule="exact"/>
              <w:ind w:left="0" w:right="0" w:firstLine="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信誉要求：</w:t>
            </w:r>
          </w:p>
          <w:p w14:paraId="1D4DF2AD">
            <w:pPr>
              <w:pStyle w:val="83"/>
              <w:keepNext w:val="0"/>
              <w:keepLines w:val="0"/>
              <w:pageBreakBefore w:val="0"/>
              <w:widowControl w:val="0"/>
              <w:suppressLineNumbers w:val="0"/>
              <w:shd w:val="clear" w:color="auto" w:fill="auto"/>
              <w:tabs>
                <w:tab w:val="left" w:pos="422"/>
              </w:tabs>
              <w:kinsoku/>
              <w:wordWrap/>
              <w:overflowPunct/>
              <w:topLinePunct w:val="0"/>
              <w:autoSpaceDE/>
              <w:autoSpaceDN/>
              <w:bidi w:val="0"/>
              <w:adjustRightInd/>
              <w:snapToGrid/>
              <w:spacing w:before="0" w:beforeAutospacing="0" w:after="0" w:afterAutospacing="0" w:line="340" w:lineRule="exact"/>
              <w:ind w:left="0" w:right="0" w:firstLine="0"/>
              <w:jc w:val="both"/>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（1）拒绝列入政府取消投标资格记录期间的企业或个人投标（提供由法定代表人或其委托代理人签字并加盖单位公章的承诺书）；</w:t>
            </w:r>
          </w:p>
          <w:p w14:paraId="672EF0B8">
            <w:pPr>
              <w:pStyle w:val="83"/>
              <w:keepNext w:val="0"/>
              <w:keepLines w:val="0"/>
              <w:pageBreakBefore w:val="0"/>
              <w:widowControl w:val="0"/>
              <w:suppressLineNumbers w:val="0"/>
              <w:shd w:val="clear" w:color="auto" w:fill="auto"/>
              <w:tabs>
                <w:tab w:val="left" w:pos="528"/>
              </w:tabs>
              <w:kinsoku/>
              <w:wordWrap/>
              <w:overflowPunct/>
              <w:topLinePunct w:val="0"/>
              <w:autoSpaceDE/>
              <w:autoSpaceDN/>
              <w:bidi w:val="0"/>
              <w:adjustRightInd/>
              <w:snapToGrid/>
              <w:spacing w:before="0" w:beforeAutospacing="0" w:after="0" w:afterAutospacing="0" w:line="340" w:lineRule="exact"/>
              <w:ind w:left="0" w:right="0" w:firstLine="0"/>
              <w:jc w:val="both"/>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w:t>
            </w:r>
            <w:r>
              <w:rPr>
                <w:rFonts w:hint="eastAsia" w:ascii="宋体" w:hAnsi="宋体" w:eastAsia="宋体" w:cs="宋体"/>
                <w:b w:val="0"/>
                <w:bCs w:val="0"/>
                <w:color w:val="000000" w:themeColor="text1"/>
                <w:spacing w:val="0"/>
                <w:w w:val="100"/>
                <w:position w:val="0"/>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）供应商须对供应商、法定代表人、</w:t>
            </w:r>
            <w:r>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t>拟委任的项目负责人进行行贿犯罪档案查询</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（登录中国裁判文书网自行查询）。（查询时间范围必须包括：本项目信息公告发布之日起（含公告发布当日）前三年）；（须提供网络截图加盖公章）</w:t>
            </w:r>
          </w:p>
          <w:p w14:paraId="7C854E59">
            <w:pPr>
              <w:pStyle w:val="83"/>
              <w:keepNext w:val="0"/>
              <w:keepLines w:val="0"/>
              <w:pageBreakBefore w:val="0"/>
              <w:widowControl w:val="0"/>
              <w:suppressLineNumbers w:val="0"/>
              <w:shd w:val="clear" w:color="auto" w:fill="auto"/>
              <w:tabs>
                <w:tab w:val="left" w:pos="427"/>
              </w:tabs>
              <w:kinsoku/>
              <w:wordWrap/>
              <w:overflowPunct/>
              <w:topLinePunct w:val="0"/>
              <w:autoSpaceDE/>
              <w:autoSpaceDN/>
              <w:bidi w:val="0"/>
              <w:adjustRightInd/>
              <w:snapToGrid/>
              <w:spacing w:before="0" w:beforeAutospacing="0" w:after="0" w:afterAutospacing="0" w:line="340" w:lineRule="exact"/>
              <w:ind w:left="0" w:right="0" w:firstLine="0"/>
              <w:jc w:val="both"/>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w:t>
            </w:r>
            <w:r>
              <w:rPr>
                <w:rFonts w:hint="eastAsia" w:ascii="宋体" w:hAnsi="宋体" w:eastAsia="宋体" w:cs="宋体"/>
                <w:b w:val="0"/>
                <w:bCs w:val="0"/>
                <w:color w:val="000000" w:themeColor="text1"/>
                <w:spacing w:val="0"/>
                <w:w w:val="100"/>
                <w:position w:val="0"/>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）未被工商行政管理机关在全国企业信用信息公示系统</w:t>
            </w:r>
            <w:r>
              <w:rPr>
                <w:rFonts w:hint="eastAsia" w:ascii="宋体" w:hAnsi="宋体" w:eastAsia="宋体" w:cs="宋体"/>
                <w:b w:val="0"/>
                <w:bCs w:val="0"/>
                <w:color w:val="000000" w:themeColor="text1"/>
                <w:spacing w:val="0"/>
                <w:w w:val="100"/>
                <w:position w:val="0"/>
                <w:sz w:val="24"/>
                <w:szCs w:val="24"/>
                <w:highlight w:val="none"/>
                <w:lang w:val="en-US" w:eastAsia="en-US" w:bidi="en-US"/>
                <w14:textFill>
                  <w14:solidFill>
                    <w14:schemeClr w14:val="tx1"/>
                  </w14:solidFill>
                </w14:textFill>
              </w:rPr>
              <w:t>（http://www.gsxt.gov.cn/）</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中列入严重违法失信企业名单；（须提供网络截图加盖公章）</w:t>
            </w:r>
          </w:p>
          <w:p w14:paraId="14B4676D">
            <w:pPr>
              <w:pStyle w:val="83"/>
              <w:keepNext w:val="0"/>
              <w:keepLines w:val="0"/>
              <w:pageBreakBefore w:val="0"/>
              <w:widowControl w:val="0"/>
              <w:suppressLineNumbers w:val="0"/>
              <w:shd w:val="clear" w:color="auto" w:fill="auto"/>
              <w:tabs>
                <w:tab w:val="left" w:pos="422"/>
              </w:tabs>
              <w:kinsoku/>
              <w:wordWrap/>
              <w:overflowPunct/>
              <w:topLinePunct w:val="0"/>
              <w:autoSpaceDE/>
              <w:autoSpaceDN/>
              <w:bidi w:val="0"/>
              <w:adjustRightInd/>
              <w:snapToGrid/>
              <w:spacing w:before="0" w:beforeAutospacing="0" w:after="0" w:afterAutospacing="0" w:line="340" w:lineRule="exact"/>
              <w:ind w:left="0" w:right="0" w:firstLine="0"/>
              <w:jc w:val="both"/>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w:t>
            </w:r>
            <w:r>
              <w:rPr>
                <w:rFonts w:hint="eastAsia" w:ascii="宋体" w:hAnsi="宋体" w:eastAsia="宋体" w:cs="宋体"/>
                <w:b w:val="0"/>
                <w:bCs w:val="0"/>
                <w:color w:val="000000" w:themeColor="text1"/>
                <w:spacing w:val="0"/>
                <w:w w:val="100"/>
                <w:position w:val="0"/>
                <w:sz w:val="24"/>
                <w:szCs w:val="24"/>
                <w:highlight w:val="none"/>
                <w:lang w:val="en-US" w:eastAsia="zh-CN"/>
                <w14:textFill>
                  <w14:solidFill>
                    <w14:schemeClr w14:val="tx1"/>
                  </w14:solidFill>
                </w14:textFill>
              </w:rPr>
              <w:t>4</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）供应商未被列入</w:t>
            </w:r>
            <w:r>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信用</w:t>
            </w:r>
            <w:r>
              <w:rPr>
                <w:rFonts w:hint="eastAsia" w:ascii="宋体" w:hAnsi="宋体" w:eastAsia="宋体" w:cs="宋体"/>
                <w:b w:val="0"/>
                <w:bCs w:val="0"/>
                <w:color w:val="000000" w:themeColor="text1"/>
                <w:spacing w:val="0"/>
                <w:w w:val="100"/>
                <w:position w:val="0"/>
                <w:sz w:val="24"/>
                <w:szCs w:val="24"/>
                <w:highlight w:val="none"/>
                <w:lang w:val="zh-CN" w:eastAsia="zh-CN" w:bidi="zh-CN"/>
                <w14:textFill>
                  <w14:solidFill>
                    <w14:schemeClr w14:val="tx1"/>
                  </w14:solidFill>
                </w14:textFill>
              </w:rPr>
              <w:t>中国”</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网站</w:t>
            </w:r>
          </w:p>
          <w:p w14:paraId="7DAC8B14">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40" w:lineRule="exact"/>
              <w:ind w:left="0" w:right="0" w:firstLine="0"/>
              <w:jc w:val="both"/>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4"/>
                <w:szCs w:val="24"/>
                <w:highlight w:val="none"/>
                <w:lang w:val="en-US" w:eastAsia="en-US" w:bidi="en-US"/>
                <w14:textFill>
                  <w14:solidFill>
                    <w14:schemeClr w14:val="tx1"/>
                  </w14:solidFill>
                </w14:textFill>
              </w:rPr>
              <w:t>（www.creditchina.gov.cn）</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、中国政府采购网</w:t>
            </w:r>
          </w:p>
          <w:p w14:paraId="213AD6ED">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40" w:lineRule="exact"/>
              <w:ind w:left="0" w:right="0" w:firstLine="0"/>
              <w:jc w:val="both"/>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4"/>
                <w:szCs w:val="24"/>
                <w:highlight w:val="none"/>
                <w:lang w:val="en-US" w:eastAsia="en-US" w:bidi="en-US"/>
                <w14:textFill>
                  <w14:solidFill>
                    <w14:schemeClr w14:val="tx1"/>
                  </w14:solidFill>
                </w14:textFill>
              </w:rPr>
              <w:t>（www.ccgp.gov.cn）</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等渠道信用记录失信被执行人、</w:t>
            </w:r>
            <w:r>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t>重大税收违法失信主体</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、政府采购严重违法失信行为记录名单；（须提供网络截图</w:t>
            </w:r>
            <w:r>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t>加盖公章</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w:t>
            </w:r>
          </w:p>
          <w:p w14:paraId="3057C3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pPr>
          </w:p>
          <w:p w14:paraId="3E6FE9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项目</w:t>
            </w: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经理</w:t>
            </w: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资格</w:t>
            </w: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要求</w:t>
            </w: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供应商须具有保证项目顺利实施完成的人员和专业技术能力条件，并拟派往本项目每标段的负责人应具备以下资格要求：①第一标段具备《中华人民共和国律师执业证》；②第二标段具备注册会计师资格证书；③第三标段具备高级工程师职称；④第四标段具备应具备以下任意一项要求：1）具备国家注册咨询师并同时具有中级及以上经济师职称；2）具备注册造价工程师并同时具有中级及以上职称；3）具备注册会计师同时具有中级及以上会计师职称；</w:t>
            </w:r>
            <w:r>
              <w:rPr>
                <w:rFonts w:hint="eastAsia" w:ascii="宋体" w:hAnsi="宋体" w:eastAsia="宋体" w:cs="宋体"/>
                <w:b/>
                <w:bCs/>
                <w:color w:val="000000" w:themeColor="text1"/>
                <w:sz w:val="24"/>
                <w:szCs w:val="24"/>
                <w:highlight w:val="none"/>
                <w:lang w:eastAsia="zh-CN"/>
                <w14:textFill>
                  <w14:solidFill>
                    <w14:schemeClr w14:val="tx1"/>
                  </w14:solidFill>
                </w14:textFill>
              </w:rPr>
              <w:t>⑤第五标段</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具备高级工程师职称；</w:t>
            </w:r>
          </w:p>
          <w:p w14:paraId="0521E4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b/>
                <w:bCs/>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提供项目负责人</w:t>
            </w:r>
            <w:r>
              <w:rPr>
                <w:rFonts w:hint="eastAsia" w:ascii="宋体" w:hAnsi="宋体" w:eastAsia="宋体" w:cs="宋体"/>
                <w:b/>
                <w:bCs/>
                <w:color w:val="000000" w:themeColor="text1"/>
                <w:sz w:val="24"/>
                <w:szCs w:val="24"/>
                <w:highlight w:val="none"/>
                <w:lang w:eastAsia="zh-CN"/>
                <w14:textFill>
                  <w14:solidFill>
                    <w14:schemeClr w14:val="tx1"/>
                  </w14:solidFill>
                </w14:textFill>
              </w:rPr>
              <w:t>投标截止日期前六个月内任意一个月的社保缴费证明及劳动合同。</w:t>
            </w:r>
          </w:p>
          <w:p w14:paraId="42F139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pPr>
          </w:p>
          <w:p w14:paraId="471B4B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其他要求：</w:t>
            </w:r>
          </w:p>
          <w:p w14:paraId="43335D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b w:val="0"/>
                <w:bCs w:val="0"/>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pacing w:val="0"/>
                <w:w w:val="100"/>
                <w:position w:val="0"/>
                <w:sz w:val="24"/>
                <w:szCs w:val="24"/>
                <w:highlight w:val="none"/>
                <w:lang w:val="en-US" w:eastAsia="zh-CN"/>
                <w14:textFill>
                  <w14:solidFill>
                    <w14:schemeClr w14:val="tx1"/>
                  </w14:solidFill>
                </w14:textFill>
              </w:rPr>
              <w:t>1</w:t>
            </w:r>
            <w:r>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本项目中标人不允许转包、拆包</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p>
          <w:p w14:paraId="0F0976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宋体" w:hAnsi="宋体" w:eastAsia="宋体" w:cs="宋体"/>
                <w:b w:val="0"/>
                <w:bCs w:val="0"/>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zh-CN"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lang w:val="zh-CN"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企业名称不同但法定代表人为同一个自然人的两个或者两个以上的投标人不得参加同一采购项目的投标；单位负责人为同一人或者存在控股、管理关系的不同单位，不得参加同一标段投标或者未划分标段的同一招标项目投标。如果出现上述情况，相关投标人的投标均将被拒绝</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p>
          <w:p w14:paraId="4E5BDEFF">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80" w:afterAutospacing="0" w:line="340" w:lineRule="exact"/>
              <w:ind w:left="0" w:right="0" w:firstLine="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本项目兼投不兼中（本项目共5个标段，一个供应商最多能中标1个标段）。</w:t>
            </w:r>
          </w:p>
          <w:p w14:paraId="64A71676">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80" w:afterAutospacing="0" w:line="340" w:lineRule="exact"/>
              <w:ind w:left="0" w:right="0" w:firstLine="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 w:val="0"/>
                <w:bCs w:val="0"/>
                <w:color w:val="000000" w:themeColor="text1"/>
                <w:sz w:val="24"/>
                <w:szCs w:val="24"/>
                <w:highlight w:val="none"/>
                <w:lang w:val="zh-CN"/>
                <w14:textFill>
                  <w14:solidFill>
                    <w14:schemeClr w14:val="tx1"/>
                  </w14:solidFill>
                </w14:textFill>
              </w:rPr>
              <w:t>投标人须提供投标截止日期前六个月内任意一个月的依法缴纳税收和社会保障资金相关证明材料。</w:t>
            </w:r>
          </w:p>
        </w:tc>
      </w:tr>
      <w:tr w14:paraId="7AB97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6F6B9CE6">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1.4.2</w:t>
            </w:r>
          </w:p>
        </w:tc>
        <w:tc>
          <w:tcPr>
            <w:tcW w:w="2065" w:type="dxa"/>
            <w:tcBorders>
              <w:top w:val="single" w:color="auto" w:sz="4" w:space="0"/>
              <w:left w:val="nil"/>
              <w:bottom w:val="single" w:color="auto" w:sz="4" w:space="0"/>
              <w:right w:val="single" w:color="auto" w:sz="4" w:space="0"/>
            </w:tcBorders>
            <w:vAlign w:val="center"/>
          </w:tcPr>
          <w:p w14:paraId="52E6D6E9">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是否接受联合体投标</w:t>
            </w:r>
          </w:p>
        </w:tc>
        <w:tc>
          <w:tcPr>
            <w:tcW w:w="5264" w:type="dxa"/>
            <w:tcBorders>
              <w:top w:val="single" w:color="auto" w:sz="4" w:space="0"/>
              <w:left w:val="nil"/>
              <w:bottom w:val="single" w:color="auto" w:sz="4" w:space="0"/>
              <w:right w:val="single" w:color="auto" w:sz="4" w:space="0"/>
            </w:tcBorders>
          </w:tcPr>
          <w:p w14:paraId="3354D8AA">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不接受</w:t>
            </w:r>
          </w:p>
          <w:p w14:paraId="4CD47862">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□接受，应满足下列要求：</w:t>
            </w:r>
          </w:p>
        </w:tc>
      </w:tr>
      <w:tr w14:paraId="34997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6CE1BA63">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1.4.3</w:t>
            </w:r>
          </w:p>
        </w:tc>
        <w:tc>
          <w:tcPr>
            <w:tcW w:w="2065" w:type="dxa"/>
            <w:tcBorders>
              <w:top w:val="single" w:color="auto" w:sz="4" w:space="0"/>
              <w:left w:val="nil"/>
              <w:bottom w:val="single" w:color="auto" w:sz="4" w:space="0"/>
              <w:right w:val="single" w:color="auto" w:sz="4" w:space="0"/>
            </w:tcBorders>
            <w:vAlign w:val="center"/>
          </w:tcPr>
          <w:p w14:paraId="4B881BA5">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不得存在的情形</w:t>
            </w:r>
          </w:p>
        </w:tc>
        <w:tc>
          <w:tcPr>
            <w:tcW w:w="5264" w:type="dxa"/>
            <w:tcBorders>
              <w:top w:val="single" w:color="auto" w:sz="4" w:space="0"/>
              <w:left w:val="nil"/>
              <w:bottom w:val="single" w:color="auto" w:sz="4" w:space="0"/>
              <w:right w:val="single" w:color="auto" w:sz="4" w:space="0"/>
            </w:tcBorders>
            <w:vAlign w:val="center"/>
          </w:tcPr>
          <w:p w14:paraId="700D433E">
            <w:pPr>
              <w:keepNext w:val="0"/>
              <w:keepLines w:val="0"/>
              <w:suppressLineNumbers w:val="0"/>
              <w:autoSpaceDE w:val="0"/>
              <w:autoSpaceDN w:val="0"/>
              <w:adjustRightInd w:val="0"/>
              <w:spacing w:before="0" w:beforeAutospacing="0" w:after="0" w:afterAutospacing="0" w:line="360" w:lineRule="exact"/>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无</w:t>
            </w:r>
          </w:p>
        </w:tc>
      </w:tr>
      <w:tr w14:paraId="613CB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3BEB6470">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1.9.1</w:t>
            </w:r>
          </w:p>
        </w:tc>
        <w:tc>
          <w:tcPr>
            <w:tcW w:w="2065" w:type="dxa"/>
            <w:tcBorders>
              <w:top w:val="single" w:color="auto" w:sz="4" w:space="0"/>
              <w:left w:val="nil"/>
              <w:bottom w:val="single" w:color="auto" w:sz="4" w:space="0"/>
              <w:right w:val="single" w:color="auto" w:sz="4" w:space="0"/>
            </w:tcBorders>
            <w:vAlign w:val="center"/>
          </w:tcPr>
          <w:p w14:paraId="1F62070E">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踏勘现场</w:t>
            </w:r>
          </w:p>
        </w:tc>
        <w:tc>
          <w:tcPr>
            <w:tcW w:w="5264" w:type="dxa"/>
            <w:tcBorders>
              <w:top w:val="single" w:color="auto" w:sz="4" w:space="0"/>
              <w:left w:val="nil"/>
              <w:bottom w:val="single" w:color="auto" w:sz="4" w:space="0"/>
              <w:right w:val="single" w:color="auto" w:sz="4" w:space="0"/>
            </w:tcBorders>
            <w:vAlign w:val="center"/>
          </w:tcPr>
          <w:p w14:paraId="2A04C960">
            <w:pPr>
              <w:keepNext w:val="0"/>
              <w:keepLines w:val="0"/>
              <w:suppressLineNumbers w:val="0"/>
              <w:autoSpaceDE w:val="0"/>
              <w:autoSpaceDN w:val="0"/>
              <w:adjustRightInd w:val="0"/>
              <w:spacing w:before="0" w:beforeAutospacing="0" w:after="0" w:afterAutospacing="0" w:line="360" w:lineRule="exact"/>
              <w:ind w:left="0" w:right="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不组织</w:t>
            </w:r>
          </w:p>
        </w:tc>
      </w:tr>
      <w:tr w14:paraId="4F632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06F40A27">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1.10.1</w:t>
            </w:r>
          </w:p>
        </w:tc>
        <w:tc>
          <w:tcPr>
            <w:tcW w:w="2065" w:type="dxa"/>
            <w:tcBorders>
              <w:top w:val="single" w:color="auto" w:sz="4" w:space="0"/>
              <w:left w:val="nil"/>
              <w:bottom w:val="single" w:color="auto" w:sz="4" w:space="0"/>
              <w:right w:val="single" w:color="auto" w:sz="4" w:space="0"/>
            </w:tcBorders>
            <w:vAlign w:val="center"/>
          </w:tcPr>
          <w:p w14:paraId="53350F76">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投标预备会</w:t>
            </w:r>
          </w:p>
        </w:tc>
        <w:tc>
          <w:tcPr>
            <w:tcW w:w="5264" w:type="dxa"/>
            <w:tcBorders>
              <w:top w:val="single" w:color="auto" w:sz="4" w:space="0"/>
              <w:left w:val="nil"/>
              <w:bottom w:val="single" w:color="auto" w:sz="4" w:space="0"/>
              <w:right w:val="single" w:color="auto" w:sz="4" w:space="0"/>
            </w:tcBorders>
          </w:tcPr>
          <w:p w14:paraId="40DB10D5">
            <w:pPr>
              <w:keepNext w:val="0"/>
              <w:keepLines w:val="0"/>
              <w:suppressLineNumbers w:val="0"/>
              <w:autoSpaceDE w:val="0"/>
              <w:autoSpaceDN w:val="0"/>
              <w:adjustRightInd w:val="0"/>
              <w:spacing w:before="0" w:beforeAutospacing="0" w:after="0" w:afterAutospacing="0" w:line="360" w:lineRule="exact"/>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不召开</w:t>
            </w:r>
          </w:p>
          <w:p w14:paraId="21E401F7">
            <w:pPr>
              <w:keepNext w:val="0"/>
              <w:keepLines w:val="0"/>
              <w:suppressLineNumbers w:val="0"/>
              <w:bidi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000000" w:themeColor="text1"/>
                <w:sz w:val="24"/>
                <w:szCs w:val="24"/>
                <w:highlight w:val="none"/>
                <w14:textFill>
                  <w14:solidFill>
                    <w14:schemeClr w14:val="tx1"/>
                  </w14:solidFill>
                </w14:textFill>
              </w:rPr>
              <w:t>□召开</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sz w:val="24"/>
                <w:szCs w:val="24"/>
              </w:rPr>
              <w:t>召开时间：</w:t>
            </w:r>
          </w:p>
          <w:p w14:paraId="588850FA">
            <w:pPr>
              <w:keepNext w:val="0"/>
              <w:keepLines w:val="0"/>
              <w:suppressLineNumbers w:val="0"/>
              <w:bidi w:val="0"/>
              <w:spacing w:before="0" w:beforeAutospacing="0" w:after="0" w:afterAutospacing="0"/>
              <w:ind w:left="0" w:right="0"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rPr>
              <w:t>召开地点：</w:t>
            </w:r>
          </w:p>
        </w:tc>
      </w:tr>
      <w:tr w14:paraId="0AAD2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32EF982D">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1.10.2</w:t>
            </w:r>
          </w:p>
        </w:tc>
        <w:tc>
          <w:tcPr>
            <w:tcW w:w="2065" w:type="dxa"/>
            <w:tcBorders>
              <w:top w:val="single" w:color="auto" w:sz="4" w:space="0"/>
              <w:left w:val="nil"/>
              <w:bottom w:val="single" w:color="auto" w:sz="4" w:space="0"/>
              <w:right w:val="single" w:color="auto" w:sz="4" w:space="0"/>
            </w:tcBorders>
            <w:vAlign w:val="center"/>
          </w:tcPr>
          <w:p w14:paraId="354EBC6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供应商提出</w:t>
            </w:r>
            <w:r>
              <w:rPr>
                <w:rFonts w:hint="eastAsia" w:ascii="宋体" w:hAnsi="宋体" w:eastAsia="宋体" w:cs="宋体"/>
                <w:color w:val="000000" w:themeColor="text1"/>
                <w:sz w:val="24"/>
                <w:szCs w:val="24"/>
                <w:highlight w:val="none"/>
                <w:lang w:eastAsia="zh-CN"/>
                <w14:textFill>
                  <w14:solidFill>
                    <w14:schemeClr w14:val="tx1"/>
                  </w14:solidFill>
                </w14:textFill>
              </w:rPr>
              <w:t>投标</w:t>
            </w:r>
          </w:p>
          <w:p w14:paraId="4B762AB7">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预备会的</w:t>
            </w:r>
            <w:r>
              <w:rPr>
                <w:rFonts w:hint="eastAsia" w:ascii="宋体" w:hAnsi="宋体" w:eastAsia="宋体" w:cs="宋体"/>
                <w:color w:val="000000" w:themeColor="text1"/>
                <w:sz w:val="24"/>
                <w:szCs w:val="24"/>
                <w:highlight w:val="none"/>
                <w14:textFill>
                  <w14:solidFill>
                    <w14:schemeClr w14:val="tx1"/>
                  </w14:solidFill>
                </w14:textFill>
              </w:rPr>
              <w:t>截止时间</w:t>
            </w:r>
          </w:p>
        </w:tc>
        <w:tc>
          <w:tcPr>
            <w:tcW w:w="5264" w:type="dxa"/>
            <w:tcBorders>
              <w:top w:val="single" w:color="auto" w:sz="4" w:space="0"/>
              <w:left w:val="nil"/>
              <w:bottom w:val="single" w:color="auto" w:sz="4" w:space="0"/>
              <w:right w:val="single" w:color="auto" w:sz="4" w:space="0"/>
            </w:tcBorders>
          </w:tcPr>
          <w:p w14:paraId="5201A1BC">
            <w:pPr>
              <w:keepNext w:val="0"/>
              <w:keepLines w:val="0"/>
              <w:suppressLineNumbers w:val="0"/>
              <w:autoSpaceDE w:val="0"/>
              <w:autoSpaceDN w:val="0"/>
              <w:spacing w:before="0" w:beforeAutospacing="0" w:after="0" w:afterAutospacing="0" w:line="360" w:lineRule="exact"/>
              <w:ind w:left="0" w:right="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时  间：</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3B39E37E">
            <w:pPr>
              <w:keepNext w:val="0"/>
              <w:keepLines w:val="0"/>
              <w:suppressLineNumbers w:val="0"/>
              <w:autoSpaceDE w:val="0"/>
              <w:autoSpaceDN w:val="0"/>
              <w:spacing w:before="0" w:beforeAutospacing="0" w:after="0" w:afterAutospacing="0" w:line="360" w:lineRule="exact"/>
              <w:ind w:left="0" w:right="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tc>
      </w:tr>
      <w:tr w14:paraId="3DA9F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46A4D587">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1.10.3</w:t>
            </w:r>
          </w:p>
        </w:tc>
        <w:tc>
          <w:tcPr>
            <w:tcW w:w="2065" w:type="dxa"/>
            <w:tcBorders>
              <w:top w:val="single" w:color="auto" w:sz="4" w:space="0"/>
              <w:left w:val="nil"/>
              <w:bottom w:val="single" w:color="auto" w:sz="4" w:space="0"/>
              <w:right w:val="single" w:color="auto" w:sz="4" w:space="0"/>
            </w:tcBorders>
            <w:vAlign w:val="center"/>
          </w:tcPr>
          <w:p w14:paraId="6DB33DF8">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招标文件澄清发</w:t>
            </w:r>
          </w:p>
          <w:p w14:paraId="4E8729B7">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出的形式</w:t>
            </w:r>
          </w:p>
        </w:tc>
        <w:tc>
          <w:tcPr>
            <w:tcW w:w="5264" w:type="dxa"/>
            <w:tcBorders>
              <w:top w:val="single" w:color="auto" w:sz="4" w:space="0"/>
              <w:left w:val="nil"/>
              <w:bottom w:val="single" w:color="auto" w:sz="4" w:space="0"/>
              <w:right w:val="single" w:color="auto" w:sz="4" w:space="0"/>
            </w:tcBorders>
            <w:vAlign w:val="center"/>
          </w:tcPr>
          <w:p w14:paraId="2AE9B602">
            <w:pPr>
              <w:keepNext w:val="0"/>
              <w:keepLines w:val="0"/>
              <w:suppressLineNumbers w:val="0"/>
              <w:bidi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highlight w:val="none"/>
                <w:lang w:val="en-US" w:eastAsia="zh-CN"/>
              </w:rPr>
              <w:t>网上提交，在“政采云”平台（网址http：//www.zcygov.cn) 上发布。</w:t>
            </w:r>
          </w:p>
        </w:tc>
      </w:tr>
      <w:tr w14:paraId="1919A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0F93ACAC">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1.12.1</w:t>
            </w:r>
          </w:p>
        </w:tc>
        <w:tc>
          <w:tcPr>
            <w:tcW w:w="2065" w:type="dxa"/>
            <w:tcBorders>
              <w:top w:val="single" w:color="auto" w:sz="4" w:space="0"/>
              <w:left w:val="nil"/>
              <w:bottom w:val="single" w:color="auto" w:sz="4" w:space="0"/>
              <w:right w:val="single" w:color="auto" w:sz="4" w:space="0"/>
            </w:tcBorders>
            <w:vAlign w:val="center"/>
          </w:tcPr>
          <w:p w14:paraId="00816E6E">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实质性要求和条件</w:t>
            </w:r>
          </w:p>
        </w:tc>
        <w:tc>
          <w:tcPr>
            <w:tcW w:w="5264" w:type="dxa"/>
            <w:tcBorders>
              <w:top w:val="single" w:color="auto" w:sz="4" w:space="0"/>
              <w:left w:val="nil"/>
              <w:bottom w:val="single" w:color="auto" w:sz="4" w:space="0"/>
              <w:right w:val="single" w:color="auto" w:sz="4" w:space="0"/>
            </w:tcBorders>
            <w:vAlign w:val="center"/>
          </w:tcPr>
          <w:p w14:paraId="76C9906F">
            <w:pPr>
              <w:keepNext w:val="0"/>
              <w:keepLines w:val="0"/>
              <w:suppressLineNumbers w:val="0"/>
              <w:spacing w:before="0" w:beforeAutospacing="0" w:after="0" w:afterAutospacing="0" w:line="400" w:lineRule="exact"/>
              <w:ind w:left="0" w:right="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符合第五章</w:t>
            </w:r>
            <w:r>
              <w:rPr>
                <w:rFonts w:hint="eastAsia" w:ascii="宋体" w:hAnsi="宋体" w:eastAsia="宋体" w:cs="宋体"/>
                <w:color w:val="000000" w:themeColor="text1"/>
                <w:sz w:val="24"/>
                <w:szCs w:val="24"/>
                <w:highlight w:val="none"/>
                <w:lang w:eastAsia="zh-CN"/>
                <w14:textFill>
                  <w14:solidFill>
                    <w14:schemeClr w14:val="tx1"/>
                  </w14:solidFill>
                </w14:textFill>
              </w:rPr>
              <w:t>服务内容及要求</w:t>
            </w:r>
          </w:p>
        </w:tc>
      </w:tr>
      <w:tr w14:paraId="462AB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0500A2F2">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1.12.3</w:t>
            </w:r>
          </w:p>
        </w:tc>
        <w:tc>
          <w:tcPr>
            <w:tcW w:w="2065" w:type="dxa"/>
            <w:tcBorders>
              <w:top w:val="single" w:color="auto" w:sz="4" w:space="0"/>
              <w:left w:val="nil"/>
              <w:bottom w:val="single" w:color="auto" w:sz="4" w:space="0"/>
              <w:right w:val="single" w:color="auto" w:sz="4" w:space="0"/>
            </w:tcBorders>
            <w:vAlign w:val="center"/>
          </w:tcPr>
          <w:p w14:paraId="5FF4F6E0">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偏差</w:t>
            </w:r>
          </w:p>
        </w:tc>
        <w:tc>
          <w:tcPr>
            <w:tcW w:w="5264" w:type="dxa"/>
            <w:tcBorders>
              <w:top w:val="single" w:color="auto" w:sz="4" w:space="0"/>
              <w:left w:val="nil"/>
              <w:bottom w:val="single" w:color="auto" w:sz="4" w:space="0"/>
              <w:right w:val="single" w:color="auto" w:sz="4" w:space="0"/>
            </w:tcBorders>
            <w:vAlign w:val="center"/>
          </w:tcPr>
          <w:p w14:paraId="4ACC7904">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不允许</w:t>
            </w:r>
          </w:p>
          <w:p w14:paraId="2B494EE9">
            <w:pPr>
              <w:keepNext w:val="0"/>
              <w:keepLines w:val="0"/>
              <w:suppressLineNumbers w:val="0"/>
              <w:spacing w:before="0" w:beforeAutospacing="0" w:after="0" w:afterAutospacing="0" w:line="400" w:lineRule="exact"/>
              <w:ind w:left="0" w:right="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允许</w:t>
            </w:r>
          </w:p>
        </w:tc>
      </w:tr>
      <w:tr w14:paraId="0B835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767ACD66">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w:t>
            </w:r>
          </w:p>
        </w:tc>
        <w:tc>
          <w:tcPr>
            <w:tcW w:w="2065" w:type="dxa"/>
            <w:tcBorders>
              <w:top w:val="single" w:color="auto" w:sz="4" w:space="0"/>
              <w:left w:val="nil"/>
              <w:bottom w:val="single" w:color="auto" w:sz="4" w:space="0"/>
              <w:right w:val="single" w:color="auto" w:sz="4" w:space="0"/>
            </w:tcBorders>
            <w:vAlign w:val="center"/>
          </w:tcPr>
          <w:p w14:paraId="3390100F">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构成招标文件的其他材料</w:t>
            </w:r>
          </w:p>
        </w:tc>
        <w:tc>
          <w:tcPr>
            <w:tcW w:w="5264" w:type="dxa"/>
            <w:tcBorders>
              <w:top w:val="single" w:color="auto" w:sz="4" w:space="0"/>
              <w:left w:val="nil"/>
              <w:bottom w:val="single" w:color="auto" w:sz="4" w:space="0"/>
              <w:right w:val="single" w:color="auto" w:sz="4" w:space="0"/>
            </w:tcBorders>
            <w:vAlign w:val="center"/>
          </w:tcPr>
          <w:p w14:paraId="59EB4B66">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无</w:t>
            </w:r>
          </w:p>
        </w:tc>
      </w:tr>
      <w:tr w14:paraId="6D2F2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734C3BC3">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2.2.1</w:t>
            </w:r>
          </w:p>
        </w:tc>
        <w:tc>
          <w:tcPr>
            <w:tcW w:w="2065" w:type="dxa"/>
            <w:tcBorders>
              <w:top w:val="single" w:color="auto" w:sz="4" w:space="0"/>
              <w:left w:val="nil"/>
              <w:bottom w:val="single" w:color="auto" w:sz="4" w:space="0"/>
              <w:right w:val="single" w:color="auto" w:sz="4" w:space="0"/>
            </w:tcBorders>
            <w:vAlign w:val="center"/>
          </w:tcPr>
          <w:p w14:paraId="751E68AB">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供应商要求澄清</w:t>
            </w:r>
          </w:p>
          <w:p w14:paraId="3149F3E2">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招标文件的截止时间</w:t>
            </w:r>
          </w:p>
        </w:tc>
        <w:tc>
          <w:tcPr>
            <w:tcW w:w="5264" w:type="dxa"/>
            <w:tcBorders>
              <w:top w:val="single" w:color="auto" w:sz="4" w:space="0"/>
              <w:left w:val="nil"/>
              <w:bottom w:val="single" w:color="auto" w:sz="4" w:space="0"/>
              <w:right w:val="single" w:color="auto" w:sz="4" w:space="0"/>
            </w:tcBorders>
            <w:vAlign w:val="center"/>
          </w:tcPr>
          <w:p w14:paraId="5E860E3C">
            <w:pPr>
              <w:keepNext w:val="0"/>
              <w:keepLines w:val="0"/>
              <w:suppressLineNumbers w:val="0"/>
              <w:bidi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投标截止时间</w:t>
            </w:r>
            <w:r>
              <w:rPr>
                <w:rFonts w:hint="eastAsia" w:ascii="宋体" w:hAnsi="宋体" w:eastAsia="宋体" w:cs="宋体"/>
                <w:sz w:val="24"/>
                <w:szCs w:val="24"/>
                <w:lang w:val="en-US" w:eastAsia="zh-CN"/>
              </w:rPr>
              <w:t>10</w:t>
            </w:r>
            <w:r>
              <w:rPr>
                <w:rFonts w:hint="eastAsia" w:ascii="宋体" w:hAnsi="宋体" w:eastAsia="宋体" w:cs="宋体"/>
                <w:sz w:val="24"/>
                <w:szCs w:val="24"/>
              </w:rPr>
              <w:t>天前</w:t>
            </w:r>
          </w:p>
          <w:p w14:paraId="1A4AABF8">
            <w:pPr>
              <w:keepNext w:val="0"/>
              <w:keepLines w:val="0"/>
              <w:suppressLineNumbers w:val="0"/>
              <w:bidi w:val="0"/>
              <w:spacing w:before="0" w:beforeAutospacing="0" w:after="0" w:afterAutospacing="0"/>
              <w:ind w:left="0" w:right="0"/>
              <w:rPr>
                <w:rFonts w:hint="eastAsia" w:ascii="宋体" w:hAnsi="宋体" w:eastAsia="宋体" w:cs="宋体"/>
              </w:rPr>
            </w:pPr>
            <w:r>
              <w:rPr>
                <w:rFonts w:hint="eastAsia" w:ascii="宋体" w:hAnsi="宋体" w:eastAsia="宋体" w:cs="宋体"/>
                <w:sz w:val="24"/>
                <w:szCs w:val="24"/>
              </w:rPr>
              <w:t>形式：</w:t>
            </w:r>
            <w:r>
              <w:rPr>
                <w:rFonts w:hint="eastAsia" w:ascii="宋体" w:hAnsi="宋体" w:eastAsia="宋体" w:cs="宋体"/>
                <w:sz w:val="24"/>
                <w:szCs w:val="24"/>
                <w:highlight w:val="none"/>
                <w:lang w:val="en-US" w:eastAsia="zh-CN"/>
              </w:rPr>
              <w:t>网上提交，在“政采云”平台（网址http：//www.zcygov.cn) 上发布。</w:t>
            </w:r>
          </w:p>
        </w:tc>
      </w:tr>
      <w:tr w14:paraId="571E4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68FBAAAE">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2.2.2</w:t>
            </w:r>
          </w:p>
        </w:tc>
        <w:tc>
          <w:tcPr>
            <w:tcW w:w="2065" w:type="dxa"/>
            <w:tcBorders>
              <w:top w:val="single" w:color="auto" w:sz="4" w:space="0"/>
              <w:left w:val="nil"/>
              <w:bottom w:val="single" w:color="auto" w:sz="4" w:space="0"/>
              <w:right w:val="single" w:color="auto" w:sz="4" w:space="0"/>
            </w:tcBorders>
            <w:vAlign w:val="top"/>
          </w:tcPr>
          <w:p w14:paraId="680D907D">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采购人书面澄清</w:t>
            </w:r>
          </w:p>
          <w:p w14:paraId="25DC10E4">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的时间</w:t>
            </w:r>
          </w:p>
        </w:tc>
        <w:tc>
          <w:tcPr>
            <w:tcW w:w="5264" w:type="dxa"/>
            <w:tcBorders>
              <w:top w:val="single" w:color="auto" w:sz="4" w:space="0"/>
              <w:left w:val="nil"/>
              <w:bottom w:val="single" w:color="auto" w:sz="4" w:space="0"/>
              <w:right w:val="single" w:color="auto" w:sz="4" w:space="0"/>
            </w:tcBorders>
            <w:vAlign w:val="center"/>
          </w:tcPr>
          <w:p w14:paraId="2C3CAF89">
            <w:pPr>
              <w:keepNext w:val="0"/>
              <w:keepLines w:val="0"/>
              <w:suppressLineNumbers w:val="0"/>
              <w:bidi w:val="0"/>
              <w:spacing w:before="0" w:beforeAutospacing="0" w:after="0" w:afterAutospacing="0"/>
              <w:ind w:left="0" w:right="0"/>
              <w:jc w:val="both"/>
              <w:rPr>
                <w:rFonts w:hint="eastAsia" w:ascii="宋体" w:hAnsi="宋体" w:eastAsia="宋体" w:cs="宋体"/>
                <w:sz w:val="24"/>
                <w:szCs w:val="24"/>
                <w:lang w:val="en-US" w:eastAsia="zh-CN"/>
              </w:rPr>
            </w:pPr>
            <w:r>
              <w:rPr>
                <w:rFonts w:hint="eastAsia" w:ascii="宋体" w:hAnsi="宋体" w:eastAsia="宋体" w:cs="宋体"/>
                <w:sz w:val="24"/>
                <w:szCs w:val="24"/>
              </w:rPr>
              <w:t>投标截止时间15天前</w:t>
            </w:r>
          </w:p>
        </w:tc>
      </w:tr>
      <w:tr w14:paraId="6B92B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45CF6A67">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2.2.3</w:t>
            </w:r>
          </w:p>
        </w:tc>
        <w:tc>
          <w:tcPr>
            <w:tcW w:w="2065" w:type="dxa"/>
            <w:tcBorders>
              <w:top w:val="single" w:color="auto" w:sz="4" w:space="0"/>
              <w:left w:val="nil"/>
              <w:bottom w:val="single" w:color="auto" w:sz="4" w:space="0"/>
              <w:right w:val="single" w:color="auto" w:sz="4" w:space="0"/>
            </w:tcBorders>
            <w:vAlign w:val="center"/>
          </w:tcPr>
          <w:p w14:paraId="5819B398">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供应商确认收到</w:t>
            </w:r>
          </w:p>
          <w:p w14:paraId="1794B17B">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招标文件澄清的时间</w:t>
            </w:r>
          </w:p>
        </w:tc>
        <w:tc>
          <w:tcPr>
            <w:tcW w:w="5264" w:type="dxa"/>
            <w:tcBorders>
              <w:top w:val="single" w:color="auto" w:sz="4" w:space="0"/>
              <w:left w:val="nil"/>
              <w:bottom w:val="single" w:color="auto" w:sz="4" w:space="0"/>
              <w:right w:val="single" w:color="auto" w:sz="4" w:space="0"/>
            </w:tcBorders>
            <w:vAlign w:val="center"/>
          </w:tcPr>
          <w:p w14:paraId="7EA78BE2">
            <w:pPr>
              <w:keepNext w:val="0"/>
              <w:keepLines w:val="0"/>
              <w:suppressLineNumbers w:val="0"/>
              <w:bidi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时间：</w:t>
            </w:r>
            <w:r>
              <w:rPr>
                <w:rFonts w:hint="eastAsia" w:ascii="宋体" w:hAnsi="宋体" w:eastAsia="宋体" w:cs="宋体"/>
                <w:color w:val="auto"/>
                <w:sz w:val="24"/>
                <w:szCs w:val="24"/>
                <w:highlight w:val="none"/>
              </w:rPr>
              <w:t>收到相关文件1日内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请投标人在参加与本项目</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期间关注网站信息，所有有意愿的投标人有义务在网上自行查询，无需书面回复</w:t>
            </w:r>
            <w:r>
              <w:rPr>
                <w:rFonts w:hint="eastAsia" w:ascii="宋体" w:hAnsi="宋体" w:eastAsia="宋体" w:cs="宋体"/>
                <w:color w:val="auto"/>
                <w:sz w:val="24"/>
                <w:szCs w:val="24"/>
                <w:highlight w:val="none"/>
                <w:lang w:eastAsia="zh-CN"/>
              </w:rPr>
              <w:t>。</w:t>
            </w:r>
          </w:p>
        </w:tc>
      </w:tr>
      <w:tr w14:paraId="51E07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2AE58807">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2.3.2</w:t>
            </w:r>
          </w:p>
        </w:tc>
        <w:tc>
          <w:tcPr>
            <w:tcW w:w="2065" w:type="dxa"/>
            <w:tcBorders>
              <w:top w:val="single" w:color="auto" w:sz="4" w:space="0"/>
              <w:left w:val="nil"/>
              <w:bottom w:val="single" w:color="auto" w:sz="4" w:space="0"/>
              <w:right w:val="single" w:color="auto" w:sz="4" w:space="0"/>
            </w:tcBorders>
            <w:vAlign w:val="center"/>
          </w:tcPr>
          <w:p w14:paraId="3ABB345E">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供应商确认收到</w:t>
            </w:r>
          </w:p>
          <w:p w14:paraId="2C0B77E3">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招标文件修改的时间</w:t>
            </w:r>
          </w:p>
        </w:tc>
        <w:tc>
          <w:tcPr>
            <w:tcW w:w="5264" w:type="dxa"/>
            <w:tcBorders>
              <w:top w:val="single" w:color="auto" w:sz="4" w:space="0"/>
              <w:left w:val="nil"/>
              <w:bottom w:val="single" w:color="auto" w:sz="4" w:space="0"/>
              <w:right w:val="single" w:color="auto" w:sz="4" w:space="0"/>
            </w:tcBorders>
            <w:vAlign w:val="center"/>
          </w:tcPr>
          <w:p w14:paraId="0CA0EC16">
            <w:pPr>
              <w:keepNext w:val="0"/>
              <w:keepLines w:val="0"/>
              <w:suppressLineNumbers w:val="0"/>
              <w:bidi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lang w:eastAsia="zh-CN"/>
              </w:rPr>
              <w:t>时间：</w:t>
            </w:r>
            <w:r>
              <w:rPr>
                <w:rFonts w:hint="eastAsia" w:ascii="宋体" w:hAnsi="宋体" w:eastAsia="宋体" w:cs="宋体"/>
                <w:color w:val="auto"/>
                <w:sz w:val="24"/>
                <w:szCs w:val="24"/>
                <w:highlight w:val="none"/>
              </w:rPr>
              <w:t>收到相关文件1日内</w:t>
            </w:r>
          </w:p>
          <w:p w14:paraId="00345C75">
            <w:pPr>
              <w:keepNext w:val="0"/>
              <w:keepLines w:val="0"/>
              <w:suppressLineNumbers w:val="0"/>
              <w:bidi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形式：</w:t>
            </w:r>
            <w:r>
              <w:rPr>
                <w:rFonts w:hint="eastAsia" w:ascii="宋体" w:hAnsi="宋体" w:eastAsia="宋体" w:cs="宋体"/>
                <w:b w:val="0"/>
                <w:bCs w:val="0"/>
                <w:sz w:val="24"/>
                <w:szCs w:val="24"/>
                <w:highlight w:val="none"/>
                <w:lang w:val="en-US" w:eastAsia="zh-CN"/>
              </w:rPr>
              <w:t>网上提交，在政采云”平台（网址http：//www.zcygov.cn)  提交</w:t>
            </w:r>
            <w:r>
              <w:rPr>
                <w:rFonts w:hint="eastAsia" w:ascii="宋体" w:hAnsi="宋体" w:eastAsia="宋体" w:cs="宋体"/>
                <w:color w:val="auto"/>
                <w:sz w:val="24"/>
                <w:szCs w:val="24"/>
                <w:highlight w:val="none"/>
                <w:lang w:eastAsia="zh-CN"/>
              </w:rPr>
              <w:t>。</w:t>
            </w:r>
          </w:p>
        </w:tc>
      </w:tr>
      <w:tr w14:paraId="6CED1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6D3826B1">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3.1.1</w:t>
            </w:r>
          </w:p>
        </w:tc>
        <w:tc>
          <w:tcPr>
            <w:tcW w:w="2065" w:type="dxa"/>
            <w:tcBorders>
              <w:top w:val="single" w:color="auto" w:sz="4" w:space="0"/>
              <w:left w:val="nil"/>
              <w:bottom w:val="single" w:color="auto" w:sz="4" w:space="0"/>
              <w:right w:val="single" w:color="auto" w:sz="4" w:space="0"/>
            </w:tcBorders>
            <w:vAlign w:val="center"/>
          </w:tcPr>
          <w:p w14:paraId="7F098DCF">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构成投标文件的其他材料</w:t>
            </w:r>
          </w:p>
        </w:tc>
        <w:tc>
          <w:tcPr>
            <w:tcW w:w="5264" w:type="dxa"/>
            <w:tcBorders>
              <w:top w:val="single" w:color="auto" w:sz="4" w:space="0"/>
              <w:left w:val="nil"/>
              <w:bottom w:val="single" w:color="auto" w:sz="4" w:space="0"/>
              <w:right w:val="single" w:color="auto" w:sz="4" w:space="0"/>
            </w:tcBorders>
          </w:tcPr>
          <w:p w14:paraId="29A87EE4">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auto"/>
                <w:sz w:val="24"/>
                <w:szCs w:val="24"/>
                <w:highlight w:val="none"/>
                <w:lang w:val="en-US" w:eastAsia="zh-CN"/>
              </w:rPr>
              <w:t>本项目所有证件资料以上传至“政采云”平台加盖公章的电子证件为准，评标时由评审委员会现场核验，如所提供的资料为虚假材料，投标文件将被否决。</w:t>
            </w:r>
          </w:p>
        </w:tc>
      </w:tr>
      <w:tr w14:paraId="0D84C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21909B60">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w:t>
            </w:r>
          </w:p>
        </w:tc>
        <w:tc>
          <w:tcPr>
            <w:tcW w:w="2065" w:type="dxa"/>
            <w:tcBorders>
              <w:top w:val="single" w:color="auto" w:sz="4" w:space="0"/>
              <w:left w:val="nil"/>
              <w:bottom w:val="single" w:color="auto" w:sz="4" w:space="0"/>
              <w:right w:val="single" w:color="auto" w:sz="4" w:space="0"/>
            </w:tcBorders>
            <w:vAlign w:val="center"/>
          </w:tcPr>
          <w:p w14:paraId="709DF27E">
            <w:pPr>
              <w:keepNext w:val="0"/>
              <w:keepLines w:val="0"/>
              <w:suppressLineNumbers w:val="0"/>
              <w:bidi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最高投标限价</w:t>
            </w:r>
          </w:p>
        </w:tc>
        <w:tc>
          <w:tcPr>
            <w:tcW w:w="5264" w:type="dxa"/>
            <w:tcBorders>
              <w:top w:val="single" w:color="auto" w:sz="4" w:space="0"/>
              <w:left w:val="nil"/>
              <w:bottom w:val="single" w:color="auto" w:sz="4" w:space="0"/>
              <w:right w:val="single" w:color="auto" w:sz="4" w:space="0"/>
            </w:tcBorders>
            <w:vAlign w:val="center"/>
          </w:tcPr>
          <w:p w14:paraId="26132FFE">
            <w:pPr>
              <w:keepNext w:val="0"/>
              <w:keepLines w:val="0"/>
              <w:suppressLineNumbers w:val="0"/>
              <w:bidi w:val="0"/>
              <w:spacing w:before="0" w:beforeAutospacing="0" w:after="0" w:afterAutospacing="0"/>
              <w:ind w:left="0" w:right="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☑有</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lang w:val="zh-CN"/>
              </w:rPr>
              <w:t>最高投标限价：</w:t>
            </w:r>
            <w:r>
              <w:rPr>
                <w:rFonts w:hint="eastAsia" w:ascii="宋体" w:hAnsi="宋体" w:eastAsia="宋体" w:cs="宋体"/>
                <w:color w:val="000000" w:themeColor="text1"/>
                <w:sz w:val="24"/>
                <w:szCs w:val="24"/>
                <w:highlight w:val="none"/>
                <w:u w:val="none"/>
                <w:lang w:val="zh-CN" w:eastAsia="zh-CN"/>
                <w14:textFill>
                  <w14:solidFill>
                    <w14:schemeClr w14:val="tx1"/>
                  </w14:solidFill>
                </w14:textFill>
              </w:rPr>
              <w:t>折扣系数1.0</w:t>
            </w:r>
          </w:p>
          <w:p w14:paraId="67EF28C6">
            <w:pPr>
              <w:keepNext w:val="0"/>
              <w:keepLines w:val="0"/>
              <w:suppressLineNumbers w:val="0"/>
              <w:bidi w:val="0"/>
              <w:spacing w:before="0" w:beforeAutospacing="0" w:after="0" w:afterAutospacing="0"/>
              <w:ind w:left="0" w:right="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□无</w:t>
            </w:r>
          </w:p>
        </w:tc>
      </w:tr>
      <w:tr w14:paraId="5A14B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2A5749FA">
            <w:pPr>
              <w:keepNext w:val="0"/>
              <w:keepLines w:val="0"/>
              <w:suppressLineNumbers w:val="0"/>
              <w:autoSpaceDE w:val="0"/>
              <w:autoSpaceDN w:val="0"/>
              <w:adjustRightInd w:val="0"/>
              <w:spacing w:before="0" w:beforeAutospacing="0" w:after="0" w:afterAutospacing="0" w:line="360" w:lineRule="exact"/>
              <w:ind w:left="0" w:leftChars="0" w:right="0" w:right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3.2.3</w:t>
            </w:r>
          </w:p>
        </w:tc>
        <w:tc>
          <w:tcPr>
            <w:tcW w:w="2065" w:type="dxa"/>
            <w:tcBorders>
              <w:top w:val="single" w:color="auto" w:sz="4" w:space="0"/>
              <w:left w:val="nil"/>
              <w:bottom w:val="single" w:color="auto" w:sz="4" w:space="0"/>
              <w:right w:val="single" w:color="auto" w:sz="4" w:space="0"/>
            </w:tcBorders>
            <w:vAlign w:val="center"/>
          </w:tcPr>
          <w:p w14:paraId="16E738AB">
            <w:pPr>
              <w:keepNext w:val="0"/>
              <w:keepLines w:val="0"/>
              <w:suppressLineNumbers w:val="0"/>
              <w:autoSpaceDE w:val="0"/>
              <w:autoSpaceDN w:val="0"/>
              <w:adjustRightInd w:val="0"/>
              <w:spacing w:before="0" w:beforeAutospacing="0" w:after="0" w:afterAutospacing="0" w:line="360" w:lineRule="exact"/>
              <w:ind w:left="0" w:leftChars="0" w:right="0" w:right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报价方式</w:t>
            </w:r>
          </w:p>
        </w:tc>
        <w:tc>
          <w:tcPr>
            <w:tcW w:w="5264" w:type="dxa"/>
            <w:tcBorders>
              <w:top w:val="single" w:color="auto" w:sz="4" w:space="0"/>
              <w:left w:val="nil"/>
              <w:bottom w:val="single" w:color="auto" w:sz="4" w:space="0"/>
              <w:right w:val="single" w:color="auto" w:sz="4" w:space="0"/>
            </w:tcBorders>
            <w:vAlign w:val="center"/>
          </w:tcPr>
          <w:p w14:paraId="5ED31AAF">
            <w:pPr>
              <w:keepNext w:val="0"/>
              <w:keepLines w:val="0"/>
              <w:suppressLineNumbers w:val="0"/>
              <w:spacing w:before="0" w:beforeAutospacing="0" w:after="0" w:afterAutospacing="0" w:line="400" w:lineRule="exact"/>
              <w:ind w:left="0" w:leftChars="0" w:right="0" w:rightChars="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tc>
      </w:tr>
      <w:tr w14:paraId="26831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4FD3F22C">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3.3.1</w:t>
            </w:r>
          </w:p>
        </w:tc>
        <w:tc>
          <w:tcPr>
            <w:tcW w:w="2065" w:type="dxa"/>
            <w:tcBorders>
              <w:top w:val="single" w:color="auto" w:sz="4" w:space="0"/>
              <w:left w:val="nil"/>
              <w:bottom w:val="single" w:color="auto" w:sz="4" w:space="0"/>
              <w:right w:val="single" w:color="auto" w:sz="4" w:space="0"/>
            </w:tcBorders>
            <w:vAlign w:val="center"/>
          </w:tcPr>
          <w:p w14:paraId="0DCFB61B">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投标有效期</w:t>
            </w:r>
          </w:p>
        </w:tc>
        <w:tc>
          <w:tcPr>
            <w:tcW w:w="5264" w:type="dxa"/>
            <w:tcBorders>
              <w:top w:val="single" w:color="auto" w:sz="4" w:space="0"/>
              <w:left w:val="nil"/>
              <w:bottom w:val="single" w:color="auto" w:sz="4" w:space="0"/>
              <w:right w:val="single" w:color="auto" w:sz="4" w:space="0"/>
            </w:tcBorders>
            <w:vAlign w:val="center"/>
          </w:tcPr>
          <w:p w14:paraId="74BCD53F">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自供应商提交投标文件截止之日起计算</w:t>
            </w:r>
            <w:r>
              <w:rPr>
                <w:rFonts w:hint="eastAsia" w:ascii="宋体" w:hAnsi="宋体" w:eastAsia="宋体" w:cs="宋体"/>
                <w:b w:val="0"/>
                <w:bCs w:val="0"/>
                <w:color w:val="000000" w:themeColor="text1"/>
                <w:spacing w:val="0"/>
                <w:w w:val="100"/>
                <w:position w:val="0"/>
                <w:sz w:val="24"/>
                <w:szCs w:val="24"/>
                <w:highlight w:val="none"/>
                <w:lang w:val="en-US" w:eastAsia="zh-CN"/>
                <w14:textFill>
                  <w14:solidFill>
                    <w14:schemeClr w14:val="tx1"/>
                  </w14:solidFill>
                </w14:textFill>
              </w:rPr>
              <w:t>90</w:t>
            </w:r>
            <w:r>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t>日历</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天</w:t>
            </w:r>
            <w:r>
              <w:rPr>
                <w:rFonts w:hint="eastAsia" w:ascii="宋体" w:hAnsi="宋体" w:eastAsia="宋体" w:cs="宋体"/>
                <w:color w:val="auto"/>
                <w:sz w:val="24"/>
                <w:szCs w:val="24"/>
                <w:highlight w:val="none"/>
              </w:rPr>
              <w:t>。</w:t>
            </w:r>
          </w:p>
        </w:tc>
      </w:tr>
      <w:tr w14:paraId="063D2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6"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3142DCA1">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3.4.1</w:t>
            </w:r>
          </w:p>
        </w:tc>
        <w:tc>
          <w:tcPr>
            <w:tcW w:w="2065" w:type="dxa"/>
            <w:tcBorders>
              <w:top w:val="single" w:color="auto" w:sz="4" w:space="0"/>
              <w:left w:val="nil"/>
              <w:bottom w:val="single" w:color="auto" w:sz="4" w:space="0"/>
              <w:right w:val="single" w:color="auto" w:sz="4" w:space="0"/>
            </w:tcBorders>
            <w:vAlign w:val="center"/>
          </w:tcPr>
          <w:p w14:paraId="4C616D02">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投标保证金</w:t>
            </w:r>
          </w:p>
        </w:tc>
        <w:tc>
          <w:tcPr>
            <w:tcW w:w="5264" w:type="dxa"/>
            <w:tcBorders>
              <w:top w:val="single" w:color="auto" w:sz="4" w:space="0"/>
              <w:left w:val="nil"/>
              <w:bottom w:val="single" w:color="auto" w:sz="4" w:space="0"/>
              <w:right w:val="single" w:color="auto" w:sz="4" w:space="0"/>
            </w:tcBorders>
            <w:vAlign w:val="center"/>
          </w:tcPr>
          <w:p w14:paraId="4BE632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color w:val="000000" w:themeColor="text1"/>
                <w:sz w:val="24"/>
                <w:szCs w:val="24"/>
                <w:highlight w:val="none"/>
                <w14:textFill>
                  <w14:solidFill>
                    <w14:schemeClr w14:val="tx1"/>
                  </w14:solidFill>
                </w14:textFill>
              </w:rPr>
              <w:t>保证金的形式：转账</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银行出具的</w:t>
            </w:r>
            <w:r>
              <w:rPr>
                <w:rFonts w:hint="eastAsia" w:ascii="宋体" w:hAnsi="宋体" w:eastAsia="宋体" w:cs="宋体"/>
                <w:b/>
                <w:bCs/>
                <w:color w:val="000000" w:themeColor="text1"/>
                <w:sz w:val="24"/>
                <w:szCs w:val="24"/>
                <w:highlight w:val="none"/>
                <w14:textFill>
                  <w14:solidFill>
                    <w14:schemeClr w14:val="tx1"/>
                  </w14:solidFill>
                </w14:textFill>
              </w:rPr>
              <w:t>现金支票、保兑支票、银行汇票或保函以银行保函</w:t>
            </w:r>
            <w:r>
              <w:rPr>
                <w:rFonts w:hint="eastAsia" w:ascii="宋体" w:hAnsi="宋体" w:eastAsia="宋体" w:cs="宋体"/>
                <w:color w:val="000000" w:themeColor="text1"/>
                <w:sz w:val="24"/>
                <w:szCs w:val="24"/>
                <w:highlight w:val="none"/>
                <w14:textFill>
                  <w14:solidFill>
                    <w14:schemeClr w14:val="tx1"/>
                  </w14:solidFill>
                </w14:textFill>
              </w:rPr>
              <w:t>形式提交的保函应当由</w:t>
            </w:r>
            <w:r>
              <w:rPr>
                <w:rFonts w:hint="eastAsia" w:ascii="宋体" w:hAnsi="宋体" w:eastAsia="宋体" w:cs="宋体"/>
                <w:color w:val="000000" w:themeColor="text1"/>
                <w:sz w:val="24"/>
                <w:szCs w:val="24"/>
                <w:highlight w:val="none"/>
                <w:lang w:val="zh-CN"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zh-CN" w:eastAsia="zh-CN"/>
                <w14:textFill>
                  <w14:solidFill>
                    <w14:schemeClr w14:val="tx1"/>
                  </w14:solidFill>
                </w14:textFill>
              </w:rPr>
              <w:t>工商</w:t>
            </w:r>
            <w:r>
              <w:rPr>
                <w:rFonts w:hint="eastAsia" w:ascii="宋体" w:hAnsi="宋体" w:eastAsia="宋体" w:cs="宋体"/>
                <w:b/>
                <w:bCs/>
                <w:color w:val="000000" w:themeColor="text1"/>
                <w:sz w:val="24"/>
                <w:szCs w:val="24"/>
                <w:highlight w:val="none"/>
                <w14:textFill>
                  <w14:solidFill>
                    <w14:schemeClr w14:val="tx1"/>
                  </w14:solidFill>
                </w14:textFill>
              </w:rPr>
              <w:t>银行、农业银行、中国银行、建设银行、交通银行</w:t>
            </w:r>
            <w:r>
              <w:rPr>
                <w:rFonts w:hint="eastAsia" w:ascii="宋体" w:hAnsi="宋体" w:eastAsia="宋体" w:cs="宋体"/>
                <w:color w:val="000000" w:themeColor="text1"/>
                <w:sz w:val="24"/>
                <w:szCs w:val="24"/>
                <w:highlight w:val="none"/>
                <w14:textFill>
                  <w14:solidFill>
                    <w14:schemeClr w14:val="tx1"/>
                  </w14:solidFill>
                </w14:textFill>
              </w:rPr>
              <w:t>”五大国有商业银行及全国性股份制商业银行开具</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2D5E8C3">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11"/>
                <w:szCs w:val="6"/>
                <w:lang w:eastAsia="zh-CN"/>
              </w:rPr>
            </w:pPr>
          </w:p>
          <w:p w14:paraId="4E042B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投标保证金的金额</w:t>
            </w:r>
            <w:r>
              <w:rPr>
                <w:rFonts w:hint="eastAsia" w:ascii="宋体" w:hAnsi="宋体" w:eastAsia="宋体" w:cs="宋体"/>
                <w:color w:val="000000" w:themeColor="text1"/>
                <w:sz w:val="24"/>
                <w:szCs w:val="24"/>
                <w:highlight w:val="none"/>
                <w14:textFill>
                  <w14:solidFill>
                    <w14:schemeClr w14:val="tx1"/>
                  </w14:solidFill>
                </w14:textFill>
              </w:rPr>
              <w:t>：</w:t>
            </w:r>
          </w:p>
          <w:p w14:paraId="42A423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第一标段：人民币</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25000</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14:textFill>
                  <w14:solidFill>
                    <w14:schemeClr w14:val="tx1"/>
                  </w14:solidFill>
                </w14:textFill>
              </w:rPr>
              <w:t>元</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626EC6F">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leftChars="0" w:right="0"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第二标段：人民币</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35000</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14:textFill>
                  <w14:solidFill>
                    <w14:schemeClr w14:val="tx1"/>
                  </w14:solidFill>
                </w14:textFill>
              </w:rPr>
              <w:t>元</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9BA81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第三标段：人民币</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25000</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14:textFill>
                  <w14:solidFill>
                    <w14:schemeClr w14:val="tx1"/>
                  </w14:solidFill>
                </w14:textFill>
              </w:rPr>
              <w:t>元</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66EAD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第四标段：人民币</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30000</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元；</w:t>
            </w:r>
          </w:p>
          <w:p w14:paraId="71E680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第五标段：人民币</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22000</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元。</w:t>
            </w:r>
          </w:p>
          <w:p w14:paraId="4BA6EF01">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10"/>
                <w:szCs w:val="4"/>
                <w:lang w:eastAsia="zh-CN"/>
              </w:rPr>
            </w:pPr>
          </w:p>
          <w:p w14:paraId="41DC50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投标</w:t>
            </w:r>
            <w:r>
              <w:rPr>
                <w:rFonts w:hint="eastAsia" w:ascii="宋体" w:hAnsi="宋体" w:eastAsia="宋体" w:cs="宋体"/>
                <w:b/>
                <w:bCs/>
                <w:color w:val="auto"/>
                <w:sz w:val="24"/>
                <w:szCs w:val="24"/>
                <w:highlight w:val="none"/>
              </w:rPr>
              <w:t>保证金的递交时间</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lang w:val="en-US" w:eastAsia="zh-CN"/>
              </w:rPr>
              <w:t>投标</w:t>
            </w:r>
            <w:r>
              <w:rPr>
                <w:rFonts w:hint="eastAsia" w:ascii="宋体" w:hAnsi="宋体" w:eastAsia="宋体" w:cs="宋体"/>
                <w:b/>
                <w:bCs/>
                <w:color w:val="auto"/>
                <w:sz w:val="24"/>
                <w:szCs w:val="24"/>
                <w:highlight w:val="none"/>
              </w:rPr>
              <w:t>保证金须在投标截止时间前完成缴纳</w:t>
            </w:r>
            <w:r>
              <w:rPr>
                <w:rFonts w:hint="eastAsia" w:ascii="宋体" w:hAnsi="宋体" w:eastAsia="宋体" w:cs="宋体"/>
                <w:color w:val="auto"/>
                <w:sz w:val="24"/>
                <w:szCs w:val="24"/>
                <w:highlight w:val="none"/>
              </w:rPr>
              <w:t>，从企业基本账户划拨到</w:t>
            </w:r>
            <w:r>
              <w:rPr>
                <w:rFonts w:hint="eastAsia" w:ascii="宋体" w:hAnsi="宋体" w:eastAsia="宋体" w:cs="宋体"/>
                <w:b/>
                <w:bCs/>
                <w:color w:val="auto"/>
                <w:sz w:val="24"/>
                <w:szCs w:val="24"/>
                <w:highlight w:val="none"/>
                <w:lang w:val="en-US" w:eastAsia="zh-CN"/>
              </w:rPr>
              <w:t>吉林省长润</w:t>
            </w:r>
            <w:r>
              <w:rPr>
                <w:rFonts w:hint="eastAsia" w:ascii="宋体" w:hAnsi="宋体" w:eastAsia="宋体" w:cs="宋体"/>
                <w:b/>
                <w:bCs/>
                <w:color w:val="auto"/>
                <w:sz w:val="24"/>
                <w:szCs w:val="24"/>
                <w:highlight w:val="none"/>
              </w:rPr>
              <w:t>工程咨询有限公司</w:t>
            </w:r>
            <w:r>
              <w:rPr>
                <w:rFonts w:hint="eastAsia" w:ascii="宋体" w:hAnsi="宋体" w:eastAsia="宋体" w:cs="宋体"/>
                <w:color w:val="auto"/>
                <w:sz w:val="24"/>
                <w:szCs w:val="24"/>
                <w:highlight w:val="none"/>
              </w:rPr>
              <w:t>的基本账户，或提供保兑支票、银行汇票、提供银行、工程担保机构岀具的保函。</w:t>
            </w:r>
          </w:p>
          <w:p w14:paraId="5B53A6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投标保证金退还时退至</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企业基本账户</w:t>
            </w:r>
            <w:r>
              <w:rPr>
                <w:rFonts w:hint="eastAsia" w:ascii="宋体" w:hAnsi="宋体" w:eastAsia="宋体" w:cs="宋体"/>
                <w:color w:val="auto"/>
                <w:sz w:val="24"/>
                <w:szCs w:val="24"/>
                <w:highlight w:val="none"/>
              </w:rPr>
              <w:t>。</w:t>
            </w:r>
          </w:p>
          <w:p w14:paraId="5B8068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吉林省长润</w:t>
            </w:r>
            <w:r>
              <w:rPr>
                <w:rFonts w:hint="eastAsia" w:ascii="宋体" w:hAnsi="宋体" w:eastAsia="宋体" w:cs="宋体"/>
                <w:b/>
                <w:bCs/>
                <w:color w:val="auto"/>
                <w:sz w:val="24"/>
                <w:szCs w:val="24"/>
                <w:highlight w:val="none"/>
              </w:rPr>
              <w:t>工程咨询有限公司基本账户如下</w:t>
            </w:r>
            <w:r>
              <w:rPr>
                <w:rFonts w:hint="eastAsia" w:ascii="宋体" w:hAnsi="宋体" w:eastAsia="宋体" w:cs="宋体"/>
                <w:color w:val="auto"/>
                <w:sz w:val="24"/>
                <w:szCs w:val="24"/>
                <w:highlight w:val="none"/>
              </w:rPr>
              <w:t>：</w:t>
            </w:r>
          </w:p>
          <w:p w14:paraId="1865C0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开户名称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吉林省长润</w:t>
            </w:r>
            <w:r>
              <w:rPr>
                <w:rFonts w:hint="eastAsia" w:ascii="宋体" w:hAnsi="宋体" w:eastAsia="宋体" w:cs="宋体"/>
                <w:color w:val="auto"/>
                <w:sz w:val="24"/>
                <w:szCs w:val="24"/>
                <w:highlight w:val="none"/>
              </w:rPr>
              <w:t>工程咨询有限公司</w:t>
            </w:r>
          </w:p>
          <w:p w14:paraId="5EE32A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开户银行</w:t>
            </w:r>
            <w:r>
              <w:rPr>
                <w:rFonts w:hint="eastAsia" w:ascii="宋体" w:hAnsi="宋体" w:eastAsia="宋体" w:cs="宋体"/>
                <w:color w:val="auto"/>
                <w:sz w:val="24"/>
                <w:szCs w:val="24"/>
                <w:highlight w:val="none"/>
              </w:rPr>
              <w:t>：延边农村商业银行股份有限公司河南支行</w:t>
            </w:r>
          </w:p>
          <w:p w14:paraId="5F8C93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账    号</w:t>
            </w:r>
            <w:r>
              <w:rPr>
                <w:rFonts w:hint="eastAsia" w:ascii="宋体" w:hAnsi="宋体" w:eastAsia="宋体" w:cs="宋体"/>
                <w:color w:val="auto"/>
                <w:sz w:val="24"/>
                <w:szCs w:val="24"/>
                <w:highlight w:val="none"/>
              </w:rPr>
              <w:t>：0790 1030 1101 5258 888888</w:t>
            </w:r>
          </w:p>
          <w:p w14:paraId="7FD4D2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联 系 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侯幸运</w:t>
            </w:r>
            <w:r>
              <w:rPr>
                <w:rFonts w:hint="eastAsia" w:ascii="宋体" w:hAnsi="宋体" w:eastAsia="宋体" w:cs="宋体"/>
                <w:color w:val="auto"/>
                <w:sz w:val="24"/>
                <w:szCs w:val="24"/>
                <w:highlight w:val="none"/>
              </w:rPr>
              <w:t xml:space="preserve">          </w:t>
            </w:r>
          </w:p>
          <w:p w14:paraId="3CFBAC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联系电话</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18943301128</w:t>
            </w:r>
          </w:p>
          <w:p w14:paraId="6EDA0BA6">
            <w:pPr>
              <w:pStyle w:val="83"/>
              <w:keepNext w:val="0"/>
              <w:keepLines w:val="0"/>
              <w:pageBreakBefore w:val="0"/>
              <w:widowControl w:val="0"/>
              <w:suppressLineNumbers w:val="0"/>
              <w:shd w:val="clear" w:color="auto" w:fill="auto"/>
              <w:tabs>
                <w:tab w:val="left" w:pos="540"/>
              </w:tabs>
              <w:kinsoku/>
              <w:wordWrap/>
              <w:overflowPunct/>
              <w:topLinePunct w:val="0"/>
              <w:autoSpaceDE/>
              <w:autoSpaceDN/>
              <w:bidi w:val="0"/>
              <w:adjustRightInd/>
              <w:snapToGrid/>
              <w:spacing w:before="0" w:beforeAutospacing="0" w:after="160" w:afterAutospacing="0" w:line="380" w:lineRule="exact"/>
              <w:ind w:left="0" w:right="0" w:firstLine="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auto"/>
                <w:spacing w:val="0"/>
                <w:w w:val="100"/>
                <w:position w:val="0"/>
                <w:sz w:val="24"/>
                <w:szCs w:val="24"/>
                <w:highlight w:val="none"/>
                <w:lang w:val="en-US" w:eastAsia="zh-CN"/>
              </w:rPr>
              <w:t>注：填写转款凭证时必须注明投标项目名称、编号。</w:t>
            </w:r>
          </w:p>
        </w:tc>
      </w:tr>
      <w:tr w14:paraId="44939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003A8053">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3.5.2</w:t>
            </w:r>
          </w:p>
        </w:tc>
        <w:tc>
          <w:tcPr>
            <w:tcW w:w="2065" w:type="dxa"/>
            <w:tcBorders>
              <w:top w:val="single" w:color="auto" w:sz="4" w:space="0"/>
              <w:left w:val="nil"/>
              <w:bottom w:val="single" w:color="auto" w:sz="4" w:space="0"/>
              <w:right w:val="single" w:color="auto" w:sz="4" w:space="0"/>
            </w:tcBorders>
            <w:vAlign w:val="center"/>
          </w:tcPr>
          <w:p w14:paraId="52F4DD9D">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近年财务状况的年份要求</w:t>
            </w:r>
          </w:p>
        </w:tc>
        <w:tc>
          <w:tcPr>
            <w:tcW w:w="5264" w:type="dxa"/>
            <w:tcBorders>
              <w:top w:val="single" w:color="auto" w:sz="4" w:space="0"/>
              <w:left w:val="nil"/>
              <w:bottom w:val="single" w:color="auto" w:sz="4" w:space="0"/>
              <w:right w:val="single" w:color="auto" w:sz="4" w:space="0"/>
            </w:tcBorders>
            <w:vAlign w:val="center"/>
          </w:tcPr>
          <w:p w14:paraId="6D7E06FE">
            <w:pPr>
              <w:keepNext w:val="0"/>
              <w:keepLines w:val="0"/>
              <w:suppressLineNumbers w:val="0"/>
              <w:autoSpaceDE w:val="0"/>
              <w:autoSpaceDN w:val="0"/>
              <w:adjustRightInd w:val="0"/>
              <w:spacing w:before="0" w:beforeAutospacing="0" w:after="0" w:afterAutospacing="0" w:line="360" w:lineRule="exact"/>
              <w:ind w:left="0" w:right="0"/>
              <w:jc w:val="both"/>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近年度（2023年度）</w:t>
            </w:r>
            <w:r>
              <w:rPr>
                <w:rFonts w:hint="eastAsia" w:ascii="宋体" w:hAnsi="宋体" w:eastAsia="宋体" w:cs="宋体"/>
                <w:b w:val="0"/>
                <w:bCs w:val="0"/>
                <w:color w:val="000000" w:themeColor="text1"/>
                <w:sz w:val="24"/>
                <w:szCs w:val="24"/>
                <w:highlight w:val="none"/>
                <w:lang w:val="zh-CN" w:eastAsia="zh-CN"/>
                <w14:textFill>
                  <w14:solidFill>
                    <w14:schemeClr w14:val="tx1"/>
                  </w14:solidFill>
                </w14:textFill>
              </w:rPr>
              <w:t>经会计师事务所出具的财务审计报告或财务报表（含资产负债表、现金流量表、利润表），</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新成立企业提供当年验资报告或银行出具的公司资信证明。</w:t>
            </w:r>
          </w:p>
        </w:tc>
      </w:tr>
      <w:tr w14:paraId="76929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561E555F">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2065" w:type="dxa"/>
            <w:tcBorders>
              <w:top w:val="single" w:color="auto" w:sz="4" w:space="0"/>
              <w:left w:val="nil"/>
              <w:bottom w:val="single" w:color="auto" w:sz="4" w:space="0"/>
              <w:right w:val="single" w:color="auto" w:sz="4" w:space="0"/>
            </w:tcBorders>
            <w:vAlign w:val="center"/>
          </w:tcPr>
          <w:p w14:paraId="15D16606">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近年完成的类似项目的年份要求</w:t>
            </w:r>
          </w:p>
        </w:tc>
        <w:tc>
          <w:tcPr>
            <w:tcW w:w="5264" w:type="dxa"/>
            <w:tcBorders>
              <w:top w:val="single" w:color="auto" w:sz="4" w:space="0"/>
              <w:left w:val="nil"/>
              <w:bottom w:val="single" w:color="auto" w:sz="4" w:space="0"/>
              <w:right w:val="single" w:color="auto" w:sz="4" w:space="0"/>
            </w:tcBorders>
            <w:vAlign w:val="center"/>
          </w:tcPr>
          <w:p w14:paraId="211135E2">
            <w:pPr>
              <w:keepNext w:val="0"/>
              <w:keepLines w:val="0"/>
              <w:suppressLineNumbers w:val="0"/>
              <w:autoSpaceDE w:val="0"/>
              <w:autoSpaceDN w:val="0"/>
              <w:adjustRightInd w:val="0"/>
              <w:spacing w:before="0" w:beforeAutospacing="0" w:after="0" w:afterAutospacing="0" w:line="360" w:lineRule="exact"/>
              <w:ind w:left="0" w:right="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2021年1</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2024年12月</w:t>
            </w:r>
          </w:p>
        </w:tc>
      </w:tr>
      <w:tr w14:paraId="6C3C4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0B654C67">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2065" w:type="dxa"/>
            <w:tcBorders>
              <w:top w:val="single" w:color="auto" w:sz="4" w:space="0"/>
              <w:left w:val="nil"/>
              <w:bottom w:val="single" w:color="auto" w:sz="4" w:space="0"/>
              <w:right w:val="single" w:color="auto" w:sz="4" w:space="0"/>
            </w:tcBorders>
            <w:vAlign w:val="center"/>
          </w:tcPr>
          <w:p w14:paraId="2FA99950">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近年发生的诉讼及仲裁情况的年份要求</w:t>
            </w:r>
          </w:p>
        </w:tc>
        <w:tc>
          <w:tcPr>
            <w:tcW w:w="5264" w:type="dxa"/>
            <w:tcBorders>
              <w:top w:val="single" w:color="auto" w:sz="4" w:space="0"/>
              <w:left w:val="nil"/>
              <w:bottom w:val="single" w:color="auto" w:sz="4" w:space="0"/>
              <w:right w:val="single" w:color="auto" w:sz="4" w:space="0"/>
            </w:tcBorders>
            <w:vAlign w:val="center"/>
          </w:tcPr>
          <w:p w14:paraId="18F9A385">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2021年1</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2024年12月</w:t>
            </w:r>
          </w:p>
        </w:tc>
      </w:tr>
      <w:tr w14:paraId="0AED5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18AB4AD2">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3.6</w:t>
            </w:r>
          </w:p>
        </w:tc>
        <w:tc>
          <w:tcPr>
            <w:tcW w:w="2065" w:type="dxa"/>
            <w:tcBorders>
              <w:top w:val="single" w:color="auto" w:sz="4" w:space="0"/>
              <w:left w:val="nil"/>
              <w:bottom w:val="single" w:color="auto" w:sz="4" w:space="0"/>
              <w:right w:val="single" w:color="auto" w:sz="4" w:space="0"/>
            </w:tcBorders>
            <w:vAlign w:val="center"/>
          </w:tcPr>
          <w:p w14:paraId="5577CC07">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是否允许递交备选投标方案</w:t>
            </w:r>
          </w:p>
        </w:tc>
        <w:tc>
          <w:tcPr>
            <w:tcW w:w="5264" w:type="dxa"/>
            <w:tcBorders>
              <w:top w:val="single" w:color="auto" w:sz="4" w:space="0"/>
              <w:left w:val="nil"/>
              <w:bottom w:val="single" w:color="auto" w:sz="4" w:space="0"/>
              <w:right w:val="single" w:color="auto" w:sz="4" w:space="0"/>
            </w:tcBorders>
            <w:vAlign w:val="center"/>
          </w:tcPr>
          <w:p w14:paraId="3B9291C7">
            <w:pPr>
              <w:keepNext w:val="0"/>
              <w:keepLines w:val="0"/>
              <w:widowControl/>
              <w:suppressLineNumbers w:val="0"/>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不允许</w:t>
            </w:r>
          </w:p>
          <w:p w14:paraId="3FCAB4B9">
            <w:pPr>
              <w:keepNext w:val="0"/>
              <w:keepLines w:val="0"/>
              <w:widowControl/>
              <w:suppressLineNumbers w:val="0"/>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□允许</w:t>
            </w:r>
          </w:p>
        </w:tc>
      </w:tr>
      <w:tr w14:paraId="7716E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42B0B013">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3.7.3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2065" w:type="dxa"/>
            <w:tcBorders>
              <w:top w:val="single" w:color="auto" w:sz="4" w:space="0"/>
              <w:left w:val="nil"/>
              <w:bottom w:val="single" w:color="auto" w:sz="4" w:space="0"/>
              <w:right w:val="single" w:color="auto" w:sz="4" w:space="0"/>
            </w:tcBorders>
            <w:vAlign w:val="center"/>
          </w:tcPr>
          <w:p w14:paraId="70AE08AD">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签字或盖章要求</w:t>
            </w:r>
          </w:p>
        </w:tc>
        <w:tc>
          <w:tcPr>
            <w:tcW w:w="5264" w:type="dxa"/>
            <w:tcBorders>
              <w:top w:val="single" w:color="auto" w:sz="4" w:space="0"/>
              <w:left w:val="nil"/>
              <w:bottom w:val="single" w:color="auto" w:sz="4" w:space="0"/>
              <w:right w:val="single" w:color="auto" w:sz="4" w:space="0"/>
            </w:tcBorders>
          </w:tcPr>
          <w:p w14:paraId="5CE0329E">
            <w:pPr>
              <w:keepNext w:val="0"/>
              <w:keepLines w:val="0"/>
              <w:widowControl/>
              <w:suppressLineNumbers w:val="0"/>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t>投标文件</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封面、</w:t>
            </w:r>
            <w:r>
              <w:rPr>
                <w:rFonts w:hint="eastAsia" w:ascii="宋体" w:hAnsi="宋体" w:eastAsia="宋体" w:cs="宋体"/>
                <w:b w:val="0"/>
                <w:bCs w:val="0"/>
                <w:color w:val="000000" w:themeColor="text1"/>
                <w:spacing w:val="0"/>
                <w:w w:val="100"/>
                <w:position w:val="0"/>
                <w:sz w:val="24"/>
                <w:szCs w:val="24"/>
                <w:highlight w:val="none"/>
                <w:lang w:val="en-US" w:eastAsia="zh-CN"/>
                <w14:textFill>
                  <w14:solidFill>
                    <w14:schemeClr w14:val="tx1"/>
                  </w14:solidFill>
                </w14:textFill>
              </w:rPr>
              <w:t>投标</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函和其他需要签字或盖章的地方均应加盖供</w:t>
            </w:r>
            <w:r>
              <w:rPr>
                <w:rFonts w:hint="eastAsia" w:ascii="宋体" w:hAnsi="宋体" w:eastAsia="宋体" w:cs="宋体"/>
                <w:color w:val="000000" w:themeColor="text1"/>
                <w:sz w:val="24"/>
                <w:szCs w:val="24"/>
                <w:highlight w:val="none"/>
                <w14:textFill>
                  <w14:solidFill>
                    <w14:schemeClr w14:val="tx1"/>
                  </w14:solidFill>
                </w14:textFill>
              </w:rPr>
              <w:t>应商印章并经法定代表人或其委托代理人签字或盖章。由委托代理人签字或盖章的在</w:t>
            </w:r>
            <w:r>
              <w:rPr>
                <w:rFonts w:hint="eastAsia" w:ascii="宋体" w:hAnsi="宋体" w:eastAsia="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中须同时递交</w:t>
            </w:r>
            <w:r>
              <w:rPr>
                <w:rFonts w:hint="eastAsia" w:ascii="宋体" w:hAnsi="宋体" w:eastAsia="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授权委托书。</w:t>
            </w:r>
            <w:r>
              <w:rPr>
                <w:rFonts w:hint="eastAsia" w:ascii="宋体" w:hAnsi="宋体" w:eastAsia="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授权委托书格式、签字、盖章及内容均应符合要求，否则</w:t>
            </w:r>
            <w:r>
              <w:rPr>
                <w:rFonts w:hint="eastAsia" w:ascii="宋体" w:hAnsi="宋体" w:eastAsia="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授权委托书无效。</w:t>
            </w:r>
          </w:p>
        </w:tc>
      </w:tr>
      <w:tr w14:paraId="68A8B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5FE7C44E">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3.7.3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2065" w:type="dxa"/>
            <w:tcBorders>
              <w:top w:val="single" w:color="auto" w:sz="4" w:space="0"/>
              <w:left w:val="nil"/>
              <w:bottom w:val="single" w:color="auto" w:sz="4" w:space="0"/>
              <w:right w:val="single" w:color="auto" w:sz="4" w:space="0"/>
            </w:tcBorders>
            <w:vAlign w:val="center"/>
          </w:tcPr>
          <w:p w14:paraId="08C54231">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投标文件份数</w:t>
            </w:r>
          </w:p>
        </w:tc>
        <w:tc>
          <w:tcPr>
            <w:tcW w:w="5264" w:type="dxa"/>
            <w:tcBorders>
              <w:top w:val="single" w:color="auto" w:sz="4" w:space="0"/>
              <w:left w:val="nil"/>
              <w:bottom w:val="single" w:color="auto" w:sz="4" w:space="0"/>
              <w:right w:val="single" w:color="auto" w:sz="4" w:space="0"/>
            </w:tcBorders>
            <w:vAlign w:val="center"/>
          </w:tcPr>
          <w:p w14:paraId="0FAB3565">
            <w:pPr>
              <w:keepNext w:val="0"/>
              <w:keepLines w:val="0"/>
              <w:suppressLineNumbers w:val="0"/>
              <w:autoSpaceDE w:val="0"/>
              <w:autoSpaceDN w:val="0"/>
              <w:adjustRightInd w:val="0"/>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auto"/>
                <w:sz w:val="24"/>
                <w:szCs w:val="24"/>
                <w:highlight w:val="none"/>
                <w:lang w:val="zh-CN"/>
              </w:rPr>
              <w:t>投标单位在中标后，应按招标人要求的形式（纸质版、电子版）和份数提供投标文件（纸质版投标文件及普通电子版投标文件应与</w:t>
            </w:r>
            <w:r>
              <w:rPr>
                <w:rFonts w:hint="eastAsia" w:ascii="宋体" w:hAnsi="宋体" w:eastAsia="宋体" w:cs="宋体"/>
                <w:color w:val="auto"/>
                <w:sz w:val="24"/>
                <w:szCs w:val="24"/>
                <w:highlight w:val="none"/>
                <w:lang w:val="zh-CN" w:eastAsia="zh-CN"/>
              </w:rPr>
              <w:t>“政采云”</w:t>
            </w:r>
            <w:r>
              <w:rPr>
                <w:rFonts w:hint="eastAsia" w:ascii="宋体" w:hAnsi="宋体" w:eastAsia="宋体" w:cs="宋体"/>
                <w:color w:val="auto"/>
                <w:sz w:val="24"/>
                <w:szCs w:val="24"/>
                <w:highlight w:val="none"/>
                <w:lang w:val="zh-CN"/>
              </w:rPr>
              <w:t>平台交易系统上传电子投标文件内容一致）</w:t>
            </w:r>
            <w:r>
              <w:rPr>
                <w:rFonts w:hint="eastAsia" w:ascii="宋体" w:hAnsi="宋体" w:eastAsia="宋体" w:cs="宋体"/>
                <w:color w:val="auto"/>
                <w:sz w:val="24"/>
                <w:szCs w:val="24"/>
                <w:highlight w:val="none"/>
              </w:rPr>
              <w:t>。</w:t>
            </w:r>
          </w:p>
        </w:tc>
      </w:tr>
      <w:tr w14:paraId="1A38F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0335C4F6">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4.2.2</w:t>
            </w:r>
          </w:p>
        </w:tc>
        <w:tc>
          <w:tcPr>
            <w:tcW w:w="2065" w:type="dxa"/>
            <w:tcBorders>
              <w:top w:val="single" w:color="auto" w:sz="4" w:space="0"/>
              <w:left w:val="nil"/>
              <w:bottom w:val="single" w:color="auto" w:sz="4" w:space="0"/>
              <w:right w:val="single" w:color="auto" w:sz="4" w:space="0"/>
            </w:tcBorders>
            <w:vAlign w:val="center"/>
          </w:tcPr>
          <w:p w14:paraId="2AAD453C">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递交投标文件</w:t>
            </w:r>
          </w:p>
          <w:p w14:paraId="7A575B8E">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地点</w:t>
            </w:r>
          </w:p>
        </w:tc>
        <w:tc>
          <w:tcPr>
            <w:tcW w:w="5264" w:type="dxa"/>
            <w:tcBorders>
              <w:top w:val="single" w:color="auto" w:sz="4" w:space="0"/>
              <w:left w:val="nil"/>
              <w:bottom w:val="single" w:color="auto" w:sz="4" w:space="0"/>
              <w:right w:val="single" w:color="auto" w:sz="4" w:space="0"/>
            </w:tcBorders>
            <w:vAlign w:val="center"/>
          </w:tcPr>
          <w:p w14:paraId="23D1DEA6">
            <w:pPr>
              <w:keepNext w:val="0"/>
              <w:keepLines w:val="0"/>
              <w:widowControl/>
              <w:suppressLineNumbers w:val="0"/>
              <w:spacing w:before="0" w:beforeAutospacing="0" w:after="0" w:afterAutospacing="0" w:line="400" w:lineRule="exact"/>
              <w:ind w:left="0" w:right="0"/>
              <w:rPr>
                <w:rFonts w:hint="eastAsia" w:ascii="宋体" w:hAnsi="宋体" w:eastAsia="宋体" w:cs="宋体"/>
                <w:b w:val="0"/>
                <w:bCs w:val="0"/>
                <w:color w:val="000000" w:themeColor="text1"/>
                <w:spacing w:val="0"/>
                <w:w w:val="100"/>
                <w:position w:val="0"/>
                <w:sz w:val="24"/>
                <w:szCs w:val="24"/>
                <w:highlight w:val="none"/>
                <w:lang w:val="zh-CN"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提交截止时间：</w:t>
            </w:r>
            <w:r>
              <w:rPr>
                <w:rFonts w:hint="eastAsia" w:ascii="宋体" w:hAnsi="宋体" w:eastAsia="宋体" w:cs="宋体"/>
                <w:b w:val="0"/>
                <w:bCs w:val="0"/>
                <w:color w:val="000000" w:themeColor="text1"/>
                <w:spacing w:val="0"/>
                <w:w w:val="100"/>
                <w:position w:val="0"/>
                <w:sz w:val="24"/>
                <w:szCs w:val="24"/>
                <w:highlight w:val="none"/>
                <w:lang w:val="zh-CN" w:eastAsia="zh-CN"/>
                <w14:textFill>
                  <w14:solidFill>
                    <w14:schemeClr w14:val="tx1"/>
                  </w14:solidFill>
                </w14:textFill>
              </w:rPr>
              <w:t>202</w:t>
            </w:r>
            <w:r>
              <w:rPr>
                <w:rFonts w:hint="eastAsia" w:ascii="宋体" w:hAnsi="宋体" w:cs="宋体"/>
                <w:b w:val="0"/>
                <w:bCs w:val="0"/>
                <w:color w:val="000000" w:themeColor="text1"/>
                <w:spacing w:val="0"/>
                <w:w w:val="100"/>
                <w:position w:val="0"/>
                <w:sz w:val="24"/>
                <w:szCs w:val="24"/>
                <w:highlight w:val="none"/>
                <w:lang w:val="en-US" w:eastAsia="zh-CN"/>
                <w14:textFill>
                  <w14:solidFill>
                    <w14:schemeClr w14:val="tx1"/>
                  </w14:solidFill>
                </w14:textFill>
              </w:rPr>
              <w:t>5</w:t>
            </w:r>
            <w:r>
              <w:rPr>
                <w:rFonts w:hint="eastAsia" w:ascii="宋体" w:hAnsi="宋体" w:eastAsia="宋体" w:cs="宋体"/>
                <w:b w:val="0"/>
                <w:bCs w:val="0"/>
                <w:color w:val="000000" w:themeColor="text1"/>
                <w:spacing w:val="0"/>
                <w:w w:val="100"/>
                <w:position w:val="0"/>
                <w:sz w:val="24"/>
                <w:szCs w:val="24"/>
                <w:highlight w:val="none"/>
                <w:lang w:val="zh-CN" w:eastAsia="zh-CN"/>
                <w14:textFill>
                  <w14:solidFill>
                    <w14:schemeClr w14:val="tx1"/>
                  </w14:solidFill>
                </w14:textFill>
              </w:rPr>
              <w:t>年</w:t>
            </w:r>
            <w:r>
              <w:rPr>
                <w:rFonts w:hint="eastAsia" w:ascii="宋体" w:hAnsi="宋体" w:eastAsia="宋体" w:cs="宋体"/>
                <w:b w:val="0"/>
                <w:bCs w:val="0"/>
                <w:color w:val="000000" w:themeColor="text1"/>
                <w:spacing w:val="0"/>
                <w:w w:val="100"/>
                <w:position w:val="0"/>
                <w:sz w:val="24"/>
                <w:szCs w:val="24"/>
                <w:highlight w:val="none"/>
                <w:lang w:val="en-US" w:eastAsia="zh-CN"/>
                <w14:textFill>
                  <w14:solidFill>
                    <w14:schemeClr w14:val="tx1"/>
                  </w14:solidFill>
                </w14:textFill>
              </w:rPr>
              <w:t>1</w:t>
            </w:r>
            <w:r>
              <w:rPr>
                <w:rFonts w:hint="eastAsia" w:ascii="宋体" w:hAnsi="宋体" w:eastAsia="宋体" w:cs="宋体"/>
                <w:b w:val="0"/>
                <w:bCs w:val="0"/>
                <w:color w:val="000000" w:themeColor="text1"/>
                <w:spacing w:val="0"/>
                <w:w w:val="100"/>
                <w:position w:val="0"/>
                <w:sz w:val="24"/>
                <w:szCs w:val="24"/>
                <w:highlight w:val="none"/>
                <w:lang w:val="zh-CN" w:eastAsia="zh-CN"/>
                <w14:textFill>
                  <w14:solidFill>
                    <w14:schemeClr w14:val="tx1"/>
                  </w14:solidFill>
                </w14:textFill>
              </w:rPr>
              <w:t>月</w:t>
            </w:r>
            <w:r>
              <w:rPr>
                <w:rFonts w:hint="eastAsia" w:ascii="宋体" w:hAnsi="宋体" w:cs="宋体"/>
                <w:b w:val="0"/>
                <w:bCs w:val="0"/>
                <w:color w:val="000000" w:themeColor="text1"/>
                <w:spacing w:val="0"/>
                <w:w w:val="100"/>
                <w:position w:val="0"/>
                <w:sz w:val="24"/>
                <w:szCs w:val="24"/>
                <w:highlight w:val="none"/>
                <w:lang w:val="en-US" w:eastAsia="zh-CN"/>
                <w14:textFill>
                  <w14:solidFill>
                    <w14:schemeClr w14:val="tx1"/>
                  </w14:solidFill>
                </w14:textFill>
              </w:rPr>
              <w:t>15</w:t>
            </w:r>
            <w:r>
              <w:rPr>
                <w:rFonts w:hint="eastAsia" w:ascii="宋体" w:hAnsi="宋体" w:eastAsia="宋体" w:cs="宋体"/>
                <w:b w:val="0"/>
                <w:bCs w:val="0"/>
                <w:color w:val="000000" w:themeColor="text1"/>
                <w:spacing w:val="0"/>
                <w:w w:val="100"/>
                <w:position w:val="0"/>
                <w:sz w:val="24"/>
                <w:szCs w:val="24"/>
                <w:highlight w:val="none"/>
                <w:lang w:val="zh-CN" w:eastAsia="zh-CN"/>
                <w14:textFill>
                  <w14:solidFill>
                    <w14:schemeClr w14:val="tx1"/>
                  </w14:solidFill>
                </w14:textFill>
              </w:rPr>
              <w:t>日，上午</w:t>
            </w:r>
            <w:r>
              <w:rPr>
                <w:rFonts w:hint="eastAsia" w:ascii="宋体" w:hAnsi="宋体" w:eastAsia="宋体" w:cs="宋体"/>
                <w:b w:val="0"/>
                <w:bCs w:val="0"/>
                <w:color w:val="000000" w:themeColor="text1"/>
                <w:spacing w:val="0"/>
                <w:w w:val="100"/>
                <w:position w:val="0"/>
                <w:sz w:val="24"/>
                <w:szCs w:val="24"/>
                <w:highlight w:val="none"/>
                <w:lang w:val="en-US" w:eastAsia="zh-CN"/>
                <w14:textFill>
                  <w14:solidFill>
                    <w14:schemeClr w14:val="tx1"/>
                  </w14:solidFill>
                </w14:textFill>
              </w:rPr>
              <w:t>9</w:t>
            </w:r>
            <w:r>
              <w:rPr>
                <w:rFonts w:hint="eastAsia" w:ascii="宋体" w:hAnsi="宋体" w:eastAsia="宋体" w:cs="宋体"/>
                <w:b w:val="0"/>
                <w:bCs w:val="0"/>
                <w:color w:val="000000" w:themeColor="text1"/>
                <w:spacing w:val="0"/>
                <w:w w:val="100"/>
                <w:position w:val="0"/>
                <w:sz w:val="24"/>
                <w:szCs w:val="24"/>
                <w:highlight w:val="none"/>
                <w:lang w:val="zh-CN" w:eastAsia="zh-CN"/>
                <w14:textFill>
                  <w14:solidFill>
                    <w14:schemeClr w14:val="tx1"/>
                  </w14:solidFill>
                </w14:textFill>
              </w:rPr>
              <w:t>时</w:t>
            </w:r>
            <w:r>
              <w:rPr>
                <w:rFonts w:hint="eastAsia" w:ascii="宋体" w:hAnsi="宋体" w:eastAsia="宋体" w:cs="宋体"/>
                <w:b w:val="0"/>
                <w:bCs w:val="0"/>
                <w:color w:val="000000" w:themeColor="text1"/>
                <w:spacing w:val="0"/>
                <w:w w:val="100"/>
                <w:position w:val="0"/>
                <w:sz w:val="24"/>
                <w:szCs w:val="24"/>
                <w:highlight w:val="none"/>
                <w:lang w:val="en-US" w:eastAsia="zh-CN"/>
                <w14:textFill>
                  <w14:solidFill>
                    <w14:schemeClr w14:val="tx1"/>
                  </w14:solidFill>
                </w14:textFill>
              </w:rPr>
              <w:t>00</w:t>
            </w:r>
            <w:r>
              <w:rPr>
                <w:rFonts w:hint="eastAsia" w:ascii="宋体" w:hAnsi="宋体" w:eastAsia="宋体" w:cs="宋体"/>
                <w:b w:val="0"/>
                <w:bCs w:val="0"/>
                <w:color w:val="000000" w:themeColor="text1"/>
                <w:spacing w:val="0"/>
                <w:w w:val="100"/>
                <w:position w:val="0"/>
                <w:sz w:val="24"/>
                <w:szCs w:val="24"/>
                <w:highlight w:val="none"/>
                <w:lang w:val="zh-CN" w:eastAsia="zh-CN"/>
                <w14:textFill>
                  <w14:solidFill>
                    <w14:schemeClr w14:val="tx1"/>
                  </w14:solidFill>
                </w14:textFill>
              </w:rPr>
              <w:t>分（北京时间）</w:t>
            </w:r>
          </w:p>
          <w:p w14:paraId="62FB2499">
            <w:pPr>
              <w:keepNext w:val="0"/>
              <w:keepLines w:val="0"/>
              <w:widowControl/>
              <w:suppressLineNumbers w:val="0"/>
              <w:spacing w:before="0" w:beforeAutospacing="0" w:after="0" w:afterAutospacing="0" w:line="400" w:lineRule="exact"/>
              <w:ind w:left="0" w:right="0"/>
              <w:rPr>
                <w:rFonts w:hint="eastAsia" w:ascii="宋体" w:hAnsi="宋体" w:eastAsia="宋体" w:cs="宋体"/>
                <w:highlight w:val="none"/>
              </w:rPr>
            </w:pPr>
            <w:r>
              <w:rPr>
                <w:rFonts w:hint="eastAsia" w:ascii="宋体" w:hAnsi="宋体" w:eastAsia="宋体" w:cs="宋体"/>
                <w:b w:val="0"/>
                <w:bCs w:val="0"/>
                <w:color w:val="000000" w:themeColor="text1"/>
                <w:spacing w:val="0"/>
                <w:w w:val="100"/>
                <w:position w:val="0"/>
                <w:sz w:val="24"/>
                <w:szCs w:val="24"/>
                <w:highlight w:val="none"/>
                <w:lang w:val="zh-CN" w:eastAsia="zh-CN"/>
                <w14:textFill>
                  <w14:solidFill>
                    <w14:schemeClr w14:val="tx1"/>
                  </w14:solidFill>
                </w14:textFill>
              </w:rPr>
              <w:t>投标人应在投标文件递交截止时间前通过“政采云”平台（http：//www.zcygov.cn）上传电子投标文件；逾期上传的电子投标文件，电子招标投标交易平台将予以拒收。</w:t>
            </w:r>
          </w:p>
        </w:tc>
      </w:tr>
      <w:tr w14:paraId="7F616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6E152E1D">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4.2.3</w:t>
            </w:r>
          </w:p>
        </w:tc>
        <w:tc>
          <w:tcPr>
            <w:tcW w:w="2065" w:type="dxa"/>
            <w:tcBorders>
              <w:top w:val="single" w:color="auto" w:sz="4" w:space="0"/>
              <w:left w:val="nil"/>
              <w:bottom w:val="single" w:color="auto" w:sz="4" w:space="0"/>
              <w:right w:val="single" w:color="auto" w:sz="4" w:space="0"/>
            </w:tcBorders>
            <w:vAlign w:val="center"/>
          </w:tcPr>
          <w:p w14:paraId="24CC2316">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是否退还投标</w:t>
            </w:r>
          </w:p>
          <w:p w14:paraId="0E381DCE">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文件</w:t>
            </w:r>
          </w:p>
        </w:tc>
        <w:tc>
          <w:tcPr>
            <w:tcW w:w="5264" w:type="dxa"/>
            <w:tcBorders>
              <w:top w:val="single" w:color="auto" w:sz="4" w:space="0"/>
              <w:left w:val="nil"/>
              <w:bottom w:val="single" w:color="auto" w:sz="4" w:space="0"/>
              <w:right w:val="single" w:color="auto" w:sz="4" w:space="0"/>
            </w:tcBorders>
            <w:vAlign w:val="center"/>
          </w:tcPr>
          <w:p w14:paraId="571CF248">
            <w:pPr>
              <w:keepNext w:val="0"/>
              <w:keepLines w:val="0"/>
              <w:suppressLineNumbers w:val="0"/>
              <w:autoSpaceDE w:val="0"/>
              <w:autoSpaceDN w:val="0"/>
              <w:adjustRightInd w:val="0"/>
              <w:spacing w:before="0" w:beforeAutospacing="0" w:after="0" w:afterAutospacing="0" w:line="360" w:lineRule="exact"/>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不退还</w:t>
            </w:r>
          </w:p>
        </w:tc>
      </w:tr>
      <w:tr w14:paraId="263F4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3"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0B689C77">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w:t>
            </w:r>
          </w:p>
        </w:tc>
        <w:tc>
          <w:tcPr>
            <w:tcW w:w="2065" w:type="dxa"/>
            <w:tcBorders>
              <w:top w:val="single" w:color="auto" w:sz="4" w:space="0"/>
              <w:left w:val="nil"/>
              <w:bottom w:val="single" w:color="auto" w:sz="4" w:space="0"/>
              <w:right w:val="single" w:color="auto" w:sz="4" w:space="0"/>
            </w:tcBorders>
            <w:vAlign w:val="center"/>
          </w:tcPr>
          <w:p w14:paraId="2BFDF6A3">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开标时间和地点</w:t>
            </w:r>
          </w:p>
        </w:tc>
        <w:tc>
          <w:tcPr>
            <w:tcW w:w="5264" w:type="dxa"/>
            <w:tcBorders>
              <w:top w:val="single" w:color="auto" w:sz="4" w:space="0"/>
              <w:left w:val="nil"/>
              <w:bottom w:val="single" w:color="auto" w:sz="4" w:space="0"/>
              <w:right w:val="single" w:color="auto" w:sz="4" w:space="0"/>
            </w:tcBorders>
            <w:vAlign w:val="center"/>
          </w:tcPr>
          <w:p w14:paraId="59EF21A5">
            <w:pPr>
              <w:keepNext w:val="0"/>
              <w:keepLines w:val="0"/>
              <w:suppressLineNumbers w:val="0"/>
              <w:autoSpaceDE w:val="0"/>
              <w:autoSpaceDN w:val="0"/>
              <w:adjustRightInd w:val="0"/>
              <w:spacing w:before="0" w:beforeAutospacing="0" w:after="0" w:afterAutospacing="0" w:line="360" w:lineRule="exact"/>
              <w:ind w:left="0" w:right="0"/>
              <w:jc w:val="left"/>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开标时间：</w:t>
            </w:r>
            <w:r>
              <w:rPr>
                <w:rFonts w:hint="eastAsia" w:ascii="宋体" w:hAnsi="宋体" w:eastAsia="宋体" w:cs="宋体"/>
                <w:color w:val="000000" w:themeColor="text1"/>
                <w:sz w:val="24"/>
                <w:szCs w:val="24"/>
                <w:highlight w:val="none"/>
                <w:lang w:val="zh-CN" w:eastAsia="zh-CN"/>
                <w14:textFill>
                  <w14:solidFill>
                    <w14:schemeClr w14:val="tx1"/>
                  </w14:solidFill>
                </w14:textFill>
              </w:rPr>
              <w:t>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zh-CN" w:eastAsia="zh-CN"/>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zh-CN" w:eastAsia="zh-CN"/>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lang w:val="zh-CN" w:eastAsia="zh-CN"/>
                <w14:textFill>
                  <w14:solidFill>
                    <w14:schemeClr w14:val="tx1"/>
                  </w14:solidFill>
                </w14:textFill>
              </w:rPr>
              <w:t>日,上午9时00分（北京时间）</w:t>
            </w:r>
          </w:p>
          <w:p w14:paraId="0F83EDFA">
            <w:pPr>
              <w:keepNext w:val="0"/>
              <w:keepLines w:val="0"/>
              <w:suppressLineNumbers w:val="0"/>
              <w:autoSpaceDE w:val="0"/>
              <w:autoSpaceDN w:val="0"/>
              <w:adjustRightInd w:val="0"/>
              <w:spacing w:before="0" w:beforeAutospacing="0" w:after="0" w:afterAutospacing="0" w:line="360" w:lineRule="exact"/>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开标地点：延吉市公共资源交易中心（延吉市政务</w:t>
            </w:r>
            <w:r>
              <w:rPr>
                <w:rFonts w:hint="eastAsia" w:ascii="宋体" w:hAnsi="宋体" w:eastAsia="宋体" w:cs="宋体"/>
                <w:color w:val="000000" w:themeColor="text1"/>
                <w:sz w:val="24"/>
                <w:szCs w:val="24"/>
                <w:highlight w:val="none"/>
                <w:lang w:eastAsia="zh-CN"/>
                <w14:textFill>
                  <w14:solidFill>
                    <w14:schemeClr w14:val="tx1"/>
                  </w14:solidFill>
                </w14:textFill>
              </w:rPr>
              <w:t>大厅</w:t>
            </w:r>
            <w:r>
              <w:rPr>
                <w:rFonts w:hint="eastAsia" w:ascii="宋体" w:hAnsi="宋体" w:eastAsia="宋体" w:cs="宋体"/>
                <w:color w:val="000000" w:themeColor="text1"/>
                <w:sz w:val="24"/>
                <w:szCs w:val="24"/>
                <w:highlight w:val="none"/>
                <w14:textFill>
                  <w14:solidFill>
                    <w14:schemeClr w14:val="tx1"/>
                  </w14:solidFill>
                </w14:textFill>
              </w:rPr>
              <w:t>6楼</w:t>
            </w:r>
            <w:r>
              <w:rPr>
                <w:rFonts w:hint="eastAsia" w:ascii="宋体" w:hAnsi="宋体" w:eastAsia="宋体" w:cs="宋体"/>
                <w:color w:val="000000" w:themeColor="text1"/>
                <w:sz w:val="24"/>
                <w:szCs w:val="24"/>
                <w:highlight w:val="none"/>
                <w:lang w:eastAsia="zh-CN"/>
                <w14:textFill>
                  <w14:solidFill>
                    <w14:schemeClr w14:val="tx1"/>
                  </w14:solidFill>
                </w14:textFill>
              </w:rPr>
              <w:t>开标二室</w:t>
            </w:r>
            <w:r>
              <w:rPr>
                <w:rFonts w:hint="eastAsia" w:ascii="宋体" w:hAnsi="宋体" w:eastAsia="宋体" w:cs="宋体"/>
                <w:color w:val="000000" w:themeColor="text1"/>
                <w:sz w:val="24"/>
                <w:szCs w:val="24"/>
                <w:highlight w:val="none"/>
                <w14:textFill>
                  <w14:solidFill>
                    <w14:schemeClr w14:val="tx1"/>
                  </w14:solidFill>
                </w14:textFill>
              </w:rPr>
              <w:t>）。</w:t>
            </w:r>
          </w:p>
          <w:p w14:paraId="7E3D689B">
            <w:pPr>
              <w:keepNext w:val="0"/>
              <w:keepLines w:val="0"/>
              <w:suppressLineNumbers w:val="0"/>
              <w:autoSpaceDE w:val="0"/>
              <w:autoSpaceDN w:val="0"/>
              <w:adjustRightInd w:val="0"/>
              <w:spacing w:before="0" w:beforeAutospacing="0" w:after="0" w:afterAutospacing="0" w:line="360" w:lineRule="exact"/>
              <w:ind w:left="0" w:right="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地址：吉林省延吉市光华路166-1号</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14:paraId="090A8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11F9976F">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5.2</w:t>
            </w:r>
          </w:p>
        </w:tc>
        <w:tc>
          <w:tcPr>
            <w:tcW w:w="2065" w:type="dxa"/>
            <w:tcBorders>
              <w:top w:val="single" w:color="auto" w:sz="4" w:space="0"/>
              <w:left w:val="nil"/>
              <w:bottom w:val="single" w:color="auto" w:sz="4" w:space="0"/>
              <w:right w:val="single" w:color="auto" w:sz="4" w:space="0"/>
            </w:tcBorders>
            <w:vAlign w:val="center"/>
          </w:tcPr>
          <w:p w14:paraId="4B7C4323">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开标程序</w:t>
            </w:r>
          </w:p>
        </w:tc>
        <w:tc>
          <w:tcPr>
            <w:tcW w:w="5264" w:type="dxa"/>
            <w:tcBorders>
              <w:top w:val="single" w:color="auto" w:sz="4" w:space="0"/>
              <w:left w:val="nil"/>
              <w:bottom w:val="single" w:color="auto" w:sz="4" w:space="0"/>
              <w:right w:val="single" w:color="auto" w:sz="4" w:space="0"/>
            </w:tcBorders>
          </w:tcPr>
          <w:p w14:paraId="297D4DA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42" w:leftChars="20" w:right="0" w:firstLine="1"/>
              <w:textAlignment w:val="baseline"/>
              <w:rPr>
                <w:rFonts w:hint="eastAsia" w:ascii="宋体" w:hAnsi="宋体" w:eastAsia="宋体" w:cs="宋体"/>
                <w:color w:val="auto"/>
                <w:kern w:val="2"/>
                <w:sz w:val="24"/>
                <w:szCs w:val="32"/>
                <w:highlight w:val="none"/>
              </w:rPr>
            </w:pPr>
            <w:r>
              <w:rPr>
                <w:rFonts w:hint="eastAsia" w:ascii="宋体" w:hAnsi="宋体" w:eastAsia="宋体" w:cs="宋体"/>
                <w:color w:val="auto"/>
                <w:kern w:val="2"/>
                <w:sz w:val="24"/>
                <w:szCs w:val="32"/>
                <w:highlight w:val="none"/>
              </w:rPr>
              <w:t>1、投标人开标当日无需到现场开标，不需要递交纸质版投标文件及招标文件规定的原件，实行远程解密。投标人应在投标文件递交截止时间前通过</w:t>
            </w:r>
            <w:r>
              <w:rPr>
                <w:rFonts w:hint="eastAsia" w:ascii="宋体" w:hAnsi="宋体" w:eastAsia="宋体" w:cs="宋体"/>
                <w:b/>
                <w:bCs/>
                <w:color w:val="auto"/>
                <w:sz w:val="24"/>
                <w:szCs w:val="24"/>
                <w:highlight w:val="none"/>
                <w:lang w:val="en-US" w:eastAsia="zh-CN"/>
              </w:rPr>
              <w:t>“政采云”平台（http：//www.zcygov.cn）</w:t>
            </w:r>
            <w:r>
              <w:rPr>
                <w:rFonts w:hint="eastAsia" w:ascii="宋体" w:hAnsi="宋体" w:eastAsia="宋体" w:cs="宋体"/>
                <w:color w:val="auto"/>
                <w:kern w:val="2"/>
                <w:sz w:val="24"/>
                <w:szCs w:val="32"/>
                <w:highlight w:val="none"/>
              </w:rPr>
              <w:t>上传电子投标文件。</w:t>
            </w:r>
          </w:p>
          <w:p w14:paraId="1368273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42" w:leftChars="20" w:right="0" w:firstLine="1"/>
              <w:textAlignment w:val="baseline"/>
              <w:rPr>
                <w:rFonts w:hint="eastAsia" w:ascii="宋体" w:hAnsi="宋体" w:eastAsia="宋体" w:cs="宋体"/>
                <w:color w:val="auto"/>
                <w:kern w:val="2"/>
                <w:sz w:val="24"/>
                <w:szCs w:val="32"/>
                <w:highlight w:val="none"/>
              </w:rPr>
            </w:pPr>
            <w:r>
              <w:rPr>
                <w:rFonts w:hint="eastAsia" w:ascii="宋体" w:hAnsi="宋体" w:eastAsia="宋体" w:cs="宋体"/>
                <w:color w:val="auto"/>
                <w:kern w:val="2"/>
                <w:sz w:val="24"/>
                <w:szCs w:val="32"/>
                <w:highlight w:val="none"/>
              </w:rPr>
              <w:t>2、本项目采取网上招标、网上投标。各投标单位</w:t>
            </w:r>
            <w:r>
              <w:rPr>
                <w:rFonts w:hint="eastAsia" w:ascii="宋体" w:hAnsi="宋体" w:eastAsia="宋体" w:cs="宋体"/>
                <w:b w:val="0"/>
                <w:bCs w:val="0"/>
                <w:color w:val="auto"/>
                <w:kern w:val="2"/>
                <w:sz w:val="24"/>
                <w:szCs w:val="32"/>
                <w:highlight w:val="none"/>
              </w:rPr>
              <w:t>使用CA锁</w:t>
            </w:r>
            <w:r>
              <w:rPr>
                <w:rFonts w:hint="eastAsia" w:ascii="宋体" w:hAnsi="宋体" w:eastAsia="宋体" w:cs="宋体"/>
                <w:color w:val="auto"/>
                <w:kern w:val="2"/>
                <w:sz w:val="24"/>
                <w:szCs w:val="32"/>
                <w:highlight w:val="none"/>
              </w:rPr>
              <w:t>制作的投标文件(资格审查材料等) 符合网上开标要求才可进入评标阶段，全流程电子招标项目交易平台系统支持投标文件远程解密。逾期上传的电子投标文件，电子招标投标交易平台将予以拒收。</w:t>
            </w:r>
          </w:p>
          <w:p w14:paraId="220BEFB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42" w:leftChars="20" w:right="0" w:firstLine="1"/>
              <w:textAlignment w:val="baseline"/>
              <w:rPr>
                <w:rFonts w:hint="eastAsia" w:ascii="宋体" w:hAnsi="宋体" w:eastAsia="宋体" w:cs="宋体"/>
                <w:color w:val="auto"/>
                <w:kern w:val="2"/>
                <w:sz w:val="24"/>
                <w:szCs w:val="32"/>
                <w:highlight w:val="none"/>
              </w:rPr>
            </w:pPr>
            <w:r>
              <w:rPr>
                <w:rFonts w:hint="eastAsia" w:ascii="宋体" w:hAnsi="宋体" w:eastAsia="宋体" w:cs="宋体"/>
                <w:color w:val="auto"/>
                <w:kern w:val="2"/>
                <w:sz w:val="24"/>
                <w:szCs w:val="32"/>
                <w:highlight w:val="none"/>
              </w:rPr>
              <w:t>3、</w:t>
            </w:r>
            <w:r>
              <w:rPr>
                <w:rFonts w:hint="eastAsia" w:ascii="宋体" w:hAnsi="宋体" w:eastAsia="宋体" w:cs="宋体"/>
                <w:b w:val="0"/>
                <w:bCs w:val="0"/>
                <w:color w:val="000000" w:themeColor="text1"/>
                <w:spacing w:val="0"/>
                <w:w w:val="100"/>
                <w:position w:val="0"/>
                <w:sz w:val="24"/>
                <w:szCs w:val="24"/>
                <w:highlight w:val="none"/>
                <w:lang w:val="zh-CN" w:eastAsia="zh-CN"/>
                <w14:textFill>
                  <w14:solidFill>
                    <w14:schemeClr w14:val="tx1"/>
                  </w14:solidFill>
                </w14:textFill>
              </w:rPr>
              <w:t>“政采云”平台（http：//www.zcygov.cn）支持投标文件远程解密，解密方式：投标文件递交截止时间后30分钟内完成解密工作，投标人持制作该电子投标文件的同一数字证书（CA企业锁）登录，进入“开标远程解密”菜单选择对应的项目的投标文件进行远程解密（各投标人开标前及网上开评标系统公布投标人名单前，不要提前进行远程解密）。投标人由于数字证书遗失、损坏、更换、续期等自身原因未能成功解密的，视为逾期未提交投标文件，其投标无效</w:t>
            </w:r>
            <w:r>
              <w:rPr>
                <w:rFonts w:hint="eastAsia" w:ascii="宋体" w:hAnsi="宋体" w:eastAsia="宋体" w:cs="宋体"/>
                <w:color w:val="auto"/>
                <w:sz w:val="24"/>
                <w:szCs w:val="24"/>
                <w:highlight w:val="none"/>
                <w:lang w:val="zh-CN" w:eastAsia="zh-CN"/>
              </w:rPr>
              <w:t>。</w:t>
            </w:r>
          </w:p>
          <w:p w14:paraId="28B05DC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42" w:leftChars="20" w:right="0" w:firstLine="1"/>
              <w:textAlignment w:val="baseline"/>
              <w:rPr>
                <w:rFonts w:hint="eastAsia" w:ascii="宋体" w:hAnsi="宋体" w:eastAsia="宋体" w:cs="宋体"/>
                <w:color w:val="auto"/>
                <w:kern w:val="2"/>
                <w:sz w:val="24"/>
                <w:szCs w:val="32"/>
                <w:highlight w:val="none"/>
              </w:rPr>
            </w:pPr>
            <w:r>
              <w:rPr>
                <w:rFonts w:hint="eastAsia" w:ascii="宋体" w:hAnsi="宋体" w:eastAsia="宋体" w:cs="宋体"/>
                <w:color w:val="auto"/>
                <w:kern w:val="2"/>
                <w:sz w:val="24"/>
                <w:szCs w:val="32"/>
                <w:highlight w:val="none"/>
              </w:rPr>
              <w:t>4、本项目采用腾讯会议直播形式进行开标，各投标人自行下载安装腾讯会议，加入腾讯会议</w:t>
            </w:r>
            <w:r>
              <w:rPr>
                <w:rFonts w:hint="eastAsia" w:ascii="宋体" w:hAnsi="宋体" w:eastAsia="宋体" w:cs="宋体"/>
                <w:b/>
                <w:bCs/>
                <w:color w:val="auto"/>
                <w:kern w:val="2"/>
                <w:sz w:val="24"/>
                <w:szCs w:val="32"/>
                <w:highlight w:val="none"/>
              </w:rPr>
              <w:t>(腾讯会议号</w:t>
            </w:r>
            <w:r>
              <w:rPr>
                <w:rFonts w:hint="eastAsia" w:ascii="宋体" w:hAnsi="宋体" w:eastAsia="宋体" w:cs="宋体"/>
                <w:b/>
                <w:bCs/>
                <w:color w:val="auto"/>
                <w:kern w:val="2"/>
                <w:sz w:val="24"/>
                <w:szCs w:val="32"/>
                <w:highlight w:val="none"/>
                <w:lang w:eastAsia="zh-CN"/>
              </w:rPr>
              <w:t>：</w:t>
            </w:r>
            <w:r>
              <w:rPr>
                <w:rFonts w:hint="eastAsia" w:ascii="宋体" w:hAnsi="宋体" w:cs="宋体"/>
                <w:b/>
                <w:bCs/>
                <w:color w:val="auto"/>
                <w:kern w:val="2"/>
                <w:sz w:val="24"/>
                <w:szCs w:val="32"/>
                <w:highlight w:val="none"/>
                <w:lang w:val="en-US" w:eastAsia="zh-CN"/>
              </w:rPr>
              <w:t>132 368 501</w:t>
            </w:r>
            <w:r>
              <w:rPr>
                <w:rFonts w:hint="eastAsia" w:ascii="宋体" w:hAnsi="宋体" w:eastAsia="宋体" w:cs="宋体"/>
                <w:b/>
                <w:bCs/>
                <w:color w:val="auto"/>
                <w:kern w:val="2"/>
                <w:sz w:val="24"/>
                <w:szCs w:val="32"/>
                <w:highlight w:val="none"/>
                <w:lang w:val="en-US" w:eastAsia="zh-CN"/>
              </w:rPr>
              <w:t xml:space="preserve"> ；密码：8888</w:t>
            </w:r>
            <w:r>
              <w:rPr>
                <w:rFonts w:hint="eastAsia" w:ascii="宋体" w:hAnsi="宋体" w:eastAsia="宋体" w:cs="宋体"/>
                <w:b/>
                <w:bCs/>
                <w:color w:val="auto"/>
                <w:kern w:val="2"/>
                <w:sz w:val="24"/>
                <w:szCs w:val="32"/>
                <w:highlight w:val="none"/>
              </w:rPr>
              <w:t>)</w:t>
            </w:r>
            <w:r>
              <w:rPr>
                <w:rFonts w:hint="eastAsia" w:ascii="宋体" w:hAnsi="宋体" w:eastAsia="宋体" w:cs="宋体"/>
                <w:color w:val="auto"/>
                <w:kern w:val="2"/>
                <w:sz w:val="24"/>
                <w:szCs w:val="32"/>
                <w:highlight w:val="none"/>
              </w:rPr>
              <w:t>，投标人需在线观看开标过程、进行远程解密，如未进入或无故离开视频会议室，视为认同开标结果，后果自负。投标人对开标有异议的，应当在远程开标时提出，非远程开标中提出的开标异议，招标人或者行政监督部门不予受理。</w:t>
            </w:r>
          </w:p>
          <w:p w14:paraId="2070F8E0">
            <w:pPr>
              <w:pStyle w:val="35"/>
              <w:keepNext w:val="0"/>
              <w:keepLines w:val="0"/>
              <w:pageBreakBefore w:val="0"/>
              <w:suppressLineNumbers w:val="0"/>
              <w:wordWrap/>
              <w:overflowPunct/>
              <w:topLinePunct w:val="0"/>
              <w:bidi w:val="0"/>
              <w:spacing w:before="0" w:beforeAutospacing="0" w:afterAutospacing="0" w:line="360" w:lineRule="exact"/>
              <w:ind w:left="0" w:leftChars="0" w:right="0" w:firstLine="0" w:firstLineChars="0"/>
              <w:rPr>
                <w:rFonts w:hint="eastAsia"/>
              </w:rPr>
            </w:pPr>
            <w:r>
              <w:rPr>
                <w:rFonts w:hint="eastAsia" w:ascii="宋体" w:hAnsi="宋体" w:eastAsia="宋体" w:cs="宋体"/>
                <w:color w:val="auto"/>
                <w:kern w:val="2"/>
                <w:sz w:val="24"/>
                <w:szCs w:val="32"/>
                <w:highlight w:val="none"/>
                <w:lang w:val="en-US" w:eastAsia="zh-CN"/>
              </w:rPr>
              <w:t>5、身份核验：按照招标流程顺序，投标人须在开标时，手持授权委托书及身份证原件，等待视频核验身份；现场由监督人和招标人进入腾讯会议现场核验身份并截图记录。</w:t>
            </w:r>
          </w:p>
          <w:p w14:paraId="4ED533ED">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03557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326A467D">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6.1.1</w:t>
            </w:r>
          </w:p>
        </w:tc>
        <w:tc>
          <w:tcPr>
            <w:tcW w:w="2065" w:type="dxa"/>
            <w:tcBorders>
              <w:top w:val="single" w:color="auto" w:sz="4" w:space="0"/>
              <w:left w:val="nil"/>
              <w:bottom w:val="single" w:color="auto" w:sz="4" w:space="0"/>
              <w:right w:val="single" w:color="auto" w:sz="4" w:space="0"/>
            </w:tcBorders>
            <w:vAlign w:val="center"/>
          </w:tcPr>
          <w:p w14:paraId="16241CE4">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评标委员会的组建</w:t>
            </w:r>
          </w:p>
        </w:tc>
        <w:tc>
          <w:tcPr>
            <w:tcW w:w="5264" w:type="dxa"/>
            <w:tcBorders>
              <w:top w:val="single" w:color="auto" w:sz="4" w:space="0"/>
              <w:left w:val="nil"/>
              <w:bottom w:val="single" w:color="auto" w:sz="4" w:space="0"/>
              <w:right w:val="single" w:color="auto" w:sz="4" w:space="0"/>
            </w:tcBorders>
          </w:tcPr>
          <w:p w14:paraId="3D5AD038">
            <w:pPr>
              <w:keepNext w:val="0"/>
              <w:keepLines w:val="0"/>
              <w:suppressLineNumbers w:val="0"/>
              <w:autoSpaceDE w:val="0"/>
              <w:autoSpaceDN w:val="0"/>
              <w:adjustRightInd w:val="0"/>
              <w:spacing w:before="0" w:beforeAutospacing="0" w:after="0" w:afterAutospacing="0" w:line="360" w:lineRule="exact"/>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评标委员会构成：</w:t>
            </w:r>
            <w:r>
              <w:rPr>
                <w:rFonts w:hint="eastAsia" w:ascii="宋体" w:hAnsi="宋体" w:eastAsia="宋体" w:cs="宋体"/>
                <w:b/>
                <w:bCs/>
                <w:color w:val="000000" w:themeColor="text1"/>
                <w:sz w:val="24"/>
                <w:szCs w:val="24"/>
                <w:highlight w:val="none"/>
                <w:lang w:eastAsia="zh-CN"/>
                <w14:textFill>
                  <w14:solidFill>
                    <w14:schemeClr w14:val="tx1"/>
                  </w14:solidFill>
                </w14:textFill>
              </w:rPr>
              <w:t>共</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 xml:space="preserve"> 5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人；其中</w:t>
            </w:r>
            <w:r>
              <w:rPr>
                <w:rFonts w:hint="eastAsia" w:ascii="宋体" w:hAnsi="宋体" w:eastAsia="宋体" w:cs="宋体"/>
                <w:b/>
                <w:bCs/>
                <w:color w:val="000000" w:themeColor="text1"/>
                <w:sz w:val="24"/>
                <w:szCs w:val="24"/>
                <w:highlight w:val="none"/>
                <w:lang w:eastAsia="zh-CN"/>
                <w14:textFill>
                  <w14:solidFill>
                    <w14:schemeClr w14:val="tx1"/>
                  </w14:solidFill>
                </w14:textFill>
              </w:rPr>
              <w:t>外聘专家</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 xml:space="preserve"> 5 </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人或</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 xml:space="preserve"> 4 </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人</w:t>
            </w:r>
            <w:r>
              <w:rPr>
                <w:rFonts w:hint="eastAsia" w:ascii="宋体" w:hAnsi="宋体" w:eastAsia="宋体" w:cs="宋体"/>
                <w:b/>
                <w:bCs/>
                <w:color w:val="000000" w:themeColor="text1"/>
                <w:sz w:val="24"/>
                <w:szCs w:val="24"/>
                <w:highlight w:val="none"/>
                <w:lang w:eastAsia="zh-CN"/>
                <w14:textFill>
                  <w14:solidFill>
                    <w14:schemeClr w14:val="tx1"/>
                  </w14:solidFill>
                </w14:textFill>
              </w:rPr>
              <w:t>，采购人代表</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 xml:space="preserve"> 0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人或</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color w:val="000000" w:themeColor="text1"/>
                <w:sz w:val="24"/>
                <w:szCs w:val="24"/>
                <w:highlight w:val="none"/>
                <w14:textFill>
                  <w14:solidFill>
                    <w14:schemeClr w14:val="tx1"/>
                  </w14:solidFill>
                </w14:textFill>
              </w:rPr>
              <w:t>；</w:t>
            </w:r>
          </w:p>
          <w:p w14:paraId="1A1F4761">
            <w:pPr>
              <w:keepNext w:val="0"/>
              <w:keepLines w:val="0"/>
              <w:suppressLineNumbers w:val="0"/>
              <w:spacing w:before="0" w:beforeAutospacing="0" w:after="0" w:afterAutospacing="0" w:line="360" w:lineRule="exact"/>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评标专家确定方式：从吉林省评标专家库中随机抽取。</w:t>
            </w:r>
          </w:p>
        </w:tc>
      </w:tr>
      <w:tr w14:paraId="6E035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636FD68B">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6.3.2</w:t>
            </w:r>
          </w:p>
        </w:tc>
        <w:tc>
          <w:tcPr>
            <w:tcW w:w="2065" w:type="dxa"/>
            <w:tcBorders>
              <w:top w:val="single" w:color="auto" w:sz="4" w:space="0"/>
              <w:left w:val="nil"/>
              <w:bottom w:val="single" w:color="auto" w:sz="4" w:space="0"/>
              <w:right w:val="single" w:color="auto" w:sz="4" w:space="0"/>
            </w:tcBorders>
            <w:vAlign w:val="center"/>
          </w:tcPr>
          <w:p w14:paraId="784EF5BC">
            <w:pPr>
              <w:keepNext w:val="0"/>
              <w:keepLines w:val="0"/>
              <w:suppressLineNumbers w:val="0"/>
              <w:bidi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评标委员会推荐中标候选人的人数</w:t>
            </w:r>
          </w:p>
        </w:tc>
        <w:tc>
          <w:tcPr>
            <w:tcW w:w="5264" w:type="dxa"/>
            <w:tcBorders>
              <w:top w:val="single" w:color="auto" w:sz="4" w:space="0"/>
              <w:left w:val="nil"/>
              <w:bottom w:val="single" w:color="auto" w:sz="4" w:space="0"/>
              <w:right w:val="single" w:color="auto" w:sz="4" w:space="0"/>
            </w:tcBorders>
            <w:vAlign w:val="center"/>
          </w:tcPr>
          <w:p w14:paraId="3E38F4BF">
            <w:pPr>
              <w:keepNext w:val="0"/>
              <w:keepLines w:val="0"/>
              <w:suppressLineNumbers w:val="0"/>
              <w:bidi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eastAsia="宋体" w:cs="宋体"/>
                <w:sz w:val="24"/>
                <w:szCs w:val="24"/>
              </w:rPr>
              <w:t>根据综合得分由高到低顺序推荐前三名</w:t>
            </w:r>
            <w:r>
              <w:rPr>
                <w:rFonts w:hint="eastAsia" w:ascii="宋体" w:hAnsi="宋体" w:eastAsia="宋体" w:cs="宋体"/>
                <w:sz w:val="24"/>
                <w:szCs w:val="24"/>
                <w:lang w:eastAsia="zh-CN"/>
              </w:rPr>
              <w:t>。</w:t>
            </w:r>
          </w:p>
        </w:tc>
      </w:tr>
      <w:tr w14:paraId="6E7E3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274B1E36">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7.4</w:t>
            </w:r>
          </w:p>
        </w:tc>
        <w:tc>
          <w:tcPr>
            <w:tcW w:w="2065" w:type="dxa"/>
            <w:tcBorders>
              <w:top w:val="single" w:color="auto" w:sz="4" w:space="0"/>
              <w:left w:val="nil"/>
              <w:bottom w:val="single" w:color="auto" w:sz="4" w:space="0"/>
              <w:right w:val="single" w:color="auto" w:sz="4" w:space="0"/>
            </w:tcBorders>
            <w:vAlign w:val="center"/>
          </w:tcPr>
          <w:p w14:paraId="2E4DD7C5">
            <w:pPr>
              <w:keepNext w:val="0"/>
              <w:keepLines w:val="0"/>
              <w:suppressLineNumbers w:val="0"/>
              <w:bidi w:val="0"/>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sz w:val="24"/>
                <w:szCs w:val="24"/>
                <w:lang w:val="zh-CN"/>
              </w:rPr>
              <w:t>是否授权评标委员会确定中标人</w:t>
            </w:r>
          </w:p>
        </w:tc>
        <w:tc>
          <w:tcPr>
            <w:tcW w:w="5264" w:type="dxa"/>
            <w:tcBorders>
              <w:top w:val="single" w:color="auto" w:sz="4" w:space="0"/>
              <w:left w:val="nil"/>
              <w:bottom w:val="single" w:color="auto" w:sz="4" w:space="0"/>
              <w:right w:val="single" w:color="auto" w:sz="4" w:space="0"/>
            </w:tcBorders>
            <w:vAlign w:val="center"/>
          </w:tcPr>
          <w:p w14:paraId="1930B54D">
            <w:pPr>
              <w:keepNext w:val="0"/>
              <w:keepLines w:val="0"/>
              <w:suppressLineNumbers w:val="0"/>
              <w:bidi w:val="0"/>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sz w:val="24"/>
                <w:szCs w:val="24"/>
              </w:rPr>
              <w:t>是</w:t>
            </w:r>
          </w:p>
        </w:tc>
      </w:tr>
      <w:tr w14:paraId="73838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2C9A3262">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7.5（2）</w:t>
            </w:r>
          </w:p>
        </w:tc>
        <w:tc>
          <w:tcPr>
            <w:tcW w:w="2065" w:type="dxa"/>
            <w:tcBorders>
              <w:top w:val="single" w:color="auto" w:sz="4" w:space="0"/>
              <w:left w:val="nil"/>
              <w:bottom w:val="single" w:color="auto" w:sz="4" w:space="0"/>
              <w:right w:val="single" w:color="auto" w:sz="4" w:space="0"/>
            </w:tcBorders>
            <w:vAlign w:val="center"/>
          </w:tcPr>
          <w:p w14:paraId="694033AB">
            <w:pPr>
              <w:keepNext w:val="0"/>
              <w:keepLines w:val="0"/>
              <w:suppressLineNumbers w:val="0"/>
              <w:spacing w:before="222" w:beforeAutospacing="0" w:after="0" w:afterAutospacing="0" w:line="468" w:lineRule="exact"/>
              <w:ind w:left="0" w:right="0" w:firstLine="106"/>
              <w:jc w:val="center"/>
              <w:rPr>
                <w:rFonts w:hint="eastAsia" w:ascii="宋体" w:hAnsi="宋体" w:eastAsia="宋体" w:cs="宋体"/>
                <w:sz w:val="24"/>
                <w:szCs w:val="24"/>
              </w:rPr>
            </w:pPr>
            <w:r>
              <w:rPr>
                <w:rFonts w:hint="eastAsia" w:ascii="宋体" w:hAnsi="宋体" w:eastAsia="宋体" w:cs="宋体"/>
                <w:spacing w:val="-2"/>
                <w:position w:val="19"/>
                <w:sz w:val="24"/>
                <w:szCs w:val="24"/>
              </w:rPr>
              <w:t>技术成果经济补</w:t>
            </w:r>
          </w:p>
          <w:p w14:paraId="74D9EDD4">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lang w:val="zh-CN"/>
              </w:rPr>
            </w:pPr>
            <w:r>
              <w:rPr>
                <w:rFonts w:hint="eastAsia" w:ascii="宋体" w:hAnsi="宋体" w:eastAsia="宋体" w:cs="宋体"/>
                <w:sz w:val="24"/>
                <w:szCs w:val="24"/>
              </w:rPr>
              <w:t>偿</w:t>
            </w:r>
          </w:p>
        </w:tc>
        <w:tc>
          <w:tcPr>
            <w:tcW w:w="5264" w:type="dxa"/>
            <w:tcBorders>
              <w:top w:val="single" w:color="auto" w:sz="4" w:space="0"/>
              <w:left w:val="nil"/>
              <w:bottom w:val="single" w:color="auto" w:sz="4" w:space="0"/>
              <w:right w:val="single" w:color="auto" w:sz="4" w:space="0"/>
            </w:tcBorders>
            <w:vAlign w:val="center"/>
          </w:tcPr>
          <w:p w14:paraId="20D523DD">
            <w:pPr>
              <w:keepNext w:val="0"/>
              <w:keepLines w:val="0"/>
              <w:suppressLineNumbers w:val="0"/>
              <w:bidi w:val="0"/>
              <w:spacing w:before="0" w:beforeAutospacing="0" w:after="0" w:afterAutospacing="0"/>
              <w:ind w:left="0" w:right="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☑不补偿</w:t>
            </w:r>
          </w:p>
          <w:p w14:paraId="2C1EA02D">
            <w:pPr>
              <w:keepNext w:val="0"/>
              <w:keepLines w:val="0"/>
              <w:suppressLineNumbers w:val="0"/>
              <w:bidi w:val="0"/>
              <w:spacing w:before="0" w:beforeAutospacing="0" w:after="0" w:afterAutospacing="0"/>
              <w:ind w:left="0" w:right="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□补偿</w:t>
            </w:r>
          </w:p>
        </w:tc>
      </w:tr>
      <w:tr w14:paraId="69E7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1001" w:type="dxa"/>
            <w:tcBorders>
              <w:top w:val="single" w:color="auto" w:sz="4" w:space="0"/>
              <w:left w:val="single" w:color="auto" w:sz="4" w:space="0"/>
              <w:right w:val="single" w:color="auto" w:sz="4" w:space="0"/>
            </w:tcBorders>
            <w:vAlign w:val="center"/>
          </w:tcPr>
          <w:p w14:paraId="24668A8F">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7.6</w:t>
            </w:r>
          </w:p>
        </w:tc>
        <w:tc>
          <w:tcPr>
            <w:tcW w:w="2065" w:type="dxa"/>
            <w:tcBorders>
              <w:top w:val="single" w:color="auto" w:sz="4" w:space="0"/>
              <w:left w:val="nil"/>
              <w:right w:val="single" w:color="auto" w:sz="4" w:space="0"/>
            </w:tcBorders>
            <w:vAlign w:val="center"/>
          </w:tcPr>
          <w:p w14:paraId="0D92900D">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履约保证金</w:t>
            </w:r>
          </w:p>
        </w:tc>
        <w:tc>
          <w:tcPr>
            <w:tcW w:w="5264" w:type="dxa"/>
            <w:tcBorders>
              <w:top w:val="single" w:color="auto" w:sz="4" w:space="0"/>
              <w:left w:val="nil"/>
              <w:bottom w:val="single" w:color="auto" w:sz="4" w:space="0"/>
              <w:right w:val="single" w:color="auto" w:sz="4" w:space="0"/>
            </w:tcBorders>
            <w:vAlign w:val="center"/>
          </w:tcPr>
          <w:p w14:paraId="49A1B70B">
            <w:pPr>
              <w:keepNext w:val="0"/>
              <w:keepLines w:val="0"/>
              <w:suppressLineNumbers w:val="0"/>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是否要求中标人提交履约保证金：</w:t>
            </w:r>
          </w:p>
          <w:p w14:paraId="7D11628A">
            <w:pPr>
              <w:keepNext w:val="0"/>
              <w:keepLines w:val="0"/>
              <w:suppressLineNumbers w:val="0"/>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□要求，履约保证金的形式：</w:t>
            </w:r>
          </w:p>
          <w:p w14:paraId="45153C1F">
            <w:pPr>
              <w:keepNext w:val="0"/>
              <w:keepLines w:val="0"/>
              <w:suppressLineNumbers w:val="0"/>
              <w:spacing w:before="0" w:beforeAutospacing="0" w:after="0" w:afterAutospacing="0" w:line="400" w:lineRule="exact"/>
              <w:ind w:left="0" w:right="0"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履约保证金的金额：</w:t>
            </w:r>
          </w:p>
          <w:p w14:paraId="5D6FEC3D">
            <w:pPr>
              <w:keepNext w:val="0"/>
              <w:keepLines w:val="0"/>
              <w:suppressLineNumbers w:val="0"/>
              <w:spacing w:before="0" w:beforeAutospacing="0" w:after="0" w:afterAutospacing="0" w:line="400" w:lineRule="exact"/>
              <w:ind w:left="0" w:right="0"/>
              <w:rPr>
                <w:rFonts w:hint="eastAsia" w:ascii="宋体" w:hAnsi="宋体" w:eastAsia="宋体" w:cs="宋体"/>
                <w:color w:val="000000" w:themeColor="text1"/>
                <w:sz w:val="48"/>
                <w:szCs w:val="32"/>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不要求</w:t>
            </w:r>
          </w:p>
        </w:tc>
      </w:tr>
      <w:tr w14:paraId="0E872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2270AB98">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p>
        </w:tc>
        <w:tc>
          <w:tcPr>
            <w:tcW w:w="2065" w:type="dxa"/>
            <w:tcBorders>
              <w:top w:val="single" w:color="auto" w:sz="4" w:space="0"/>
              <w:left w:val="nil"/>
              <w:bottom w:val="single" w:color="auto" w:sz="4" w:space="0"/>
              <w:right w:val="single" w:color="auto" w:sz="4" w:space="0"/>
            </w:tcBorders>
            <w:vAlign w:val="center"/>
          </w:tcPr>
          <w:p w14:paraId="2EE55354">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是否采用电子招标投标</w:t>
            </w:r>
          </w:p>
        </w:tc>
        <w:tc>
          <w:tcPr>
            <w:tcW w:w="5264" w:type="dxa"/>
            <w:tcBorders>
              <w:top w:val="single" w:color="auto" w:sz="4" w:space="0"/>
              <w:left w:val="nil"/>
              <w:bottom w:val="single" w:color="auto" w:sz="4" w:space="0"/>
              <w:right w:val="single" w:color="auto" w:sz="4" w:space="0"/>
            </w:tcBorders>
            <w:vAlign w:val="center"/>
          </w:tcPr>
          <w:p w14:paraId="0C08D965">
            <w:pPr>
              <w:keepNext w:val="0"/>
              <w:keepLines w:val="0"/>
              <w:suppressLineNumbers w:val="0"/>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否</w:t>
            </w:r>
          </w:p>
          <w:p w14:paraId="0DC23094">
            <w:pPr>
              <w:keepNext w:val="0"/>
              <w:keepLines w:val="0"/>
              <w:suppressLineNumbers w:val="0"/>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是，具体要求：</w:t>
            </w:r>
          </w:p>
        </w:tc>
      </w:tr>
      <w:tr w14:paraId="04AEB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2645C361">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l0</w:t>
            </w:r>
          </w:p>
        </w:tc>
        <w:tc>
          <w:tcPr>
            <w:tcW w:w="7329" w:type="dxa"/>
            <w:gridSpan w:val="2"/>
            <w:tcBorders>
              <w:top w:val="single" w:color="auto" w:sz="4" w:space="0"/>
              <w:left w:val="nil"/>
              <w:bottom w:val="single" w:color="auto" w:sz="4" w:space="0"/>
              <w:right w:val="single" w:color="auto" w:sz="4" w:space="0"/>
            </w:tcBorders>
            <w:vAlign w:val="center"/>
          </w:tcPr>
          <w:p w14:paraId="110191B0">
            <w:pPr>
              <w:keepNext w:val="0"/>
              <w:keepLines w:val="0"/>
              <w:suppressLineNumbers w:val="0"/>
              <w:autoSpaceDE w:val="0"/>
              <w:autoSpaceDN w:val="0"/>
              <w:adjustRightInd w:val="0"/>
              <w:spacing w:before="0" w:beforeAutospacing="0" w:after="0" w:afterAutospacing="0" w:line="360" w:lineRule="exact"/>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需要补充的其他内容</w:t>
            </w:r>
          </w:p>
        </w:tc>
      </w:tr>
      <w:tr w14:paraId="1BB89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3E1F18B1">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10.2</w:t>
            </w:r>
          </w:p>
        </w:tc>
        <w:tc>
          <w:tcPr>
            <w:tcW w:w="2065" w:type="dxa"/>
            <w:tcBorders>
              <w:top w:val="single" w:color="auto" w:sz="4" w:space="0"/>
              <w:left w:val="nil"/>
              <w:bottom w:val="single" w:color="auto" w:sz="4" w:space="0"/>
              <w:right w:val="single" w:color="auto" w:sz="4" w:space="0"/>
            </w:tcBorders>
            <w:vAlign w:val="center"/>
          </w:tcPr>
          <w:p w14:paraId="7491B045">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themeColor="text1"/>
                <w:kern w:val="15"/>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投标文件电子版</w:t>
            </w:r>
          </w:p>
        </w:tc>
        <w:tc>
          <w:tcPr>
            <w:tcW w:w="5264" w:type="dxa"/>
            <w:tcBorders>
              <w:top w:val="single" w:color="auto" w:sz="4" w:space="0"/>
              <w:left w:val="nil"/>
              <w:bottom w:val="single" w:color="auto" w:sz="4" w:space="0"/>
              <w:right w:val="single" w:color="auto" w:sz="4" w:space="0"/>
            </w:tcBorders>
            <w:vAlign w:val="center"/>
          </w:tcPr>
          <w:p w14:paraId="70A0FFC6">
            <w:pPr>
              <w:keepNext w:val="0"/>
              <w:keepLines w:val="0"/>
              <w:suppressLineNumbers w:val="0"/>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需要。</w:t>
            </w:r>
            <w:r>
              <w:rPr>
                <w:rFonts w:hint="eastAsia" w:ascii="宋体" w:hAnsi="宋体" w:eastAsia="宋体" w:cs="宋体"/>
                <w:color w:val="auto"/>
                <w:sz w:val="24"/>
                <w:szCs w:val="24"/>
                <w:highlight w:val="none"/>
              </w:rPr>
              <w:t>（电子版</w:t>
            </w: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份，以U盘形式</w:t>
            </w:r>
            <w:r>
              <w:rPr>
                <w:rFonts w:hint="eastAsia" w:ascii="宋体" w:hAnsi="宋体" w:eastAsia="宋体" w:cs="宋体"/>
                <w:color w:val="auto"/>
                <w:sz w:val="24"/>
                <w:szCs w:val="24"/>
                <w:highlight w:val="none"/>
                <w:lang w:val="en-US" w:eastAsia="zh-CN"/>
              </w:rPr>
              <w:t>在开标后同纸质版文件一起</w:t>
            </w:r>
            <w:r>
              <w:rPr>
                <w:rFonts w:hint="eastAsia" w:ascii="宋体" w:hAnsi="宋体" w:eastAsia="宋体" w:cs="宋体"/>
                <w:color w:val="auto"/>
                <w:sz w:val="24"/>
                <w:szCs w:val="24"/>
                <w:highlight w:val="none"/>
              </w:rPr>
              <w:t>递交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内容需与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政采云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平台系统上，上传投标文件内容</w:t>
            </w:r>
            <w:r>
              <w:rPr>
                <w:rFonts w:hint="eastAsia" w:ascii="宋体" w:hAnsi="宋体" w:eastAsia="宋体" w:cs="宋体"/>
                <w:color w:val="auto"/>
                <w:sz w:val="24"/>
                <w:szCs w:val="24"/>
                <w:highlight w:val="none"/>
              </w:rPr>
              <w:t>一致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2BB9940B">
            <w:pPr>
              <w:keepNext w:val="0"/>
              <w:keepLines w:val="0"/>
              <w:suppressLineNumbers w:val="0"/>
              <w:spacing w:before="0" w:beforeAutospacing="0" w:after="0" w:afterAutospacing="0" w:line="360" w:lineRule="exact"/>
              <w:ind w:left="0" w:right="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不需要</w:t>
            </w:r>
          </w:p>
        </w:tc>
      </w:tr>
      <w:tr w14:paraId="6781E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67224F57">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10.3</w:t>
            </w:r>
          </w:p>
        </w:tc>
        <w:tc>
          <w:tcPr>
            <w:tcW w:w="2065" w:type="dxa"/>
            <w:tcBorders>
              <w:top w:val="single" w:color="auto" w:sz="4" w:space="0"/>
              <w:left w:val="nil"/>
              <w:bottom w:val="single" w:color="auto" w:sz="4" w:space="0"/>
              <w:right w:val="single" w:color="auto" w:sz="4" w:space="0"/>
            </w:tcBorders>
            <w:vAlign w:val="center"/>
          </w:tcPr>
          <w:p w14:paraId="03F747B1">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themeColor="text1"/>
                <w:kern w:val="15"/>
                <w:sz w:val="24"/>
                <w:szCs w:val="24"/>
                <w:highlight w:val="none"/>
                <w14:textFill>
                  <w14:solidFill>
                    <w14:schemeClr w14:val="tx1"/>
                  </w14:solidFill>
                </w14:textFill>
              </w:rPr>
            </w:pPr>
            <w:r>
              <w:rPr>
                <w:rFonts w:hint="eastAsia" w:ascii="宋体" w:hAnsi="宋体" w:eastAsia="宋体" w:cs="宋体"/>
                <w:color w:val="000000" w:themeColor="text1"/>
                <w:kern w:val="15"/>
                <w:sz w:val="24"/>
                <w:szCs w:val="24"/>
                <w:highlight w:val="none"/>
                <w14:textFill>
                  <w14:solidFill>
                    <w14:schemeClr w14:val="tx1"/>
                  </w14:solidFill>
                </w14:textFill>
              </w:rPr>
              <w:t>评审办法</w:t>
            </w:r>
          </w:p>
        </w:tc>
        <w:tc>
          <w:tcPr>
            <w:tcW w:w="5264" w:type="dxa"/>
            <w:tcBorders>
              <w:top w:val="single" w:color="auto" w:sz="4" w:space="0"/>
              <w:left w:val="nil"/>
              <w:bottom w:val="single" w:color="auto" w:sz="4" w:space="0"/>
              <w:right w:val="single" w:color="auto" w:sz="4" w:space="0"/>
            </w:tcBorders>
            <w:vAlign w:val="center"/>
          </w:tcPr>
          <w:p w14:paraId="5CDD6B26">
            <w:pPr>
              <w:keepNext w:val="0"/>
              <w:keepLines w:val="0"/>
              <w:suppressLineNumbers w:val="0"/>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综合评估法，详见后附评标细则。</w:t>
            </w:r>
          </w:p>
        </w:tc>
      </w:tr>
      <w:tr w14:paraId="7A733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202BE925">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10.4</w:t>
            </w:r>
          </w:p>
        </w:tc>
        <w:tc>
          <w:tcPr>
            <w:tcW w:w="2065" w:type="dxa"/>
            <w:tcBorders>
              <w:top w:val="single" w:color="auto" w:sz="4" w:space="0"/>
              <w:left w:val="nil"/>
              <w:bottom w:val="single" w:color="auto" w:sz="4" w:space="0"/>
              <w:right w:val="single" w:color="auto" w:sz="4" w:space="0"/>
            </w:tcBorders>
            <w:vAlign w:val="center"/>
          </w:tcPr>
          <w:p w14:paraId="0FDB4889">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000000" w:themeColor="text1"/>
                <w:kern w:val="15"/>
                <w:sz w:val="24"/>
                <w:szCs w:val="24"/>
                <w:highlight w:val="none"/>
                <w14:textFill>
                  <w14:solidFill>
                    <w14:schemeClr w14:val="tx1"/>
                  </w14:solidFill>
                </w14:textFill>
              </w:rPr>
            </w:pPr>
            <w:r>
              <w:rPr>
                <w:rFonts w:hint="eastAsia" w:ascii="宋体" w:hAnsi="宋体" w:eastAsia="宋体" w:cs="宋体"/>
                <w:color w:val="000000" w:themeColor="text1"/>
                <w:kern w:val="15"/>
                <w:sz w:val="24"/>
                <w:szCs w:val="24"/>
                <w:highlight w:val="none"/>
                <w:lang w:val="en-US" w:eastAsia="zh-CN"/>
                <w14:textFill>
                  <w14:solidFill>
                    <w14:schemeClr w14:val="tx1"/>
                  </w14:solidFill>
                </w14:textFill>
              </w:rPr>
              <w:t>采购代理</w:t>
            </w:r>
            <w:r>
              <w:rPr>
                <w:rFonts w:hint="eastAsia" w:ascii="宋体" w:hAnsi="宋体" w:eastAsia="宋体" w:cs="宋体"/>
                <w:color w:val="000000" w:themeColor="text1"/>
                <w:kern w:val="15"/>
                <w:sz w:val="24"/>
                <w:szCs w:val="24"/>
                <w:highlight w:val="none"/>
                <w14:textFill>
                  <w14:solidFill>
                    <w14:schemeClr w14:val="tx1"/>
                  </w14:solidFill>
                </w14:textFill>
              </w:rPr>
              <w:t>服务费</w:t>
            </w:r>
          </w:p>
        </w:tc>
        <w:tc>
          <w:tcPr>
            <w:tcW w:w="5264" w:type="dxa"/>
            <w:tcBorders>
              <w:top w:val="single" w:color="auto" w:sz="4" w:space="0"/>
              <w:left w:val="nil"/>
              <w:bottom w:val="single" w:color="auto" w:sz="4" w:space="0"/>
              <w:right w:val="single" w:color="auto" w:sz="4" w:space="0"/>
            </w:tcBorders>
          </w:tcPr>
          <w:p w14:paraId="03C59E47">
            <w:pPr>
              <w:keepNext w:val="0"/>
              <w:keepLines w:val="0"/>
              <w:suppressLineNumbers w:val="0"/>
              <w:spacing w:before="0" w:beforeAutospacing="0" w:after="0" w:afterAutospacing="0" w:line="360" w:lineRule="exact"/>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由成交供应商支付，成交供应商应在成交通知书发出时将本项目采购代理服务费一次性支付给采购代理机构。</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依据有关法律法规规定按每标段收取采购代理服务费</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tc>
      </w:tr>
      <w:tr w14:paraId="18232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001" w:type="dxa"/>
            <w:tcBorders>
              <w:top w:val="single" w:color="auto" w:sz="4" w:space="0"/>
              <w:left w:val="single" w:color="auto" w:sz="4" w:space="0"/>
              <w:bottom w:val="single" w:color="auto" w:sz="4" w:space="0"/>
              <w:right w:val="single" w:color="auto" w:sz="4" w:space="0"/>
            </w:tcBorders>
            <w:vAlign w:val="center"/>
          </w:tcPr>
          <w:p w14:paraId="09C4939A">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7329" w:type="dxa"/>
            <w:gridSpan w:val="2"/>
            <w:tcBorders>
              <w:top w:val="single" w:color="auto" w:sz="4" w:space="0"/>
              <w:left w:val="nil"/>
              <w:bottom w:val="single" w:color="auto" w:sz="4" w:space="0"/>
              <w:right w:val="single" w:color="auto" w:sz="4" w:space="0"/>
            </w:tcBorders>
            <w:vAlign w:val="center"/>
          </w:tcPr>
          <w:p w14:paraId="325199F2">
            <w:pPr>
              <w:keepNext w:val="0"/>
              <w:keepLines w:val="0"/>
              <w:suppressLineNumbers w:val="0"/>
              <w:spacing w:before="0" w:beforeAutospacing="0" w:after="0" w:afterAutospacing="0" w:line="360" w:lineRule="exact"/>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招标公告与招标文件有不一致之处以招标文件为准。</w:t>
            </w:r>
          </w:p>
        </w:tc>
      </w:tr>
    </w:tbl>
    <w:p w14:paraId="464F2A99">
      <w:pPr>
        <w:pStyle w:val="81"/>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themeColor="text1"/>
          <w:highlight w:val="none"/>
          <w14:textFill>
            <w14:solidFill>
              <w14:schemeClr w14:val="tx1"/>
            </w14:solidFill>
          </w14:textFill>
        </w:rPr>
        <w:sectPr>
          <w:footerReference r:id="rId9" w:type="first"/>
          <w:headerReference r:id="rId7" w:type="default"/>
          <w:footerReference r:id="rId8" w:type="default"/>
          <w:footnotePr>
            <w:numFmt w:val="decimal"/>
          </w:footnotePr>
          <w:pgSz w:w="11905" w:h="16838"/>
          <w:pgMar w:top="1440" w:right="1800" w:bottom="1440" w:left="1800" w:header="1140" w:footer="720" w:gutter="0"/>
          <w:pgNumType w:fmt="decimal"/>
          <w:cols w:space="0" w:num="1"/>
          <w:rtlGutter w:val="0"/>
          <w:docGrid w:type="lines" w:linePitch="317" w:charSpace="0"/>
        </w:sectPr>
      </w:pPr>
    </w:p>
    <w:p w14:paraId="04B4016A">
      <w:pPr>
        <w:pStyle w:val="82"/>
        <w:keepNext/>
        <w:keepLines/>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0"/>
        <w:jc w:val="center"/>
        <w:textAlignment w:val="auto"/>
        <w:outlineLvl w:val="1"/>
        <w:rPr>
          <w:rFonts w:hint="eastAsia" w:ascii="宋体" w:hAnsi="宋体" w:eastAsia="宋体" w:cs="宋体"/>
          <w:color w:val="000000" w:themeColor="text1"/>
          <w:sz w:val="32"/>
          <w:szCs w:val="32"/>
          <w:highlight w:val="none"/>
          <w14:textFill>
            <w14:solidFill>
              <w14:schemeClr w14:val="tx1"/>
            </w14:solidFill>
          </w14:textFill>
        </w:rPr>
      </w:pPr>
      <w:bookmarkStart w:id="21" w:name="_Toc5111"/>
      <w:bookmarkStart w:id="22" w:name="bookmark65"/>
      <w:bookmarkStart w:id="23" w:name="bookmark63"/>
      <w:bookmarkStart w:id="24" w:name="bookmark64"/>
      <w:bookmarkStart w:id="25" w:name="_Toc71"/>
      <w:r>
        <w:rPr>
          <w:rFonts w:hint="eastAsia" w:ascii="宋体" w:hAnsi="宋体" w:eastAsia="宋体" w:cs="宋体"/>
          <w:color w:val="000000" w:themeColor="text1"/>
          <w:spacing w:val="0"/>
          <w:w w:val="100"/>
          <w:position w:val="0"/>
          <w:sz w:val="32"/>
          <w:szCs w:val="32"/>
          <w:highlight w:val="none"/>
          <w:lang w:eastAsia="zh-CN"/>
          <w14:textFill>
            <w14:solidFill>
              <w14:schemeClr w14:val="tx1"/>
            </w14:solidFill>
          </w14:textFill>
        </w:rPr>
        <w:t>二、投标人</w:t>
      </w:r>
      <w:r>
        <w:rPr>
          <w:rFonts w:hint="eastAsia" w:ascii="宋体" w:hAnsi="宋体" w:eastAsia="宋体" w:cs="宋体"/>
          <w:color w:val="000000" w:themeColor="text1"/>
          <w:spacing w:val="0"/>
          <w:w w:val="100"/>
          <w:position w:val="0"/>
          <w:sz w:val="32"/>
          <w:szCs w:val="32"/>
          <w:highlight w:val="none"/>
          <w14:textFill>
            <w14:solidFill>
              <w14:schemeClr w14:val="tx1"/>
            </w14:solidFill>
          </w14:textFill>
        </w:rPr>
        <w:t>须知正文部分</w:t>
      </w:r>
      <w:bookmarkEnd w:id="21"/>
      <w:bookmarkEnd w:id="22"/>
      <w:bookmarkEnd w:id="23"/>
      <w:bookmarkEnd w:id="24"/>
    </w:p>
    <w:p w14:paraId="094D7864">
      <w:pPr>
        <w:pStyle w:val="81"/>
        <w:keepNext w:val="0"/>
        <w:keepLines w:val="0"/>
        <w:pageBreakBefore w:val="0"/>
        <w:widowControl w:val="0"/>
        <w:shd w:val="clear" w:color="auto" w:fill="auto"/>
        <w:kinsoku/>
        <w:wordWrap/>
        <w:overflowPunct/>
        <w:topLinePunct w:val="0"/>
        <w:autoSpaceDE/>
        <w:autoSpaceDN/>
        <w:bidi w:val="0"/>
        <w:adjustRightInd/>
        <w:snapToGrid/>
        <w:spacing w:before="0" w:line="460" w:lineRule="exact"/>
        <w:ind w:left="0" w:right="0" w:firstLine="0"/>
        <w:jc w:val="center"/>
        <w:textAlignment w:val="auto"/>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pacing w:val="0"/>
          <w:w w:val="100"/>
          <w:position w:val="0"/>
          <w:sz w:val="30"/>
          <w:szCs w:val="30"/>
          <w:highlight w:val="none"/>
          <w14:textFill>
            <w14:solidFill>
              <w14:schemeClr w14:val="tx1"/>
            </w14:solidFill>
          </w14:textFill>
        </w:rPr>
        <w:t>总则</w:t>
      </w:r>
    </w:p>
    <w:p w14:paraId="2AB6C557">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应仔细阅读本</w:t>
      </w:r>
      <w:r>
        <w:rPr>
          <w:rFonts w:hint="eastAsia" w:ascii="宋体" w:hAnsi="宋体" w:eastAsia="宋体" w:cs="宋体"/>
          <w:color w:val="000000" w:themeColor="text1"/>
          <w:sz w:val="24"/>
          <w:szCs w:val="24"/>
          <w:highlight w:val="none"/>
          <w:lang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文件的所有内容(包括答疑、补充、澄清以及修改等)，按照</w:t>
      </w:r>
      <w:r>
        <w:rPr>
          <w:rFonts w:hint="eastAsia" w:ascii="宋体" w:hAnsi="宋体" w:eastAsia="宋体" w:cs="宋体"/>
          <w:color w:val="000000" w:themeColor="text1"/>
          <w:sz w:val="24"/>
          <w:szCs w:val="24"/>
          <w:highlight w:val="none"/>
          <w:lang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文件要求以及格式编制</w:t>
      </w:r>
      <w:r>
        <w:rPr>
          <w:rFonts w:hint="eastAsia" w:ascii="宋体" w:hAnsi="宋体" w:eastAsia="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，并保证其真实性，否则一切后果自负。</w:t>
      </w:r>
    </w:p>
    <w:p w14:paraId="0CFEC8BB">
      <w:pPr>
        <w:keepNext w:val="0"/>
        <w:keepLines w:val="0"/>
        <w:pageBreakBefore w:val="0"/>
        <w:widowControl w:val="0"/>
        <w:kinsoku/>
        <w:wordWrap/>
        <w:overflowPunct/>
        <w:topLinePunct w:val="0"/>
        <w:autoSpaceDE/>
        <w:autoSpaceDN/>
        <w:bidi w:val="0"/>
        <w:adjustRightInd/>
        <w:snapToGrid/>
        <w:spacing w:line="500" w:lineRule="atLeas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1.招标项目概况</w:t>
      </w:r>
    </w:p>
    <w:p w14:paraId="386A19A8">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 根据《中华人民共和国政府采购法》、《中华人民共和国政府采购法实施条例》、《政府采购货物和服务招标投标管理办法》等有关法律、法规和规章的规定，本招标项目已具备招标条件，现对咨询服务机构进行招标。</w:t>
      </w:r>
    </w:p>
    <w:p w14:paraId="4FF5412B">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 xml:space="preserve"> 采购人：见</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w:t>
      </w:r>
    </w:p>
    <w:p w14:paraId="5A558115">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 xml:space="preserve"> 采购代理机构：见</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w:t>
      </w:r>
    </w:p>
    <w:p w14:paraId="4B9227DF">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 xml:space="preserve"> 项目名称</w:t>
      </w:r>
      <w:r>
        <w:rPr>
          <w:rFonts w:hint="eastAsia" w:ascii="宋体" w:hAnsi="宋体" w:eastAsia="宋体" w:cs="宋体"/>
          <w:color w:val="000000" w:themeColor="text1"/>
          <w:sz w:val="24"/>
          <w:szCs w:val="24"/>
          <w:highlight w:val="none"/>
          <w:lang w:eastAsia="zh-CN"/>
          <w14:textFill>
            <w14:solidFill>
              <w14:schemeClr w14:val="tx1"/>
            </w14:solidFill>
          </w14:textFill>
        </w:rPr>
        <w:t>及项目编号、标段划分</w:t>
      </w:r>
      <w:r>
        <w:rPr>
          <w:rFonts w:hint="eastAsia" w:ascii="宋体" w:hAnsi="宋体" w:eastAsia="宋体" w:cs="宋体"/>
          <w:color w:val="000000" w:themeColor="text1"/>
          <w:sz w:val="24"/>
          <w:szCs w:val="24"/>
          <w:highlight w:val="none"/>
          <w14:textFill>
            <w14:solidFill>
              <w14:schemeClr w14:val="tx1"/>
            </w14:solidFill>
          </w14:textFill>
        </w:rPr>
        <w:t>：见</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w:t>
      </w:r>
    </w:p>
    <w:p w14:paraId="3F7452F7">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 xml:space="preserve"> 项目</w:t>
      </w:r>
      <w:r>
        <w:rPr>
          <w:rFonts w:hint="eastAsia" w:ascii="宋体" w:hAnsi="宋体" w:eastAsia="宋体" w:cs="宋体"/>
          <w:color w:val="000000" w:themeColor="text1"/>
          <w:sz w:val="24"/>
          <w:szCs w:val="24"/>
          <w:highlight w:val="none"/>
          <w:lang w:eastAsia="zh-CN"/>
          <w14:textFill>
            <w14:solidFill>
              <w14:schemeClr w14:val="tx1"/>
            </w14:solidFill>
          </w14:textFill>
        </w:rPr>
        <w:t>项目</w:t>
      </w:r>
      <w:r>
        <w:rPr>
          <w:rFonts w:hint="eastAsia" w:ascii="宋体" w:hAnsi="宋体" w:eastAsia="宋体" w:cs="宋体"/>
          <w:color w:val="000000" w:themeColor="text1"/>
          <w:sz w:val="24"/>
          <w:szCs w:val="24"/>
          <w:highlight w:val="none"/>
          <w14:textFill>
            <w14:solidFill>
              <w14:schemeClr w14:val="tx1"/>
            </w14:solidFill>
          </w14:textFill>
        </w:rPr>
        <w:t>地点：见</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w:t>
      </w:r>
    </w:p>
    <w:p w14:paraId="4F00C873">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 招标项目的</w:t>
      </w:r>
      <w:r>
        <w:rPr>
          <w:rFonts w:hint="eastAsia" w:ascii="宋体" w:hAnsi="宋体" w:eastAsia="宋体" w:cs="宋体"/>
          <w:color w:val="000000" w:themeColor="text1"/>
          <w:sz w:val="24"/>
          <w:szCs w:val="24"/>
          <w:highlight w:val="none"/>
          <w:lang w:eastAsia="zh-CN"/>
          <w14:textFill>
            <w14:solidFill>
              <w14:schemeClr w14:val="tx1"/>
            </w14:solidFill>
          </w14:textFill>
        </w:rPr>
        <w:t>采购预算、</w:t>
      </w:r>
      <w:r>
        <w:rPr>
          <w:rFonts w:hint="eastAsia" w:ascii="宋体" w:hAnsi="宋体" w:eastAsia="宋体" w:cs="宋体"/>
          <w:color w:val="000000" w:themeColor="text1"/>
          <w:sz w:val="24"/>
          <w:szCs w:val="24"/>
          <w:highlight w:val="none"/>
          <w14:textFill>
            <w14:solidFill>
              <w14:schemeClr w14:val="tx1"/>
            </w14:solidFill>
          </w14:textFill>
        </w:rPr>
        <w:t>资金来源和落实情况</w:t>
      </w:r>
    </w:p>
    <w:p w14:paraId="1549A093">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1.2.1 </w:t>
      </w:r>
      <w:r>
        <w:rPr>
          <w:rFonts w:hint="eastAsia" w:ascii="宋体" w:hAnsi="宋体" w:eastAsia="宋体" w:cs="宋体"/>
          <w:color w:val="000000" w:themeColor="text1"/>
          <w:sz w:val="24"/>
          <w:szCs w:val="24"/>
          <w:highlight w:val="none"/>
          <w:lang w:eastAsia="zh-CN"/>
          <w14:textFill>
            <w14:solidFill>
              <w14:schemeClr w14:val="tx1"/>
            </w14:solidFill>
          </w14:textFill>
        </w:rPr>
        <w:t>采购预算</w:t>
      </w:r>
      <w:r>
        <w:rPr>
          <w:rFonts w:hint="eastAsia" w:ascii="宋体" w:hAnsi="宋体" w:eastAsia="宋体" w:cs="宋体"/>
          <w:color w:val="000000" w:themeColor="text1"/>
          <w:sz w:val="24"/>
          <w:szCs w:val="24"/>
          <w:highlight w:val="none"/>
          <w14:textFill>
            <w14:solidFill>
              <w14:schemeClr w14:val="tx1"/>
            </w14:solidFill>
          </w14:textFill>
        </w:rPr>
        <w:t>：见</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w:t>
      </w:r>
    </w:p>
    <w:p w14:paraId="48854591">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 xml:space="preserve"> 资金来源：见</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w:t>
      </w:r>
    </w:p>
    <w:p w14:paraId="4ECF555C">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 xml:space="preserve"> 资金落实情况：见</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w:t>
      </w:r>
    </w:p>
    <w:p w14:paraId="0CBE73CD">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 采购内容、合同履行期限和</w:t>
      </w:r>
      <w:r>
        <w:rPr>
          <w:rFonts w:hint="eastAsia" w:ascii="宋体" w:hAnsi="宋体" w:eastAsia="宋体" w:cs="宋体"/>
          <w:color w:val="000000" w:themeColor="text1"/>
          <w:sz w:val="24"/>
          <w:szCs w:val="24"/>
          <w:highlight w:val="none"/>
          <w:lang w:eastAsia="zh-CN"/>
          <w14:textFill>
            <w14:solidFill>
              <w14:schemeClr w14:val="tx1"/>
            </w14:solidFill>
          </w14:textFill>
        </w:rPr>
        <w:t>服务要求</w:t>
      </w:r>
    </w:p>
    <w:p w14:paraId="136CF112">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1.3.1 采购内容：见</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w:t>
      </w:r>
    </w:p>
    <w:p w14:paraId="6F3B5B79">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1.3.2 合同履行期限：见</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w:t>
      </w:r>
    </w:p>
    <w:p w14:paraId="195650DB">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1.3.3 </w:t>
      </w:r>
      <w:r>
        <w:rPr>
          <w:rFonts w:hint="eastAsia" w:ascii="宋体" w:hAnsi="宋体" w:eastAsia="宋体" w:cs="宋体"/>
          <w:color w:val="000000" w:themeColor="text1"/>
          <w:sz w:val="24"/>
          <w:szCs w:val="24"/>
          <w:highlight w:val="none"/>
          <w:lang w:eastAsia="zh-CN"/>
          <w14:textFill>
            <w14:solidFill>
              <w14:schemeClr w14:val="tx1"/>
            </w14:solidFill>
          </w14:textFill>
        </w:rPr>
        <w:t>服务要求</w:t>
      </w:r>
      <w:r>
        <w:rPr>
          <w:rFonts w:hint="eastAsia" w:ascii="宋体" w:hAnsi="宋体" w:eastAsia="宋体" w:cs="宋体"/>
          <w:color w:val="000000" w:themeColor="text1"/>
          <w:sz w:val="24"/>
          <w:szCs w:val="24"/>
          <w:highlight w:val="none"/>
          <w14:textFill>
            <w14:solidFill>
              <w14:schemeClr w14:val="tx1"/>
            </w14:solidFill>
          </w14:textFill>
        </w:rPr>
        <w:t>：见</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w:t>
      </w:r>
    </w:p>
    <w:p w14:paraId="5E03BD91">
      <w:pPr>
        <w:keepNext w:val="0"/>
        <w:keepLines w:val="0"/>
        <w:pageBreakBefore w:val="0"/>
        <w:widowControl w:val="0"/>
        <w:kinsoku/>
        <w:wordWrap/>
        <w:overflowPunct/>
        <w:topLinePunct w:val="0"/>
        <w:autoSpaceDE/>
        <w:autoSpaceDN/>
        <w:bidi w:val="0"/>
        <w:adjustRightInd/>
        <w:snapToGrid/>
        <w:spacing w:line="500" w:lineRule="atLeast"/>
        <w:ind w:firstLine="723" w:firstLineChars="3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1.4 </w:t>
      </w:r>
      <w:r>
        <w:rPr>
          <w:rFonts w:hint="eastAsia" w:ascii="宋体" w:hAnsi="宋体" w:eastAsia="宋体" w:cs="宋体"/>
          <w:b/>
          <w:bCs/>
          <w:color w:val="000000" w:themeColor="text1"/>
          <w:sz w:val="24"/>
          <w:szCs w:val="24"/>
          <w:highlight w:val="none"/>
          <w:lang w:eastAsia="zh-CN"/>
          <w14:textFill>
            <w14:solidFill>
              <w14:schemeClr w14:val="tx1"/>
            </w14:solidFill>
          </w14:textFill>
        </w:rPr>
        <w:t>投标人</w:t>
      </w:r>
      <w:r>
        <w:rPr>
          <w:rFonts w:hint="eastAsia" w:ascii="宋体" w:hAnsi="宋体" w:eastAsia="宋体" w:cs="宋体"/>
          <w:b/>
          <w:bCs/>
          <w:color w:val="000000" w:themeColor="text1"/>
          <w:sz w:val="24"/>
          <w:szCs w:val="24"/>
          <w:highlight w:val="none"/>
          <w14:textFill>
            <w14:solidFill>
              <w14:schemeClr w14:val="tx1"/>
            </w14:solidFill>
          </w14:textFill>
        </w:rPr>
        <w:t>资格要求</w:t>
      </w:r>
    </w:p>
    <w:p w14:paraId="3BEC72BB">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1.4.1 </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应具备承担本招标项目资质条件、能力和信誉：</w:t>
      </w:r>
    </w:p>
    <w:p w14:paraId="20A7D389">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（1）资质要求：见</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w:t>
      </w:r>
    </w:p>
    <w:p w14:paraId="68234D84">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（2）财务要求：见</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w:t>
      </w:r>
    </w:p>
    <w:p w14:paraId="5399FE48">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）信誉要求：见</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w:t>
      </w:r>
    </w:p>
    <w:p w14:paraId="5A2E7BFC">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）项目</w:t>
      </w:r>
      <w:r>
        <w:rPr>
          <w:rFonts w:hint="eastAsia" w:ascii="宋体" w:hAnsi="宋体" w:eastAsia="宋体" w:cs="宋体"/>
          <w:color w:val="000000" w:themeColor="text1"/>
          <w:sz w:val="24"/>
          <w:szCs w:val="24"/>
          <w:highlight w:val="none"/>
          <w:lang w:eastAsia="zh-CN"/>
          <w14:textFill>
            <w14:solidFill>
              <w14:schemeClr w14:val="tx1"/>
            </w14:solidFill>
          </w14:textFill>
        </w:rPr>
        <w:t>经理</w:t>
      </w:r>
      <w:r>
        <w:rPr>
          <w:rFonts w:hint="eastAsia" w:ascii="宋体" w:hAnsi="宋体" w:eastAsia="宋体" w:cs="宋体"/>
          <w:color w:val="000000" w:themeColor="text1"/>
          <w:sz w:val="24"/>
          <w:szCs w:val="24"/>
          <w:highlight w:val="none"/>
          <w14:textFill>
            <w14:solidFill>
              <w14:schemeClr w14:val="tx1"/>
            </w14:solidFill>
          </w14:textFill>
        </w:rPr>
        <w:t>的资格要求：具体要求见</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w:t>
      </w:r>
    </w:p>
    <w:p w14:paraId="27313B6F">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）其他要求：见</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w:t>
      </w:r>
    </w:p>
    <w:p w14:paraId="35A9E264">
      <w:pPr>
        <w:keepNext w:val="0"/>
        <w:keepLines w:val="0"/>
        <w:pageBreakBefore w:val="0"/>
        <w:widowControl w:val="0"/>
        <w:kinsoku/>
        <w:wordWrap/>
        <w:overflowPunct/>
        <w:topLinePunct w:val="0"/>
        <w:autoSpaceDE/>
        <w:autoSpaceDN/>
        <w:bidi w:val="0"/>
        <w:adjustRightInd/>
        <w:snapToGrid/>
        <w:spacing w:line="500" w:lineRule="atLeast"/>
        <w:ind w:firstLine="1200" w:firstLineChars="5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需要提交的相关证明材料见本章第 3.5 款的规定。</w:t>
      </w:r>
    </w:p>
    <w:p w14:paraId="1485D872">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1.4.2 </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须知前附表规定接受联合体投标的，联合体除应符合本章第 1.4.1 项和</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须知前附表的要求外，还应遵守以下规定：</w:t>
      </w:r>
    </w:p>
    <w:p w14:paraId="22B9055D">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（1）联合体各方应按招标文件提供的格式签订联合体协议书，明确联合体牵头人和各方权利义务，并承诺就中标项目向采购人承担连带责任；</w:t>
      </w:r>
    </w:p>
    <w:p w14:paraId="18C704A3">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（2）由同一专业的单位组成的联合体，按照资质等级较低的单位确定资质等级；</w:t>
      </w:r>
    </w:p>
    <w:p w14:paraId="0973E7C8">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（3）联合体各方不得再以自己名义单独或参加其他联合体在本招标项目中投标，否则各相关投标均无效。</w:t>
      </w:r>
    </w:p>
    <w:p w14:paraId="1E91BF39">
      <w:pPr>
        <w:keepNext w:val="0"/>
        <w:keepLines w:val="0"/>
        <w:pageBreakBefore w:val="0"/>
        <w:widowControl w:val="0"/>
        <w:kinsoku/>
        <w:wordWrap/>
        <w:overflowPunct/>
        <w:topLinePunct w:val="0"/>
        <w:autoSpaceDE/>
        <w:autoSpaceDN/>
        <w:bidi w:val="0"/>
        <w:adjustRightInd/>
        <w:snapToGrid/>
        <w:spacing w:line="500" w:lineRule="atLeast"/>
        <w:ind w:firstLine="964" w:firstLineChars="4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1.4.3 </w:t>
      </w:r>
      <w:r>
        <w:rPr>
          <w:rFonts w:hint="eastAsia" w:ascii="宋体" w:hAnsi="宋体" w:eastAsia="宋体" w:cs="宋体"/>
          <w:b/>
          <w:bCs/>
          <w:color w:val="000000" w:themeColor="text1"/>
          <w:sz w:val="24"/>
          <w:szCs w:val="24"/>
          <w:highlight w:val="none"/>
          <w:lang w:eastAsia="zh-CN"/>
          <w14:textFill>
            <w14:solidFill>
              <w14:schemeClr w14:val="tx1"/>
            </w14:solidFill>
          </w14:textFill>
        </w:rPr>
        <w:t>投标人</w:t>
      </w:r>
      <w:r>
        <w:rPr>
          <w:rFonts w:hint="eastAsia" w:ascii="宋体" w:hAnsi="宋体" w:eastAsia="宋体" w:cs="宋体"/>
          <w:b/>
          <w:bCs/>
          <w:color w:val="000000" w:themeColor="text1"/>
          <w:sz w:val="24"/>
          <w:szCs w:val="24"/>
          <w:highlight w:val="none"/>
          <w14:textFill>
            <w14:solidFill>
              <w14:schemeClr w14:val="tx1"/>
            </w14:solidFill>
          </w14:textFill>
        </w:rPr>
        <w:t>不得存在下列情形之一：</w:t>
      </w:r>
    </w:p>
    <w:p w14:paraId="0B223DAD">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）与采购人存在利害关系且可能影响招标公正性；</w:t>
      </w:r>
    </w:p>
    <w:p w14:paraId="12FDC3DF">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）与本招标项目的其他</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为同一个单位负责人；</w:t>
      </w:r>
    </w:p>
    <w:p w14:paraId="27D020A2">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）与本招标项目的其他</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存在控股、管理关系；</w:t>
      </w:r>
    </w:p>
    <w:p w14:paraId="06422EA6">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）为本招标项目的代建人；</w:t>
      </w:r>
    </w:p>
    <w:p w14:paraId="1181864B">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）为本招标项目的采购代理机构；</w:t>
      </w:r>
    </w:p>
    <w:p w14:paraId="5EB2977E">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）与本招标项目的代建人或采购代理机构同为一个法定代表人；</w:t>
      </w:r>
    </w:p>
    <w:p w14:paraId="581DA4E0">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）与本招标项目的代建人或采购代理机构存在控股或参股关系；</w:t>
      </w:r>
    </w:p>
    <w:p w14:paraId="5924DEFC">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）被依法暂停或者取消投标资格；</w:t>
      </w:r>
    </w:p>
    <w:p w14:paraId="6087B984">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）被责令停产停业、暂扣或者吊销许可证、暂扣或者吊销执照；</w:t>
      </w:r>
    </w:p>
    <w:p w14:paraId="0F242E73">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）进入清算程序，或被宣告破产，或其他丧失履约能力的情形；</w:t>
      </w:r>
    </w:p>
    <w:p w14:paraId="2EB02221">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sz w:val="24"/>
          <w:szCs w:val="24"/>
          <w:highlight w:val="none"/>
          <w14:textFill>
            <w14:solidFill>
              <w14:schemeClr w14:val="tx1"/>
            </w14:solidFill>
          </w14:textFill>
        </w:rPr>
        <w:t>）在最近三年内发生重大咨询服务质量问题（以相关行业主管部门的行政处罚决定或司法机关出具的有关法律文书为准）；</w:t>
      </w:r>
    </w:p>
    <w:p w14:paraId="64963BC8">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 xml:space="preserve">）被工商行政管理机关在全国企业信用信息公示系统 </w:t>
      </w:r>
      <w:r>
        <w:rPr>
          <w:rFonts w:hint="eastAsia" w:ascii="宋体" w:hAnsi="宋体" w:eastAsia="宋体" w:cs="宋体"/>
          <w:color w:val="000000" w:themeColor="text1"/>
          <w:sz w:val="24"/>
          <w:szCs w:val="24"/>
          <w:highlight w:val="none"/>
          <w:lang w:bidi="en-US"/>
          <w14:textFill>
            <w14:solidFill>
              <w14:schemeClr w14:val="tx1"/>
            </w14:solidFill>
          </w14:textFill>
        </w:rPr>
        <w:t>（http://www.gsxt.gov.cn/）</w:t>
      </w:r>
      <w:r>
        <w:rPr>
          <w:rFonts w:hint="eastAsia" w:ascii="宋体" w:hAnsi="宋体" w:eastAsia="宋体" w:cs="宋体"/>
          <w:color w:val="000000" w:themeColor="text1"/>
          <w:sz w:val="24"/>
          <w:szCs w:val="24"/>
          <w:highlight w:val="none"/>
          <w14:textFill>
            <w14:solidFill>
              <w14:schemeClr w14:val="tx1"/>
            </w14:solidFill>
          </w14:textFill>
        </w:rPr>
        <w:t>中列入严重违法失信企业名单；</w:t>
      </w:r>
    </w:p>
    <w:p w14:paraId="06BCE0F5">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）被列入"信用</w:t>
      </w:r>
      <w:r>
        <w:rPr>
          <w:rFonts w:hint="eastAsia" w:ascii="宋体" w:hAnsi="宋体" w:eastAsia="宋体" w:cs="宋体"/>
          <w:color w:val="000000" w:themeColor="text1"/>
          <w:sz w:val="24"/>
          <w:szCs w:val="24"/>
          <w:highlight w:val="none"/>
          <w:lang w:val="zh-CN" w:bidi="zh-CN"/>
          <w14:textFill>
            <w14:solidFill>
              <w14:schemeClr w14:val="tx1"/>
            </w14:solidFill>
          </w14:textFill>
        </w:rPr>
        <w:t>中国”</w:t>
      </w:r>
      <w:r>
        <w:rPr>
          <w:rFonts w:hint="eastAsia" w:ascii="宋体" w:hAnsi="宋体" w:eastAsia="宋体" w:cs="宋体"/>
          <w:color w:val="000000" w:themeColor="text1"/>
          <w:sz w:val="24"/>
          <w:szCs w:val="24"/>
          <w:highlight w:val="none"/>
          <w14:textFill>
            <w14:solidFill>
              <w14:schemeClr w14:val="tx1"/>
            </w14:solidFill>
          </w14:textFill>
        </w:rPr>
        <w:t>网站</w:t>
      </w:r>
      <w:r>
        <w:rPr>
          <w:rFonts w:hint="eastAsia" w:ascii="宋体" w:hAnsi="宋体" w:eastAsia="宋体" w:cs="宋体"/>
          <w:color w:val="000000" w:themeColor="text1"/>
          <w:sz w:val="24"/>
          <w:szCs w:val="24"/>
          <w:highlight w:val="none"/>
          <w:lang w:bidi="en-US"/>
          <w14:textFill>
            <w14:solidFill>
              <w14:schemeClr w14:val="tx1"/>
            </w14:solidFill>
          </w14:textFill>
        </w:rPr>
        <w:t>（www.creditchina.gov.cn）</w:t>
      </w:r>
      <w:r>
        <w:rPr>
          <w:rFonts w:hint="eastAsia" w:ascii="宋体" w:hAnsi="宋体" w:eastAsia="宋体" w:cs="宋体"/>
          <w:color w:val="000000" w:themeColor="text1"/>
          <w:sz w:val="24"/>
          <w:szCs w:val="24"/>
          <w:highlight w:val="none"/>
          <w14:textFill>
            <w14:solidFill>
              <w14:schemeClr w14:val="tx1"/>
            </w14:solidFill>
          </w14:textFill>
        </w:rPr>
        <w:t>、中国政府采购网</w:t>
      </w:r>
      <w:r>
        <w:rPr>
          <w:rFonts w:hint="eastAsia" w:ascii="宋体" w:hAnsi="宋体" w:eastAsia="宋体" w:cs="宋体"/>
          <w:color w:val="000000" w:themeColor="text1"/>
          <w:sz w:val="24"/>
          <w:szCs w:val="24"/>
          <w:highlight w:val="none"/>
          <w:lang w:bidi="en-US"/>
          <w14:textFill>
            <w14:solidFill>
              <w14:schemeClr w14:val="tx1"/>
            </w14:solidFill>
          </w14:textFill>
        </w:rPr>
        <w:t>（www.ccgp.gov.cn）</w:t>
      </w:r>
      <w:r>
        <w:rPr>
          <w:rFonts w:hint="eastAsia" w:ascii="宋体" w:hAnsi="宋体" w:eastAsia="宋体" w:cs="宋体"/>
          <w:color w:val="000000" w:themeColor="text1"/>
          <w:sz w:val="24"/>
          <w:szCs w:val="24"/>
          <w:highlight w:val="none"/>
          <w14:textFill>
            <w14:solidFill>
              <w14:schemeClr w14:val="tx1"/>
            </w14:solidFill>
          </w14:textFill>
        </w:rPr>
        <w:t>等渠道信用记录失信被执行人、</w:t>
      </w:r>
      <w:r>
        <w:rPr>
          <w:rFonts w:hint="eastAsia" w:ascii="宋体" w:hAnsi="宋体" w:eastAsia="宋体" w:cs="宋体"/>
          <w:color w:val="000000" w:themeColor="text1"/>
          <w:sz w:val="24"/>
          <w:szCs w:val="24"/>
          <w:highlight w:val="none"/>
          <w:lang w:eastAsia="zh-CN"/>
          <w14:textFill>
            <w14:solidFill>
              <w14:schemeClr w14:val="tx1"/>
            </w14:solidFill>
          </w14:textFill>
        </w:rPr>
        <w:t>重大税收违法失信主体</w:t>
      </w:r>
      <w:r>
        <w:rPr>
          <w:rFonts w:hint="eastAsia" w:ascii="宋体" w:hAnsi="宋体" w:eastAsia="宋体" w:cs="宋体"/>
          <w:color w:val="000000" w:themeColor="text1"/>
          <w:sz w:val="24"/>
          <w:szCs w:val="24"/>
          <w:highlight w:val="none"/>
          <w14:textFill>
            <w14:solidFill>
              <w14:schemeClr w14:val="tx1"/>
            </w14:solidFill>
          </w14:textFill>
        </w:rPr>
        <w:t>、政府采购严重违法失信行为记录名单；</w:t>
      </w:r>
    </w:p>
    <w:p w14:paraId="3C48898B">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）在近三年内</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或其法定代表人、拟委任的项目负责人有行贿犯罪行为的；</w:t>
      </w:r>
    </w:p>
    <w:p w14:paraId="56532E1A">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）法律法规或</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须知前附表规定的其他情形。</w:t>
      </w:r>
    </w:p>
    <w:p w14:paraId="0728EDE1">
      <w:pPr>
        <w:keepNext w:val="0"/>
        <w:keepLines w:val="0"/>
        <w:pageBreakBefore w:val="0"/>
        <w:widowControl w:val="0"/>
        <w:kinsoku/>
        <w:wordWrap/>
        <w:overflowPunct/>
        <w:topLinePunct w:val="0"/>
        <w:autoSpaceDE/>
        <w:autoSpaceDN/>
        <w:bidi w:val="0"/>
        <w:adjustRightInd/>
        <w:snapToGrid/>
        <w:spacing w:line="500" w:lineRule="atLeast"/>
        <w:ind w:firstLine="723"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1.5 费用承担</w:t>
      </w:r>
    </w:p>
    <w:p w14:paraId="5522A83C">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准备和参加投标活动发生的费用自理。</w:t>
      </w:r>
    </w:p>
    <w:p w14:paraId="1D034308">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 保密</w:t>
      </w:r>
    </w:p>
    <w:p w14:paraId="550BFB5E">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参与招标投标活动的各方应对招标文件和投标文件中的商业和技术等秘密保密，否则应承担相应的法律责任。</w:t>
      </w:r>
    </w:p>
    <w:p w14:paraId="324B3D3C">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 语言文字</w:t>
      </w:r>
    </w:p>
    <w:p w14:paraId="211FAD85">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招标投标文件使用的语言文字为中文。专用术语使用外文的，应附有中文注释。</w:t>
      </w:r>
    </w:p>
    <w:p w14:paraId="3854C31F">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 计量单位</w:t>
      </w:r>
    </w:p>
    <w:p w14:paraId="6AF984D7">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所有计量均采用中华人民共和国法定计量单位。</w:t>
      </w:r>
    </w:p>
    <w:p w14:paraId="0C64CEBB">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 踏勘现场</w:t>
      </w:r>
    </w:p>
    <w:p w14:paraId="2F4663BF">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1.9.1 </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须知前附表规定组织踏勘现场的，采购人按</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须知前附表规定的时间、地点组织</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踏勘项目现场。部分</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未按时参加踏勘现场的，不影响踏勘现场的正常进行。</w:t>
      </w:r>
    </w:p>
    <w:p w14:paraId="22C35532">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1.9.2 </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踏勘现场发生的费用自理。</w:t>
      </w:r>
    </w:p>
    <w:p w14:paraId="17E7FCD3">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1.9.3 除采购人的原因外，</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自行负责在踏勘现场中所发生的人员伤亡和财产损失。</w:t>
      </w:r>
    </w:p>
    <w:p w14:paraId="55608A01">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1.9.4 采购人在踏勘现场中介绍的工程场地和相关的周边环境情况，供</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在编制投标文件时参考，采购人不对</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据此作出的判断和决策负责。</w:t>
      </w:r>
    </w:p>
    <w:p w14:paraId="5692B4D2">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1.10 投标预备会</w:t>
      </w:r>
    </w:p>
    <w:p w14:paraId="5F74F502">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1.10.1 </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须知前附表规定召开投标预备会的，采购人按</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须知前附表规定的时间和地点召开投标预备会，澄清</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提出的问题。</w:t>
      </w:r>
    </w:p>
    <w:p w14:paraId="72215355">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1.10.2 </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应按</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须知前附表规定的时间和形式将提出的问题送达采购人，以便采购人在会议期间澄清。</w:t>
      </w:r>
    </w:p>
    <w:p w14:paraId="2719A273">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1.10.3 投标预备会后，采购人将对</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所提问题的澄清，以</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须知前附表规定的形式通知所有购买招标文件的</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。该澄清内容为招标文件的组成部分。</w:t>
      </w:r>
    </w:p>
    <w:p w14:paraId="0179F258">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 分包</w:t>
      </w:r>
    </w:p>
    <w:p w14:paraId="01C86A34">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1.11.1 </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拟在中标后将中标项目的非主体、非关键性咨询服务工作进行分包的，应符合</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须知前附表规定的分包内容、分包金额和资质要求等限制性条件，除</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须知前附表规定的非主体、非关键性咨询服务工作外，其他工作不得分包。</w:t>
      </w:r>
    </w:p>
    <w:p w14:paraId="25E75441">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1.11.2 中标人不得向他人转让中标项目，接受分包的人不得再次分包。中标人应当就分包项目向采购人负责，接受分包的人就分包项目承担连带责任。</w:t>
      </w:r>
    </w:p>
    <w:p w14:paraId="063AADBC">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 响应和偏差</w:t>
      </w:r>
    </w:p>
    <w:p w14:paraId="10AD262B">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1.12.1 投标文件应当对招标文件的实质性要求和条件作出满足性或更有利于采购人的响应，否则</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的投标将被否决。实质性要求和条件见</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w:t>
      </w:r>
    </w:p>
    <w:p w14:paraId="7808DB0D">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1.12.2 </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应根据招标文件的要求提供投标咨询服务成果等内容以对招标文件作出响应。</w:t>
      </w:r>
    </w:p>
    <w:p w14:paraId="1C585140">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1.12.3 </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须知前附表允许投标文件偏离招标文件某些要求的，偏差应当符合招标文件规定的偏差范围和幅度。</w:t>
      </w:r>
    </w:p>
    <w:p w14:paraId="0374CEBE">
      <w:pPr>
        <w:keepNext w:val="0"/>
        <w:keepLines w:val="0"/>
        <w:pageBreakBefore w:val="0"/>
        <w:widowControl w:val="0"/>
        <w:kinsoku/>
        <w:wordWrap/>
        <w:overflowPunct/>
        <w:topLinePunct w:val="0"/>
        <w:autoSpaceDE/>
        <w:autoSpaceDN/>
        <w:bidi w:val="0"/>
        <w:adjustRightInd/>
        <w:snapToGrid/>
        <w:spacing w:line="500" w:lineRule="atLeas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2.招标文件</w:t>
      </w:r>
    </w:p>
    <w:p w14:paraId="1C47F84F">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 招标文件的组成</w:t>
      </w:r>
    </w:p>
    <w:p w14:paraId="4B7249CD">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本招标文件包括：</w:t>
      </w:r>
    </w:p>
    <w:p w14:paraId="79E0D97E">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（1）招标公告（或投标邀请书）；</w:t>
      </w:r>
    </w:p>
    <w:p w14:paraId="0EA46323">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w:t>
      </w:r>
    </w:p>
    <w:p w14:paraId="78B2F8A6">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（3）评标办法；</w:t>
      </w:r>
    </w:p>
    <w:p w14:paraId="7EB87C25">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政府采购</w:t>
      </w:r>
      <w:r>
        <w:rPr>
          <w:rFonts w:hint="eastAsia" w:ascii="宋体" w:hAnsi="宋体" w:eastAsia="宋体" w:cs="宋体"/>
          <w:color w:val="000000" w:themeColor="text1"/>
          <w:sz w:val="24"/>
          <w:szCs w:val="24"/>
          <w:highlight w:val="none"/>
          <w14:textFill>
            <w14:solidFill>
              <w14:schemeClr w14:val="tx1"/>
            </w14:solidFill>
          </w14:textFill>
        </w:rPr>
        <w:t>合同</w:t>
      </w:r>
      <w:r>
        <w:rPr>
          <w:rFonts w:hint="eastAsia" w:ascii="宋体" w:hAnsi="宋体" w:eastAsia="宋体" w:cs="宋体"/>
          <w:color w:val="000000" w:themeColor="text1"/>
          <w:sz w:val="24"/>
          <w:szCs w:val="24"/>
          <w:highlight w:val="none"/>
          <w:lang w:eastAsia="zh-CN"/>
          <w14:textFill>
            <w14:solidFill>
              <w14:schemeClr w14:val="tx1"/>
            </w14:solidFill>
          </w14:textFill>
        </w:rPr>
        <w:t>书</w:t>
      </w:r>
      <w:r>
        <w:rPr>
          <w:rFonts w:hint="eastAsia" w:ascii="宋体" w:hAnsi="宋体" w:eastAsia="宋体" w:cs="宋体"/>
          <w:color w:val="000000" w:themeColor="text1"/>
          <w:sz w:val="24"/>
          <w:szCs w:val="24"/>
          <w:highlight w:val="none"/>
          <w14:textFill>
            <w14:solidFill>
              <w14:schemeClr w14:val="tx1"/>
            </w14:solidFill>
          </w14:textFill>
        </w:rPr>
        <w:t>格式及条款；</w:t>
      </w:r>
    </w:p>
    <w:p w14:paraId="42B1DD2B">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（5）服务内容及要求；</w:t>
      </w:r>
    </w:p>
    <w:p w14:paraId="3381CE58">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（6）投标文件格式。</w:t>
      </w:r>
    </w:p>
    <w:p w14:paraId="54677F12">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根据本章第 1.10 款、第 2.2 款和第 2.3 款对招标文件所作的澄清、修改，构成招标文件的组成部分。</w:t>
      </w:r>
    </w:p>
    <w:p w14:paraId="130764CD">
      <w:pPr>
        <w:keepNext w:val="0"/>
        <w:keepLines w:val="0"/>
        <w:pageBreakBefore w:val="0"/>
        <w:widowControl w:val="0"/>
        <w:kinsoku/>
        <w:wordWrap/>
        <w:overflowPunct/>
        <w:topLinePunct w:val="0"/>
        <w:autoSpaceDE/>
        <w:autoSpaceDN/>
        <w:bidi w:val="0"/>
        <w:adjustRightInd/>
        <w:snapToGrid/>
        <w:spacing w:line="500" w:lineRule="atLeast"/>
        <w:ind w:firstLine="723" w:firstLineChars="3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2.2 招标文件的澄清</w:t>
      </w:r>
    </w:p>
    <w:p w14:paraId="70D16A55">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2.2.1 </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应仔细阅读和检查招标文件的全部内容。如发现缺页或附件不全，应及时向采购人提出，以便补齐。如有疑问，应按</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须知前附表规定的时间和形式将提出的问题送达采购人，要求采购人对招标文件予以澄清。</w:t>
      </w:r>
    </w:p>
    <w:p w14:paraId="5A52838F">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2.2.2 招标文件的澄清以</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须知前附表规定的形式发给所有购买招标文件的</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，但不指明澄清问题的来源。澄清发出的时间距本章第 4.2.1 项规定的投标截止时间不足15日的，并且澄清内容可能影响投标文件编制的，将相应延长投标截止时间。</w:t>
      </w:r>
    </w:p>
    <w:p w14:paraId="230AF7E5">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2.2.3 </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在收到澄清后，应按</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须知前附表规定的时间和形式通知采购人，确认已收到该澄清。</w:t>
      </w:r>
    </w:p>
    <w:p w14:paraId="463DB692">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2.2.4 除非采购人认为确有必要答复，否则，采购人有权拒绝回复</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在本章第 2.2.1 项规定的时间后的任何澄清要求。</w:t>
      </w:r>
    </w:p>
    <w:p w14:paraId="035FF1DC">
      <w:pPr>
        <w:keepNext w:val="0"/>
        <w:keepLines w:val="0"/>
        <w:pageBreakBefore w:val="0"/>
        <w:widowControl w:val="0"/>
        <w:kinsoku/>
        <w:wordWrap/>
        <w:overflowPunct/>
        <w:topLinePunct w:val="0"/>
        <w:autoSpaceDE/>
        <w:autoSpaceDN/>
        <w:bidi w:val="0"/>
        <w:adjustRightInd/>
        <w:snapToGrid/>
        <w:spacing w:line="500" w:lineRule="atLeast"/>
        <w:ind w:firstLine="723" w:firstLineChars="3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2.3 招标文件的修改</w:t>
      </w:r>
    </w:p>
    <w:p w14:paraId="5528D4BD">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2.3.1 采购人以</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须知前附表规定的形式修改招标文件，并通知所有已购买招标文件的</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。修改招标文件的时间距本章第 4.2.1 项规定的投标截止时间不足 15 日的，并且修改内容可能影响投标文件编制的，将相应延长投标截止时间。</w:t>
      </w:r>
    </w:p>
    <w:p w14:paraId="2E2DA59C">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2.3.2 </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收到修改内容后，应按</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须知前附表规定的时间和形式通知采购人，确认已收到该修改。</w:t>
      </w:r>
    </w:p>
    <w:p w14:paraId="66C14B0F">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 招标文件的异议</w:t>
      </w:r>
    </w:p>
    <w:p w14:paraId="325CDFA4">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或者其他利害关系人对招标文件有异议的，应当在投标截止时间 10 日前以书面形式提出。采购人将在收到异议之日起 3 日内作出答复；作出答复前，将暂停招标投标活动。</w:t>
      </w:r>
    </w:p>
    <w:p w14:paraId="06710875">
      <w:pPr>
        <w:keepNext w:val="0"/>
        <w:keepLines w:val="0"/>
        <w:pageBreakBefore w:val="0"/>
        <w:widowControl w:val="0"/>
        <w:kinsoku/>
        <w:wordWrap/>
        <w:overflowPunct/>
        <w:topLinePunct w:val="0"/>
        <w:autoSpaceDE/>
        <w:autoSpaceDN/>
        <w:bidi w:val="0"/>
        <w:adjustRightInd/>
        <w:snapToGrid/>
        <w:spacing w:line="500" w:lineRule="atLeas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3.投标文件</w:t>
      </w:r>
    </w:p>
    <w:p w14:paraId="1D2BE554">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 投标文件的组成</w:t>
      </w:r>
    </w:p>
    <w:p w14:paraId="215060BE">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3.1.1 投标文件应包括下列内容：</w:t>
      </w:r>
    </w:p>
    <w:p w14:paraId="2E983A6C">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（1）投标函；</w:t>
      </w:r>
    </w:p>
    <w:p w14:paraId="13E9187B">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（2）开标一览表；</w:t>
      </w:r>
    </w:p>
    <w:p w14:paraId="71EF309B">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（3）法定代表人身份证明</w:t>
      </w:r>
      <w:r>
        <w:rPr>
          <w:rFonts w:hint="eastAsia" w:ascii="宋体" w:hAnsi="宋体" w:eastAsia="宋体" w:cs="宋体"/>
          <w:color w:val="000000" w:themeColor="text1"/>
          <w:sz w:val="24"/>
          <w:szCs w:val="24"/>
          <w:highlight w:val="none"/>
          <w:lang w:eastAsia="zh-CN"/>
          <w14:textFill>
            <w14:solidFill>
              <w14:schemeClr w14:val="tx1"/>
            </w14:solidFill>
          </w14:textFill>
        </w:rPr>
        <w:t>及</w:t>
      </w:r>
      <w:r>
        <w:rPr>
          <w:rFonts w:hint="eastAsia" w:ascii="宋体" w:hAnsi="宋体" w:eastAsia="宋体" w:cs="宋体"/>
          <w:color w:val="000000" w:themeColor="text1"/>
          <w:sz w:val="24"/>
          <w:szCs w:val="24"/>
          <w:highlight w:val="none"/>
          <w14:textFill>
            <w14:solidFill>
              <w14:schemeClr w14:val="tx1"/>
            </w14:solidFill>
          </w14:textFill>
        </w:rPr>
        <w:t>授权委托书；</w:t>
      </w:r>
    </w:p>
    <w:p w14:paraId="358406FD">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投标保证金；</w:t>
      </w:r>
    </w:p>
    <w:p w14:paraId="58198F05">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商务和技术偏差表</w:t>
      </w:r>
      <w:r>
        <w:rPr>
          <w:rFonts w:hint="eastAsia" w:ascii="宋体" w:hAnsi="宋体" w:eastAsia="宋体" w:cs="宋体"/>
          <w:color w:val="000000" w:themeColor="text1"/>
          <w:sz w:val="24"/>
          <w:szCs w:val="24"/>
          <w:highlight w:val="none"/>
          <w14:textFill>
            <w14:solidFill>
              <w14:schemeClr w14:val="tx1"/>
            </w14:solidFill>
          </w14:textFill>
        </w:rPr>
        <w:t>；</w:t>
      </w:r>
    </w:p>
    <w:p w14:paraId="1EFEDEE8">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）资格审查资料；</w:t>
      </w:r>
    </w:p>
    <w:p w14:paraId="6994E772">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技术服务方案；</w:t>
      </w:r>
    </w:p>
    <w:p w14:paraId="6BF93307">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其他资料。</w:t>
      </w:r>
    </w:p>
    <w:p w14:paraId="218ADFF8">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在评标过程中作出的符合法律法规和招标文件规定的澄清确认，构成投标文件的组成部分。</w:t>
      </w:r>
    </w:p>
    <w:p w14:paraId="54B3AD68">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3.1.2 </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须知前附表规定不接受联合体投标的，或</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没有组成联合体的，投标文件不包括本章第 3.1.1（3）目所指的联合体协议书。</w:t>
      </w:r>
    </w:p>
    <w:p w14:paraId="7734D941">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3.1.3 </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须知前附表未要求提交投标保证金的，投标文件不包括本章第 3.1.1（4）目所指的投标保证金。</w:t>
      </w:r>
    </w:p>
    <w:p w14:paraId="506A0ADE">
      <w:pPr>
        <w:keepNext w:val="0"/>
        <w:keepLines w:val="0"/>
        <w:pageBreakBefore w:val="0"/>
        <w:widowControl w:val="0"/>
        <w:kinsoku/>
        <w:wordWrap/>
        <w:overflowPunct/>
        <w:topLinePunct w:val="0"/>
        <w:autoSpaceDE/>
        <w:autoSpaceDN/>
        <w:bidi w:val="0"/>
        <w:adjustRightInd/>
        <w:snapToGrid/>
        <w:spacing w:line="500" w:lineRule="atLeast"/>
        <w:ind w:firstLine="723" w:firstLineChars="3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3.2 投标报价</w:t>
      </w:r>
    </w:p>
    <w:p w14:paraId="09A2698E">
      <w:pPr>
        <w:keepNext w:val="0"/>
        <w:keepLines w:val="0"/>
        <w:pageBreakBefore w:val="0"/>
        <w:widowControl w:val="0"/>
        <w:kinsoku/>
        <w:wordWrap/>
        <w:overflowPunct/>
        <w:topLinePunct w:val="0"/>
        <w:autoSpaceDE/>
        <w:autoSpaceDN/>
        <w:bidi w:val="0"/>
        <w:adjustRightInd/>
        <w:snapToGrid/>
        <w:spacing w:before="103" w:line="500" w:lineRule="exact"/>
        <w:ind w:firstLine="975" w:firstLineChars="41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3.2.1</w:t>
      </w:r>
      <w:r>
        <w:rPr>
          <w:rFonts w:hint="eastAsia" w:ascii="宋体" w:hAnsi="宋体" w:eastAsia="宋体" w:cs="宋体"/>
          <w:color w:val="000000" w:themeColor="text1"/>
          <w:spacing w:val="-1"/>
          <w:sz w:val="24"/>
          <w:szCs w:val="24"/>
          <w:highlight w:val="none"/>
          <w14:textFill>
            <w14:solidFill>
              <w14:schemeClr w14:val="tx1"/>
            </w14:solidFill>
          </w14:textFill>
        </w:rPr>
        <w:t>投标人应充分了解该项目的总体情况以及影响投标报价的其他要素。</w:t>
      </w:r>
    </w:p>
    <w:p w14:paraId="17804F6A">
      <w:pPr>
        <w:keepNext w:val="0"/>
        <w:keepLines w:val="0"/>
        <w:pageBreakBefore w:val="0"/>
        <w:widowControl w:val="0"/>
        <w:kinsoku/>
        <w:wordWrap/>
        <w:overflowPunct/>
        <w:topLinePunct w:val="0"/>
        <w:autoSpaceDE/>
        <w:autoSpaceDN/>
        <w:bidi w:val="0"/>
        <w:adjustRightInd/>
        <w:snapToGrid/>
        <w:spacing w:before="103" w:line="500" w:lineRule="exact"/>
        <w:ind w:left="20" w:right="92" w:firstLine="938" w:firstLineChars="401"/>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3.2.</w:t>
      </w:r>
      <w:r>
        <w:rPr>
          <w:rFonts w:hint="eastAsia" w:ascii="宋体" w:hAnsi="宋体" w:eastAsia="宋体" w:cs="宋体"/>
          <w:color w:val="000000" w:themeColor="text1"/>
          <w:spacing w:val="-3"/>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pacing w:val="-3"/>
          <w:sz w:val="24"/>
          <w:szCs w:val="24"/>
          <w:highlight w:val="none"/>
          <w14:textFill>
            <w14:solidFill>
              <w14:schemeClr w14:val="tx1"/>
            </w14:solidFill>
          </w14:textFill>
        </w:rPr>
        <w:t>招标人设有最高投标限价的，投标人的投标报价不得超过最高投标限价，最高投</w:t>
      </w:r>
      <w:r>
        <w:rPr>
          <w:rFonts w:hint="eastAsia" w:ascii="宋体" w:hAnsi="宋体" w:eastAsia="宋体" w:cs="宋体"/>
          <w:color w:val="000000" w:themeColor="text1"/>
          <w:spacing w:val="-1"/>
          <w:sz w:val="24"/>
          <w:szCs w:val="24"/>
          <w:highlight w:val="none"/>
          <w14:textFill>
            <w14:solidFill>
              <w14:schemeClr w14:val="tx1"/>
            </w14:solidFill>
          </w14:textFill>
        </w:rPr>
        <w:t>标限价在投标人须知前附表中载明。</w:t>
      </w:r>
    </w:p>
    <w:p w14:paraId="47D07D30">
      <w:pPr>
        <w:keepNext w:val="0"/>
        <w:keepLines w:val="0"/>
        <w:pageBreakBefore w:val="0"/>
        <w:widowControl w:val="0"/>
        <w:kinsoku/>
        <w:wordWrap/>
        <w:overflowPunct/>
        <w:topLinePunct w:val="0"/>
        <w:autoSpaceDE/>
        <w:autoSpaceDN/>
        <w:bidi w:val="0"/>
        <w:adjustRightInd/>
        <w:snapToGrid/>
        <w:spacing w:before="1" w:line="500" w:lineRule="exact"/>
        <w:ind w:firstLine="975" w:firstLineChars="41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t>3.2.</w:t>
      </w:r>
      <w:r>
        <w:rPr>
          <w:rFonts w:hint="eastAsia" w:ascii="宋体" w:hAnsi="宋体" w:eastAsia="宋体" w:cs="宋体"/>
          <w:color w:val="000000" w:themeColor="text1"/>
          <w:spacing w:val="-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pacing w:val="-1"/>
          <w:sz w:val="24"/>
          <w:szCs w:val="24"/>
          <w:highlight w:val="none"/>
          <w14:textFill>
            <w14:solidFill>
              <w14:schemeClr w14:val="tx1"/>
            </w14:solidFill>
          </w14:textFill>
        </w:rPr>
        <w:t>投标报价的其他要求见投标人须知前附表。</w:t>
      </w:r>
    </w:p>
    <w:p w14:paraId="22C9E3AB">
      <w:pPr>
        <w:keepNext w:val="0"/>
        <w:keepLines w:val="0"/>
        <w:pageBreakBefore w:val="0"/>
        <w:widowControl w:val="0"/>
        <w:kinsoku/>
        <w:wordWrap/>
        <w:overflowPunct/>
        <w:topLinePunct w:val="0"/>
        <w:autoSpaceDE/>
        <w:autoSpaceDN/>
        <w:bidi w:val="0"/>
        <w:adjustRightInd/>
        <w:snapToGrid/>
        <w:spacing w:line="500" w:lineRule="atLeast"/>
        <w:ind w:firstLine="723" w:firstLineChars="3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3.3 投标有效期</w:t>
      </w:r>
    </w:p>
    <w:p w14:paraId="6944668B">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3.3.1 除</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 xml:space="preserve">须知前附表另有规定外，投标有效期为 90 </w:t>
      </w:r>
      <w:r>
        <w:rPr>
          <w:rFonts w:hint="eastAsia" w:ascii="宋体" w:hAnsi="宋体" w:eastAsia="宋体" w:cs="宋体"/>
          <w:color w:val="000000" w:themeColor="text1"/>
          <w:sz w:val="24"/>
          <w:szCs w:val="24"/>
          <w:highlight w:val="none"/>
          <w:lang w:eastAsia="zh-CN"/>
          <w14:textFill>
            <w14:solidFill>
              <w14:schemeClr w14:val="tx1"/>
            </w14:solidFill>
          </w14:textFill>
        </w:rPr>
        <w:t>日历</w:t>
      </w:r>
      <w:r>
        <w:rPr>
          <w:rFonts w:hint="eastAsia" w:ascii="宋体" w:hAnsi="宋体" w:eastAsia="宋体" w:cs="宋体"/>
          <w:color w:val="000000" w:themeColor="text1"/>
          <w:sz w:val="24"/>
          <w:szCs w:val="24"/>
          <w:highlight w:val="none"/>
          <w14:textFill>
            <w14:solidFill>
              <w14:schemeClr w14:val="tx1"/>
            </w14:solidFill>
          </w14:textFill>
        </w:rPr>
        <w:t>天。</w:t>
      </w:r>
    </w:p>
    <w:p w14:paraId="7609C570">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3.3.2 在投标有效期内，</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撤销投标文件的，应承担招标文件和法律规定的责任。</w:t>
      </w:r>
    </w:p>
    <w:p w14:paraId="76BEE738">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3.3.3 出现特殊情况需要延长投标有效期的，采购人以书面形式通知所有</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延长投标有效期。</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应予以书面答复，同意延长的，应相应延长其投标保证金的有效期，但不得要求或被允许修改其投标文件；</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拒绝延长的，其投标失效，但</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有权收回其投标保证金。</w:t>
      </w:r>
    </w:p>
    <w:p w14:paraId="73C72ED1">
      <w:pPr>
        <w:keepNext w:val="0"/>
        <w:keepLines w:val="0"/>
        <w:pageBreakBefore w:val="0"/>
        <w:widowControl w:val="0"/>
        <w:kinsoku/>
        <w:wordWrap/>
        <w:overflowPunct/>
        <w:topLinePunct w:val="0"/>
        <w:autoSpaceDE/>
        <w:autoSpaceDN/>
        <w:bidi w:val="0"/>
        <w:adjustRightInd/>
        <w:snapToGrid/>
        <w:spacing w:line="500" w:lineRule="atLeas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3.4 投标保证金</w:t>
      </w:r>
    </w:p>
    <w:p w14:paraId="357FE333">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3.4.1 </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在递交投标文件的同时，应按</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须知前附表规定的金额、形式和第六章“投标文件格式”规定的投标保证金格式递交投标保证金，并作为其投标文件的组成部分。境内</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以现金或者支票形式提交的投标保证金，应当从其基本账户转出并在投标文件中附上基本账户开户证明。联合体投标的，其投标保证金可以由牵头人递交，并应符合</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须知前附表的规定。</w:t>
      </w:r>
    </w:p>
    <w:p w14:paraId="39D1F060">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3.4.2 </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不按本章第 3.4.1 项要求提交投标保证金的，评标委员会将否决其投标。</w:t>
      </w:r>
    </w:p>
    <w:p w14:paraId="49997267">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3.4.3 </w:t>
      </w:r>
      <w:r>
        <w:rPr>
          <w:rFonts w:hint="eastAsia" w:ascii="宋体" w:hAnsi="宋体" w:eastAsia="宋体" w:cs="宋体"/>
          <w:color w:val="000000" w:themeColor="text1"/>
          <w:sz w:val="24"/>
          <w:szCs w:val="24"/>
          <w:highlight w:val="none"/>
          <w:lang w:val="zh-CN"/>
          <w14:textFill>
            <w14:solidFill>
              <w14:schemeClr w14:val="tx1"/>
            </w14:solidFill>
          </w14:textFill>
        </w:rPr>
        <w:t>采购人与中标人签订合同后5个工作日内，向中标人</w:t>
      </w:r>
      <w:r>
        <w:rPr>
          <w:rFonts w:hint="eastAsia" w:ascii="宋体" w:hAnsi="宋体" w:eastAsia="宋体" w:cs="宋体"/>
          <w:color w:val="000000" w:themeColor="text1"/>
          <w:sz w:val="24"/>
          <w:szCs w:val="24"/>
          <w:highlight w:val="none"/>
          <w14:textFill>
            <w14:solidFill>
              <w14:schemeClr w14:val="tx1"/>
            </w14:solidFill>
          </w14:textFill>
        </w:rPr>
        <w:t>无息</w:t>
      </w:r>
      <w:r>
        <w:rPr>
          <w:rFonts w:hint="eastAsia" w:ascii="宋体" w:hAnsi="宋体" w:eastAsia="宋体" w:cs="宋体"/>
          <w:color w:val="000000" w:themeColor="text1"/>
          <w:sz w:val="24"/>
          <w:szCs w:val="24"/>
          <w:highlight w:val="none"/>
          <w:lang w:val="zh-CN"/>
          <w14:textFill>
            <w14:solidFill>
              <w14:schemeClr w14:val="tx1"/>
            </w14:solidFill>
          </w14:textFill>
        </w:rPr>
        <w:t>退还投标保证金。</w:t>
      </w:r>
    </w:p>
    <w:p w14:paraId="42D8D4DC">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3.4.</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 xml:space="preserve"> 有下列情形之一的，投标保证金将不予退还：</w:t>
      </w:r>
    </w:p>
    <w:p w14:paraId="212E553C">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在投标有效期内撤销投标文件；</w:t>
      </w:r>
    </w:p>
    <w:p w14:paraId="693F6BD0">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（2）中标人在收到中标通知书后，无正当理由不与采购人订立合同，在签订合同时向采购人提出附加条件，或者不按照招标文件要求提交履约保证金；</w:t>
      </w:r>
    </w:p>
    <w:p w14:paraId="28BBC27E">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（3）发生</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须知前附表规定的其他可以不予退还投标保证金的情形。</w:t>
      </w:r>
    </w:p>
    <w:p w14:paraId="136EF872">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 资格审查资料</w:t>
      </w:r>
    </w:p>
    <w:p w14:paraId="4E0F9961">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除</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须知前附表另有规定外，</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应按下列规定提供资格审查资料，以证明其满足本章第1.4款规定的资质、财务、信誉</w:t>
      </w:r>
      <w:r>
        <w:rPr>
          <w:rFonts w:hint="eastAsia" w:ascii="宋体" w:hAnsi="宋体" w:eastAsia="宋体" w:cs="宋体"/>
          <w:color w:val="000000" w:themeColor="text1"/>
          <w:sz w:val="24"/>
          <w:szCs w:val="24"/>
          <w:highlight w:val="none"/>
          <w:lang w:eastAsia="zh-CN"/>
          <w14:textFill>
            <w14:solidFill>
              <w14:schemeClr w14:val="tx1"/>
            </w14:solidFill>
          </w14:textFill>
        </w:rPr>
        <w:t>、项目负责人资格</w:t>
      </w:r>
      <w:r>
        <w:rPr>
          <w:rFonts w:hint="eastAsia" w:ascii="宋体" w:hAnsi="宋体" w:eastAsia="宋体" w:cs="宋体"/>
          <w:color w:val="000000" w:themeColor="text1"/>
          <w:sz w:val="24"/>
          <w:szCs w:val="24"/>
          <w:highlight w:val="none"/>
          <w14:textFill>
            <w14:solidFill>
              <w14:schemeClr w14:val="tx1"/>
            </w14:solidFill>
          </w14:textFill>
        </w:rPr>
        <w:t>等</w:t>
      </w:r>
      <w:r>
        <w:rPr>
          <w:rFonts w:hint="eastAsia" w:ascii="宋体" w:hAnsi="宋体" w:eastAsia="宋体" w:cs="宋体"/>
          <w:color w:val="000000" w:themeColor="text1"/>
          <w:sz w:val="24"/>
          <w:szCs w:val="24"/>
          <w:highlight w:val="none"/>
          <w:lang w:eastAsia="zh-CN"/>
          <w14:textFill>
            <w14:solidFill>
              <w14:schemeClr w14:val="tx1"/>
            </w14:solidFill>
          </w14:textFill>
        </w:rPr>
        <w:t>及其他</w:t>
      </w:r>
      <w:r>
        <w:rPr>
          <w:rFonts w:hint="eastAsia" w:ascii="宋体" w:hAnsi="宋体" w:eastAsia="宋体" w:cs="宋体"/>
          <w:color w:val="000000" w:themeColor="text1"/>
          <w:sz w:val="24"/>
          <w:szCs w:val="24"/>
          <w:highlight w:val="none"/>
          <w14:textFill>
            <w14:solidFill>
              <w14:schemeClr w14:val="tx1"/>
            </w14:solidFill>
          </w14:textFill>
        </w:rPr>
        <w:t>要求。</w:t>
      </w:r>
    </w:p>
    <w:p w14:paraId="2347B690">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3.5.1 “</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基本情况表”应附</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营业执照和组织机构代码证的复印件（按照“三证合一”或“五证合一”登记制度进行登记的，标书内可仅提供营业执照复印件）。</w:t>
      </w:r>
    </w:p>
    <w:p w14:paraId="3E400ABF">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3.5.2 “近年财务状况表”应</w:t>
      </w:r>
      <w:r>
        <w:rPr>
          <w:rFonts w:hint="eastAsia" w:ascii="宋体" w:hAnsi="宋体" w:eastAsia="宋体" w:cs="宋体"/>
          <w:color w:val="000000" w:themeColor="text1"/>
          <w:sz w:val="24"/>
          <w:szCs w:val="24"/>
          <w:highlight w:val="none"/>
          <w:lang w:val="zh-CN"/>
          <w14:textFill>
            <w14:solidFill>
              <w14:schemeClr w14:val="tx1"/>
            </w14:solidFill>
          </w14:textFill>
        </w:rPr>
        <w:t>经会计师事务所出具的财务审计报告或财务报表（含资产负债表、现金流量表、利润表）</w:t>
      </w:r>
      <w:r>
        <w:rPr>
          <w:rFonts w:hint="eastAsia" w:ascii="宋体" w:hAnsi="宋体" w:eastAsia="宋体" w:cs="宋体"/>
          <w:color w:val="000000" w:themeColor="text1"/>
          <w:sz w:val="24"/>
          <w:szCs w:val="24"/>
          <w:highlight w:val="none"/>
          <w14:textFill>
            <w14:solidFill>
              <w14:schemeClr w14:val="tx1"/>
            </w14:solidFill>
          </w14:textFill>
        </w:rPr>
        <w:t>和财务情况说明书的复印件，</w:t>
      </w:r>
      <w:r>
        <w:rPr>
          <w:rFonts w:hint="eastAsia" w:ascii="宋体" w:hAnsi="宋体" w:eastAsia="宋体" w:cs="宋体"/>
          <w:color w:val="000000" w:themeColor="text1"/>
          <w:sz w:val="24"/>
          <w:szCs w:val="24"/>
          <w:highlight w:val="none"/>
          <w:lang w:val="zh-CN"/>
          <w14:textFill>
            <w14:solidFill>
              <w14:schemeClr w14:val="tx1"/>
            </w14:solidFill>
          </w14:textFill>
        </w:rPr>
        <w:t>新成立企业提供当年验资报告或银行出具的公司资信证明，</w:t>
      </w:r>
      <w:r>
        <w:rPr>
          <w:rFonts w:hint="eastAsia" w:ascii="宋体" w:hAnsi="宋体" w:eastAsia="宋体" w:cs="宋体"/>
          <w:color w:val="000000" w:themeColor="text1"/>
          <w:sz w:val="24"/>
          <w:szCs w:val="24"/>
          <w:highlight w:val="none"/>
          <w14:textFill>
            <w14:solidFill>
              <w14:schemeClr w14:val="tx1"/>
            </w14:solidFill>
          </w14:textFill>
        </w:rPr>
        <w:t>具体年份要求见</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的成立时间少于</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须知前附表规定年份的，应提供成立以来的财务状况表。</w:t>
      </w:r>
    </w:p>
    <w:p w14:paraId="6BB6D995">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3.5.3 “近年完成的类似项目情况表</w:t>
      </w:r>
      <w:r>
        <w:rPr>
          <w:rFonts w:hint="eastAsia" w:ascii="宋体" w:hAnsi="宋体" w:eastAsia="宋体" w:cs="宋体"/>
          <w:color w:val="000000" w:themeColor="text1"/>
          <w:sz w:val="24"/>
          <w:szCs w:val="24"/>
          <w:highlight w:val="none"/>
          <w:lang w:eastAsia="zh-CN"/>
          <w14:textFill>
            <w14:solidFill>
              <w14:schemeClr w14:val="tx1"/>
            </w14:solidFill>
          </w14:textFill>
        </w:rPr>
        <w:t>或年份要求</w:t>
      </w:r>
      <w:r>
        <w:rPr>
          <w:rFonts w:hint="eastAsia" w:ascii="宋体" w:hAnsi="宋体" w:eastAsia="宋体" w:cs="宋体"/>
          <w:color w:val="000000" w:themeColor="text1"/>
          <w:sz w:val="24"/>
          <w:szCs w:val="24"/>
          <w:highlight w:val="none"/>
          <w14:textFill>
            <w14:solidFill>
              <w14:schemeClr w14:val="tx1"/>
            </w14:solidFill>
          </w14:textFill>
        </w:rPr>
        <w:t>”应附中标通知书或合同协议书、发包人出具的证明文件；具体时间要求见</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须知前附表，每张表格只填写一个项目，并标明序号。</w:t>
      </w:r>
    </w:p>
    <w:p w14:paraId="545F1D6A">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3.5.4 “正在提供服务和新承接的项目情况表”应附中标通知书或合同协议书复印件。每张表格只填写一个项目，并标明序号。</w:t>
      </w:r>
    </w:p>
    <w:p w14:paraId="1A713082">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3.5.5 “近年发生的诉讼及仲裁情况</w:t>
      </w:r>
      <w:r>
        <w:rPr>
          <w:rFonts w:hint="eastAsia" w:ascii="宋体" w:hAnsi="宋体" w:eastAsia="宋体" w:cs="宋体"/>
          <w:color w:val="000000" w:themeColor="text1"/>
          <w:sz w:val="24"/>
          <w:szCs w:val="24"/>
          <w:highlight w:val="none"/>
          <w:lang w:eastAsia="zh-CN"/>
          <w14:textFill>
            <w14:solidFill>
              <w14:schemeClr w14:val="tx1"/>
            </w14:solidFill>
          </w14:textFill>
        </w:rPr>
        <w:t>表或年份要求</w:t>
      </w:r>
      <w:r>
        <w:rPr>
          <w:rFonts w:hint="eastAsia" w:ascii="宋体" w:hAnsi="宋体" w:eastAsia="宋体" w:cs="宋体"/>
          <w:color w:val="000000" w:themeColor="text1"/>
          <w:sz w:val="24"/>
          <w:szCs w:val="24"/>
          <w:highlight w:val="none"/>
          <w14:textFill>
            <w14:solidFill>
              <w14:schemeClr w14:val="tx1"/>
            </w14:solidFill>
          </w14:textFill>
        </w:rPr>
        <w:t>”应说明</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败诉的服务合同的相关情况，并附法院或仲裁机构作出的判决、裁决等有关法律文书复印件，具体时间要求见</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w:t>
      </w:r>
    </w:p>
    <w:p w14:paraId="7F960ADC">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3.5.6 “拟委任的主要人员汇总表”应填报满足本章第 1.4.1 项规定的项目负责人和其他主要人员的相关信息。“主要人员简历表”中项目负责人应附身份证、学历证、职称证、执业资格证书和社保缴费证明复印件，管理过的项目业绩须附合同协议书复印件；其他主要人员应附身份证、学历证、职称证、有关证书和社保缴费证明复印件。</w:t>
      </w:r>
    </w:p>
    <w:p w14:paraId="4C3413FA">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3.5.7 </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须知前附表规定接受联合体投标的，本章第 3.5.1 项至第 3.5.6 项规定的表格和资料应包括联合体各方相关情况。</w:t>
      </w:r>
    </w:p>
    <w:p w14:paraId="38263B14">
      <w:pPr>
        <w:keepNext w:val="0"/>
        <w:keepLines w:val="0"/>
        <w:pageBreakBefore w:val="0"/>
        <w:widowControl w:val="0"/>
        <w:kinsoku/>
        <w:wordWrap/>
        <w:overflowPunct/>
        <w:topLinePunct w:val="0"/>
        <w:autoSpaceDE/>
        <w:autoSpaceDN/>
        <w:bidi w:val="0"/>
        <w:adjustRightInd/>
        <w:snapToGrid/>
        <w:spacing w:line="500" w:lineRule="atLeast"/>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3.6 备选投标方案</w:t>
      </w:r>
    </w:p>
    <w:p w14:paraId="34AF0B9A">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3.6.1 除</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须知前附表规定允许外，</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不得递交备选投标方案，否则其投标将被否决。</w:t>
      </w:r>
    </w:p>
    <w:p w14:paraId="00AD5D94">
      <w:pPr>
        <w:keepNext w:val="0"/>
        <w:keepLines w:val="0"/>
        <w:pageBreakBefore w:val="0"/>
        <w:widowControl w:val="0"/>
        <w:kinsoku/>
        <w:wordWrap/>
        <w:overflowPunct/>
        <w:topLinePunct w:val="0"/>
        <w:autoSpaceDE/>
        <w:autoSpaceDN/>
        <w:bidi w:val="0"/>
        <w:adjustRightInd/>
        <w:snapToGrid/>
        <w:spacing w:line="500" w:lineRule="atLeast"/>
        <w:ind w:firstLine="960" w:firstLineChars="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3.6.2 允许</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递交备选投标方案的，只有中标人所递交的备选投标方案方可予以考虑。评标委员会认为中标人的备选投标方案优于其按照招标文件要求编制的投标方案的，采购人可以接受该备选投标方案。</w:t>
      </w:r>
    </w:p>
    <w:p w14:paraId="11A75859">
      <w:pPr>
        <w:keepNext w:val="0"/>
        <w:keepLines w:val="0"/>
        <w:pageBreakBefore w:val="0"/>
        <w:widowControl w:val="0"/>
        <w:kinsoku/>
        <w:wordWrap/>
        <w:overflowPunct/>
        <w:topLinePunct w:val="0"/>
        <w:autoSpaceDE/>
        <w:autoSpaceDN/>
        <w:bidi w:val="0"/>
        <w:adjustRightInd/>
        <w:snapToGrid/>
        <w:spacing w:line="500" w:lineRule="atLeast"/>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3.7 投标文件的编制</w:t>
      </w:r>
    </w:p>
    <w:p w14:paraId="2F4B4ECA">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3.7.1 投标文件应按第六章“投标文件格式”进行编写，如有必要，可以增加附页，作为投标文件的组成部分。其中投标函附录在满足招标文件实质性要求的基础上，可以提出比招标文件要求更有利于采购人的承诺。</w:t>
      </w:r>
    </w:p>
    <w:p w14:paraId="5511AA70">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3.7.2 投标文件应当对招标文件有关合同履行期限、投标有效期、服务内容及要求、服务范围等实质性内容作出响应。</w:t>
      </w:r>
    </w:p>
    <w:p w14:paraId="49145A7A">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3.7.3（1）投标文件应用不褪色的材料书写或打印，投标函及对投标文件的澄清、说明和补正应由</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的法定代表人或其授权的代理人签字或盖单位章。由</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的法定代表人签字的，应附法定代表人身份证明，由代理人签字的，应附授权委托书，身份证明或授权委托书应符合第六章“投标文件格式”的要求。投标文件应尽量避免涂改、行间插字或删除。如果出现上述情况，改动之处应由</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的法定代表人或其授权的代理人签字或盖单位章。</w:t>
      </w:r>
    </w:p>
    <w:p w14:paraId="4AE93306">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（2）投标文件正本一份，副本份数见</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须知前附表。正本和副本的封面右上角上应清楚地标记“正本”或“副本”的字样。</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应根据</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须知前附表要求提供电子版文件。当副本和正本不一致时，以纸质正本文件为准。</w:t>
      </w:r>
    </w:p>
    <w:p w14:paraId="0F73E5BD">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（3）投标文件的正本与副本应分别装订，并编制目录，投标文件需分册装订的，具体分册装订要求见</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须知前附表规定。</w:t>
      </w:r>
    </w:p>
    <w:p w14:paraId="348EC838">
      <w:pPr>
        <w:keepNext w:val="0"/>
        <w:keepLines w:val="0"/>
        <w:pageBreakBefore w:val="0"/>
        <w:widowControl w:val="0"/>
        <w:kinsoku/>
        <w:wordWrap/>
        <w:overflowPunct/>
        <w:topLinePunct w:val="0"/>
        <w:autoSpaceDE/>
        <w:autoSpaceDN/>
        <w:bidi w:val="0"/>
        <w:adjustRightInd/>
        <w:snapToGrid/>
        <w:spacing w:line="500" w:lineRule="atLeas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4.投标</w:t>
      </w:r>
    </w:p>
    <w:p w14:paraId="4DB01290">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 投标文件的密封和标记</w:t>
      </w:r>
    </w:p>
    <w:p w14:paraId="4D3C9301">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4.1.1 投标文件的正本与副本应分开包装，封套左上角应清楚地标记“正本”或“副本”字样，并在封套的封口处加盖</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单位公章、法定代表人章。</w:t>
      </w:r>
    </w:p>
    <w:p w14:paraId="6C2A84B0">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4.1.2 再将所有文件包封在一个封套内，并在外封套的封口处加盖</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单位公章、法定代表人章。封套上应写明的内容见</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w:t>
      </w:r>
    </w:p>
    <w:p w14:paraId="52713802">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4.1.3 投标文件的外包封须加贴密封条，密封条格式须按招标文件的格式制作。</w:t>
      </w:r>
    </w:p>
    <w:p w14:paraId="4479FA44">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4.1.4 开标一览表（一式</w:t>
      </w:r>
      <w:r>
        <w:rPr>
          <w:rFonts w:hint="eastAsia" w:ascii="宋体" w:hAnsi="宋体" w:eastAsia="宋体" w:cs="宋体"/>
          <w:color w:val="000000" w:themeColor="text1"/>
          <w:sz w:val="24"/>
          <w:szCs w:val="24"/>
          <w:highlight w:val="none"/>
          <w:lang w:eastAsia="zh-CN"/>
          <w14:textFill>
            <w14:solidFill>
              <w14:schemeClr w14:val="tx1"/>
            </w14:solidFill>
          </w14:textFill>
        </w:rPr>
        <w:t>两</w:t>
      </w:r>
      <w:r>
        <w:rPr>
          <w:rFonts w:hint="eastAsia" w:ascii="宋体" w:hAnsi="宋体" w:eastAsia="宋体" w:cs="宋体"/>
          <w:color w:val="000000" w:themeColor="text1"/>
          <w:sz w:val="24"/>
          <w:szCs w:val="24"/>
          <w:highlight w:val="none"/>
          <w14:textFill>
            <w14:solidFill>
              <w14:schemeClr w14:val="tx1"/>
            </w14:solidFill>
          </w14:textFill>
        </w:rPr>
        <w:t>份）及投标文件电子版单独密封，密封要求同投标文件的外包封。</w:t>
      </w:r>
    </w:p>
    <w:p w14:paraId="12E3BE1C">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4.1.5 原件</w:t>
      </w:r>
      <w:r>
        <w:rPr>
          <w:rFonts w:hint="eastAsia" w:ascii="宋体" w:hAnsi="宋体" w:eastAsia="宋体" w:cs="宋体"/>
          <w:color w:val="000000" w:themeColor="text1"/>
          <w:sz w:val="24"/>
          <w:szCs w:val="24"/>
          <w:highlight w:val="none"/>
          <w:lang w:eastAsia="zh-CN"/>
          <w14:textFill>
            <w14:solidFill>
              <w14:schemeClr w14:val="tx1"/>
            </w14:solidFill>
          </w14:textFill>
        </w:rPr>
        <w:t>密封</w:t>
      </w:r>
      <w:r>
        <w:rPr>
          <w:rFonts w:hint="eastAsia" w:ascii="宋体" w:hAnsi="宋体" w:eastAsia="宋体" w:cs="宋体"/>
          <w:color w:val="000000" w:themeColor="text1"/>
          <w:sz w:val="24"/>
          <w:szCs w:val="24"/>
          <w:highlight w:val="none"/>
          <w14:textFill>
            <w14:solidFill>
              <w14:schemeClr w14:val="tx1"/>
            </w14:solidFill>
          </w14:textFill>
        </w:rPr>
        <w:t>完整，原件封套格式如下，封口处加贴封条并按其要求标记。</w:t>
      </w:r>
    </w:p>
    <w:p w14:paraId="24CF644E">
      <w:pPr>
        <w:keepNext w:val="0"/>
        <w:keepLines w:val="0"/>
        <w:pageBreakBefore w:val="0"/>
        <w:widowControl w:val="0"/>
        <w:kinsoku/>
        <w:wordWrap/>
        <w:overflowPunct/>
        <w:topLinePunct w:val="0"/>
        <w:autoSpaceDE/>
        <w:autoSpaceDN/>
        <w:bidi w:val="0"/>
        <w:adjustRightInd/>
        <w:snapToGrid/>
        <w:spacing w:line="500" w:lineRule="atLeas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4.1.6 包封不完整的投标文件，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人</w:t>
      </w:r>
      <w:r>
        <w:rPr>
          <w:rFonts w:hint="eastAsia" w:ascii="宋体" w:hAnsi="宋体" w:eastAsia="宋体" w:cs="宋体"/>
          <w:color w:val="000000" w:themeColor="text1"/>
          <w:sz w:val="24"/>
          <w:szCs w:val="24"/>
          <w:highlight w:val="none"/>
          <w:lang w:eastAsia="zh-CN"/>
          <w14:textFill>
            <w14:solidFill>
              <w14:schemeClr w14:val="tx1"/>
            </w14:solidFill>
          </w14:textFill>
        </w:rPr>
        <w:t>将于拒收</w:t>
      </w:r>
      <w:r>
        <w:rPr>
          <w:rFonts w:hint="eastAsia" w:ascii="宋体" w:hAnsi="宋体" w:eastAsia="宋体" w:cs="宋体"/>
          <w:color w:val="000000" w:themeColor="text1"/>
          <w:sz w:val="24"/>
          <w:szCs w:val="24"/>
          <w:highlight w:val="none"/>
          <w14:textFill>
            <w14:solidFill>
              <w14:schemeClr w14:val="tx1"/>
            </w14:solidFill>
          </w14:textFill>
        </w:rPr>
        <w:t>。</w:t>
      </w:r>
    </w:p>
    <w:p w14:paraId="62D58004">
      <w:pPr>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 原件封套格式</w:t>
      </w:r>
    </w:p>
    <w:p w14:paraId="606B1389">
      <w:pPr>
        <w:pStyle w:val="14"/>
        <w:rPr>
          <w:rFonts w:hint="eastAsia" w:ascii="宋体" w:hAnsi="宋体" w:eastAsia="宋体" w:cs="宋体"/>
          <w:color w:val="000000" w:themeColor="text1"/>
          <w:highlight w:val="none"/>
          <w14:textFill>
            <w14:solidFill>
              <w14:schemeClr w14:val="tx1"/>
            </w14:solidFill>
          </w14:textFill>
        </w:rPr>
      </w:pPr>
    </w:p>
    <w:tbl>
      <w:tblPr>
        <w:tblStyle w:val="36"/>
        <w:tblW w:w="0" w:type="auto"/>
        <w:tblInd w:w="6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0"/>
      </w:tblGrid>
      <w:tr w14:paraId="21315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00" w:type="dxa"/>
            <w:noWrap w:val="0"/>
            <w:vAlign w:val="top"/>
          </w:tcPr>
          <w:p w14:paraId="2BA83F5D">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密封内容：原件，共</w:t>
            </w:r>
            <w:r>
              <w:rPr>
                <w:rFonts w:hint="eastAsia" w:ascii="宋体" w:hAnsi="宋体" w:eastAsia="宋体" w:cs="宋体"/>
                <w:b w:val="0"/>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val="0"/>
                <w:color w:val="000000" w:themeColor="text1"/>
                <w:sz w:val="21"/>
                <w:szCs w:val="21"/>
                <w:highlight w:val="none"/>
                <w14:textFill>
                  <w14:solidFill>
                    <w14:schemeClr w14:val="tx1"/>
                  </w14:solidFill>
                </w14:textFill>
              </w:rPr>
              <w:t>件。</w:t>
            </w:r>
            <w:r>
              <w:rPr>
                <w:rFonts w:hint="eastAsia" w:ascii="宋体" w:hAnsi="宋体" w:eastAsia="宋体" w:cs="宋体"/>
                <w:color w:val="000000" w:themeColor="text1"/>
                <w:sz w:val="21"/>
                <w:szCs w:val="21"/>
                <w:highlight w:val="none"/>
                <w14:textFill>
                  <w14:solidFill>
                    <w14:schemeClr w14:val="tx1"/>
                  </w14:solidFill>
                </w14:textFill>
              </w:rPr>
              <w:t>（注：需列出原件清单明细，以便核实）</w:t>
            </w:r>
          </w:p>
          <w:p w14:paraId="57E0847E">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资格证明文件原件清单</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val="0"/>
                <w:color w:val="000000" w:themeColor="text1"/>
                <w:sz w:val="21"/>
                <w:szCs w:val="21"/>
                <w:highlight w:val="none"/>
                <w14:textFill>
                  <w14:solidFill>
                    <w14:schemeClr w14:val="tx1"/>
                  </w14:solidFill>
                </w14:textFill>
              </w:rPr>
              <w:t>1、有效营业执照（副本）</w:t>
            </w:r>
          </w:p>
          <w:p w14:paraId="01763B5E">
            <w:pPr>
              <w:keepNext w:val="0"/>
              <w:keepLines w:val="0"/>
              <w:suppressLineNumbers w:val="0"/>
              <w:autoSpaceDE w:val="0"/>
              <w:autoSpaceDN w:val="0"/>
              <w:adjustRightInd w:val="0"/>
              <w:spacing w:before="0" w:beforeAutospacing="0" w:after="0" w:afterAutospacing="0" w:line="400" w:lineRule="exact"/>
              <w:ind w:left="0" w:right="0" w:firstLine="2310" w:firstLineChars="1100"/>
              <w:jc w:val="left"/>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2、……</w:t>
            </w:r>
          </w:p>
          <w:p w14:paraId="746B37F7">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 xml:space="preserve">                      </w:t>
            </w:r>
          </w:p>
          <w:p w14:paraId="6AF13421">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 w:val="0"/>
                <w:color w:val="000000" w:themeColor="text1"/>
                <w:sz w:val="21"/>
                <w:szCs w:val="21"/>
                <w:highlight w:val="none"/>
                <w:u w:val="singl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项目名称：</w:t>
            </w:r>
            <w:r>
              <w:rPr>
                <w:rFonts w:hint="eastAsia" w:ascii="宋体" w:hAnsi="宋体" w:eastAsia="宋体" w:cs="宋体"/>
                <w:b w:val="0"/>
                <w:color w:val="000000" w:themeColor="text1"/>
                <w:sz w:val="21"/>
                <w:szCs w:val="21"/>
                <w:highlight w:val="none"/>
                <w:u w:val="single"/>
                <w14:textFill>
                  <w14:solidFill>
                    <w14:schemeClr w14:val="tx1"/>
                  </w14:solidFill>
                </w14:textFill>
              </w:rPr>
              <w:t xml:space="preserve">                      </w:t>
            </w:r>
          </w:p>
          <w:p w14:paraId="25AE8F2F">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 xml:space="preserve">标段号： </w:t>
            </w:r>
            <w:r>
              <w:rPr>
                <w:rFonts w:hint="eastAsia" w:ascii="宋体" w:hAnsi="宋体" w:eastAsia="宋体" w:cs="宋体"/>
                <w:b w:val="0"/>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val="0"/>
                <w:bCs/>
                <w:color w:val="000000" w:themeColor="text1"/>
                <w:sz w:val="21"/>
                <w:szCs w:val="21"/>
                <w:highlight w:val="none"/>
                <w14:textFill>
                  <w14:solidFill>
                    <w14:schemeClr w14:val="tx1"/>
                  </w14:solidFill>
                </w14:textFill>
              </w:rPr>
              <w:t>标段</w:t>
            </w:r>
          </w:p>
          <w:p w14:paraId="3574E3DC">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 w:val="0"/>
                <w:bCs/>
                <w:color w:val="000000" w:themeColor="text1"/>
                <w:sz w:val="21"/>
                <w:szCs w:val="21"/>
                <w:highlight w:val="none"/>
                <w:u w:val="singl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招标编号：</w:t>
            </w:r>
            <w:r>
              <w:rPr>
                <w:rFonts w:hint="eastAsia" w:ascii="宋体" w:hAnsi="宋体" w:eastAsia="宋体" w:cs="宋体"/>
                <w:b w:val="0"/>
                <w:bCs/>
                <w:color w:val="000000" w:themeColor="text1"/>
                <w:sz w:val="21"/>
                <w:szCs w:val="21"/>
                <w:highlight w:val="none"/>
                <w:u w:val="single"/>
                <w14:textFill>
                  <w14:solidFill>
                    <w14:schemeClr w14:val="tx1"/>
                  </w14:solidFill>
                </w14:textFill>
              </w:rPr>
              <w:t xml:space="preserve">                  </w:t>
            </w:r>
          </w:p>
          <w:p w14:paraId="32A4242A">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 w:val="0"/>
                <w:bCs/>
                <w:color w:val="000000" w:themeColor="text1"/>
                <w:sz w:val="21"/>
                <w:szCs w:val="21"/>
                <w:highlight w:val="none"/>
                <w:u w:val="single"/>
                <w14:textFill>
                  <w14:solidFill>
                    <w14:schemeClr w14:val="tx1"/>
                  </w14:solidFill>
                </w14:textFill>
              </w:rPr>
            </w:pPr>
            <w:r>
              <w:rPr>
                <w:rFonts w:hint="eastAsia" w:ascii="宋体" w:hAnsi="宋体" w:eastAsia="宋体" w:cs="宋体"/>
                <w:b w:val="0"/>
                <w:bCs/>
                <w:color w:val="000000" w:themeColor="text1"/>
                <w:sz w:val="21"/>
                <w:szCs w:val="21"/>
                <w:highlight w:val="none"/>
                <w:lang w:eastAsia="zh-CN"/>
                <w14:textFill>
                  <w14:solidFill>
                    <w14:schemeClr w14:val="tx1"/>
                  </w14:solidFill>
                </w14:textFill>
              </w:rPr>
              <w:t>投标人</w:t>
            </w:r>
            <w:r>
              <w:rPr>
                <w:rFonts w:hint="eastAsia" w:ascii="宋体" w:hAnsi="宋体" w:eastAsia="宋体" w:cs="宋体"/>
                <w:b w:val="0"/>
                <w:bCs/>
                <w:color w:val="000000" w:themeColor="text1"/>
                <w:sz w:val="21"/>
                <w:szCs w:val="21"/>
                <w:highlight w:val="none"/>
                <w14:textFill>
                  <w14:solidFill>
                    <w14:schemeClr w14:val="tx1"/>
                  </w14:solidFill>
                </w14:textFill>
              </w:rPr>
              <w:t>名称：</w:t>
            </w:r>
            <w:r>
              <w:rPr>
                <w:rFonts w:hint="eastAsia" w:ascii="宋体" w:hAnsi="宋体" w:eastAsia="宋体" w:cs="宋体"/>
                <w:b w:val="0"/>
                <w:bCs/>
                <w:color w:val="000000" w:themeColor="text1"/>
                <w:sz w:val="21"/>
                <w:szCs w:val="21"/>
                <w:highlight w:val="none"/>
                <w:u w:val="single"/>
                <w14:textFill>
                  <w14:solidFill>
                    <w14:schemeClr w14:val="tx1"/>
                  </w14:solidFill>
                </w14:textFill>
              </w:rPr>
              <w:t xml:space="preserve">                           </w:t>
            </w:r>
          </w:p>
          <w:p w14:paraId="54AE04D9">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原件</w:t>
            </w:r>
            <w:r>
              <w:rPr>
                <w:rFonts w:hint="eastAsia" w:ascii="宋体" w:hAnsi="宋体" w:eastAsia="宋体" w:cs="宋体"/>
                <w:b w:val="0"/>
                <w:color w:val="000000" w:themeColor="text1"/>
                <w:sz w:val="21"/>
                <w:szCs w:val="21"/>
                <w:highlight w:val="none"/>
                <w14:textFill>
                  <w14:solidFill>
                    <w14:schemeClr w14:val="tx1"/>
                  </w14:solidFill>
                </w14:textFill>
              </w:rPr>
              <w:t>在</w:t>
            </w:r>
            <w:r>
              <w:rPr>
                <w:rFonts w:hint="eastAsia" w:ascii="宋体" w:hAnsi="宋体" w:eastAsia="宋体" w:cs="宋体"/>
                <w:b w:val="0"/>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val="0"/>
                <w:color w:val="000000" w:themeColor="text1"/>
                <w:sz w:val="21"/>
                <w:szCs w:val="21"/>
                <w:highlight w:val="none"/>
                <w14:textFill>
                  <w14:solidFill>
                    <w14:schemeClr w14:val="tx1"/>
                  </w14:solidFill>
                </w14:textFill>
              </w:rPr>
              <w:t>年</w:t>
            </w:r>
            <w:r>
              <w:rPr>
                <w:rFonts w:hint="eastAsia" w:ascii="宋体" w:hAnsi="宋体" w:eastAsia="宋体" w:cs="宋体"/>
                <w:b w:val="0"/>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val="0"/>
                <w:color w:val="000000" w:themeColor="text1"/>
                <w:sz w:val="21"/>
                <w:szCs w:val="21"/>
                <w:highlight w:val="none"/>
                <w14:textFill>
                  <w14:solidFill>
                    <w14:schemeClr w14:val="tx1"/>
                  </w14:solidFill>
                </w14:textFill>
              </w:rPr>
              <w:t>月</w:t>
            </w:r>
            <w:r>
              <w:rPr>
                <w:rFonts w:hint="eastAsia" w:ascii="宋体" w:hAnsi="宋体" w:eastAsia="宋体" w:cs="宋体"/>
                <w:b w:val="0"/>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val="0"/>
                <w:color w:val="000000" w:themeColor="text1"/>
                <w:sz w:val="21"/>
                <w:szCs w:val="21"/>
                <w:highlight w:val="none"/>
                <w14:textFill>
                  <w14:solidFill>
                    <w14:schemeClr w14:val="tx1"/>
                  </w14:solidFill>
                </w14:textFill>
              </w:rPr>
              <w:t>日</w:t>
            </w:r>
            <w:r>
              <w:rPr>
                <w:rFonts w:hint="eastAsia" w:ascii="宋体" w:hAnsi="宋体" w:eastAsia="宋体" w:cs="宋体"/>
                <w:b w:val="0"/>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val="0"/>
                <w:color w:val="000000" w:themeColor="text1"/>
                <w:sz w:val="21"/>
                <w:szCs w:val="21"/>
                <w:highlight w:val="none"/>
                <w14:textFill>
                  <w14:solidFill>
                    <w14:schemeClr w14:val="tx1"/>
                  </w14:solidFill>
                </w14:textFill>
              </w:rPr>
              <w:t>：</w:t>
            </w:r>
            <w:r>
              <w:rPr>
                <w:rFonts w:hint="eastAsia" w:ascii="宋体" w:hAnsi="宋体" w:eastAsia="宋体" w:cs="宋体"/>
                <w:b w:val="0"/>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val="0"/>
                <w:color w:val="000000" w:themeColor="text1"/>
                <w:sz w:val="21"/>
                <w:szCs w:val="21"/>
                <w:highlight w:val="none"/>
                <w14:textFill>
                  <w14:solidFill>
                    <w14:schemeClr w14:val="tx1"/>
                  </w14:solidFill>
                </w14:textFill>
              </w:rPr>
              <w:t>时之前准时递交。</w:t>
            </w:r>
          </w:p>
          <w:p w14:paraId="7DC02F8D">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b w:val="0"/>
                <w:color w:val="000000" w:themeColor="text1"/>
                <w:sz w:val="21"/>
                <w:szCs w:val="21"/>
                <w:highlight w:val="none"/>
                <w:u w:val="singl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法人或法人授权代表：</w:t>
            </w:r>
            <w:r>
              <w:rPr>
                <w:rFonts w:hint="eastAsia" w:ascii="宋体" w:hAnsi="宋体" w:eastAsia="宋体" w:cs="宋体"/>
                <w:b w:val="0"/>
                <w:color w:val="000000" w:themeColor="text1"/>
                <w:sz w:val="21"/>
                <w:szCs w:val="21"/>
                <w:highlight w:val="none"/>
                <w:u w:val="single"/>
                <w14:textFill>
                  <w14:solidFill>
                    <w14:schemeClr w14:val="tx1"/>
                  </w14:solidFill>
                </w14:textFill>
              </w:rPr>
              <w:t xml:space="preserve">             </w:t>
            </w:r>
          </w:p>
          <w:p w14:paraId="257F296E">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联系电话：</w:t>
            </w:r>
            <w:r>
              <w:rPr>
                <w:rFonts w:hint="eastAsia" w:ascii="宋体" w:hAnsi="宋体" w:eastAsia="宋体" w:cs="宋体"/>
                <w:b w:val="0"/>
                <w:color w:val="000000" w:themeColor="text1"/>
                <w:sz w:val="21"/>
                <w:szCs w:val="21"/>
                <w:highlight w:val="none"/>
                <w:u w:val="single"/>
                <w14:textFill>
                  <w14:solidFill>
                    <w14:schemeClr w14:val="tx1"/>
                  </w14:solidFill>
                </w14:textFill>
              </w:rPr>
              <w:t xml:space="preserve">                </w:t>
            </w:r>
          </w:p>
        </w:tc>
      </w:tr>
    </w:tbl>
    <w:p w14:paraId="09BC7585">
      <w:pPr>
        <w:autoSpaceDE w:val="0"/>
        <w:autoSpaceDN w:val="0"/>
        <w:adjustRightInd w:val="0"/>
        <w:spacing w:line="400" w:lineRule="exact"/>
        <w:jc w:val="left"/>
        <w:rPr>
          <w:rFonts w:hint="eastAsia" w:ascii="宋体" w:hAnsi="宋体" w:eastAsia="宋体" w:cs="宋体"/>
          <w:b w:val="0"/>
          <w:color w:val="000000" w:themeColor="text1"/>
          <w:sz w:val="21"/>
          <w:szCs w:val="21"/>
          <w:highlight w:val="none"/>
          <w:lang w:val="zh-CN"/>
          <w14:textFill>
            <w14:solidFill>
              <w14:schemeClr w14:val="tx1"/>
            </w14:solidFill>
          </w14:textFill>
        </w:rPr>
        <w:sectPr>
          <w:pgSz w:w="11907" w:h="16840"/>
          <w:pgMar w:top="1440" w:right="1800" w:bottom="1440" w:left="1800" w:header="1140" w:footer="720" w:gutter="0"/>
          <w:pgNumType w:fmt="decimal"/>
          <w:cols w:space="720" w:num="1"/>
          <w:rtlGutter w:val="0"/>
          <w:docGrid w:linePitch="272" w:charSpace="0"/>
        </w:sectPr>
      </w:pPr>
    </w:p>
    <w:p w14:paraId="3AD205F0">
      <w:pPr>
        <w:autoSpaceDE w:val="0"/>
        <w:autoSpaceDN w:val="0"/>
        <w:adjustRightInd w:val="0"/>
        <w:spacing w:line="400" w:lineRule="exact"/>
        <w:jc w:val="left"/>
        <w:rPr>
          <w:rFonts w:hint="eastAsia" w:ascii="宋体" w:hAnsi="宋体" w:eastAsia="宋体" w:cs="宋体"/>
          <w:b w:val="0"/>
          <w:color w:val="000000" w:themeColor="text1"/>
          <w:sz w:val="23"/>
          <w:szCs w:val="21"/>
          <w:highlight w:val="none"/>
          <w:lang w:val="zh-CN"/>
          <w14:textFill>
            <w14:solidFill>
              <w14:schemeClr w14:val="tx1"/>
            </w14:solidFill>
          </w14:textFill>
        </w:rPr>
      </w:pPr>
      <w:r>
        <w:rPr>
          <w:rFonts w:hint="eastAsia" w:ascii="宋体" w:hAnsi="宋体" w:eastAsia="宋体" w:cs="宋体"/>
          <w:b w:val="0"/>
          <w:color w:val="000000" w:themeColor="text1"/>
          <w:sz w:val="23"/>
          <w:szCs w:val="21"/>
          <w:highlight w:val="none"/>
          <w:lang w:val="zh-CN"/>
          <w14:textFill>
            <w14:solidFill>
              <w14:schemeClr w14:val="tx1"/>
            </w14:solidFill>
          </w14:textFill>
        </w:rPr>
        <w:t>附：密封条格式</w:t>
      </w:r>
    </w:p>
    <w:p w14:paraId="11E91A2D">
      <w:pPr>
        <w:autoSpaceDE w:val="0"/>
        <w:autoSpaceDN w:val="0"/>
        <w:adjustRightInd w:val="0"/>
        <w:spacing w:line="400" w:lineRule="exact"/>
        <w:jc w:val="left"/>
        <w:rPr>
          <w:rFonts w:hint="eastAsia" w:ascii="宋体" w:hAnsi="宋体" w:eastAsia="宋体" w:cs="宋体"/>
          <w:b w:val="0"/>
          <w:color w:val="000000" w:themeColor="text1"/>
          <w:sz w:val="21"/>
          <w:szCs w:val="21"/>
          <w:highlight w:val="none"/>
          <w:lang w:val="zh-CN"/>
          <w14:textFill>
            <w14:solidFill>
              <w14:schemeClr w14:val="tx1"/>
            </w14:solidFill>
          </w14:textFill>
        </w:rPr>
      </w:pPr>
      <w:r>
        <w:rPr>
          <w:rFonts w:hint="eastAsia" w:ascii="宋体" w:hAnsi="宋体" w:eastAsia="宋体" w:cs="宋体"/>
          <w:b w:val="0"/>
          <w:color w:val="000000" w:themeColor="text1"/>
          <w:sz w:val="21"/>
          <w:szCs w:val="21"/>
          <w:highlight w:val="none"/>
          <w:lang w:val="zh-CN"/>
          <w14:textFill>
            <w14:solidFill>
              <w14:schemeClr w14:val="tx1"/>
            </w14:solidFill>
          </w14:textFill>
        </w:rPr>
        <w:t>（投标人裁开使用）</w:t>
      </w:r>
    </w:p>
    <w:tbl>
      <w:tblPr>
        <w:tblStyle w:val="36"/>
        <w:tblW w:w="0" w:type="auto"/>
        <w:tblInd w:w="0" w:type="dxa"/>
        <w:tblBorders>
          <w:top w:val="dashed" w:color="auto" w:sz="18" w:space="0"/>
          <w:left w:val="dashed" w:color="auto" w:sz="18" w:space="0"/>
          <w:bottom w:val="dashed" w:color="auto" w:sz="18" w:space="0"/>
          <w:right w:val="dashed" w:color="auto" w:sz="18" w:space="0"/>
          <w:insideH w:val="dashed" w:color="auto" w:sz="18" w:space="0"/>
          <w:insideV w:val="dashed" w:color="auto" w:sz="18" w:space="0"/>
        </w:tblBorders>
        <w:tblLayout w:type="fixed"/>
        <w:tblCellMar>
          <w:top w:w="0" w:type="dxa"/>
          <w:left w:w="108" w:type="dxa"/>
          <w:bottom w:w="0" w:type="dxa"/>
          <w:right w:w="108" w:type="dxa"/>
        </w:tblCellMar>
      </w:tblPr>
      <w:tblGrid>
        <w:gridCol w:w="15559"/>
      </w:tblGrid>
      <w:tr w14:paraId="614D1494">
        <w:tblPrEx>
          <w:tblBorders>
            <w:top w:val="dashed" w:color="auto" w:sz="18" w:space="0"/>
            <w:left w:val="dashed" w:color="auto" w:sz="18" w:space="0"/>
            <w:bottom w:val="dashed" w:color="auto" w:sz="18" w:space="0"/>
            <w:right w:val="dashed" w:color="auto" w:sz="18" w:space="0"/>
            <w:insideH w:val="dashed" w:color="auto" w:sz="18" w:space="0"/>
            <w:insideV w:val="dashed" w:color="auto" w:sz="18" w:space="0"/>
          </w:tblBorders>
          <w:tblCellMar>
            <w:top w:w="0" w:type="dxa"/>
            <w:left w:w="108" w:type="dxa"/>
            <w:bottom w:w="0" w:type="dxa"/>
            <w:right w:w="108" w:type="dxa"/>
          </w:tblCellMar>
        </w:tblPrEx>
        <w:trPr>
          <w:trHeight w:val="1990" w:hRule="atLeast"/>
        </w:trPr>
        <w:tc>
          <w:tcPr>
            <w:tcW w:w="15559" w:type="dxa"/>
            <w:noWrap w:val="0"/>
            <w:vAlign w:val="top"/>
          </w:tcPr>
          <w:p w14:paraId="2F2B2BE7">
            <w:pPr>
              <w:keepNext w:val="0"/>
              <w:keepLines w:val="0"/>
              <w:suppressLineNumbers w:val="0"/>
              <w:spacing w:before="0" w:beforeAutospacing="0" w:after="0" w:afterAutospacing="0" w:line="540" w:lineRule="exact"/>
              <w:ind w:left="0" w:right="0"/>
              <w:jc w:val="center"/>
              <w:rPr>
                <w:rFonts w:hint="eastAsia" w:ascii="宋体" w:hAnsi="宋体" w:eastAsia="宋体" w:cs="宋体"/>
                <w:b/>
                <w:bCs/>
                <w:color w:val="000000" w:themeColor="text1"/>
                <w:sz w:val="25"/>
                <w:highlight w:val="none"/>
                <w14:textFill>
                  <w14:solidFill>
                    <w14:schemeClr w14:val="tx1"/>
                  </w14:solidFill>
                </w14:textFill>
              </w:rPr>
            </w:pPr>
            <w:r>
              <w:rPr>
                <w:rFonts w:hint="eastAsia" w:ascii="宋体" w:hAnsi="宋体" w:eastAsia="宋体" w:cs="宋体"/>
                <w:b/>
                <w:bCs/>
                <w:color w:val="000000" w:themeColor="text1"/>
                <w:sz w:val="25"/>
                <w:highlight w:val="none"/>
                <w14:textFill>
                  <w14:solidFill>
                    <w14:schemeClr w14:val="tx1"/>
                  </w14:solidFill>
                </w14:textFill>
              </w:rPr>
              <w:t>（</w:t>
            </w:r>
            <w:r>
              <w:rPr>
                <w:rFonts w:hint="eastAsia" w:ascii="宋体" w:hAnsi="宋体" w:eastAsia="宋体" w:cs="宋体"/>
                <w:b/>
                <w:bCs/>
                <w:color w:val="000000" w:themeColor="text1"/>
                <w:sz w:val="25"/>
                <w:highlight w:val="none"/>
                <w:lang w:eastAsia="zh-CN"/>
                <w14:textFill>
                  <w14:solidFill>
                    <w14:schemeClr w14:val="tx1"/>
                  </w14:solidFill>
                </w14:textFill>
              </w:rPr>
              <w:t>投标人</w:t>
            </w:r>
            <w:r>
              <w:rPr>
                <w:rFonts w:hint="eastAsia" w:ascii="宋体" w:hAnsi="宋体" w:eastAsia="宋体" w:cs="宋体"/>
                <w:b/>
                <w:bCs/>
                <w:color w:val="000000" w:themeColor="text1"/>
                <w:sz w:val="25"/>
                <w:highlight w:val="none"/>
                <w14:textFill>
                  <w14:solidFill>
                    <w14:schemeClr w14:val="tx1"/>
                  </w14:solidFill>
                </w14:textFill>
              </w:rPr>
              <w:t>法定代表人章）                                      （</w:t>
            </w:r>
            <w:r>
              <w:rPr>
                <w:rFonts w:hint="eastAsia" w:ascii="宋体" w:hAnsi="宋体" w:eastAsia="宋体" w:cs="宋体"/>
                <w:b/>
                <w:bCs/>
                <w:color w:val="000000" w:themeColor="text1"/>
                <w:sz w:val="25"/>
                <w:highlight w:val="none"/>
                <w:lang w:eastAsia="zh-CN"/>
                <w14:textFill>
                  <w14:solidFill>
                    <w14:schemeClr w14:val="tx1"/>
                  </w14:solidFill>
                </w14:textFill>
              </w:rPr>
              <w:t>投标人</w:t>
            </w:r>
            <w:r>
              <w:rPr>
                <w:rFonts w:hint="eastAsia" w:ascii="宋体" w:hAnsi="宋体" w:eastAsia="宋体" w:cs="宋体"/>
                <w:b/>
                <w:bCs/>
                <w:color w:val="000000" w:themeColor="text1"/>
                <w:sz w:val="25"/>
                <w:highlight w:val="none"/>
                <w14:textFill>
                  <w14:solidFill>
                    <w14:schemeClr w14:val="tx1"/>
                  </w14:solidFill>
                </w14:textFill>
              </w:rPr>
              <w:t>公章）</w:t>
            </w:r>
          </w:p>
          <w:p w14:paraId="6E915EAE">
            <w:pPr>
              <w:keepNext w:val="0"/>
              <w:keepLines w:val="0"/>
              <w:suppressLineNumbers w:val="0"/>
              <w:spacing w:before="0" w:beforeAutospacing="0" w:after="0" w:afterAutospacing="0" w:line="540" w:lineRule="exact"/>
              <w:ind w:left="0" w:right="0"/>
              <w:jc w:val="center"/>
              <w:rPr>
                <w:rFonts w:hint="eastAsia" w:ascii="宋体" w:hAnsi="宋体" w:eastAsia="宋体" w:cs="宋体"/>
                <w:b/>
                <w:bCs/>
                <w:color w:val="000000" w:themeColor="text1"/>
                <w:sz w:val="25"/>
                <w:highlight w:val="none"/>
                <w14:textFill>
                  <w14:solidFill>
                    <w14:schemeClr w14:val="tx1"/>
                  </w14:solidFill>
                </w14:textFill>
              </w:rPr>
            </w:pPr>
            <w:r>
              <w:rPr>
                <w:rFonts w:hint="eastAsia" w:ascii="宋体" w:hAnsi="宋体" w:eastAsia="宋体" w:cs="宋体"/>
                <w:b/>
                <w:bCs/>
                <w:color w:val="000000" w:themeColor="text1"/>
                <w:sz w:val="25"/>
                <w:highlight w:val="none"/>
                <w14:textFill>
                  <w14:solidFill>
                    <w14:schemeClr w14:val="tx1"/>
                  </w14:solidFill>
                </w14:textFill>
              </w:rPr>
              <w:t>………………密封条………………密封条………………密封条………………密封条………………密封条………………</w:t>
            </w:r>
          </w:p>
          <w:p w14:paraId="51587C71">
            <w:pPr>
              <w:keepNext w:val="0"/>
              <w:keepLines w:val="0"/>
              <w:suppressLineNumbers w:val="0"/>
              <w:spacing w:before="0" w:beforeAutospacing="0" w:after="0" w:afterAutospacing="0" w:line="540" w:lineRule="exact"/>
              <w:ind w:left="0" w:right="0"/>
              <w:jc w:val="center"/>
              <w:rPr>
                <w:rFonts w:hint="eastAsia" w:ascii="宋体" w:hAnsi="宋体" w:eastAsia="宋体" w:cs="宋体"/>
                <w:b/>
                <w:bCs/>
                <w:color w:val="000000" w:themeColor="text1"/>
                <w:sz w:val="25"/>
                <w:highlight w:val="none"/>
                <w14:textFill>
                  <w14:solidFill>
                    <w14:schemeClr w14:val="tx1"/>
                  </w14:solidFill>
                </w14:textFill>
              </w:rPr>
            </w:pPr>
            <w:r>
              <w:rPr>
                <w:rFonts w:hint="eastAsia" w:ascii="宋体" w:hAnsi="宋体" w:eastAsia="宋体" w:cs="宋体"/>
                <w:b/>
                <w:bCs/>
                <w:color w:val="000000" w:themeColor="text1"/>
                <w:sz w:val="25"/>
                <w:highlight w:val="none"/>
                <w14:textFill>
                  <w14:solidFill>
                    <w14:schemeClr w14:val="tx1"/>
                  </w14:solidFill>
                </w14:textFill>
              </w:rPr>
              <w:t>在      年      月      日     时      分前不得开启</w:t>
            </w:r>
          </w:p>
          <w:p w14:paraId="79B9D001">
            <w:pPr>
              <w:keepNext w:val="0"/>
              <w:keepLines w:val="0"/>
              <w:suppressLineNumbers w:val="0"/>
              <w:spacing w:before="0" w:beforeAutospacing="0" w:after="0" w:afterAutospacing="0" w:line="540" w:lineRule="exact"/>
              <w:ind w:left="0" w:right="0"/>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sz w:val="25"/>
                <w:highlight w:val="none"/>
                <w14:textFill>
                  <w14:solidFill>
                    <w14:schemeClr w14:val="tx1"/>
                  </w14:solidFill>
                </w14:textFill>
              </w:rPr>
              <w:t>（</w:t>
            </w:r>
            <w:r>
              <w:rPr>
                <w:rFonts w:hint="eastAsia" w:ascii="宋体" w:hAnsi="宋体" w:eastAsia="宋体" w:cs="宋体"/>
                <w:b/>
                <w:bCs/>
                <w:color w:val="000000" w:themeColor="text1"/>
                <w:sz w:val="25"/>
                <w:highlight w:val="none"/>
                <w:lang w:eastAsia="zh-CN"/>
                <w14:textFill>
                  <w14:solidFill>
                    <w14:schemeClr w14:val="tx1"/>
                  </w14:solidFill>
                </w14:textFill>
              </w:rPr>
              <w:t>投标人</w:t>
            </w:r>
            <w:r>
              <w:rPr>
                <w:rFonts w:hint="eastAsia" w:ascii="宋体" w:hAnsi="宋体" w:eastAsia="宋体" w:cs="宋体"/>
                <w:b/>
                <w:bCs/>
                <w:color w:val="000000" w:themeColor="text1"/>
                <w:sz w:val="25"/>
                <w:highlight w:val="none"/>
                <w14:textFill>
                  <w14:solidFill>
                    <w14:schemeClr w14:val="tx1"/>
                  </w14:solidFill>
                </w14:textFill>
              </w:rPr>
              <w:t>公章）                                     （</w:t>
            </w:r>
            <w:r>
              <w:rPr>
                <w:rFonts w:hint="eastAsia" w:ascii="宋体" w:hAnsi="宋体" w:eastAsia="宋体" w:cs="宋体"/>
                <w:b/>
                <w:bCs/>
                <w:color w:val="000000" w:themeColor="text1"/>
                <w:sz w:val="25"/>
                <w:highlight w:val="none"/>
                <w:lang w:eastAsia="zh-CN"/>
                <w14:textFill>
                  <w14:solidFill>
                    <w14:schemeClr w14:val="tx1"/>
                  </w14:solidFill>
                </w14:textFill>
              </w:rPr>
              <w:t>投标人</w:t>
            </w:r>
            <w:r>
              <w:rPr>
                <w:rFonts w:hint="eastAsia" w:ascii="宋体" w:hAnsi="宋体" w:eastAsia="宋体" w:cs="宋体"/>
                <w:b/>
                <w:bCs/>
                <w:color w:val="000000" w:themeColor="text1"/>
                <w:sz w:val="25"/>
                <w:highlight w:val="none"/>
                <w14:textFill>
                  <w14:solidFill>
                    <w14:schemeClr w14:val="tx1"/>
                  </w14:solidFill>
                </w14:textFill>
              </w:rPr>
              <w:t>法定代表人章）</w:t>
            </w:r>
          </w:p>
        </w:tc>
      </w:tr>
    </w:tbl>
    <w:p w14:paraId="6E39ACD3">
      <w:pPr>
        <w:spacing w:line="540" w:lineRule="exact"/>
        <w:jc w:val="center"/>
        <w:rPr>
          <w:rFonts w:hint="eastAsia" w:ascii="宋体" w:hAnsi="宋体" w:eastAsia="宋体" w:cs="宋体"/>
          <w:b/>
          <w:bCs/>
          <w:color w:val="000000" w:themeColor="text1"/>
          <w:highlight w:val="none"/>
          <w14:textFill>
            <w14:solidFill>
              <w14:schemeClr w14:val="tx1"/>
            </w14:solidFill>
          </w14:textFill>
        </w:rPr>
      </w:pPr>
    </w:p>
    <w:p w14:paraId="4A3593CD">
      <w:pPr>
        <w:pBdr>
          <w:top w:val="dashed" w:color="auto" w:sz="18" w:space="1"/>
          <w:left w:val="dashed" w:color="auto" w:sz="18" w:space="4"/>
          <w:bottom w:val="dashed" w:color="auto" w:sz="18" w:space="1"/>
          <w:right w:val="dashed" w:color="auto" w:sz="18" w:space="4"/>
        </w:pBdr>
        <w:spacing w:line="540" w:lineRule="exact"/>
        <w:jc w:val="center"/>
        <w:rPr>
          <w:rFonts w:hint="eastAsia" w:ascii="宋体" w:hAnsi="宋体" w:eastAsia="宋体" w:cs="宋体"/>
          <w:b/>
          <w:bCs/>
          <w:color w:val="000000" w:themeColor="text1"/>
          <w:sz w:val="25"/>
          <w:highlight w:val="none"/>
          <w14:textFill>
            <w14:solidFill>
              <w14:schemeClr w14:val="tx1"/>
            </w14:solidFill>
          </w14:textFill>
        </w:rPr>
      </w:pPr>
      <w:r>
        <w:rPr>
          <w:rFonts w:hint="eastAsia" w:ascii="宋体" w:hAnsi="宋体" w:eastAsia="宋体" w:cs="宋体"/>
          <w:b/>
          <w:bCs/>
          <w:color w:val="000000" w:themeColor="text1"/>
          <w:sz w:val="25"/>
          <w:highlight w:val="none"/>
          <w14:textFill>
            <w14:solidFill>
              <w14:schemeClr w14:val="tx1"/>
            </w14:solidFill>
          </w14:textFill>
        </w:rPr>
        <w:t>（</w:t>
      </w:r>
      <w:r>
        <w:rPr>
          <w:rFonts w:hint="eastAsia" w:ascii="宋体" w:hAnsi="宋体" w:eastAsia="宋体" w:cs="宋体"/>
          <w:b/>
          <w:bCs/>
          <w:color w:val="000000" w:themeColor="text1"/>
          <w:sz w:val="25"/>
          <w:highlight w:val="none"/>
          <w:lang w:eastAsia="zh-CN"/>
          <w14:textFill>
            <w14:solidFill>
              <w14:schemeClr w14:val="tx1"/>
            </w14:solidFill>
          </w14:textFill>
        </w:rPr>
        <w:t>投标人</w:t>
      </w:r>
      <w:r>
        <w:rPr>
          <w:rFonts w:hint="eastAsia" w:ascii="宋体" w:hAnsi="宋体" w:eastAsia="宋体" w:cs="宋体"/>
          <w:b/>
          <w:bCs/>
          <w:color w:val="000000" w:themeColor="text1"/>
          <w:sz w:val="25"/>
          <w:highlight w:val="none"/>
          <w14:textFill>
            <w14:solidFill>
              <w14:schemeClr w14:val="tx1"/>
            </w14:solidFill>
          </w14:textFill>
        </w:rPr>
        <w:t>法定代表人章）                                     （</w:t>
      </w:r>
      <w:r>
        <w:rPr>
          <w:rFonts w:hint="eastAsia" w:ascii="宋体" w:hAnsi="宋体" w:eastAsia="宋体" w:cs="宋体"/>
          <w:b/>
          <w:bCs/>
          <w:color w:val="000000" w:themeColor="text1"/>
          <w:sz w:val="25"/>
          <w:highlight w:val="none"/>
          <w:lang w:eastAsia="zh-CN"/>
          <w14:textFill>
            <w14:solidFill>
              <w14:schemeClr w14:val="tx1"/>
            </w14:solidFill>
          </w14:textFill>
        </w:rPr>
        <w:t>投标人</w:t>
      </w:r>
      <w:r>
        <w:rPr>
          <w:rFonts w:hint="eastAsia" w:ascii="宋体" w:hAnsi="宋体" w:eastAsia="宋体" w:cs="宋体"/>
          <w:b/>
          <w:bCs/>
          <w:color w:val="000000" w:themeColor="text1"/>
          <w:sz w:val="25"/>
          <w:highlight w:val="none"/>
          <w14:textFill>
            <w14:solidFill>
              <w14:schemeClr w14:val="tx1"/>
            </w14:solidFill>
          </w14:textFill>
        </w:rPr>
        <w:t>公章）</w:t>
      </w:r>
    </w:p>
    <w:p w14:paraId="120FE968">
      <w:pPr>
        <w:pBdr>
          <w:top w:val="dashed" w:color="auto" w:sz="18" w:space="1"/>
          <w:left w:val="dashed" w:color="auto" w:sz="18" w:space="4"/>
          <w:bottom w:val="dashed" w:color="auto" w:sz="18" w:space="1"/>
          <w:right w:val="dashed" w:color="auto" w:sz="18" w:space="4"/>
        </w:pBdr>
        <w:spacing w:line="540" w:lineRule="exact"/>
        <w:jc w:val="center"/>
        <w:rPr>
          <w:rFonts w:hint="eastAsia" w:ascii="宋体" w:hAnsi="宋体" w:eastAsia="宋体" w:cs="宋体"/>
          <w:b/>
          <w:bCs/>
          <w:color w:val="000000" w:themeColor="text1"/>
          <w:sz w:val="25"/>
          <w:highlight w:val="none"/>
          <w14:textFill>
            <w14:solidFill>
              <w14:schemeClr w14:val="tx1"/>
            </w14:solidFill>
          </w14:textFill>
        </w:rPr>
      </w:pPr>
      <w:r>
        <w:rPr>
          <w:rFonts w:hint="eastAsia" w:ascii="宋体" w:hAnsi="宋体" w:eastAsia="宋体" w:cs="宋体"/>
          <w:b/>
          <w:bCs/>
          <w:color w:val="000000" w:themeColor="text1"/>
          <w:sz w:val="25"/>
          <w:highlight w:val="none"/>
          <w14:textFill>
            <w14:solidFill>
              <w14:schemeClr w14:val="tx1"/>
            </w14:solidFill>
          </w14:textFill>
        </w:rPr>
        <w:t>………………密封条………………密封条………………密封条………………密封条………………密封条………………</w:t>
      </w:r>
    </w:p>
    <w:p w14:paraId="6004B953">
      <w:pPr>
        <w:pBdr>
          <w:top w:val="dashed" w:color="auto" w:sz="18" w:space="1"/>
          <w:left w:val="dashed" w:color="auto" w:sz="18" w:space="4"/>
          <w:bottom w:val="dashed" w:color="auto" w:sz="18" w:space="1"/>
          <w:right w:val="dashed" w:color="auto" w:sz="18" w:space="4"/>
        </w:pBdr>
        <w:spacing w:line="540" w:lineRule="exact"/>
        <w:jc w:val="center"/>
        <w:rPr>
          <w:rFonts w:hint="eastAsia" w:ascii="宋体" w:hAnsi="宋体" w:eastAsia="宋体" w:cs="宋体"/>
          <w:b/>
          <w:bCs/>
          <w:color w:val="000000" w:themeColor="text1"/>
          <w:sz w:val="25"/>
          <w:highlight w:val="none"/>
          <w14:textFill>
            <w14:solidFill>
              <w14:schemeClr w14:val="tx1"/>
            </w14:solidFill>
          </w14:textFill>
        </w:rPr>
      </w:pPr>
      <w:r>
        <w:rPr>
          <w:rFonts w:hint="eastAsia" w:ascii="宋体" w:hAnsi="宋体" w:eastAsia="宋体" w:cs="宋体"/>
          <w:b/>
          <w:bCs/>
          <w:color w:val="000000" w:themeColor="text1"/>
          <w:sz w:val="25"/>
          <w:highlight w:val="none"/>
          <w14:textFill>
            <w14:solidFill>
              <w14:schemeClr w14:val="tx1"/>
            </w14:solidFill>
          </w14:textFill>
        </w:rPr>
        <w:t>在      年      月      日     时      分前不得开启</w:t>
      </w:r>
    </w:p>
    <w:p w14:paraId="5651AAEB">
      <w:pPr>
        <w:pBdr>
          <w:top w:val="dashed" w:color="auto" w:sz="18" w:space="1"/>
          <w:left w:val="dashed" w:color="auto" w:sz="18" w:space="4"/>
          <w:bottom w:val="dashed" w:color="auto" w:sz="18" w:space="1"/>
          <w:right w:val="dashed" w:color="auto" w:sz="18" w:space="4"/>
        </w:pBdr>
        <w:spacing w:line="540" w:lineRule="exact"/>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sz w:val="25"/>
          <w:highlight w:val="none"/>
          <w14:textFill>
            <w14:solidFill>
              <w14:schemeClr w14:val="tx1"/>
            </w14:solidFill>
          </w14:textFill>
        </w:rPr>
        <w:t>（</w:t>
      </w:r>
      <w:r>
        <w:rPr>
          <w:rFonts w:hint="eastAsia" w:ascii="宋体" w:hAnsi="宋体" w:eastAsia="宋体" w:cs="宋体"/>
          <w:b/>
          <w:bCs/>
          <w:color w:val="000000" w:themeColor="text1"/>
          <w:sz w:val="25"/>
          <w:highlight w:val="none"/>
          <w:lang w:eastAsia="zh-CN"/>
          <w14:textFill>
            <w14:solidFill>
              <w14:schemeClr w14:val="tx1"/>
            </w14:solidFill>
          </w14:textFill>
        </w:rPr>
        <w:t>投标人</w:t>
      </w:r>
      <w:r>
        <w:rPr>
          <w:rFonts w:hint="eastAsia" w:ascii="宋体" w:hAnsi="宋体" w:eastAsia="宋体" w:cs="宋体"/>
          <w:b/>
          <w:bCs/>
          <w:color w:val="000000" w:themeColor="text1"/>
          <w:sz w:val="25"/>
          <w:highlight w:val="none"/>
          <w14:textFill>
            <w14:solidFill>
              <w14:schemeClr w14:val="tx1"/>
            </w14:solidFill>
          </w14:textFill>
        </w:rPr>
        <w:t>公章）                                     （</w:t>
      </w:r>
      <w:r>
        <w:rPr>
          <w:rFonts w:hint="eastAsia" w:ascii="宋体" w:hAnsi="宋体" w:eastAsia="宋体" w:cs="宋体"/>
          <w:b/>
          <w:bCs/>
          <w:color w:val="000000" w:themeColor="text1"/>
          <w:sz w:val="25"/>
          <w:highlight w:val="none"/>
          <w:lang w:eastAsia="zh-CN"/>
          <w14:textFill>
            <w14:solidFill>
              <w14:schemeClr w14:val="tx1"/>
            </w14:solidFill>
          </w14:textFill>
        </w:rPr>
        <w:t>投标人</w:t>
      </w:r>
      <w:r>
        <w:rPr>
          <w:rFonts w:hint="eastAsia" w:ascii="宋体" w:hAnsi="宋体" w:eastAsia="宋体" w:cs="宋体"/>
          <w:b/>
          <w:bCs/>
          <w:color w:val="000000" w:themeColor="text1"/>
          <w:sz w:val="25"/>
          <w:highlight w:val="none"/>
          <w14:textFill>
            <w14:solidFill>
              <w14:schemeClr w14:val="tx1"/>
            </w14:solidFill>
          </w14:textFill>
        </w:rPr>
        <w:t>法定代表人章）</w:t>
      </w:r>
    </w:p>
    <w:p w14:paraId="6B252B33">
      <w:pPr>
        <w:spacing w:line="540" w:lineRule="exact"/>
        <w:jc w:val="center"/>
        <w:rPr>
          <w:rFonts w:hint="eastAsia" w:ascii="宋体" w:hAnsi="宋体" w:eastAsia="宋体" w:cs="宋体"/>
          <w:b/>
          <w:bCs/>
          <w:color w:val="000000" w:themeColor="text1"/>
          <w:highlight w:val="none"/>
          <w14:textFill>
            <w14:solidFill>
              <w14:schemeClr w14:val="tx1"/>
            </w14:solidFill>
          </w14:textFill>
        </w:rPr>
      </w:pPr>
    </w:p>
    <w:p w14:paraId="6DFBB7D3">
      <w:pPr>
        <w:pBdr>
          <w:top w:val="dashed" w:color="auto" w:sz="18" w:space="1"/>
          <w:left w:val="dashed" w:color="auto" w:sz="18" w:space="4"/>
          <w:bottom w:val="dashed" w:color="auto" w:sz="18" w:space="1"/>
          <w:right w:val="dashed" w:color="auto" w:sz="18" w:space="4"/>
        </w:pBdr>
        <w:spacing w:line="540" w:lineRule="exact"/>
        <w:jc w:val="center"/>
        <w:rPr>
          <w:rFonts w:hint="eastAsia" w:ascii="宋体" w:hAnsi="宋体" w:eastAsia="宋体" w:cs="宋体"/>
          <w:b/>
          <w:bCs/>
          <w:color w:val="000000" w:themeColor="text1"/>
          <w:sz w:val="25"/>
          <w:highlight w:val="none"/>
          <w14:textFill>
            <w14:solidFill>
              <w14:schemeClr w14:val="tx1"/>
            </w14:solidFill>
          </w14:textFill>
        </w:rPr>
      </w:pPr>
      <w:r>
        <w:rPr>
          <w:rFonts w:hint="eastAsia" w:ascii="宋体" w:hAnsi="宋体" w:eastAsia="宋体" w:cs="宋体"/>
          <w:b/>
          <w:bCs/>
          <w:color w:val="000000" w:themeColor="text1"/>
          <w:sz w:val="25"/>
          <w:highlight w:val="none"/>
          <w14:textFill>
            <w14:solidFill>
              <w14:schemeClr w14:val="tx1"/>
            </w14:solidFill>
          </w14:textFill>
        </w:rPr>
        <w:t>（</w:t>
      </w:r>
      <w:r>
        <w:rPr>
          <w:rFonts w:hint="eastAsia" w:ascii="宋体" w:hAnsi="宋体" w:eastAsia="宋体" w:cs="宋体"/>
          <w:b/>
          <w:bCs/>
          <w:color w:val="000000" w:themeColor="text1"/>
          <w:sz w:val="25"/>
          <w:highlight w:val="none"/>
          <w:lang w:eastAsia="zh-CN"/>
          <w14:textFill>
            <w14:solidFill>
              <w14:schemeClr w14:val="tx1"/>
            </w14:solidFill>
          </w14:textFill>
        </w:rPr>
        <w:t>投标人</w:t>
      </w:r>
      <w:r>
        <w:rPr>
          <w:rFonts w:hint="eastAsia" w:ascii="宋体" w:hAnsi="宋体" w:eastAsia="宋体" w:cs="宋体"/>
          <w:b/>
          <w:bCs/>
          <w:color w:val="000000" w:themeColor="text1"/>
          <w:sz w:val="25"/>
          <w:highlight w:val="none"/>
          <w14:textFill>
            <w14:solidFill>
              <w14:schemeClr w14:val="tx1"/>
            </w14:solidFill>
          </w14:textFill>
        </w:rPr>
        <w:t>法定代表人章）                                     （</w:t>
      </w:r>
      <w:r>
        <w:rPr>
          <w:rFonts w:hint="eastAsia" w:ascii="宋体" w:hAnsi="宋体" w:eastAsia="宋体" w:cs="宋体"/>
          <w:b/>
          <w:bCs/>
          <w:color w:val="000000" w:themeColor="text1"/>
          <w:sz w:val="25"/>
          <w:highlight w:val="none"/>
          <w:lang w:eastAsia="zh-CN"/>
          <w14:textFill>
            <w14:solidFill>
              <w14:schemeClr w14:val="tx1"/>
            </w14:solidFill>
          </w14:textFill>
        </w:rPr>
        <w:t>投标人</w:t>
      </w:r>
      <w:r>
        <w:rPr>
          <w:rFonts w:hint="eastAsia" w:ascii="宋体" w:hAnsi="宋体" w:eastAsia="宋体" w:cs="宋体"/>
          <w:b/>
          <w:bCs/>
          <w:color w:val="000000" w:themeColor="text1"/>
          <w:sz w:val="25"/>
          <w:highlight w:val="none"/>
          <w14:textFill>
            <w14:solidFill>
              <w14:schemeClr w14:val="tx1"/>
            </w14:solidFill>
          </w14:textFill>
        </w:rPr>
        <w:t>公章）</w:t>
      </w:r>
    </w:p>
    <w:p w14:paraId="327250F4">
      <w:pPr>
        <w:pBdr>
          <w:top w:val="dashed" w:color="auto" w:sz="18" w:space="1"/>
          <w:left w:val="dashed" w:color="auto" w:sz="18" w:space="4"/>
          <w:bottom w:val="dashed" w:color="auto" w:sz="18" w:space="1"/>
          <w:right w:val="dashed" w:color="auto" w:sz="18" w:space="4"/>
        </w:pBdr>
        <w:spacing w:line="540" w:lineRule="exact"/>
        <w:jc w:val="center"/>
        <w:rPr>
          <w:rFonts w:hint="eastAsia" w:ascii="宋体" w:hAnsi="宋体" w:eastAsia="宋体" w:cs="宋体"/>
          <w:b/>
          <w:bCs/>
          <w:color w:val="000000" w:themeColor="text1"/>
          <w:sz w:val="25"/>
          <w:highlight w:val="none"/>
          <w14:textFill>
            <w14:solidFill>
              <w14:schemeClr w14:val="tx1"/>
            </w14:solidFill>
          </w14:textFill>
        </w:rPr>
      </w:pPr>
      <w:r>
        <w:rPr>
          <w:rFonts w:hint="eastAsia" w:ascii="宋体" w:hAnsi="宋体" w:eastAsia="宋体" w:cs="宋体"/>
          <w:b/>
          <w:bCs/>
          <w:color w:val="000000" w:themeColor="text1"/>
          <w:sz w:val="25"/>
          <w:highlight w:val="none"/>
          <w14:textFill>
            <w14:solidFill>
              <w14:schemeClr w14:val="tx1"/>
            </w14:solidFill>
          </w14:textFill>
        </w:rPr>
        <w:t>………………密封条………………密封条………………密封条………………密封条………………密封条………………</w:t>
      </w:r>
    </w:p>
    <w:p w14:paraId="4D809AF7">
      <w:pPr>
        <w:pBdr>
          <w:top w:val="dashed" w:color="auto" w:sz="18" w:space="1"/>
          <w:left w:val="dashed" w:color="auto" w:sz="18" w:space="4"/>
          <w:bottom w:val="dashed" w:color="auto" w:sz="18" w:space="1"/>
          <w:right w:val="dashed" w:color="auto" w:sz="18" w:space="4"/>
        </w:pBdr>
        <w:spacing w:line="540" w:lineRule="exact"/>
        <w:jc w:val="center"/>
        <w:rPr>
          <w:rFonts w:hint="eastAsia" w:ascii="宋体" w:hAnsi="宋体" w:eastAsia="宋体" w:cs="宋体"/>
          <w:b/>
          <w:bCs/>
          <w:color w:val="000000" w:themeColor="text1"/>
          <w:sz w:val="25"/>
          <w:highlight w:val="none"/>
          <w14:textFill>
            <w14:solidFill>
              <w14:schemeClr w14:val="tx1"/>
            </w14:solidFill>
          </w14:textFill>
        </w:rPr>
      </w:pPr>
      <w:r>
        <w:rPr>
          <w:rFonts w:hint="eastAsia" w:ascii="宋体" w:hAnsi="宋体" w:eastAsia="宋体" w:cs="宋体"/>
          <w:b/>
          <w:bCs/>
          <w:color w:val="000000" w:themeColor="text1"/>
          <w:sz w:val="25"/>
          <w:highlight w:val="none"/>
          <w14:textFill>
            <w14:solidFill>
              <w14:schemeClr w14:val="tx1"/>
            </w14:solidFill>
          </w14:textFill>
        </w:rPr>
        <w:t>在      年      月      日     时      分前不得开启</w:t>
      </w:r>
    </w:p>
    <w:p w14:paraId="49452E95">
      <w:pPr>
        <w:pBdr>
          <w:top w:val="dashed" w:color="auto" w:sz="18" w:space="1"/>
          <w:left w:val="dashed" w:color="auto" w:sz="18" w:space="4"/>
          <w:bottom w:val="dashed" w:color="auto" w:sz="18" w:space="1"/>
          <w:right w:val="dashed" w:color="auto" w:sz="18" w:space="4"/>
        </w:pBdr>
        <w:spacing w:line="540" w:lineRule="exact"/>
        <w:jc w:val="center"/>
        <w:rPr>
          <w:rFonts w:hint="eastAsia" w:ascii="宋体" w:hAnsi="宋体" w:eastAsia="宋体" w:cs="宋体"/>
          <w:b w:val="0"/>
          <w:color w:val="000000" w:themeColor="text1"/>
          <w:sz w:val="21"/>
          <w:szCs w:val="21"/>
          <w:highlight w:val="none"/>
          <w:lang w:val="zh-CN"/>
          <w14:textFill>
            <w14:solidFill>
              <w14:schemeClr w14:val="tx1"/>
            </w14:solidFill>
          </w14:textFill>
        </w:rPr>
        <w:sectPr>
          <w:pgSz w:w="16840" w:h="11907" w:orient="landscape"/>
          <w:pgMar w:top="720" w:right="720" w:bottom="720" w:left="720" w:header="1140" w:footer="720" w:gutter="0"/>
          <w:pgNumType w:fmt="decimal"/>
          <w:cols w:space="720" w:num="1"/>
          <w:rtlGutter w:val="0"/>
          <w:docGrid w:linePitch="601" w:charSpace="0"/>
        </w:sectPr>
      </w:pPr>
      <w:r>
        <w:rPr>
          <w:rFonts w:hint="eastAsia" w:ascii="宋体" w:hAnsi="宋体" w:eastAsia="宋体" w:cs="宋体"/>
          <w:b/>
          <w:bCs/>
          <w:color w:val="000000" w:themeColor="text1"/>
          <w:sz w:val="25"/>
          <w:highlight w:val="none"/>
          <w14:textFill>
            <w14:solidFill>
              <w14:schemeClr w14:val="tx1"/>
            </w14:solidFill>
          </w14:textFill>
        </w:rPr>
        <w:t>（</w:t>
      </w:r>
      <w:r>
        <w:rPr>
          <w:rFonts w:hint="eastAsia" w:ascii="宋体" w:hAnsi="宋体" w:eastAsia="宋体" w:cs="宋体"/>
          <w:b/>
          <w:bCs/>
          <w:color w:val="000000" w:themeColor="text1"/>
          <w:sz w:val="25"/>
          <w:highlight w:val="none"/>
          <w:lang w:eastAsia="zh-CN"/>
          <w14:textFill>
            <w14:solidFill>
              <w14:schemeClr w14:val="tx1"/>
            </w14:solidFill>
          </w14:textFill>
        </w:rPr>
        <w:t>投标人</w:t>
      </w:r>
      <w:r>
        <w:rPr>
          <w:rFonts w:hint="eastAsia" w:ascii="宋体" w:hAnsi="宋体" w:eastAsia="宋体" w:cs="宋体"/>
          <w:b/>
          <w:bCs/>
          <w:color w:val="000000" w:themeColor="text1"/>
          <w:sz w:val="25"/>
          <w:highlight w:val="none"/>
          <w14:textFill>
            <w14:solidFill>
              <w14:schemeClr w14:val="tx1"/>
            </w14:solidFill>
          </w14:textFill>
        </w:rPr>
        <w:t>公章）                                     （</w:t>
      </w:r>
      <w:r>
        <w:rPr>
          <w:rFonts w:hint="eastAsia" w:ascii="宋体" w:hAnsi="宋体" w:eastAsia="宋体" w:cs="宋体"/>
          <w:b/>
          <w:bCs/>
          <w:color w:val="000000" w:themeColor="text1"/>
          <w:sz w:val="25"/>
          <w:highlight w:val="none"/>
          <w:lang w:eastAsia="zh-CN"/>
          <w14:textFill>
            <w14:solidFill>
              <w14:schemeClr w14:val="tx1"/>
            </w14:solidFill>
          </w14:textFill>
        </w:rPr>
        <w:t>投标人</w:t>
      </w:r>
      <w:r>
        <w:rPr>
          <w:rFonts w:hint="eastAsia" w:ascii="宋体" w:hAnsi="宋体" w:eastAsia="宋体" w:cs="宋体"/>
          <w:b/>
          <w:bCs/>
          <w:color w:val="000000" w:themeColor="text1"/>
          <w:sz w:val="25"/>
          <w:highlight w:val="none"/>
          <w14:textFill>
            <w14:solidFill>
              <w14:schemeClr w14:val="tx1"/>
            </w14:solidFill>
          </w14:textFill>
        </w:rPr>
        <w:t>法定代表人章）</w:t>
      </w:r>
    </w:p>
    <w:p w14:paraId="6E1B24FB">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4.2 投标文件的递交</w:t>
      </w:r>
    </w:p>
    <w:p w14:paraId="51A2EB1F">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4.2.1 </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应在</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须知前附表规定的投标截止时间前递交投标文件。</w:t>
      </w:r>
    </w:p>
    <w:p w14:paraId="43E14365">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4.2.2</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递交投标文件的地点：见</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w:t>
      </w:r>
    </w:p>
    <w:p w14:paraId="455AC540">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4.2.3 除</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须知前附表另有规定外，</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所递交的投标文件不予退还。</w:t>
      </w:r>
    </w:p>
    <w:p w14:paraId="30F8899B">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4.2.4采购人收到投标文件后，向</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出具签收凭证</w:t>
      </w:r>
      <w:r>
        <w:rPr>
          <w:rFonts w:hint="eastAsia" w:ascii="宋体" w:hAnsi="宋体" w:eastAsia="宋体" w:cs="宋体"/>
          <w:color w:val="000000" w:themeColor="text1"/>
          <w:sz w:val="24"/>
          <w:szCs w:val="24"/>
          <w:highlight w:val="none"/>
          <w:lang w:eastAsia="zh-CN"/>
          <w14:textFill>
            <w14:solidFill>
              <w14:schemeClr w14:val="tx1"/>
            </w14:solidFill>
          </w14:textFill>
        </w:rPr>
        <w:t>（如有）</w:t>
      </w:r>
      <w:r>
        <w:rPr>
          <w:rFonts w:hint="eastAsia" w:ascii="宋体" w:hAnsi="宋体" w:eastAsia="宋体" w:cs="宋体"/>
          <w:color w:val="000000" w:themeColor="text1"/>
          <w:sz w:val="24"/>
          <w:szCs w:val="24"/>
          <w:highlight w:val="none"/>
          <w14:textFill>
            <w14:solidFill>
              <w14:schemeClr w14:val="tx1"/>
            </w14:solidFill>
          </w14:textFill>
        </w:rPr>
        <w:t>。</w:t>
      </w:r>
    </w:p>
    <w:p w14:paraId="74B7F79C">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4.2.5逾期送达的投标文件，采购人将予以拒收。</w:t>
      </w:r>
    </w:p>
    <w:p w14:paraId="1B8D19C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4.3 投标文件的修改与撤回</w:t>
      </w:r>
    </w:p>
    <w:p w14:paraId="3FFCE6F9">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4.3.1 在本章第 4.2.1 项规定的投标截止时间前，</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可以修改或撤回已递交的投标文件，但应以书面形式通知采购人。</w:t>
      </w:r>
    </w:p>
    <w:p w14:paraId="4356791D">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4.3.2</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修改或撤回已递交投标文件的书面通知应按照本章第 3.7.3（A）项的要求签字或盖章。采购人收到书面通知后，向</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出具签收凭证。</w:t>
      </w:r>
    </w:p>
    <w:p w14:paraId="33AAB24E">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4.3.3 </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撤回投标文件的，采购人自收到</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书面撤回通知之日起 5 日内退还已收取的投标保证金。</w:t>
      </w:r>
    </w:p>
    <w:p w14:paraId="70504DB2">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4.3.4 修改的内容为投标文件的组成部分。修改的投标文件应按照本章第 3 条、第 4 条的规定进行编制、密封、标记和递交，并标明“修改”字样。</w:t>
      </w:r>
    </w:p>
    <w:p w14:paraId="7CB8B728">
      <w:pPr>
        <w:keepNext w:val="0"/>
        <w:keepLines w:val="0"/>
        <w:pageBreakBefore w:val="0"/>
        <w:widowControl w:val="0"/>
        <w:kinsoku/>
        <w:wordWrap/>
        <w:overflowPunct/>
        <w:topLinePunct w:val="0"/>
        <w:autoSpaceDE/>
        <w:autoSpaceDN/>
        <w:bidi w:val="0"/>
        <w:adjustRightInd/>
        <w:snapToGrid/>
        <w:spacing w:line="500" w:lineRule="exact"/>
        <w:ind w:firstLine="241" w:firstLineChars="1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5.开标</w:t>
      </w:r>
    </w:p>
    <w:p w14:paraId="4348EE7E">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5.1 开标时间和地点</w:t>
      </w:r>
    </w:p>
    <w:p w14:paraId="229690A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采购人在本章第 4.2.1 项规定的投标截止时间（开标时间）和</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须知前附表规定的地点公开开标，并邀请所有</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的法定代表人或其委托代理人准时参加。</w:t>
      </w:r>
    </w:p>
    <w:p w14:paraId="3B13CEF0">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5.2 开标程序</w:t>
      </w:r>
    </w:p>
    <w:p w14:paraId="3065682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00" w:lineRule="exact"/>
        <w:ind w:left="0" w:right="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密封情况检查：由供应商与监督部门同时检查投标文件密封情况；</w:t>
      </w:r>
    </w:p>
    <w:p w14:paraId="4D1A07FF">
      <w:pPr>
        <w:pStyle w:val="7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开标顺序：</w:t>
      </w:r>
    </w:p>
    <w:p w14:paraId="63E10C67">
      <w:pPr>
        <w:pStyle w:val="7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（1）接收投标文件；</w:t>
      </w:r>
    </w:p>
    <w:p w14:paraId="62E298C3">
      <w:pPr>
        <w:pStyle w:val="7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（2）会议开始介绍本次招标会的工作人员和采购代表；</w:t>
      </w:r>
    </w:p>
    <w:p w14:paraId="06021477">
      <w:pPr>
        <w:pStyle w:val="7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（3）宣布开标会纪律和注意事项；</w:t>
      </w:r>
    </w:p>
    <w:p w14:paraId="21938431">
      <w:pPr>
        <w:pStyle w:val="7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（4）宣布招标公告、招标文件购买和实际参加的投标人情况；</w:t>
      </w:r>
    </w:p>
    <w:p w14:paraId="6EBC380E">
      <w:pPr>
        <w:pStyle w:val="7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（5）检查投标文件的密封情况；</w:t>
      </w:r>
    </w:p>
    <w:p w14:paraId="0AAAEC36">
      <w:pPr>
        <w:pStyle w:val="7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（6）拆封、唱标；</w:t>
      </w:r>
    </w:p>
    <w:p w14:paraId="486DEE55">
      <w:pPr>
        <w:pStyle w:val="7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（7）请各投标人就公开招标采购本身提问；</w:t>
      </w:r>
    </w:p>
    <w:p w14:paraId="5AE20101">
      <w:pPr>
        <w:pStyle w:val="7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（8）宣布质询时间安排及评标；</w:t>
      </w:r>
    </w:p>
    <w:p w14:paraId="08B0C48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（9）宣布开标会结束。</w:t>
      </w:r>
    </w:p>
    <w:p w14:paraId="37B36A9B">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5.3 开标异议</w:t>
      </w:r>
    </w:p>
    <w:p w14:paraId="02991EA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对开标有异议的，应当在开标现场提出，采购人当场作出答复，并制作记录。</w:t>
      </w:r>
    </w:p>
    <w:p w14:paraId="074094F0">
      <w:pPr>
        <w:keepNext w:val="0"/>
        <w:keepLines w:val="0"/>
        <w:pageBreakBefore w:val="0"/>
        <w:widowControl w:val="0"/>
        <w:kinsoku/>
        <w:wordWrap/>
        <w:overflowPunct/>
        <w:topLinePunct w:val="0"/>
        <w:autoSpaceDE/>
        <w:autoSpaceDN/>
        <w:bidi w:val="0"/>
        <w:adjustRightInd/>
        <w:snapToGrid/>
        <w:spacing w:line="500" w:lineRule="exact"/>
        <w:ind w:firstLine="241" w:firstLineChars="1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6.评标</w:t>
      </w:r>
    </w:p>
    <w:p w14:paraId="2EDA4CF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 评标委员会</w:t>
      </w:r>
    </w:p>
    <w:p w14:paraId="5E6355E2">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6.1.1 评标由采购人依法组建的评标委员会负责。评标委员会由采购人或其委托的采购代理机构熟悉相关业务的代表，以及</w:t>
      </w:r>
      <w:r>
        <w:rPr>
          <w:rFonts w:hint="eastAsia" w:ascii="宋体" w:hAnsi="宋体" w:eastAsia="宋体" w:cs="宋体"/>
          <w:color w:val="000000" w:themeColor="text1"/>
          <w:sz w:val="24"/>
          <w:szCs w:val="24"/>
          <w:highlight w:val="none"/>
          <w:lang w:val="en-US" w:eastAsia="zh-CN"/>
          <w14:textFill>
            <w14:solidFill>
              <w14:schemeClr w14:val="tx1"/>
            </w14:solidFill>
          </w14:textFill>
        </w:rPr>
        <w:t>外聘专家</w:t>
      </w:r>
      <w:r>
        <w:rPr>
          <w:rFonts w:hint="eastAsia" w:ascii="宋体" w:hAnsi="宋体" w:eastAsia="宋体" w:cs="宋体"/>
          <w:color w:val="000000" w:themeColor="text1"/>
          <w:sz w:val="24"/>
          <w:szCs w:val="24"/>
          <w:highlight w:val="none"/>
          <w14:textFill>
            <w14:solidFill>
              <w14:schemeClr w14:val="tx1"/>
            </w14:solidFill>
          </w14:textFill>
        </w:rPr>
        <w:t>的组成。评标委员会成员人数以及</w:t>
      </w:r>
      <w:r>
        <w:rPr>
          <w:rFonts w:hint="eastAsia" w:ascii="宋体" w:hAnsi="宋体" w:eastAsia="宋体" w:cs="宋体"/>
          <w:color w:val="000000" w:themeColor="text1"/>
          <w:sz w:val="24"/>
          <w:szCs w:val="24"/>
          <w:highlight w:val="none"/>
          <w:lang w:val="en-US" w:eastAsia="zh-CN"/>
          <w14:textFill>
            <w14:solidFill>
              <w14:schemeClr w14:val="tx1"/>
            </w14:solidFill>
          </w14:textFill>
        </w:rPr>
        <w:t>外聘专家</w:t>
      </w:r>
      <w:r>
        <w:rPr>
          <w:rFonts w:hint="eastAsia" w:ascii="宋体" w:hAnsi="宋体" w:eastAsia="宋体" w:cs="宋体"/>
          <w:color w:val="000000" w:themeColor="text1"/>
          <w:sz w:val="24"/>
          <w:szCs w:val="24"/>
          <w:highlight w:val="none"/>
          <w14:textFill>
            <w14:solidFill>
              <w14:schemeClr w14:val="tx1"/>
            </w14:solidFill>
          </w14:textFill>
        </w:rPr>
        <w:t>的确定方式见</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w:t>
      </w:r>
    </w:p>
    <w:p w14:paraId="7C0E8BF4">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6.1.2 评标委员会成员有下列情形之一的，应当回避：</w:t>
      </w:r>
    </w:p>
    <w:p w14:paraId="1044E242">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或</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主要负责人的近亲属；</w:t>
      </w:r>
    </w:p>
    <w:p w14:paraId="45DA7FD3">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（2）项目主管部门或者行政监督部门的人员；</w:t>
      </w:r>
    </w:p>
    <w:p w14:paraId="47E370A3">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（3）与</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有经济利益关系，可能影响对投标公正评审的；</w:t>
      </w:r>
    </w:p>
    <w:p w14:paraId="52B75A77">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（4）曾因在招标、评标以及其他与招标投标有关活动中从事违法行为而受过行政处罚或刑事处罚的；</w:t>
      </w:r>
    </w:p>
    <w:p w14:paraId="4CD2F42D">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（5）与</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有其他利害关系。</w:t>
      </w:r>
    </w:p>
    <w:p w14:paraId="7DD70D4C">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6.1.3 评标过程中，评标委员会成员有回避事由、擅离职守或者因健康等原因不能继续评标的，采购人有权更换。被更换的评标委员会成员作出的评审结论无效，由更换后的评标委员会成员重新进行评审。</w:t>
      </w:r>
    </w:p>
    <w:p w14:paraId="0DF8500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6.2 评标原则</w:t>
      </w:r>
    </w:p>
    <w:p w14:paraId="1C76AA9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评标活动遵循公平、公正、科学和择优的原则。</w:t>
      </w:r>
    </w:p>
    <w:p w14:paraId="0F451AF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6.3 评标</w:t>
      </w:r>
    </w:p>
    <w:p w14:paraId="708CD6D1">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6.3.1 评标委员会按照第三章“评标办法”规定的方法、评审因素、标准和程序对投标文件进行评审。第三章“评标办法”没有规定的方法、评审因素和标准，不作为评标依据。</w:t>
      </w:r>
    </w:p>
    <w:p w14:paraId="35AE5F5C">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6.3.2 评标完成后，评标委员会应当向采购人提交书面评标报告和中标人名单。评标委员会推荐中标候选人的人数见</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w:t>
      </w:r>
    </w:p>
    <w:p w14:paraId="2EE4EEAA">
      <w:pPr>
        <w:keepNext w:val="0"/>
        <w:keepLines w:val="0"/>
        <w:pageBreakBefore w:val="0"/>
        <w:widowControl w:val="0"/>
        <w:kinsoku/>
        <w:wordWrap/>
        <w:overflowPunct/>
        <w:topLinePunct w:val="0"/>
        <w:autoSpaceDE/>
        <w:autoSpaceDN/>
        <w:bidi w:val="0"/>
        <w:adjustRightInd/>
        <w:snapToGrid/>
        <w:spacing w:line="500" w:lineRule="exact"/>
        <w:ind w:firstLine="241" w:firstLineChars="1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7.合同授予</w:t>
      </w:r>
    </w:p>
    <w:p w14:paraId="556147C4">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7.1 中标</w:t>
      </w:r>
      <w:r>
        <w:rPr>
          <w:rFonts w:hint="eastAsia" w:ascii="宋体" w:hAnsi="宋体" w:eastAsia="宋体" w:cs="宋体"/>
          <w:b/>
          <w:bCs/>
          <w:color w:val="000000" w:themeColor="text1"/>
          <w:sz w:val="24"/>
          <w:szCs w:val="24"/>
          <w:highlight w:val="none"/>
          <w:lang w:eastAsia="zh-CN"/>
          <w14:textFill>
            <w14:solidFill>
              <w14:schemeClr w14:val="tx1"/>
            </w14:solidFill>
          </w14:textFill>
        </w:rPr>
        <w:t>结果</w:t>
      </w:r>
      <w:r>
        <w:rPr>
          <w:rFonts w:hint="eastAsia" w:ascii="宋体" w:hAnsi="宋体" w:eastAsia="宋体" w:cs="宋体"/>
          <w:b/>
          <w:bCs/>
          <w:color w:val="000000" w:themeColor="text1"/>
          <w:sz w:val="24"/>
          <w:szCs w:val="24"/>
          <w:highlight w:val="none"/>
          <w14:textFill>
            <w14:solidFill>
              <w14:schemeClr w14:val="tx1"/>
            </w14:solidFill>
          </w14:textFill>
        </w:rPr>
        <w:t>公示</w:t>
      </w:r>
    </w:p>
    <w:p w14:paraId="25AE956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采购人在收到评标报告之日起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个工作日</w:t>
      </w:r>
      <w:r>
        <w:rPr>
          <w:rFonts w:hint="eastAsia" w:ascii="宋体" w:hAnsi="宋体" w:eastAsia="宋体" w:cs="宋体"/>
          <w:b w:val="0"/>
          <w:bCs w:val="0"/>
          <w:color w:val="000000" w:themeColor="text1"/>
          <w:sz w:val="24"/>
          <w:szCs w:val="24"/>
          <w:highlight w:val="none"/>
          <w14:textFill>
            <w14:solidFill>
              <w14:schemeClr w14:val="tx1"/>
            </w14:solidFill>
          </w14:textFill>
        </w:rPr>
        <w:t>内，按照</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投标人</w:t>
      </w:r>
      <w:r>
        <w:rPr>
          <w:rFonts w:hint="eastAsia" w:ascii="宋体" w:hAnsi="宋体" w:eastAsia="宋体" w:cs="宋体"/>
          <w:b w:val="0"/>
          <w:bCs w:val="0"/>
          <w:color w:val="000000" w:themeColor="text1"/>
          <w:sz w:val="24"/>
          <w:szCs w:val="24"/>
          <w:highlight w:val="none"/>
          <w14:textFill>
            <w14:solidFill>
              <w14:schemeClr w14:val="tx1"/>
            </w14:solidFill>
          </w14:textFill>
        </w:rPr>
        <w:t>须知前附表规定的公示媒介和期限公示中标人，公示期不得少于1</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个工作日</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投标人须知前附表对中标结果公示另有规定的，应符合投标人须知前附表规定。</w:t>
      </w:r>
    </w:p>
    <w:p w14:paraId="0C452B8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7.2 评标结果异议</w:t>
      </w:r>
    </w:p>
    <w:p w14:paraId="777CEFF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 xml:space="preserve">或者其他利害关系人对评标结果有异议的，应当在中标人公示期间提出。采购人将在收到异议之日起 </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eastAsia="zh-CN"/>
          <w14:textFill>
            <w14:solidFill>
              <w14:schemeClr w14:val="tx1"/>
            </w14:solidFill>
          </w14:textFill>
        </w:rPr>
        <w:t>个工作日</w:t>
      </w:r>
      <w:r>
        <w:rPr>
          <w:rFonts w:hint="eastAsia" w:ascii="宋体" w:hAnsi="宋体" w:eastAsia="宋体" w:cs="宋体"/>
          <w:color w:val="000000" w:themeColor="text1"/>
          <w:sz w:val="24"/>
          <w:szCs w:val="24"/>
          <w:highlight w:val="none"/>
          <w14:textFill>
            <w14:solidFill>
              <w14:schemeClr w14:val="tx1"/>
            </w14:solidFill>
          </w14:textFill>
        </w:rPr>
        <w:t>内作出答复；作出答复前，将暂停招标投标活动。</w:t>
      </w:r>
    </w:p>
    <w:p w14:paraId="13A6036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7.3 中标候选人履约能力审查</w:t>
      </w:r>
    </w:p>
    <w:p w14:paraId="073CC94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中标候选人的经营、财务状况发生较大变化或存在违法行为，采购人认为可能影响其履约能力的，将在发出中标通知书前提请原评标委员会按照招标文件规定的标准和方法进行审查确认。</w:t>
      </w:r>
    </w:p>
    <w:p w14:paraId="51B1B5B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7.4 定标</w:t>
      </w:r>
    </w:p>
    <w:p w14:paraId="3424E59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sz w:val="24"/>
          <w:szCs w:val="24"/>
        </w:rPr>
        <w:t>除投标人须知前附表规定评标委员会直接确定中标人外，招标人依据评标委员会推荐的中标候选人确定中标人，评标委员会推荐中标候选人的人数见投标人须知前附表。</w:t>
      </w:r>
    </w:p>
    <w:p w14:paraId="4D4EB98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中标通知</w:t>
      </w:r>
    </w:p>
    <w:p w14:paraId="2A7BFF1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在本章第 3.3 款规定的投标有效期内，采购人以书面形式向中标人发出中标通知书，同时将中标结果通知未中标的</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w:t>
      </w:r>
    </w:p>
    <w:p w14:paraId="0362EBB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7.5（2）</w:t>
      </w:r>
      <w:r>
        <w:rPr>
          <w:rFonts w:hint="eastAsia" w:ascii="宋体" w:hAnsi="宋体" w:eastAsia="宋体" w:cs="宋体"/>
          <w:color w:val="auto"/>
          <w:sz w:val="24"/>
          <w:szCs w:val="24"/>
        </w:rPr>
        <w:t>技术成果经济补偿</w:t>
      </w:r>
    </w:p>
    <w:p w14:paraId="76D7290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rPr>
        <w:t>招标人对符合招标文件规定的未中标人的技术成果进行补偿的，招标人将按投标人须知前附表规定的标准给予经济补偿，未中标人在投标文件中声明放弃技术成果经济补偿费的除外。招标人将于中标通知书发出后 30 日内向未中标人支付技术成果经济补偿费。</w:t>
      </w:r>
    </w:p>
    <w:p w14:paraId="3278EDD1">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7.</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
          <w:bCs/>
          <w:color w:val="000000" w:themeColor="text1"/>
          <w:sz w:val="24"/>
          <w:szCs w:val="24"/>
          <w:highlight w:val="none"/>
          <w14:textFill>
            <w14:solidFill>
              <w14:schemeClr w14:val="tx1"/>
            </w14:solidFill>
          </w14:textFill>
        </w:rPr>
        <w:t xml:space="preserve"> 履约保证金</w:t>
      </w:r>
    </w:p>
    <w:p w14:paraId="062443DA">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.1 在签订合同前，中标人应按</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须知前附表规定的形式、金额和招标文件</w:t>
      </w:r>
      <w:r>
        <w:rPr>
          <w:rFonts w:hint="eastAsia" w:ascii="宋体" w:hAnsi="宋体" w:eastAsia="宋体" w:cs="宋体"/>
          <w:b/>
          <w:bCs/>
          <w:color w:val="000000" w:themeColor="text1"/>
          <w:sz w:val="24"/>
          <w:szCs w:val="24"/>
          <w:highlight w:val="none"/>
          <w14:textFill>
            <w14:solidFill>
              <w14:schemeClr w14:val="tx1"/>
            </w14:solidFill>
          </w14:textFill>
        </w:rPr>
        <w:t>第四章“</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政府采购</w:t>
      </w:r>
      <w:r>
        <w:rPr>
          <w:rFonts w:hint="eastAsia" w:ascii="宋体" w:hAnsi="宋体" w:eastAsia="宋体" w:cs="宋体"/>
          <w:b/>
          <w:bCs/>
          <w:color w:val="000000" w:themeColor="text1"/>
          <w:sz w:val="24"/>
          <w:szCs w:val="24"/>
          <w:highlight w:val="none"/>
          <w14:textFill>
            <w14:solidFill>
              <w14:schemeClr w14:val="tx1"/>
            </w14:solidFill>
          </w14:textFill>
        </w:rPr>
        <w:t>合同</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书格式</w:t>
      </w:r>
      <w:r>
        <w:rPr>
          <w:rFonts w:hint="eastAsia" w:ascii="宋体" w:hAnsi="宋体" w:eastAsia="宋体" w:cs="宋体"/>
          <w:b/>
          <w:bCs/>
          <w:color w:val="000000" w:themeColor="text1"/>
          <w:sz w:val="24"/>
          <w:szCs w:val="24"/>
          <w:highlight w:val="none"/>
          <w14:textFill>
            <w14:solidFill>
              <w14:schemeClr w14:val="tx1"/>
            </w14:solidFill>
          </w14:textFill>
        </w:rPr>
        <w:t>及</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条款</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规定的或者事先经过采购人书面认可的履约保证金格式向采购人提交履约保证金。除</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须知前附表另有规定外，履约保证金为中标合同金额的10%。联合体中标的，其履约保证金以联合体各方或者联合体中牵头人的名义提交。</w:t>
      </w:r>
    </w:p>
    <w:p w14:paraId="446FB1FD">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.2 中标人不能按本章第 7.7.1 项要求提交履约保证金的，视为放弃中标，其投标保证金不予退还，给采购人造成的损失超过投标保证金数额的，中标人还应当对超过部分予以赔偿。</w:t>
      </w:r>
    </w:p>
    <w:p w14:paraId="3D4943C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签订合同</w:t>
      </w:r>
    </w:p>
    <w:p w14:paraId="71452EE8">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.1 采购人和中标人应当在中标通知书发出之日起 30 日内，根据招标文件和中标人的投标文件订立书面合同。中标人无正当理由拒签合同，在签订合同时向采购人提出附加条件，或者不按照招标文件要求提交履约保证金的，采购人有权取消其中标资格，其投标保证金不予退还；给采购人造成的损失超过投标保证金数额的，中标人还应当对超过部分予以赔偿。</w:t>
      </w:r>
    </w:p>
    <w:p w14:paraId="5B746016">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.2 发出中标通知书后，采购人无正当理由拒签合同，或者在签订合同时向中标人提出附加条件的，采购人向中标人退还投标保证金；给中标人造成损失的，还应当赔偿损失。</w:t>
      </w:r>
    </w:p>
    <w:p w14:paraId="3E3B717F">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.3 联合体中标的，联合体各方应当共同与采购人签订合同，就中标项目向采购人承担连带责任。</w:t>
      </w:r>
    </w:p>
    <w:p w14:paraId="2803AD17">
      <w:pPr>
        <w:keepNext w:val="0"/>
        <w:keepLines w:val="0"/>
        <w:pageBreakBefore w:val="0"/>
        <w:widowControl w:val="0"/>
        <w:kinsoku/>
        <w:wordWrap/>
        <w:overflowPunct/>
        <w:topLinePunct w:val="0"/>
        <w:autoSpaceDE/>
        <w:autoSpaceDN/>
        <w:bidi w:val="0"/>
        <w:adjustRightInd/>
        <w:snapToGrid/>
        <w:spacing w:line="500" w:lineRule="exact"/>
        <w:ind w:firstLine="241"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8.纪律和监督</w:t>
      </w:r>
    </w:p>
    <w:p w14:paraId="692EDE5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8.1 对采购人的纪律要求</w:t>
      </w:r>
    </w:p>
    <w:p w14:paraId="324CD93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采购人不得泄露招标投标活动中应当保密的情况和资料，不得与</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串通损害国家利益、社会公共利益或者他人合法权益。</w:t>
      </w:r>
    </w:p>
    <w:p w14:paraId="4E51F9B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8.2 对</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的纪律要求</w:t>
      </w:r>
    </w:p>
    <w:p w14:paraId="6C77D99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不得相互串通投标或者与采购人串通投标，不得向采购人或者评标委员会成员行贿谋取中标，不得以他人名义投标或者以其他方式弄虚作假骗取中标；</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不得以任何方式干扰、影响评标工作。</w:t>
      </w:r>
    </w:p>
    <w:p w14:paraId="2AF601A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8.3 对评标委员会成员的纪律要求</w:t>
      </w:r>
    </w:p>
    <w:p w14:paraId="53C1CF4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1C7269F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8.4 对与评标活动有关的工作人员的纪律要求</w:t>
      </w:r>
    </w:p>
    <w:p w14:paraId="03F4124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1129782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8.5 投诉</w:t>
      </w:r>
    </w:p>
    <w:p w14:paraId="420B78A0">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8.5.1 </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或者其他利害关系人认为招标投标活动不符合法律、行政法规规定的，可以自知道或者应当知道之日起 10 日内向有关行政监督部门投诉。投诉应当有明确的请求和必要的证明材料。</w:t>
      </w:r>
    </w:p>
    <w:p w14:paraId="539157D5">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8.5.2 </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或者其他利害关系人对招标文件、开标和评标结果提出投诉的，应当按照</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须知第 2.4 款、第 5.3 款和第 7.2 款的规定先向采购人提出异议。异议答复期间不计算在第 8.5.1项规定的期限内。</w:t>
      </w:r>
    </w:p>
    <w:p w14:paraId="3463DA01">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9.是否采用电子招标投标</w:t>
      </w:r>
    </w:p>
    <w:p w14:paraId="3DCC46F7">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本招标项目是否采用电子招标投标方式，见</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w:t>
      </w:r>
    </w:p>
    <w:p w14:paraId="31325D4B">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10.需要补充的其他内容</w:t>
      </w:r>
    </w:p>
    <w:p w14:paraId="32D34233">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需要补充的其他内容：见</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须知前附表。</w:t>
      </w:r>
    </w:p>
    <w:p w14:paraId="02669331">
      <w:pPr>
        <w:keepNext w:val="0"/>
        <w:keepLines w:val="0"/>
        <w:pageBreakBefore w:val="0"/>
        <w:widowControl w:val="0"/>
        <w:kinsoku/>
        <w:wordWrap/>
        <w:overflowPunct/>
        <w:topLinePunct w:val="0"/>
        <w:autoSpaceDE/>
        <w:autoSpaceDN/>
        <w:bidi w:val="0"/>
        <w:adjustRightInd/>
        <w:snapToGrid/>
        <w:spacing w:line="500" w:lineRule="exact"/>
        <w:ind w:firstLine="241"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11.质疑与投诉</w:t>
      </w:r>
    </w:p>
    <w:p w14:paraId="0CEE19A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 质疑</w:t>
      </w:r>
    </w:p>
    <w:p w14:paraId="0498E0D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按照《中华人民共和国政府采购法》、《政府采购质疑和投诉办法》有关规定，参加本次政府采购活动的</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认为采购文件、采购过程、成交或者成交结果使自己的权益受到损害的，可以在知道或者应知其权益受到损害之日起7个工作日内，以书面形式向采购人、采购代理机构提出质疑。</w:t>
      </w:r>
    </w:p>
    <w:p w14:paraId="45CA0DB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须在法定质疑期内一次性提出针对同一采购程序环节的质疑。</w:t>
      </w:r>
    </w:p>
    <w:p w14:paraId="677F7F3B">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11.1.1</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提出质疑应当提交质疑函和必要的证明材料。质疑函应当包括下列内容:</w:t>
      </w:r>
    </w:p>
    <w:p w14:paraId="6568D928">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的姓名或者名称、地址、邮编、联系人及联系电话；</w:t>
      </w:r>
    </w:p>
    <w:p w14:paraId="168749DA">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质疑项目的名称、编号；</w:t>
      </w:r>
    </w:p>
    <w:p w14:paraId="68B8310C">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具体、明确的质疑事项和与质疑事项相关的请求；</w:t>
      </w:r>
    </w:p>
    <w:p w14:paraId="6BDA71B3">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事实依据；</w:t>
      </w:r>
    </w:p>
    <w:p w14:paraId="1A808F47">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必要的法律依据；</w:t>
      </w:r>
    </w:p>
    <w:p w14:paraId="501B607D">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提出质疑的日期。</w:t>
      </w:r>
    </w:p>
    <w:p w14:paraId="3CEDD688">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11.1.2</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为自然人的，应当由本人签字；</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为法人或者其他组织的，应当由法定代表人、主要负责人，或者其授权代表签字或者盖章，并加盖公章。否则采购人或者采购代理机构不予受理。</w:t>
      </w:r>
    </w:p>
    <w:p w14:paraId="3E5CBA30">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11.1.3除书面形式外，其他任何方式的质疑，采购人或者采购代理机构均不予接受和回复。</w:t>
      </w:r>
    </w:p>
    <w:p w14:paraId="04E28C3A">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11.1.4采购人或者采购代理机构在收到质疑书后七个工作日内作出书面答复，并以书面形式通知质疑人和其他有关当事人，但答复不得涉及商业秘密。</w:t>
      </w:r>
    </w:p>
    <w:p w14:paraId="7BD2EA4F">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11.1.5质疑人对采购人、采购代理机构的答复不满意或者采购人、采购代理机构未在规定的时间内作出答复的，可以在答复期满后十五个工作日内向同级财政部门投诉。</w:t>
      </w:r>
    </w:p>
    <w:p w14:paraId="622BFC71">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11.2投诉</w:t>
      </w:r>
    </w:p>
    <w:p w14:paraId="054D3FC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照《中华人民共和国政府采购法》、《政府采购质疑和投诉办法》以及相关的法律法规规定，质疑人对采购人、采购代理机构的答复不满意或者采购人、采购代理机构未在规定的时间内作出答复的，可以在答复期满后十五个工作日内向同级财政部门投诉。</w:t>
      </w:r>
    </w:p>
    <w:p w14:paraId="55A09027">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11.2.1投诉人提起投诉应符合下列条件：</w:t>
      </w:r>
    </w:p>
    <w:p w14:paraId="56CDBFC6">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提起投诉前已依法进行质疑；</w:t>
      </w:r>
    </w:p>
    <w:p w14:paraId="11C40F2F">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投诉书内容符合《政府采购质疑和投诉办法》的规定；</w:t>
      </w:r>
    </w:p>
    <w:p w14:paraId="09A7883B">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在投诉有效期限内提起投诉；</w:t>
      </w:r>
    </w:p>
    <w:p w14:paraId="74585D4A">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同一投诉事项未经财政部门投诉处理；</w:t>
      </w:r>
    </w:p>
    <w:p w14:paraId="4795B378">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财政部规定的其他条件。</w:t>
      </w:r>
    </w:p>
    <w:p w14:paraId="0BE0951E">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11.2.2</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投诉的事项不得超出已质疑事项的范围，但基于质疑答复内容提出的投诉事项除外。</w:t>
      </w:r>
    </w:p>
    <w:p w14:paraId="1DB2C58E">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11.2.3投诉人投诉时,应当提交投诉书和必要的证明材料，并按照被投诉采购人、采购代理机构(以下简称被投诉人)和与投诉事项有关的</w:t>
      </w:r>
      <w:r>
        <w:rPr>
          <w:rFonts w:hint="eastAsia" w:ascii="宋体" w:hAnsi="宋体" w:eastAsia="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数量提供投诉书的副本。投诉书应当包括下列内容:</w:t>
      </w:r>
    </w:p>
    <w:p w14:paraId="6EDBC5E6">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投诉人和被投诉人的姓名或者名称、通讯地址、邮编、联系人及联系电话；</w:t>
      </w:r>
    </w:p>
    <w:p w14:paraId="7ECF8512">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质疑和质疑答复情况说明及相关证明材料；</w:t>
      </w:r>
    </w:p>
    <w:p w14:paraId="793A04C1">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具体、明确的投诉事项和与投诉事项相关的投诉请求；</w:t>
      </w:r>
    </w:p>
    <w:p w14:paraId="608C53E2">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事实依据；</w:t>
      </w:r>
    </w:p>
    <w:p w14:paraId="5EC4F6B4">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法律依据；</w:t>
      </w:r>
    </w:p>
    <w:p w14:paraId="42C30958">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提起投诉的日期。</w:t>
      </w:r>
    </w:p>
    <w:p w14:paraId="1890374D">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11.2.4投诉人为自然人的，应当由本人签字；投诉人为法人或者其他组织的，应当由法定代表人、主要负责人，或者其授权代表签字或者盖章，并加盖公章。</w:t>
      </w:r>
    </w:p>
    <w:p w14:paraId="2E4D3CAD">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11.2.5投诉人不符合上述规定提起的投诉，财政部门不予受理。</w:t>
      </w:r>
    </w:p>
    <w:p w14:paraId="57D4A69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4"/>
          <w:szCs w:val="24"/>
          <w:highlight w:val="none"/>
          <w14:textFill>
            <w14:solidFill>
              <w14:schemeClr w14:val="tx1"/>
            </w14:solidFill>
          </w14:textFill>
        </w:rPr>
        <w:sectPr>
          <w:pgSz w:w="11906" w:h="16838"/>
          <w:pgMar w:top="1440" w:right="1800" w:bottom="1440" w:left="1800" w:header="1140" w:footer="720" w:gutter="0"/>
          <w:pgNumType w:fmt="decimal"/>
          <w:cols w:space="720" w:num="1"/>
          <w:rtlGutter w:val="0"/>
          <w:docGrid w:type="lines" w:linePitch="312" w:charSpace="0"/>
        </w:sectPr>
      </w:pPr>
    </w:p>
    <w:p w14:paraId="464BB3E1">
      <w:pPr>
        <w:spacing w:line="320" w:lineRule="exact"/>
        <w:ind w:left="-2" w:leftChars="-1" w:firstLine="2"/>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附件一：开标记录表</w:t>
      </w:r>
    </w:p>
    <w:p w14:paraId="13FB6E68">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6C3ED88A">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29D51AF0">
      <w:pPr>
        <w:spacing w:line="233" w:lineRule="exact"/>
        <w:rPr>
          <w:rFonts w:hint="eastAsia" w:ascii="宋体" w:hAnsi="宋体" w:eastAsia="宋体" w:cs="宋体"/>
          <w:color w:val="000000" w:themeColor="text1"/>
          <w:sz w:val="24"/>
          <w:szCs w:val="24"/>
          <w:highlight w:val="none"/>
          <w14:textFill>
            <w14:solidFill>
              <w14:schemeClr w14:val="tx1"/>
            </w14:solidFill>
          </w14:textFill>
        </w:rPr>
      </w:pPr>
    </w:p>
    <w:p w14:paraId="20EDADC0">
      <w:pPr>
        <w:spacing w:line="240" w:lineRule="auto"/>
        <w:jc w:val="cente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开标记录表</w:t>
      </w:r>
    </w:p>
    <w:p w14:paraId="10CC2709">
      <w:pPr>
        <w:ind w:left="-2" w:leftChars="-1" w:firstLine="2"/>
        <w:rPr>
          <w:rFonts w:hint="eastAsia" w:ascii="宋体" w:hAnsi="宋体" w:eastAsia="宋体" w:cs="宋体"/>
          <w:color w:val="000000" w:themeColor="text1"/>
          <w:sz w:val="24"/>
          <w:szCs w:val="24"/>
          <w:highlight w:val="none"/>
          <w14:textFill>
            <w14:solidFill>
              <w14:schemeClr w14:val="tx1"/>
            </w14:solidFill>
          </w14:textFill>
        </w:rPr>
      </w:pPr>
    </w:p>
    <w:p w14:paraId="4AD7CFC6">
      <w:pPr>
        <w:ind w:left="-2" w:leftChars="-1" w:firstLine="2"/>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开标时间：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时</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分</w:t>
      </w:r>
    </w:p>
    <w:tbl>
      <w:tblPr>
        <w:tblStyle w:val="36"/>
        <w:tblW w:w="8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1055"/>
        <w:gridCol w:w="964"/>
        <w:gridCol w:w="1284"/>
        <w:gridCol w:w="1478"/>
        <w:gridCol w:w="1003"/>
        <w:gridCol w:w="891"/>
        <w:gridCol w:w="845"/>
      </w:tblGrid>
      <w:tr w14:paraId="4AFC7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5" w:hRule="atLeast"/>
          <w:jc w:val="center"/>
        </w:trPr>
        <w:tc>
          <w:tcPr>
            <w:tcW w:w="682" w:type="dxa"/>
            <w:noWrap w:val="0"/>
            <w:vAlign w:val="center"/>
          </w:tcPr>
          <w:p w14:paraId="6569E8F5">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055" w:type="dxa"/>
            <w:noWrap w:val="0"/>
            <w:vAlign w:val="center"/>
          </w:tcPr>
          <w:p w14:paraId="6F47B8EA">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供应商</w:t>
            </w:r>
          </w:p>
        </w:tc>
        <w:tc>
          <w:tcPr>
            <w:tcW w:w="964" w:type="dxa"/>
            <w:noWrap w:val="0"/>
            <w:vAlign w:val="center"/>
          </w:tcPr>
          <w:p w14:paraId="70DA2926">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密封</w:t>
            </w:r>
          </w:p>
          <w:p w14:paraId="5DD9BFD8">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情况</w:t>
            </w:r>
          </w:p>
        </w:tc>
        <w:tc>
          <w:tcPr>
            <w:tcW w:w="1284" w:type="dxa"/>
            <w:noWrap w:val="0"/>
            <w:vAlign w:val="center"/>
          </w:tcPr>
          <w:p w14:paraId="0CF3BA51">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w:t>
            </w:r>
          </w:p>
          <w:p w14:paraId="036E0D60">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保证金</w:t>
            </w:r>
          </w:p>
          <w:p w14:paraId="741A1E68">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18"/>
                <w:szCs w:val="18"/>
                <w:highlight w:val="none"/>
                <w:lang w:eastAsia="zh-CN"/>
                <w14:textFill>
                  <w14:solidFill>
                    <w14:schemeClr w14:val="tx1"/>
                  </w14:solidFill>
                </w14:textFill>
              </w:rPr>
              <w:t>（有</w:t>
            </w:r>
            <w:r>
              <w:rPr>
                <w:rFonts w:hint="eastAsia" w:ascii="宋体" w:hAnsi="宋体" w:eastAsia="宋体" w:cs="宋体"/>
                <w:color w:val="000000" w:themeColor="text1"/>
                <w:sz w:val="18"/>
                <w:szCs w:val="18"/>
                <w:highlight w:val="none"/>
                <w:lang w:val="en-US" w:eastAsia="zh-CN"/>
                <w14:textFill>
                  <w14:solidFill>
                    <w14:schemeClr w14:val="tx1"/>
                  </w14:solidFill>
                </w14:textFill>
              </w:rPr>
              <w:t>/无</w:t>
            </w:r>
            <w:r>
              <w:rPr>
                <w:rFonts w:hint="eastAsia" w:ascii="宋体" w:hAnsi="宋体" w:eastAsia="宋体" w:cs="宋体"/>
                <w:color w:val="000000" w:themeColor="text1"/>
                <w:sz w:val="18"/>
                <w:szCs w:val="18"/>
                <w:highlight w:val="none"/>
                <w:lang w:eastAsia="zh-CN"/>
                <w14:textFill>
                  <w14:solidFill>
                    <w14:schemeClr w14:val="tx1"/>
                  </w14:solidFill>
                </w14:textFill>
              </w:rPr>
              <w:t>）</w:t>
            </w:r>
          </w:p>
        </w:tc>
        <w:tc>
          <w:tcPr>
            <w:tcW w:w="1478" w:type="dxa"/>
            <w:noWrap w:val="0"/>
            <w:vAlign w:val="center"/>
          </w:tcPr>
          <w:p w14:paraId="089615AE">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投标报价</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折扣系数</w:t>
            </w:r>
            <w:r>
              <w:rPr>
                <w:rFonts w:hint="eastAsia" w:ascii="宋体" w:hAnsi="宋体" w:eastAsia="宋体" w:cs="宋体"/>
                <w:color w:val="000000" w:themeColor="text1"/>
                <w:sz w:val="21"/>
                <w:szCs w:val="21"/>
                <w:highlight w:val="none"/>
                <w14:textFill>
                  <w14:solidFill>
                    <w14:schemeClr w14:val="tx1"/>
                  </w14:solidFill>
                </w14:textFill>
              </w:rPr>
              <w:t>）</w:t>
            </w:r>
          </w:p>
        </w:tc>
        <w:tc>
          <w:tcPr>
            <w:tcW w:w="1003" w:type="dxa"/>
            <w:noWrap w:val="0"/>
            <w:vAlign w:val="center"/>
          </w:tcPr>
          <w:p w14:paraId="44CA839F">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服务</w:t>
            </w:r>
          </w:p>
          <w:p w14:paraId="4688597E">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要求</w:t>
            </w:r>
          </w:p>
        </w:tc>
        <w:tc>
          <w:tcPr>
            <w:tcW w:w="891" w:type="dxa"/>
            <w:noWrap w:val="0"/>
            <w:vAlign w:val="center"/>
          </w:tcPr>
          <w:p w14:paraId="1238E38E">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合同履行期限</w:t>
            </w:r>
          </w:p>
        </w:tc>
        <w:tc>
          <w:tcPr>
            <w:tcW w:w="845" w:type="dxa"/>
            <w:noWrap w:val="0"/>
            <w:vAlign w:val="center"/>
          </w:tcPr>
          <w:p w14:paraId="78E44AFE">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代表签名</w:t>
            </w:r>
          </w:p>
        </w:tc>
      </w:tr>
      <w:tr w14:paraId="16810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2" w:type="dxa"/>
            <w:noWrap w:val="0"/>
            <w:vAlign w:val="top"/>
          </w:tcPr>
          <w:p w14:paraId="05917D00">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055" w:type="dxa"/>
            <w:noWrap w:val="0"/>
            <w:vAlign w:val="top"/>
          </w:tcPr>
          <w:p w14:paraId="5E2F7D8B">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964" w:type="dxa"/>
            <w:noWrap w:val="0"/>
            <w:vAlign w:val="top"/>
          </w:tcPr>
          <w:p w14:paraId="4412E149">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284" w:type="dxa"/>
            <w:noWrap w:val="0"/>
            <w:vAlign w:val="top"/>
          </w:tcPr>
          <w:p w14:paraId="4629E7B5">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478" w:type="dxa"/>
            <w:noWrap w:val="0"/>
            <w:vAlign w:val="top"/>
          </w:tcPr>
          <w:p w14:paraId="5380B19A">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03" w:type="dxa"/>
            <w:noWrap w:val="0"/>
            <w:vAlign w:val="top"/>
          </w:tcPr>
          <w:p w14:paraId="4909507F">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891" w:type="dxa"/>
            <w:noWrap w:val="0"/>
            <w:vAlign w:val="top"/>
          </w:tcPr>
          <w:p w14:paraId="764150ED">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845" w:type="dxa"/>
            <w:noWrap w:val="0"/>
            <w:vAlign w:val="top"/>
          </w:tcPr>
          <w:p w14:paraId="05E8CE21">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r>
      <w:tr w14:paraId="5C627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2" w:type="dxa"/>
            <w:noWrap w:val="0"/>
            <w:vAlign w:val="top"/>
          </w:tcPr>
          <w:p w14:paraId="54D746FC">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055" w:type="dxa"/>
            <w:noWrap w:val="0"/>
            <w:vAlign w:val="top"/>
          </w:tcPr>
          <w:p w14:paraId="24EB69CC">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964" w:type="dxa"/>
            <w:noWrap w:val="0"/>
            <w:vAlign w:val="top"/>
          </w:tcPr>
          <w:p w14:paraId="1B54C5AF">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284" w:type="dxa"/>
            <w:noWrap w:val="0"/>
            <w:vAlign w:val="top"/>
          </w:tcPr>
          <w:p w14:paraId="410F9F1F">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478" w:type="dxa"/>
            <w:noWrap w:val="0"/>
            <w:vAlign w:val="top"/>
          </w:tcPr>
          <w:p w14:paraId="016FBFB8">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003" w:type="dxa"/>
            <w:noWrap w:val="0"/>
            <w:vAlign w:val="top"/>
          </w:tcPr>
          <w:p w14:paraId="4903BA3A">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891" w:type="dxa"/>
            <w:noWrap w:val="0"/>
            <w:vAlign w:val="top"/>
          </w:tcPr>
          <w:p w14:paraId="249A41AA">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845" w:type="dxa"/>
            <w:noWrap w:val="0"/>
            <w:vAlign w:val="top"/>
          </w:tcPr>
          <w:p w14:paraId="34DD9409">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r>
      <w:tr w14:paraId="486E7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2" w:type="dxa"/>
            <w:noWrap w:val="0"/>
            <w:vAlign w:val="top"/>
          </w:tcPr>
          <w:p w14:paraId="6AEFC05C">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055" w:type="dxa"/>
            <w:noWrap w:val="0"/>
            <w:vAlign w:val="top"/>
          </w:tcPr>
          <w:p w14:paraId="0DD33197">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964" w:type="dxa"/>
            <w:noWrap w:val="0"/>
            <w:vAlign w:val="top"/>
          </w:tcPr>
          <w:p w14:paraId="166AC696">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284" w:type="dxa"/>
            <w:noWrap w:val="0"/>
            <w:vAlign w:val="top"/>
          </w:tcPr>
          <w:p w14:paraId="782EEF52">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478" w:type="dxa"/>
            <w:noWrap w:val="0"/>
            <w:vAlign w:val="top"/>
          </w:tcPr>
          <w:p w14:paraId="3C4AAA82">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003" w:type="dxa"/>
            <w:noWrap w:val="0"/>
            <w:vAlign w:val="top"/>
          </w:tcPr>
          <w:p w14:paraId="4E3F1E23">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891" w:type="dxa"/>
            <w:noWrap w:val="0"/>
            <w:vAlign w:val="top"/>
          </w:tcPr>
          <w:p w14:paraId="46D4F599">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845" w:type="dxa"/>
            <w:noWrap w:val="0"/>
            <w:vAlign w:val="top"/>
          </w:tcPr>
          <w:p w14:paraId="7E318B64">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r>
      <w:tr w14:paraId="3673F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2" w:type="dxa"/>
            <w:noWrap w:val="0"/>
            <w:vAlign w:val="top"/>
          </w:tcPr>
          <w:p w14:paraId="08D19A1A">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055" w:type="dxa"/>
            <w:noWrap w:val="0"/>
            <w:vAlign w:val="top"/>
          </w:tcPr>
          <w:p w14:paraId="3E808BC2">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964" w:type="dxa"/>
            <w:noWrap w:val="0"/>
            <w:vAlign w:val="top"/>
          </w:tcPr>
          <w:p w14:paraId="6B260069">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284" w:type="dxa"/>
            <w:noWrap w:val="0"/>
            <w:vAlign w:val="top"/>
          </w:tcPr>
          <w:p w14:paraId="45189F13">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478" w:type="dxa"/>
            <w:noWrap w:val="0"/>
            <w:vAlign w:val="top"/>
          </w:tcPr>
          <w:p w14:paraId="113FCAA3">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003" w:type="dxa"/>
            <w:noWrap w:val="0"/>
            <w:vAlign w:val="top"/>
          </w:tcPr>
          <w:p w14:paraId="72F6FCE7">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891" w:type="dxa"/>
            <w:noWrap w:val="0"/>
            <w:vAlign w:val="top"/>
          </w:tcPr>
          <w:p w14:paraId="6C95CC8B">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845" w:type="dxa"/>
            <w:noWrap w:val="0"/>
            <w:vAlign w:val="top"/>
          </w:tcPr>
          <w:p w14:paraId="091BD048">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r>
      <w:tr w14:paraId="60932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2" w:type="dxa"/>
            <w:noWrap w:val="0"/>
            <w:vAlign w:val="top"/>
          </w:tcPr>
          <w:p w14:paraId="45BB042A">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055" w:type="dxa"/>
            <w:noWrap w:val="0"/>
            <w:vAlign w:val="top"/>
          </w:tcPr>
          <w:p w14:paraId="373B44D2">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964" w:type="dxa"/>
            <w:noWrap w:val="0"/>
            <w:vAlign w:val="top"/>
          </w:tcPr>
          <w:p w14:paraId="4CB4CDD5">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284" w:type="dxa"/>
            <w:noWrap w:val="0"/>
            <w:vAlign w:val="top"/>
          </w:tcPr>
          <w:p w14:paraId="248BB68D">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478" w:type="dxa"/>
            <w:noWrap w:val="0"/>
            <w:vAlign w:val="top"/>
          </w:tcPr>
          <w:p w14:paraId="4DA0719B">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003" w:type="dxa"/>
            <w:noWrap w:val="0"/>
            <w:vAlign w:val="top"/>
          </w:tcPr>
          <w:p w14:paraId="26C58913">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891" w:type="dxa"/>
            <w:noWrap w:val="0"/>
            <w:vAlign w:val="top"/>
          </w:tcPr>
          <w:p w14:paraId="29C4A96E">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845" w:type="dxa"/>
            <w:noWrap w:val="0"/>
            <w:vAlign w:val="top"/>
          </w:tcPr>
          <w:p w14:paraId="7E71DBC9">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r>
      <w:tr w14:paraId="6329B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2" w:type="dxa"/>
            <w:noWrap w:val="0"/>
            <w:vAlign w:val="top"/>
          </w:tcPr>
          <w:p w14:paraId="22FD3FA0">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055" w:type="dxa"/>
            <w:noWrap w:val="0"/>
            <w:vAlign w:val="top"/>
          </w:tcPr>
          <w:p w14:paraId="6AB56B84">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964" w:type="dxa"/>
            <w:noWrap w:val="0"/>
            <w:vAlign w:val="top"/>
          </w:tcPr>
          <w:p w14:paraId="375D2837">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284" w:type="dxa"/>
            <w:noWrap w:val="0"/>
            <w:vAlign w:val="top"/>
          </w:tcPr>
          <w:p w14:paraId="097A84B7">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478" w:type="dxa"/>
            <w:noWrap w:val="0"/>
            <w:vAlign w:val="top"/>
          </w:tcPr>
          <w:p w14:paraId="6FDE7A16">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003" w:type="dxa"/>
            <w:noWrap w:val="0"/>
            <w:vAlign w:val="top"/>
          </w:tcPr>
          <w:p w14:paraId="50D41036">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891" w:type="dxa"/>
            <w:noWrap w:val="0"/>
            <w:vAlign w:val="top"/>
          </w:tcPr>
          <w:p w14:paraId="74FC2F2C">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845" w:type="dxa"/>
            <w:noWrap w:val="0"/>
            <w:vAlign w:val="top"/>
          </w:tcPr>
          <w:p w14:paraId="374DEA14">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r>
      <w:tr w14:paraId="49B10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2" w:type="dxa"/>
            <w:noWrap w:val="0"/>
            <w:vAlign w:val="top"/>
          </w:tcPr>
          <w:p w14:paraId="385CC282">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055" w:type="dxa"/>
            <w:noWrap w:val="0"/>
            <w:vAlign w:val="top"/>
          </w:tcPr>
          <w:p w14:paraId="37C9D59B">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964" w:type="dxa"/>
            <w:noWrap w:val="0"/>
            <w:vAlign w:val="top"/>
          </w:tcPr>
          <w:p w14:paraId="09807E4D">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284" w:type="dxa"/>
            <w:noWrap w:val="0"/>
            <w:vAlign w:val="top"/>
          </w:tcPr>
          <w:p w14:paraId="1FC7DAEA">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478" w:type="dxa"/>
            <w:noWrap w:val="0"/>
            <w:vAlign w:val="top"/>
          </w:tcPr>
          <w:p w14:paraId="67317472">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1003" w:type="dxa"/>
            <w:noWrap w:val="0"/>
            <w:vAlign w:val="top"/>
          </w:tcPr>
          <w:p w14:paraId="0F525ADA">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891" w:type="dxa"/>
            <w:noWrap w:val="0"/>
            <w:vAlign w:val="top"/>
          </w:tcPr>
          <w:p w14:paraId="5C390DF9">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845" w:type="dxa"/>
            <w:noWrap w:val="0"/>
            <w:vAlign w:val="top"/>
          </w:tcPr>
          <w:p w14:paraId="047765C3">
            <w:pPr>
              <w:keepNext w:val="0"/>
              <w:keepLines w:val="0"/>
              <w:suppressLineNumbers w:val="0"/>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r>
    </w:tbl>
    <w:p w14:paraId="4D74C569">
      <w:pPr>
        <w:ind w:left="-2" w:leftChars="-1" w:firstLine="2"/>
        <w:rPr>
          <w:rFonts w:hint="eastAsia" w:ascii="宋体" w:hAnsi="宋体" w:eastAsia="宋体" w:cs="宋体"/>
          <w:color w:val="000000" w:themeColor="text1"/>
          <w:sz w:val="24"/>
          <w:szCs w:val="24"/>
          <w:highlight w:val="none"/>
          <w14:textFill>
            <w14:solidFill>
              <w14:schemeClr w14:val="tx1"/>
            </w14:solidFill>
          </w14:textFill>
        </w:rPr>
      </w:pPr>
    </w:p>
    <w:p w14:paraId="61792DC8">
      <w:pPr>
        <w:ind w:left="-2" w:leftChars="-1" w:firstLine="2"/>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主持人：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记录人：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7B85C42A">
      <w:pPr>
        <w:ind w:left="-2" w:leftChars="-1" w:firstLine="2"/>
        <w:rPr>
          <w:rFonts w:hint="eastAsia" w:ascii="宋体" w:hAnsi="宋体" w:eastAsia="宋体" w:cs="宋体"/>
          <w:color w:val="000000" w:themeColor="text1"/>
          <w:sz w:val="24"/>
          <w:szCs w:val="24"/>
          <w:highlight w:val="none"/>
          <w14:textFill>
            <w14:solidFill>
              <w14:schemeClr w14:val="tx1"/>
            </w14:solidFill>
          </w14:textFill>
        </w:rPr>
      </w:pPr>
    </w:p>
    <w:p w14:paraId="6D86DD2B">
      <w:pPr>
        <w:pStyle w:val="18"/>
        <w:jc w:val="right"/>
        <w:rPr>
          <w:rFonts w:hint="eastAsia" w:ascii="宋体" w:hAnsi="宋体" w:eastAsia="宋体" w:cs="宋体"/>
          <w:color w:val="000000" w:themeColor="text1"/>
          <w:sz w:val="24"/>
          <w:szCs w:val="24"/>
          <w:highlight w:val="none"/>
          <w14:textFill>
            <w14:solidFill>
              <w14:schemeClr w14:val="tx1"/>
            </w14:solidFill>
          </w14:textFill>
        </w:rPr>
        <w:sectPr>
          <w:footerReference r:id="rId10" w:type="default"/>
          <w:pgSz w:w="11906" w:h="16838"/>
          <w:pgMar w:top="1440" w:right="1800" w:bottom="1440" w:left="1800" w:header="1140" w:footer="720" w:gutter="0"/>
          <w:pgNumType w:fmt="decimal"/>
          <w:cols w:space="720" w:num="1"/>
          <w:rtlGutter w:val="0"/>
          <w:docGrid w:type="lines" w:linePitch="312" w:charSpace="0"/>
        </w:sect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459DB9C5">
      <w:pPr>
        <w:spacing w:line="320" w:lineRule="exact"/>
        <w:ind w:left="-2" w:leftChars="-1" w:firstLine="2"/>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附件二：问题澄清通知</w:t>
      </w:r>
    </w:p>
    <w:p w14:paraId="30AF7F92">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3FDBC61E">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1E8EC534">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2782CAC9">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49B951FC">
      <w:pPr>
        <w:spacing w:line="273" w:lineRule="exact"/>
        <w:rPr>
          <w:rFonts w:hint="eastAsia" w:ascii="宋体" w:hAnsi="宋体" w:eastAsia="宋体" w:cs="宋体"/>
          <w:color w:val="000000" w:themeColor="text1"/>
          <w:sz w:val="24"/>
          <w:szCs w:val="24"/>
          <w:highlight w:val="none"/>
          <w14:textFill>
            <w14:solidFill>
              <w14:schemeClr w14:val="tx1"/>
            </w14:solidFill>
          </w14:textFill>
        </w:rPr>
      </w:pPr>
    </w:p>
    <w:p w14:paraId="404570B7">
      <w:pPr>
        <w:spacing w:line="240" w:lineRule="auto"/>
        <w:jc w:val="cente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问题澄清通知</w:t>
      </w:r>
    </w:p>
    <w:p w14:paraId="75FECAF2">
      <w:pPr>
        <w:spacing w:line="192" w:lineRule="exact"/>
        <w:rPr>
          <w:rFonts w:hint="eastAsia" w:ascii="宋体" w:hAnsi="宋体" w:eastAsia="宋体" w:cs="宋体"/>
          <w:color w:val="000000" w:themeColor="text1"/>
          <w:sz w:val="24"/>
          <w:szCs w:val="24"/>
          <w:highlight w:val="none"/>
          <w14:textFill>
            <w14:solidFill>
              <w14:schemeClr w14:val="tx1"/>
            </w14:solidFill>
          </w14:textFill>
        </w:rPr>
      </w:pPr>
    </w:p>
    <w:p w14:paraId="25E4B8BF">
      <w:pPr>
        <w:tabs>
          <w:tab w:val="left" w:pos="6020"/>
        </w:tabs>
        <w:spacing w:line="240" w:lineRule="exact"/>
        <w:ind w:left="3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（编号：</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w:t>
      </w:r>
    </w:p>
    <w:p w14:paraId="74AB989D">
      <w:pPr>
        <w:spacing w:line="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2336" behindDoc="1" locked="0" layoutInCell="1" allowOverlap="1">
                <wp:simplePos x="0" y="0"/>
                <wp:positionH relativeFrom="column">
                  <wp:posOffset>2505710</wp:posOffset>
                </wp:positionH>
                <wp:positionV relativeFrom="paragraph">
                  <wp:posOffset>6350</wp:posOffset>
                </wp:positionV>
                <wp:extent cx="1330960" cy="0"/>
                <wp:effectExtent l="0" t="0" r="0" b="0"/>
                <wp:wrapNone/>
                <wp:docPr id="21" name="直接连接符 21"/>
                <wp:cNvGraphicFramePr/>
                <a:graphic xmlns:a="http://schemas.openxmlformats.org/drawingml/2006/main">
                  <a:graphicData uri="http://schemas.microsoft.com/office/word/2010/wordprocessingShape">
                    <wps:wsp>
                      <wps:cNvCnPr/>
                      <wps:spPr>
                        <a:xfrm>
                          <a:off x="0" y="0"/>
                          <a:ext cx="133096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7.3pt;margin-top:0.5pt;height:0pt;width:104.8pt;z-index:-251654144;mso-width-relative:page;mso-height-relative:page;" filled="f" stroked="t" coordsize="21600,21600" o:gfxdata="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tk2/s0wAAAAcBAAAPAAAAAAAAAAEAIAAAACIAAABkcnMvZG93bnJldi54bWxQSwECFAAU&#10;AAAACACHTuJAXEKYBfYBAADmAwAADgAAAAAAAAABACAAAAAiAQAAZHJzL2Uyb0RvYy54bWxQSwUG&#10;AAAAAAYABgBZAQAAigUAAAAA&#10;">
                <v:fill on="f" focussize="0,0"/>
                <v:stroke weight="0.72pt" color="#000000" joinstyle="round"/>
                <v:imagedata o:title=""/>
                <o:lock v:ext="edit" aspectratio="f"/>
              </v:line>
            </w:pict>
          </mc:Fallback>
        </mc:AlternateContent>
      </w:r>
    </w:p>
    <w:p w14:paraId="597ED42F">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0736EBA6">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1236B35E">
      <w:pPr>
        <w:spacing w:line="219" w:lineRule="exact"/>
        <w:rPr>
          <w:rFonts w:hint="eastAsia" w:ascii="宋体" w:hAnsi="宋体" w:eastAsia="宋体" w:cs="宋体"/>
          <w:color w:val="000000" w:themeColor="text1"/>
          <w:sz w:val="24"/>
          <w:szCs w:val="24"/>
          <w:highlight w:val="none"/>
          <w14:textFill>
            <w14:solidFill>
              <w14:schemeClr w14:val="tx1"/>
            </w14:solidFill>
          </w14:textFill>
        </w:rPr>
      </w:pPr>
    </w:p>
    <w:p w14:paraId="34F31A2B">
      <w:pPr>
        <w:spacing w:line="240" w:lineRule="exact"/>
        <w:ind w:left="25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名称）：</w:t>
      </w:r>
    </w:p>
    <w:p w14:paraId="75B19F10">
      <w:pPr>
        <w:spacing w:line="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3360" behindDoc="1" locked="0" layoutInCell="1" allowOverlap="1">
                <wp:simplePos x="0" y="0"/>
                <wp:positionH relativeFrom="column">
                  <wp:posOffset>228600</wp:posOffset>
                </wp:positionH>
                <wp:positionV relativeFrom="paragraph">
                  <wp:posOffset>635</wp:posOffset>
                </wp:positionV>
                <wp:extent cx="1400810" cy="0"/>
                <wp:effectExtent l="0" t="0" r="0" b="0"/>
                <wp:wrapNone/>
                <wp:docPr id="15" name="直接连接符 15"/>
                <wp:cNvGraphicFramePr/>
                <a:graphic xmlns:a="http://schemas.openxmlformats.org/drawingml/2006/main">
                  <a:graphicData uri="http://schemas.microsoft.com/office/word/2010/wordprocessingShape">
                    <wps:wsp>
                      <wps:cNvCnPr/>
                      <wps:spPr>
                        <a:xfrm>
                          <a:off x="0" y="0"/>
                          <a:ext cx="1400810" cy="0"/>
                        </a:xfrm>
                        <a:prstGeom prst="line">
                          <a:avLst/>
                        </a:prstGeom>
                        <a:ln w="64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pt;margin-top:0.05pt;height:0pt;width:110.3pt;z-index:-251653120;mso-width-relative:page;mso-height-relative:page;" filled="f" stroked="t" coordsize="21600,21600" o:gfxdata="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MYlRg0gAAAAQBAAAPAAAAAAAAAAEAIAAAACIAAABkcnMvZG93bnJldi54bWxQSwECFAAUAAAA&#10;CACHTuJA02vnefQBAADmAwAADgAAAAAAAAABACAAAAAhAQAAZHJzL2Uyb0RvYy54bWxQSwUGAAAA&#10;AAYABgBZAQAAhwUAAAAA&#10;">
                <v:fill on="f" focussize="0,0"/>
                <v:stroke weight="0.503937007874016pt" color="#000000" joinstyle="round"/>
                <v:imagedata o:title=""/>
                <o:lock v:ext="edit" aspectratio="f"/>
              </v:line>
            </w:pict>
          </mc:Fallback>
        </mc:AlternateContent>
      </w:r>
    </w:p>
    <w:p w14:paraId="5312B4E3">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4E63327E">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5ECF4EC7">
      <w:pPr>
        <w:spacing w:line="254" w:lineRule="exact"/>
        <w:rPr>
          <w:rFonts w:hint="eastAsia" w:ascii="宋体" w:hAnsi="宋体" w:eastAsia="宋体" w:cs="宋体"/>
          <w:color w:val="000000" w:themeColor="text1"/>
          <w:sz w:val="24"/>
          <w:szCs w:val="24"/>
          <w:highlight w:val="none"/>
          <w14:textFill>
            <w14:solidFill>
              <w14:schemeClr w14:val="tx1"/>
            </w14:solidFill>
          </w14:textFill>
        </w:rPr>
      </w:pPr>
    </w:p>
    <w:p w14:paraId="23872A21">
      <w:pPr>
        <w:spacing w:line="324" w:lineRule="exact"/>
        <w:ind w:left="360" w:right="360" w:firstLine="42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评标委员会对你方的投标文件进行了仔细的审查，现需你方对下列问题以书面形式予以澄清、说明或补正：</w:t>
      </w:r>
    </w:p>
    <w:p w14:paraId="1021E5FF">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09F0D144">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27232A5F">
      <w:pPr>
        <w:spacing w:line="255" w:lineRule="exact"/>
        <w:rPr>
          <w:rFonts w:hint="eastAsia" w:ascii="宋体" w:hAnsi="宋体" w:eastAsia="宋体" w:cs="宋体"/>
          <w:color w:val="000000" w:themeColor="text1"/>
          <w:sz w:val="24"/>
          <w:szCs w:val="24"/>
          <w:highlight w:val="none"/>
          <w14:textFill>
            <w14:solidFill>
              <w14:schemeClr w14:val="tx1"/>
            </w14:solidFill>
          </w14:textFill>
        </w:rPr>
      </w:pPr>
    </w:p>
    <w:p w14:paraId="4C85F27E">
      <w:pPr>
        <w:spacing w:line="0" w:lineRule="atLeast"/>
        <w:ind w:left="7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p w14:paraId="71732318">
      <w:pPr>
        <w:spacing w:line="198" w:lineRule="exact"/>
        <w:rPr>
          <w:rFonts w:hint="eastAsia" w:ascii="宋体" w:hAnsi="宋体" w:eastAsia="宋体" w:cs="宋体"/>
          <w:color w:val="000000" w:themeColor="text1"/>
          <w:sz w:val="24"/>
          <w:szCs w:val="24"/>
          <w:highlight w:val="none"/>
          <w14:textFill>
            <w14:solidFill>
              <w14:schemeClr w14:val="tx1"/>
            </w14:solidFill>
          </w14:textFill>
        </w:rPr>
      </w:pPr>
    </w:p>
    <w:p w14:paraId="553C3357">
      <w:pPr>
        <w:spacing w:line="0" w:lineRule="atLeast"/>
        <w:ind w:left="7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p w14:paraId="3317CCF4">
      <w:pPr>
        <w:spacing w:line="201" w:lineRule="exact"/>
        <w:rPr>
          <w:rFonts w:hint="eastAsia" w:ascii="宋体" w:hAnsi="宋体" w:eastAsia="宋体" w:cs="宋体"/>
          <w:color w:val="000000" w:themeColor="text1"/>
          <w:sz w:val="24"/>
          <w:szCs w:val="24"/>
          <w:highlight w:val="none"/>
          <w14:textFill>
            <w14:solidFill>
              <w14:schemeClr w14:val="tx1"/>
            </w14:solidFill>
          </w14:textFill>
        </w:rPr>
      </w:pPr>
    </w:p>
    <w:p w14:paraId="1DF1ADB4">
      <w:pPr>
        <w:spacing w:line="0" w:lineRule="atLeast"/>
        <w:ind w:left="8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p w14:paraId="363D24B1">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3A9544B5">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7F75AFAC">
      <w:pPr>
        <w:spacing w:line="223" w:lineRule="exact"/>
        <w:rPr>
          <w:rFonts w:hint="eastAsia" w:ascii="宋体" w:hAnsi="宋体" w:eastAsia="宋体" w:cs="宋体"/>
          <w:color w:val="000000" w:themeColor="text1"/>
          <w:sz w:val="24"/>
          <w:szCs w:val="24"/>
          <w:highlight w:val="none"/>
          <w14:textFill>
            <w14:solidFill>
              <w14:schemeClr w14:val="tx1"/>
            </w14:solidFill>
          </w14:textFill>
        </w:rPr>
      </w:pPr>
    </w:p>
    <w:p w14:paraId="2BD73AD4">
      <w:pPr>
        <w:tabs>
          <w:tab w:val="left" w:pos="4840"/>
          <w:tab w:val="left" w:pos="5780"/>
          <w:tab w:val="left" w:pos="6740"/>
          <w:tab w:val="left" w:pos="7680"/>
        </w:tabs>
        <w:spacing w:line="240" w:lineRule="exact"/>
        <w:ind w:left="7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请将上述问题的澄清、说明或补正于</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时前递交至</w:t>
      </w:r>
    </w:p>
    <w:p w14:paraId="6E489BEA">
      <w:pPr>
        <w:spacing w:line="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4384" behindDoc="1" locked="0" layoutInCell="1" allowOverlap="1">
                <wp:simplePos x="0" y="0"/>
                <wp:positionH relativeFrom="column">
                  <wp:posOffset>2621915</wp:posOffset>
                </wp:positionH>
                <wp:positionV relativeFrom="paragraph">
                  <wp:posOffset>0</wp:posOffset>
                </wp:positionV>
                <wp:extent cx="466090"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466090"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6.45pt;margin-top:0pt;height:0pt;width:36.7pt;z-index:-251652096;mso-width-relative:page;mso-height-relative:page;" filled="f" stroked="t" coordsize="21600,21600" o:gfxdata="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2RfrLSAAAABQEAAA8AAAAAAAAAAQAgAAAAIgAAAGRycy9kb3ducmV2LnhtbFBLAQIUABQAAAAI&#10;AIdO4kDkQyQ98wEAAOUDAAAOAAAAAAAAAAEAIAAAACEBAABkcnMvZTJvRG9jLnhtbFBLBQYAAAAA&#10;BgAGAFkBAACGBQAAAAA=&#10;">
                <v:fill on="f" focussize="0,0"/>
                <v:stroke weight="0.47992125984252pt" color="#000000" joinstyle="round"/>
                <v:imagedata o:title=""/>
                <o:lock v:ext="edit" aspectratio="f"/>
              </v:lin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5408" behindDoc="1" locked="0" layoutInCell="1" allowOverlap="1">
                <wp:simplePos x="0" y="0"/>
                <wp:positionH relativeFrom="column">
                  <wp:posOffset>3221990</wp:posOffset>
                </wp:positionH>
                <wp:positionV relativeFrom="paragraph">
                  <wp:posOffset>0</wp:posOffset>
                </wp:positionV>
                <wp:extent cx="466725" cy="0"/>
                <wp:effectExtent l="0" t="0" r="0" b="0"/>
                <wp:wrapNone/>
                <wp:docPr id="23" name="直接连接符 23"/>
                <wp:cNvGraphicFramePr/>
                <a:graphic xmlns:a="http://schemas.openxmlformats.org/drawingml/2006/main">
                  <a:graphicData uri="http://schemas.microsoft.com/office/word/2010/wordprocessingShape">
                    <wps:wsp>
                      <wps:cNvCnPr/>
                      <wps:spPr>
                        <a:xfrm>
                          <a:off x="0" y="0"/>
                          <a:ext cx="46672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3.7pt;margin-top:0pt;height:0pt;width:36.75pt;z-index:-251651072;mso-width-relative:page;mso-height-relative:page;" filled="f" stroked="t" coordsize="21600,21600" o:gfxdata="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vhPLdIAAAAFAQAADwAAAAAAAAABACAAAAAiAAAAZHJzL2Rvd25yZXYueG1sUEsBAhQAFAAA&#10;AAgAh07iQJ9xLw31AQAA5QMAAA4AAAAAAAAAAQAgAAAAIQEAAGRycy9lMm9Eb2MueG1sUEsFBgAA&#10;AAAGAAYAWQEAAIgFAAAAAA==&#10;">
                <v:fill on="f" focussize="0,0"/>
                <v:stroke weight="0.47992125984252pt" color="#000000" joinstyle="round"/>
                <v:imagedata o:title=""/>
                <o:lock v:ext="edit" aspectratio="f"/>
              </v:lin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6432" behindDoc="1" locked="0" layoutInCell="1" allowOverlap="1">
                <wp:simplePos x="0" y="0"/>
                <wp:positionH relativeFrom="column">
                  <wp:posOffset>3822700</wp:posOffset>
                </wp:positionH>
                <wp:positionV relativeFrom="paragraph">
                  <wp:posOffset>0</wp:posOffset>
                </wp:positionV>
                <wp:extent cx="466725" cy="0"/>
                <wp:effectExtent l="0" t="0" r="0" b="0"/>
                <wp:wrapNone/>
                <wp:docPr id="24" name="直接连接符 24"/>
                <wp:cNvGraphicFramePr/>
                <a:graphic xmlns:a="http://schemas.openxmlformats.org/drawingml/2006/main">
                  <a:graphicData uri="http://schemas.microsoft.com/office/word/2010/wordprocessingShape">
                    <wps:wsp>
                      <wps:cNvCnPr/>
                      <wps:spPr>
                        <a:xfrm>
                          <a:off x="0" y="0"/>
                          <a:ext cx="46672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01pt;margin-top:0pt;height:0pt;width:36.75pt;z-index:-251650048;mso-width-relative:page;mso-height-relative:page;" filled="f" stroked="t" coordsize="21600,21600" o:gfxdata="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QDnwtIAAAAFAQAADwAAAAAAAAABACAAAAAiAAAAZHJzL2Rvd25yZXYueG1sUEsBAhQAFAAA&#10;AAgAh07iQCHqmJr1AQAA5QMAAA4AAAAAAAAAAQAgAAAAIQEAAGRycy9lMm9Eb2MueG1sUEsFBgAA&#10;AAAGAAYAWQEAAIgFAAAAAA==&#10;">
                <v:fill on="f" focussize="0,0"/>
                <v:stroke weight="0.47992125984252pt" color="#000000" joinstyle="round"/>
                <v:imagedata o:title=""/>
                <o:lock v:ext="edit" aspectratio="f"/>
              </v:lin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7456" behindDoc="1" locked="0" layoutInCell="1" allowOverlap="1">
                <wp:simplePos x="0" y="0"/>
                <wp:positionH relativeFrom="column">
                  <wp:posOffset>4421505</wp:posOffset>
                </wp:positionH>
                <wp:positionV relativeFrom="paragraph">
                  <wp:posOffset>0</wp:posOffset>
                </wp:positionV>
                <wp:extent cx="466725" cy="0"/>
                <wp:effectExtent l="0" t="0" r="0" b="0"/>
                <wp:wrapNone/>
                <wp:docPr id="26" name="直接连接符 26"/>
                <wp:cNvGraphicFramePr/>
                <a:graphic xmlns:a="http://schemas.openxmlformats.org/drawingml/2006/main">
                  <a:graphicData uri="http://schemas.microsoft.com/office/word/2010/wordprocessingShape">
                    <wps:wsp>
                      <wps:cNvCnPr/>
                      <wps:spPr>
                        <a:xfrm>
                          <a:off x="0" y="0"/>
                          <a:ext cx="46672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8.15pt;margin-top:0pt;height:0pt;width:36.75pt;z-index:-251649024;mso-width-relative:page;mso-height-relative:page;" filled="f" stroked="t" coordsize="21600,21600" o:gfxdata="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Wvw00QAAAAUBAAAPAAAAAAAAAAEAIAAAACIAAABkcnMvZG93bnJldi54bWxQSwECFAAUAAAA&#10;CACHTuJAnozxvfUBAADlAwAADgAAAAAAAAABACAAAAAgAQAAZHJzL2Uyb0RvYy54bWxQSwUGAAAA&#10;AAYABgBZAQAAhwUAAAAA&#10;">
                <v:fill on="f" focussize="0,0"/>
                <v:stroke weight="0.47992125984252pt" color="#000000" joinstyle="round"/>
                <v:imagedata o:title=""/>
                <o:lock v:ext="edit" aspectratio="f"/>
              </v:line>
            </w:pict>
          </mc:Fallback>
        </mc:AlternateContent>
      </w:r>
    </w:p>
    <w:p w14:paraId="2F4BD3B5">
      <w:pPr>
        <w:spacing w:line="182" w:lineRule="exact"/>
        <w:rPr>
          <w:rFonts w:hint="eastAsia" w:ascii="宋体" w:hAnsi="宋体" w:eastAsia="宋体" w:cs="宋体"/>
          <w:color w:val="000000" w:themeColor="text1"/>
          <w:sz w:val="24"/>
          <w:szCs w:val="24"/>
          <w:highlight w:val="none"/>
          <w14:textFill>
            <w14:solidFill>
              <w14:schemeClr w14:val="tx1"/>
            </w14:solidFill>
          </w14:textFill>
        </w:rPr>
      </w:pPr>
    </w:p>
    <w:p w14:paraId="4F1C5DDB">
      <w:pPr>
        <w:tabs>
          <w:tab w:val="left" w:pos="7540"/>
        </w:tabs>
        <w:spacing w:line="240" w:lineRule="exact"/>
        <w:ind w:left="3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（详细地址）或传真至</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（传真号码）或</w:t>
      </w:r>
    </w:p>
    <w:p w14:paraId="30FE1184">
      <w:pPr>
        <w:spacing w:line="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8480" behindDoc="1" locked="0" layoutInCell="1" allowOverlap="1">
                <wp:simplePos x="0" y="0"/>
                <wp:positionH relativeFrom="column">
                  <wp:posOffset>228600</wp:posOffset>
                </wp:positionH>
                <wp:positionV relativeFrom="paragraph">
                  <wp:posOffset>0</wp:posOffset>
                </wp:positionV>
                <wp:extent cx="1866900" cy="0"/>
                <wp:effectExtent l="0" t="0" r="0" b="0"/>
                <wp:wrapNone/>
                <wp:docPr id="27" name="直接连接符 27"/>
                <wp:cNvGraphicFramePr/>
                <a:graphic xmlns:a="http://schemas.openxmlformats.org/drawingml/2006/main">
                  <a:graphicData uri="http://schemas.microsoft.com/office/word/2010/wordprocessingShape">
                    <wps:wsp>
                      <wps:cNvCnPr/>
                      <wps:spPr>
                        <a:xfrm>
                          <a:off x="0" y="0"/>
                          <a:ext cx="186690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pt;margin-top:0pt;height:0pt;width:147pt;z-index:-251648000;mso-width-relative:page;mso-height-relative:page;" filled="f" stroked="t" coordsize="21600,21600" o:gfxdata="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Z8YAdQAAAAEAQAADwAAAAAAAAABACAAAAAiAAAAZHJzL2Rvd25yZXYueG1sUEsBAhQA&#10;FAAAAAgAh07iQCQxQIn2AQAA5gMAAA4AAAAAAAAAAQAgAAAAIwEAAGRycy9lMm9Eb2MueG1sUEsF&#10;BgAAAAAGAAYAWQEAAIsFAAAAAA==&#10;">
                <v:fill on="f" focussize="0,0"/>
                <v:stroke weight="0.48pt" color="#000000" joinstyle="round"/>
                <v:imagedata o:title=""/>
                <o:lock v:ext="edit" aspectratio="f"/>
              </v:lin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9504" behindDoc="1" locked="0" layoutInCell="1" allowOverlap="1">
                <wp:simplePos x="0" y="0"/>
                <wp:positionH relativeFrom="column">
                  <wp:posOffset>3414395</wp:posOffset>
                </wp:positionH>
                <wp:positionV relativeFrom="paragraph">
                  <wp:posOffset>0</wp:posOffset>
                </wp:positionV>
                <wp:extent cx="1398905" cy="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139890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8.85pt;margin-top:0pt;height:0pt;width:110.15pt;z-index:-251646976;mso-width-relative:page;mso-height-relative:page;" filled="f" stroked="t" coordsize="21600,21600" o:gfxdata="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UCqZm1QAAAAUBAAAPAAAAAAAAAAEAIAAAACIAAABkcnMvZG93bnJldi54bWxQSwEC&#10;FAAUAAAACACHTuJAF0qrMPcBAADmAwAADgAAAAAAAAABACAAAAAkAQAAZHJzL2Uyb0RvYy54bWxQ&#10;SwUGAAAAAAYABgBZAQAAjQUAAAAA&#10;">
                <v:fill on="f" focussize="0,0"/>
                <v:stroke weight="0.48pt" color="#000000" joinstyle="round"/>
                <v:imagedata o:title=""/>
                <o:lock v:ext="edit" aspectratio="f"/>
              </v:line>
            </w:pict>
          </mc:Fallback>
        </mc:AlternateContent>
      </w:r>
    </w:p>
    <w:p w14:paraId="02D8032F">
      <w:pPr>
        <w:spacing w:line="180" w:lineRule="exact"/>
        <w:rPr>
          <w:rFonts w:hint="eastAsia" w:ascii="宋体" w:hAnsi="宋体" w:eastAsia="宋体" w:cs="宋体"/>
          <w:color w:val="000000" w:themeColor="text1"/>
          <w:sz w:val="24"/>
          <w:szCs w:val="24"/>
          <w:highlight w:val="none"/>
          <w14:textFill>
            <w14:solidFill>
              <w14:schemeClr w14:val="tx1"/>
            </w14:solidFill>
          </w14:textFill>
        </w:rPr>
      </w:pPr>
    </w:p>
    <w:p w14:paraId="0881F722">
      <w:pPr>
        <w:tabs>
          <w:tab w:val="left" w:pos="7380"/>
          <w:tab w:val="left" w:pos="8320"/>
        </w:tabs>
        <w:spacing w:line="240" w:lineRule="exact"/>
        <w:ind w:left="3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通过下载招标文件的电子招标交易平台上传。采用传真方式的，应在</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月</w:t>
      </w:r>
    </w:p>
    <w:p w14:paraId="2A237F3C">
      <w:pPr>
        <w:spacing w:line="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70528" behindDoc="1" locked="0" layoutInCell="1" allowOverlap="1">
                <wp:simplePos x="0" y="0"/>
                <wp:positionH relativeFrom="column">
                  <wp:posOffset>4232910</wp:posOffset>
                </wp:positionH>
                <wp:positionV relativeFrom="paragraph">
                  <wp:posOffset>0</wp:posOffset>
                </wp:positionV>
                <wp:extent cx="464820" cy="0"/>
                <wp:effectExtent l="0" t="0" r="0" b="0"/>
                <wp:wrapNone/>
                <wp:docPr id="28" name="直接连接符 28"/>
                <wp:cNvGraphicFramePr/>
                <a:graphic xmlns:a="http://schemas.openxmlformats.org/drawingml/2006/main">
                  <a:graphicData uri="http://schemas.microsoft.com/office/word/2010/wordprocessingShape">
                    <wps:wsp>
                      <wps:cNvCnPr/>
                      <wps:spPr>
                        <a:xfrm>
                          <a:off x="0" y="0"/>
                          <a:ext cx="46482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33.3pt;margin-top:0pt;height:0pt;width:36.6pt;z-index:-251645952;mso-width-relative:page;mso-height-relative:page;" filled="f" stroked="t" coordsize="21600,21600" o:gfxdata="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5sLX1AAAAAUBAAAPAAAAAAAAAAEAIAAAACIAAABkcnMvZG93bnJldi54bWxQSwECFAAU&#10;AAAACACHTuJA90f6UPUBAADlAwAADgAAAAAAAAABACAAAAAjAQAAZHJzL2Uyb0RvYy54bWxQSwUG&#10;AAAAAAYABgBZAQAAigUAAAAA&#10;">
                <v:fill on="f" focussize="0,0"/>
                <v:stroke weight="0.48pt" color="#000000" joinstyle="round"/>
                <v:imagedata o:title=""/>
                <o:lock v:ext="edit" aspectratio="f"/>
              </v:lin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71552" behindDoc="1" locked="0" layoutInCell="1" allowOverlap="1">
                <wp:simplePos x="0" y="0"/>
                <wp:positionH relativeFrom="column">
                  <wp:posOffset>4831715</wp:posOffset>
                </wp:positionH>
                <wp:positionV relativeFrom="paragraph">
                  <wp:posOffset>0</wp:posOffset>
                </wp:positionV>
                <wp:extent cx="466725" cy="0"/>
                <wp:effectExtent l="0" t="0" r="0" b="0"/>
                <wp:wrapNone/>
                <wp:docPr id="29" name="直接连接符 29"/>
                <wp:cNvGraphicFramePr/>
                <a:graphic xmlns:a="http://schemas.openxmlformats.org/drawingml/2006/main">
                  <a:graphicData uri="http://schemas.microsoft.com/office/word/2010/wordprocessingShape">
                    <wps:wsp>
                      <wps:cNvCnPr/>
                      <wps:spPr>
                        <a:xfrm>
                          <a:off x="0" y="0"/>
                          <a:ext cx="46672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0.45pt;margin-top:0pt;height:0pt;width:36.75pt;z-index:-251644928;mso-width-relative:page;mso-height-relative:page;" filled="f" stroked="t" coordsize="21600,21600" o:gfxdata="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dTNS9UAAAAFAQAADwAAAAAAAAABACAAAAAiAAAAZHJzL2Rvd25yZXYueG1sUEsBAhQA&#10;FAAAAAgAh07iQFfKAmv1AQAA5QMAAA4AAAAAAAAAAQAgAAAAJAEAAGRycy9lMm9Eb2MueG1sUEsF&#10;BgAAAAAGAAYAWQEAAIsFAAAAAA==&#10;">
                <v:fill on="f" focussize="0,0"/>
                <v:stroke weight="0.48pt" color="#000000" joinstyle="round"/>
                <v:imagedata o:title=""/>
                <o:lock v:ext="edit" aspectratio="f"/>
              </v:line>
            </w:pict>
          </mc:Fallback>
        </mc:AlternateContent>
      </w:r>
    </w:p>
    <w:p w14:paraId="2217231F">
      <w:pPr>
        <w:spacing w:line="180" w:lineRule="exact"/>
        <w:rPr>
          <w:rFonts w:hint="eastAsia" w:ascii="宋体" w:hAnsi="宋体" w:eastAsia="宋体" w:cs="宋体"/>
          <w:color w:val="000000" w:themeColor="text1"/>
          <w:sz w:val="24"/>
          <w:szCs w:val="24"/>
          <w:highlight w:val="none"/>
          <w14:textFill>
            <w14:solidFill>
              <w14:schemeClr w14:val="tx1"/>
            </w14:solidFill>
          </w14:textFill>
        </w:rPr>
      </w:pPr>
    </w:p>
    <w:p w14:paraId="03C6CEB9">
      <w:pPr>
        <w:tabs>
          <w:tab w:val="left" w:pos="2020"/>
          <w:tab w:val="left" w:pos="5900"/>
        </w:tabs>
        <w:spacing w:line="240" w:lineRule="exact"/>
        <w:ind w:left="1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时前将原件递交至</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（详细地址）。</w:t>
      </w:r>
    </w:p>
    <w:p w14:paraId="540E2107">
      <w:pPr>
        <w:spacing w:line="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72576" behindDoc="1" locked="0" layoutInCell="1" allowOverlap="1">
                <wp:simplePos x="0" y="0"/>
                <wp:positionH relativeFrom="column">
                  <wp:posOffset>228600</wp:posOffset>
                </wp:positionH>
                <wp:positionV relativeFrom="paragraph">
                  <wp:posOffset>0</wp:posOffset>
                </wp:positionV>
                <wp:extent cx="467995"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46799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pt;margin-top:0pt;height:0pt;width:36.85pt;z-index:-251643904;mso-width-relative:page;mso-height-relative:page;" filled="f" stroked="t" coordsize="21600,21600" o:gfxdata="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Ko7CrRAAAABAEAAA8AAAAAAAAAAQAgAAAAIgAAAGRycy9kb3ducmV2LnhtbFBLAQIUABQAAAAI&#10;AIdO4kB1ovLv9AEAAOUDAAAOAAAAAAAAAAEAIAAAACABAABkcnMvZTJvRG9jLnhtbFBLBQYAAAAA&#10;BgAGAFkBAACGBQAAAAA=&#10;">
                <v:fill on="f" focussize="0,0"/>
                <v:stroke weight="0.47992125984252pt" color="#000000" joinstyle="round"/>
                <v:imagedata o:title=""/>
                <o:lock v:ext="edit" aspectratio="f"/>
              </v:lin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73600" behindDoc="1" locked="0" layoutInCell="1" allowOverlap="1">
                <wp:simplePos x="0" y="0"/>
                <wp:positionH relativeFrom="column">
                  <wp:posOffset>830580</wp:posOffset>
                </wp:positionH>
                <wp:positionV relativeFrom="paragraph">
                  <wp:posOffset>0</wp:posOffset>
                </wp:positionV>
                <wp:extent cx="466090" cy="0"/>
                <wp:effectExtent l="0" t="0" r="0" b="0"/>
                <wp:wrapNone/>
                <wp:docPr id="25" name="直接连接符 25"/>
                <wp:cNvGraphicFramePr/>
                <a:graphic xmlns:a="http://schemas.openxmlformats.org/drawingml/2006/main">
                  <a:graphicData uri="http://schemas.microsoft.com/office/word/2010/wordprocessingShape">
                    <wps:wsp>
                      <wps:cNvCnPr/>
                      <wps:spPr>
                        <a:xfrm>
                          <a:off x="0" y="0"/>
                          <a:ext cx="466090"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5.4pt;margin-top:0pt;height:0pt;width:36.7pt;z-index:-251642880;mso-width-relative:page;mso-height-relative:page;" filled="f" stroked="t" coordsize="21600,21600" o:gfxdata="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3&#10;A7R40AAAAAUBAAAPAAAAAAAAAAEAIAAAACIAAABkcnMvZG93bnJldi54bWxQSwECFAAUAAAACACH&#10;TuJAWtiTqvMBAADlAwAADgAAAAAAAAABACAAAAAfAQAAZHJzL2Uyb0RvYy54bWxQSwUGAAAAAAYA&#10;BgBZAQAAhAUAAAAA&#10;">
                <v:fill on="f" focussize="0,0"/>
                <v:stroke weight="0.47992125984252pt" color="#000000" joinstyle="round"/>
                <v:imagedata o:title=""/>
                <o:lock v:ext="edit" aspectratio="f"/>
              </v:lin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74624" behindDoc="1" locked="0" layoutInCell="1" allowOverlap="1">
                <wp:simplePos x="0" y="0"/>
                <wp:positionH relativeFrom="column">
                  <wp:posOffset>2364105</wp:posOffset>
                </wp:positionH>
                <wp:positionV relativeFrom="paragraph">
                  <wp:posOffset>0</wp:posOffset>
                </wp:positionV>
                <wp:extent cx="140081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1400810"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6.15pt;margin-top:0pt;height:0pt;width:110.3pt;z-index:-251641856;mso-width-relative:page;mso-height-relative:page;" filled="f" stroked="t" coordsize="21600,21600" o:gfxdata="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MnSMrSAAAABQEAAA8AAAAAAAAAAQAgAAAAIgAAAGRycy9kb3ducmV2LnhtbFBLAQIUABQA&#10;AAAIAIdO4kDrSp8U9gEAAOYDAAAOAAAAAAAAAAEAIAAAACEBAABkcnMvZTJvRG9jLnhtbFBLBQYA&#10;AAAABgAGAFkBAACJBQAAAAA=&#10;">
                <v:fill on="f" focussize="0,0"/>
                <v:stroke weight="0.47992125984252pt" color="#000000" joinstyle="round"/>
                <v:imagedata o:title=""/>
                <o:lock v:ext="edit" aspectratio="f"/>
              </v:line>
            </w:pict>
          </mc:Fallback>
        </mc:AlternateContent>
      </w:r>
    </w:p>
    <w:p w14:paraId="7993AF40">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05E35EE9">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1E70E4D0">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08DBAE86">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7970A735">
      <w:pPr>
        <w:spacing w:line="261" w:lineRule="exact"/>
        <w:rPr>
          <w:rFonts w:hint="eastAsia" w:ascii="宋体" w:hAnsi="宋体" w:eastAsia="宋体" w:cs="宋体"/>
          <w:color w:val="000000" w:themeColor="text1"/>
          <w:sz w:val="24"/>
          <w:szCs w:val="24"/>
          <w:highlight w:val="none"/>
          <w14:textFill>
            <w14:solidFill>
              <w14:schemeClr w14:val="tx1"/>
            </w14:solidFill>
          </w14:textFill>
        </w:rPr>
      </w:pPr>
    </w:p>
    <w:p w14:paraId="6D3D39EA">
      <w:pPr>
        <w:tabs>
          <w:tab w:val="left" w:pos="7280"/>
        </w:tabs>
        <w:spacing w:line="240" w:lineRule="exact"/>
        <w:ind w:left="24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评标委员会授权的采购人或采购代理机构：</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（签字或盖章）</w:t>
      </w:r>
    </w:p>
    <w:p w14:paraId="0FCE44F3">
      <w:pPr>
        <w:spacing w:line="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75648" behindDoc="1" locked="0" layoutInCell="1" allowOverlap="1">
                <wp:simplePos x="0" y="0"/>
                <wp:positionH relativeFrom="column">
                  <wp:posOffset>4098925</wp:posOffset>
                </wp:positionH>
                <wp:positionV relativeFrom="paragraph">
                  <wp:posOffset>6350</wp:posOffset>
                </wp:positionV>
                <wp:extent cx="531495" cy="0"/>
                <wp:effectExtent l="0" t="0" r="0" b="0"/>
                <wp:wrapNone/>
                <wp:docPr id="30" name="直接连接符 30"/>
                <wp:cNvGraphicFramePr/>
                <a:graphic xmlns:a="http://schemas.openxmlformats.org/drawingml/2006/main">
                  <a:graphicData uri="http://schemas.microsoft.com/office/word/2010/wordprocessingShape">
                    <wps:wsp>
                      <wps:cNvCnPr/>
                      <wps:spPr>
                        <a:xfrm>
                          <a:off x="0" y="0"/>
                          <a:ext cx="531495" cy="0"/>
                        </a:xfrm>
                        <a:prstGeom prst="line">
                          <a:avLst/>
                        </a:prstGeom>
                        <a:ln w="9143"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2.75pt;margin-top:0.5pt;height:0pt;width:41.85pt;z-index:-251640832;mso-width-relative:page;mso-height-relative:page;" filled="f" stroked="t" coordsize="21600,21600" o:gfxdata="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TbJzVAAAABwEAAA8AAAAAAAAAAQAgAAAAIgAAAGRycy9kb3ducmV2LnhtbFBLAQIU&#10;ABQAAAAIAIdO4kDtMl0g9gEAAOUDAAAOAAAAAAAAAAEAIAAAACQBAABkcnMvZTJvRG9jLnhtbFBL&#10;BQYAAAAABgAGAFkBAACMBQAAAAA=&#10;">
                <v:fill on="f" focussize="0,0"/>
                <v:stroke weight="0.71992125984252pt" color="#000000" joinstyle="round"/>
                <v:imagedata o:title=""/>
                <o:lock v:ext="edit" aspectratio="f"/>
              </v:line>
            </w:pict>
          </mc:Fallback>
        </mc:AlternateContent>
      </w:r>
    </w:p>
    <w:p w14:paraId="6E46DBAC">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540D2FAC">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4B3FE706">
      <w:pPr>
        <w:spacing w:line="221" w:lineRule="exact"/>
        <w:rPr>
          <w:rFonts w:hint="eastAsia" w:ascii="宋体" w:hAnsi="宋体" w:eastAsia="宋体" w:cs="宋体"/>
          <w:color w:val="000000" w:themeColor="text1"/>
          <w:sz w:val="24"/>
          <w:szCs w:val="24"/>
          <w:highlight w:val="none"/>
          <w14:textFill>
            <w14:solidFill>
              <w14:schemeClr w14:val="tx1"/>
            </w14:solidFill>
          </w14:textFill>
        </w:rPr>
      </w:pPr>
    </w:p>
    <w:p w14:paraId="2E224FEB">
      <w:pPr>
        <w:pStyle w:val="18"/>
        <w:rPr>
          <w:rFonts w:hint="eastAsia" w:ascii="宋体" w:hAnsi="宋体" w:eastAsia="宋体" w:cs="宋体"/>
          <w:color w:val="000000" w:themeColor="text1"/>
          <w:sz w:val="24"/>
          <w:szCs w:val="24"/>
          <w:highlight w:val="none"/>
          <w14:textFill>
            <w14:solidFill>
              <w14:schemeClr w14:val="tx1"/>
            </w14:solidFill>
          </w14:textFill>
        </w:rPr>
        <w:sectPr>
          <w:pgSz w:w="11906" w:h="16838"/>
          <w:pgMar w:top="1440" w:right="1800" w:bottom="1440" w:left="1800" w:header="1140" w:footer="720" w:gutter="0"/>
          <w:pgNumType w:fmt="decimal"/>
          <w:cols w:space="720" w:num="1"/>
          <w:docGrid w:type="lines" w:linePitch="312" w:charSpace="0"/>
        </w:sect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66E314C7">
      <w:pPr>
        <w:spacing w:line="320" w:lineRule="exact"/>
        <w:ind w:left="-2" w:leftChars="-1" w:firstLine="120" w:firstLineChars="5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附件三：问题的澄清</w:t>
      </w:r>
    </w:p>
    <w:p w14:paraId="21F40EEF">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765A0516">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3745DFC4">
      <w:pPr>
        <w:spacing w:line="201" w:lineRule="exact"/>
        <w:rPr>
          <w:rFonts w:hint="eastAsia" w:ascii="宋体" w:hAnsi="宋体" w:eastAsia="宋体" w:cs="宋体"/>
          <w:color w:val="000000" w:themeColor="text1"/>
          <w:sz w:val="24"/>
          <w:szCs w:val="24"/>
          <w:highlight w:val="none"/>
          <w14:textFill>
            <w14:solidFill>
              <w14:schemeClr w14:val="tx1"/>
            </w14:solidFill>
          </w14:textFill>
        </w:rPr>
      </w:pPr>
    </w:p>
    <w:p w14:paraId="361871EA">
      <w:pPr>
        <w:spacing w:line="240" w:lineRule="auto"/>
        <w:jc w:val="center"/>
        <w:rPr>
          <w:rFonts w:hint="eastAsia" w:ascii="宋体" w:hAnsi="宋体" w:eastAsia="宋体" w:cs="宋体"/>
          <w:color w:val="000000" w:themeColor="text1"/>
          <w:sz w:val="40"/>
          <w:szCs w:val="40"/>
          <w:highlight w:val="none"/>
          <w14:textFill>
            <w14:solidFill>
              <w14:schemeClr w14:val="tx1"/>
            </w14:solidFill>
          </w14:textFill>
        </w:rPr>
      </w:pPr>
      <w:r>
        <w:rPr>
          <w:rFonts w:hint="eastAsia" w:ascii="宋体" w:hAnsi="宋体" w:eastAsia="宋体" w:cs="宋体"/>
          <w:color w:val="000000" w:themeColor="text1"/>
          <w:sz w:val="40"/>
          <w:szCs w:val="40"/>
          <w:highlight w:val="none"/>
          <w14:textFill>
            <w14:solidFill>
              <w14:schemeClr w14:val="tx1"/>
            </w14:solidFill>
          </w14:textFill>
        </w:rPr>
        <w:t>问题的澄清</w:t>
      </w:r>
    </w:p>
    <w:p w14:paraId="4D2AD61B">
      <w:pPr>
        <w:spacing w:line="149" w:lineRule="exact"/>
        <w:rPr>
          <w:rFonts w:hint="eastAsia" w:ascii="宋体" w:hAnsi="宋体" w:eastAsia="宋体" w:cs="宋体"/>
          <w:color w:val="000000" w:themeColor="text1"/>
          <w:sz w:val="24"/>
          <w:szCs w:val="24"/>
          <w:highlight w:val="none"/>
          <w14:textFill>
            <w14:solidFill>
              <w14:schemeClr w14:val="tx1"/>
            </w14:solidFill>
          </w14:textFill>
        </w:rPr>
      </w:pPr>
    </w:p>
    <w:p w14:paraId="67000EDB">
      <w:pPr>
        <w:tabs>
          <w:tab w:val="left" w:pos="6180"/>
        </w:tabs>
        <w:spacing w:line="240" w:lineRule="exact"/>
        <w:ind w:left="38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（编号：</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w:t>
      </w:r>
    </w:p>
    <w:p w14:paraId="481DBEE1">
      <w:pPr>
        <w:spacing w:line="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76672" behindDoc="1" locked="0" layoutInCell="1" allowOverlap="1">
                <wp:simplePos x="0" y="0"/>
                <wp:positionH relativeFrom="column">
                  <wp:posOffset>2964815</wp:posOffset>
                </wp:positionH>
                <wp:positionV relativeFrom="paragraph">
                  <wp:posOffset>6350</wp:posOffset>
                </wp:positionV>
                <wp:extent cx="976630" cy="0"/>
                <wp:effectExtent l="0" t="0" r="0" b="0"/>
                <wp:wrapNone/>
                <wp:docPr id="31" name="直接连接符 31"/>
                <wp:cNvGraphicFramePr/>
                <a:graphic xmlns:a="http://schemas.openxmlformats.org/drawingml/2006/main">
                  <a:graphicData uri="http://schemas.microsoft.com/office/word/2010/wordprocessingShape">
                    <wps:wsp>
                      <wps:cNvCnPr/>
                      <wps:spPr>
                        <a:xfrm>
                          <a:off x="0" y="0"/>
                          <a:ext cx="97663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3.45pt;margin-top:0.5pt;height:0pt;width:76.9pt;z-index:-251639808;mso-width-relative:page;mso-height-relative:page;" filled="f" stroked="t" coordsize="21600,21600" o:gfxdata="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8DWldMAAAAHAQAADwAAAAAAAAABACAAAAAiAAAAZHJzL2Rvd25yZXYueG1sUEsBAhQAFAAA&#10;AAgAh07iQBrqWtv0AQAA5QMAAA4AAAAAAAAAAQAgAAAAIgEAAGRycy9lMm9Eb2MueG1sUEsFBgAA&#10;AAAGAAYAWQEAAIgFAAAAAA==&#10;">
                <v:fill on="f" focussize="0,0"/>
                <v:stroke weight="0.72pt" color="#000000" joinstyle="round"/>
                <v:imagedata o:title=""/>
                <o:lock v:ext="edit" aspectratio="f"/>
              </v:line>
            </w:pict>
          </mc:Fallback>
        </mc:AlternateContent>
      </w:r>
    </w:p>
    <w:p w14:paraId="52369793">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5A0E7FF9">
      <w:pPr>
        <w:spacing w:line="376" w:lineRule="exact"/>
        <w:rPr>
          <w:rFonts w:hint="eastAsia" w:ascii="宋体" w:hAnsi="宋体" w:eastAsia="宋体" w:cs="宋体"/>
          <w:color w:val="000000" w:themeColor="text1"/>
          <w:sz w:val="24"/>
          <w:szCs w:val="24"/>
          <w:highlight w:val="none"/>
          <w14:textFill>
            <w14:solidFill>
              <w14:schemeClr w14:val="tx1"/>
            </w14:solidFill>
          </w14:textFill>
        </w:rPr>
      </w:pPr>
    </w:p>
    <w:p w14:paraId="59D9E76F">
      <w:pPr>
        <w:spacing w:line="240" w:lineRule="exact"/>
        <w:ind w:left="3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评标委员会：</w:t>
      </w:r>
    </w:p>
    <w:p w14:paraId="127DC4D2">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416C3B0C">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411B9C50">
      <w:pPr>
        <w:spacing w:line="239" w:lineRule="exact"/>
        <w:rPr>
          <w:rFonts w:hint="eastAsia" w:ascii="宋体" w:hAnsi="宋体" w:eastAsia="宋体" w:cs="宋体"/>
          <w:color w:val="000000" w:themeColor="text1"/>
          <w:sz w:val="24"/>
          <w:szCs w:val="24"/>
          <w:highlight w:val="none"/>
          <w14:textFill>
            <w14:solidFill>
              <w14:schemeClr w14:val="tx1"/>
            </w14:solidFill>
          </w14:textFill>
        </w:rPr>
      </w:pPr>
    </w:p>
    <w:p w14:paraId="49DB2110">
      <w:pPr>
        <w:tabs>
          <w:tab w:val="left" w:pos="3700"/>
        </w:tabs>
        <w:spacing w:line="240" w:lineRule="exact"/>
        <w:ind w:left="7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问题澄清通知（编号：</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）已收悉，现澄清、说明或补正如下：</w:t>
      </w:r>
    </w:p>
    <w:p w14:paraId="05B831B6">
      <w:pPr>
        <w:spacing w:line="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77696" behindDoc="1" locked="0" layoutInCell="1" allowOverlap="1">
                <wp:simplePos x="0" y="0"/>
                <wp:positionH relativeFrom="column">
                  <wp:posOffset>1830705</wp:posOffset>
                </wp:positionH>
                <wp:positionV relativeFrom="paragraph">
                  <wp:posOffset>6350</wp:posOffset>
                </wp:positionV>
                <wp:extent cx="531495" cy="0"/>
                <wp:effectExtent l="0" t="0" r="0" b="0"/>
                <wp:wrapNone/>
                <wp:docPr id="33" name="直接连接符 33"/>
                <wp:cNvGraphicFramePr/>
                <a:graphic xmlns:a="http://schemas.openxmlformats.org/drawingml/2006/main">
                  <a:graphicData uri="http://schemas.microsoft.com/office/word/2010/wordprocessingShape">
                    <wps:wsp>
                      <wps:cNvCnPr/>
                      <wps:spPr>
                        <a:xfrm>
                          <a:off x="0" y="0"/>
                          <a:ext cx="53149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4.15pt;margin-top:0.5pt;height:0pt;width:41.85pt;z-index:-251638784;mso-width-relative:page;mso-height-relative:page;" filled="f" stroked="t" coordsize="21600,21600" o:gfxdata="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iDcJtQAAAAHAQAADwAAAAAAAAABACAAAAAiAAAAZHJzL2Rvd25yZXYueG1sUEsBAhQA&#10;FAAAAAgAh07iQDzS+2b2AQAA5QMAAA4AAAAAAAAAAQAgAAAAIwEAAGRycy9lMm9Eb2MueG1sUEsF&#10;BgAAAAAGAAYAWQEAAIsFAAAAAA==&#10;">
                <v:fill on="f" focussize="0,0"/>
                <v:stroke weight="0.72pt" color="#000000" joinstyle="round"/>
                <v:imagedata o:title=""/>
                <o:lock v:ext="edit" aspectratio="f"/>
              </v:line>
            </w:pict>
          </mc:Fallback>
        </mc:AlternateContent>
      </w:r>
    </w:p>
    <w:p w14:paraId="42C8AAD3">
      <w:pPr>
        <w:spacing w:line="196" w:lineRule="exact"/>
        <w:rPr>
          <w:rFonts w:hint="eastAsia" w:ascii="宋体" w:hAnsi="宋体" w:eastAsia="宋体" w:cs="宋体"/>
          <w:color w:val="000000" w:themeColor="text1"/>
          <w:sz w:val="24"/>
          <w:szCs w:val="24"/>
          <w:highlight w:val="none"/>
          <w14:textFill>
            <w14:solidFill>
              <w14:schemeClr w14:val="tx1"/>
            </w14:solidFill>
          </w14:textFill>
        </w:rPr>
      </w:pPr>
    </w:p>
    <w:p w14:paraId="3AF01443">
      <w:pPr>
        <w:spacing w:line="0" w:lineRule="atLeast"/>
        <w:ind w:left="1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p w14:paraId="7B47162D">
      <w:pPr>
        <w:spacing w:line="198" w:lineRule="exact"/>
        <w:rPr>
          <w:rFonts w:hint="eastAsia" w:ascii="宋体" w:hAnsi="宋体" w:eastAsia="宋体" w:cs="宋体"/>
          <w:color w:val="000000" w:themeColor="text1"/>
          <w:sz w:val="24"/>
          <w:szCs w:val="24"/>
          <w:highlight w:val="none"/>
          <w14:textFill>
            <w14:solidFill>
              <w14:schemeClr w14:val="tx1"/>
            </w14:solidFill>
          </w14:textFill>
        </w:rPr>
      </w:pPr>
    </w:p>
    <w:p w14:paraId="6F5B6338">
      <w:pPr>
        <w:spacing w:line="0" w:lineRule="atLeast"/>
        <w:ind w:left="1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p w14:paraId="1487B646">
      <w:pPr>
        <w:spacing w:line="198" w:lineRule="exact"/>
        <w:rPr>
          <w:rFonts w:hint="eastAsia" w:ascii="宋体" w:hAnsi="宋体" w:eastAsia="宋体" w:cs="宋体"/>
          <w:color w:val="000000" w:themeColor="text1"/>
          <w:sz w:val="24"/>
          <w:szCs w:val="24"/>
          <w:highlight w:val="none"/>
          <w14:textFill>
            <w14:solidFill>
              <w14:schemeClr w14:val="tx1"/>
            </w14:solidFill>
          </w14:textFill>
        </w:rPr>
      </w:pPr>
    </w:p>
    <w:p w14:paraId="27FFE4DD">
      <w:pPr>
        <w:spacing w:line="0" w:lineRule="atLeast"/>
        <w:ind w:left="10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p w14:paraId="5C684E6D">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4AB3B89A">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4A3FF231">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4D344ACC">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41FEDD46">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4927BDD4">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510092E0">
      <w:pPr>
        <w:spacing w:line="306" w:lineRule="exact"/>
        <w:rPr>
          <w:rFonts w:hint="eastAsia" w:ascii="宋体" w:hAnsi="宋体" w:eastAsia="宋体" w:cs="宋体"/>
          <w:color w:val="000000" w:themeColor="text1"/>
          <w:sz w:val="24"/>
          <w:szCs w:val="24"/>
          <w:highlight w:val="none"/>
          <w14:textFill>
            <w14:solidFill>
              <w14:schemeClr w14:val="tx1"/>
            </w14:solidFill>
          </w14:textFill>
        </w:rPr>
      </w:pPr>
    </w:p>
    <w:p w14:paraId="337BF6F0">
      <w:pPr>
        <w:spacing w:line="240" w:lineRule="exact"/>
        <w:ind w:left="7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上述问题澄清、说明或补正，不改变我方投标文件的实质性内容，构成我方投标文件的组</w:t>
      </w:r>
    </w:p>
    <w:p w14:paraId="4A0795F9">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49104581">
      <w:pPr>
        <w:spacing w:line="240" w:lineRule="exact"/>
        <w:ind w:left="3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成部分。</w:t>
      </w:r>
    </w:p>
    <w:p w14:paraId="37671413">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01F16B51">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289F48EE">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1D3148BA">
      <w:pPr>
        <w:spacing w:line="339" w:lineRule="exact"/>
        <w:rPr>
          <w:rFonts w:hint="eastAsia" w:ascii="宋体" w:hAnsi="宋体" w:eastAsia="宋体" w:cs="宋体"/>
          <w:color w:val="000000" w:themeColor="text1"/>
          <w:sz w:val="24"/>
          <w:szCs w:val="24"/>
          <w:highlight w:val="none"/>
          <w14:textFill>
            <w14:solidFill>
              <w14:schemeClr w14:val="tx1"/>
            </w14:solidFill>
          </w14:textFill>
        </w:rPr>
      </w:pPr>
    </w:p>
    <w:p w14:paraId="475ABF37">
      <w:pPr>
        <w:tabs>
          <w:tab w:val="left" w:pos="7620"/>
        </w:tabs>
        <w:spacing w:line="240" w:lineRule="exact"/>
        <w:ind w:left="3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（盖单位章）</w:t>
      </w:r>
    </w:p>
    <w:p w14:paraId="05020864">
      <w:pPr>
        <w:spacing w:line="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78720" behindDoc="1" locked="0" layoutInCell="1" allowOverlap="1">
                <wp:simplePos x="0" y="0"/>
                <wp:positionH relativeFrom="column">
                  <wp:posOffset>2632075</wp:posOffset>
                </wp:positionH>
                <wp:positionV relativeFrom="paragraph">
                  <wp:posOffset>6350</wp:posOffset>
                </wp:positionV>
                <wp:extent cx="2220595" cy="0"/>
                <wp:effectExtent l="0" t="0" r="0" b="0"/>
                <wp:wrapNone/>
                <wp:docPr id="32" name="直接连接符 32"/>
                <wp:cNvGraphicFramePr/>
                <a:graphic xmlns:a="http://schemas.openxmlformats.org/drawingml/2006/main">
                  <a:graphicData uri="http://schemas.microsoft.com/office/word/2010/wordprocessingShape">
                    <wps:wsp>
                      <wps:cNvCnPr/>
                      <wps:spPr>
                        <a:xfrm>
                          <a:off x="0" y="0"/>
                          <a:ext cx="222059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7.25pt;margin-top:0.5pt;height:0pt;width:174.85pt;z-index:-251637760;mso-width-relative:page;mso-height-relative:page;" filled="f" stroked="t" coordsize="21600,21600" o:gfxdata="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9/f5NMAAAAHAQAADwAAAAAAAAABACAAAAAiAAAAZHJzL2Rvd25yZXYueG1sUEsBAhQA&#10;FAAAAAgAh07iQMs8r2L3AQAA5gMAAA4AAAAAAAAAAQAgAAAAIgEAAGRycy9lMm9Eb2MueG1sUEsF&#10;BgAAAAAGAAYAWQEAAIsFAAAAAA==&#10;">
                <v:fill on="f" focussize="0,0"/>
                <v:stroke weight="0.72pt" color="#000000" joinstyle="round"/>
                <v:imagedata o:title=""/>
                <o:lock v:ext="edit" aspectratio="f"/>
              </v:line>
            </w:pict>
          </mc:Fallback>
        </mc:AlternateContent>
      </w:r>
    </w:p>
    <w:p w14:paraId="54876879">
      <w:pPr>
        <w:spacing w:line="285" w:lineRule="exact"/>
        <w:rPr>
          <w:rFonts w:hint="eastAsia" w:ascii="宋体" w:hAnsi="宋体" w:eastAsia="宋体" w:cs="宋体"/>
          <w:color w:val="000000" w:themeColor="text1"/>
          <w:sz w:val="24"/>
          <w:szCs w:val="24"/>
          <w:highlight w:val="none"/>
          <w14:textFill>
            <w14:solidFill>
              <w14:schemeClr w14:val="tx1"/>
            </w14:solidFill>
          </w14:textFill>
        </w:rPr>
      </w:pPr>
    </w:p>
    <w:p w14:paraId="55070148">
      <w:pPr>
        <w:tabs>
          <w:tab w:val="left" w:pos="6860"/>
        </w:tabs>
        <w:spacing w:line="240" w:lineRule="exact"/>
        <w:ind w:left="3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法定代表人或其委托代理人：</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（签字）</w:t>
      </w:r>
    </w:p>
    <w:p w14:paraId="481524F3">
      <w:pPr>
        <w:spacing w:line="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79744" behindDoc="1" locked="0" layoutInCell="1" allowOverlap="1">
                <wp:simplePos x="0" y="0"/>
                <wp:positionH relativeFrom="column">
                  <wp:posOffset>3830320</wp:posOffset>
                </wp:positionH>
                <wp:positionV relativeFrom="paragraph">
                  <wp:posOffset>0</wp:posOffset>
                </wp:positionV>
                <wp:extent cx="533400" cy="0"/>
                <wp:effectExtent l="0" t="0" r="0" b="0"/>
                <wp:wrapNone/>
                <wp:docPr id="34" name="直接连接符 34"/>
                <wp:cNvGraphicFramePr/>
                <a:graphic xmlns:a="http://schemas.openxmlformats.org/drawingml/2006/main">
                  <a:graphicData uri="http://schemas.microsoft.com/office/word/2010/wordprocessingShape">
                    <wps:wsp>
                      <wps:cNvCnPr/>
                      <wps:spPr>
                        <a:xfrm>
                          <a:off x="0" y="0"/>
                          <a:ext cx="533400"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01.6pt;margin-top:0pt;height:0pt;width:42pt;z-index:-251636736;mso-width-relative:page;mso-height-relative:page;" filled="f" stroked="t" coordsize="21600,21600" o:gfxdata="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JVFZNEAAAAFAQAADwAAAAAAAAABACAAAAAiAAAAZHJzL2Rvd25yZXYueG1sUEsBAhQAFAAA&#10;AAgAh07iQL9F7tL2AQAA5QMAAA4AAAAAAAAAAQAgAAAAIAEAAGRycy9lMm9Eb2MueG1sUEsFBgAA&#10;AAAGAAYAWQEAAIgFAAAAAA==&#10;">
                <v:fill on="f" focussize="0,0"/>
                <v:stroke weight="0.47992125984252pt" color="#000000" joinstyle="round"/>
                <v:imagedata o:title=""/>
                <o:lock v:ext="edit" aspectratio="f"/>
              </v:line>
            </w:pict>
          </mc:Fallback>
        </mc:AlternateContent>
      </w:r>
    </w:p>
    <w:p w14:paraId="66E613C1">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3E7D4090">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2F83A85D">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5B74B2DF">
      <w:pPr>
        <w:spacing w:line="267" w:lineRule="exact"/>
        <w:rPr>
          <w:rFonts w:hint="eastAsia" w:ascii="宋体" w:hAnsi="宋体" w:eastAsia="宋体" w:cs="宋体"/>
          <w:color w:val="000000" w:themeColor="text1"/>
          <w:sz w:val="24"/>
          <w:szCs w:val="24"/>
          <w:highlight w:val="none"/>
          <w14:textFill>
            <w14:solidFill>
              <w14:schemeClr w14:val="tx1"/>
            </w14:solidFill>
          </w14:textFill>
        </w:rPr>
      </w:pPr>
    </w:p>
    <w:p w14:paraId="7926BAD7">
      <w:pPr>
        <w:pStyle w:val="18"/>
        <w:rPr>
          <w:rFonts w:hint="eastAsia" w:ascii="宋体" w:hAnsi="宋体" w:eastAsia="宋体" w:cs="宋体"/>
          <w:color w:val="000000" w:themeColor="text1"/>
          <w:sz w:val="24"/>
          <w:szCs w:val="24"/>
          <w:highlight w:val="none"/>
          <w14:textFill>
            <w14:solidFill>
              <w14:schemeClr w14:val="tx1"/>
            </w14:solidFill>
          </w14:textFill>
        </w:rPr>
        <w:sectPr>
          <w:pgSz w:w="11906" w:h="16838"/>
          <w:pgMar w:top="1440" w:right="1800" w:bottom="1440" w:left="1800" w:header="1140" w:footer="720" w:gutter="0"/>
          <w:pgNumType w:fmt="decimal"/>
          <w:cols w:space="720" w:num="1"/>
          <w:docGrid w:type="lines" w:linePitch="312" w:charSpace="0"/>
        </w:sect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0E23EA06">
      <w:pPr>
        <w:spacing w:line="320" w:lineRule="exact"/>
        <w:ind w:left="-2" w:leftChars="-1" w:firstLine="120" w:firstLineChars="5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附件四：中标通知书</w:t>
      </w:r>
    </w:p>
    <w:p w14:paraId="39142544">
      <w:pPr>
        <w:spacing w:line="201" w:lineRule="exact"/>
        <w:rPr>
          <w:rFonts w:hint="eastAsia" w:ascii="宋体" w:hAnsi="宋体" w:eastAsia="宋体" w:cs="宋体"/>
          <w:color w:val="000000" w:themeColor="text1"/>
          <w:sz w:val="24"/>
          <w:szCs w:val="24"/>
          <w:highlight w:val="none"/>
          <w14:textFill>
            <w14:solidFill>
              <w14:schemeClr w14:val="tx1"/>
            </w14:solidFill>
          </w14:textFill>
        </w:rPr>
      </w:pPr>
    </w:p>
    <w:p w14:paraId="2400195A">
      <w:pPr>
        <w:spacing w:line="240" w:lineRule="auto"/>
        <w:jc w:val="cente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中标通知书</w:t>
      </w:r>
    </w:p>
    <w:p w14:paraId="4F417AF0">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0458D146">
      <w:pPr>
        <w:spacing w:line="383" w:lineRule="exact"/>
        <w:rPr>
          <w:rFonts w:hint="eastAsia" w:ascii="宋体" w:hAnsi="宋体" w:eastAsia="宋体" w:cs="宋体"/>
          <w:color w:val="000000" w:themeColor="text1"/>
          <w:sz w:val="24"/>
          <w:szCs w:val="24"/>
          <w:highlight w:val="none"/>
          <w14:textFill>
            <w14:solidFill>
              <w14:schemeClr w14:val="tx1"/>
            </w14:solidFill>
          </w14:textFill>
        </w:rPr>
      </w:pPr>
    </w:p>
    <w:p w14:paraId="50DFB880">
      <w:pPr>
        <w:spacing w:line="240" w:lineRule="exact"/>
        <w:ind w:left="28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（中标人名称）：</w:t>
      </w:r>
    </w:p>
    <w:p w14:paraId="4F1A6083">
      <w:pPr>
        <w:spacing w:line="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228600</wp:posOffset>
                </wp:positionH>
                <wp:positionV relativeFrom="paragraph">
                  <wp:posOffset>0</wp:posOffset>
                </wp:positionV>
                <wp:extent cx="1600200" cy="0"/>
                <wp:effectExtent l="0" t="0" r="0" b="0"/>
                <wp:wrapNone/>
                <wp:docPr id="35" name="直接连接符 35"/>
                <wp:cNvGraphicFramePr/>
                <a:graphic xmlns:a="http://schemas.openxmlformats.org/drawingml/2006/main">
                  <a:graphicData uri="http://schemas.microsoft.com/office/word/2010/wordprocessingShape">
                    <wps:wsp>
                      <wps:cNvCnPr/>
                      <wps:spPr>
                        <a:xfrm>
                          <a:off x="0" y="0"/>
                          <a:ext cx="1600200"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pt;margin-top:0pt;height:0pt;width:126pt;z-index:-251656192;mso-width-relative:page;mso-height-relative:page;" filled="f" stroked="t" coordsize="21600,21600" o:gfxdata="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wI/3D0QAAAAQBAAAPAAAAAAAAAAEAIAAAACIAAABkcnMvZG93bnJldi54bWxQSwECFAAUAAAA&#10;CACHTuJAz2n41PUBAADmAwAADgAAAAAAAAABACAAAAAgAQAAZHJzL2Uyb0RvYy54bWxQSwUGAAAA&#10;AAYABgBZAQAAhwUAAAAA&#10;">
                <v:fill on="f" focussize="0,0"/>
                <v:stroke weight="0.47992125984252pt" color="#000000" joinstyle="round"/>
                <v:imagedata o:title=""/>
                <o:lock v:ext="edit" aspectratio="f"/>
              </v:line>
            </w:pict>
          </mc:Fallback>
        </mc:AlternateContent>
      </w:r>
    </w:p>
    <w:p w14:paraId="1A213EA1">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723D1618">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77A9DD41">
      <w:pPr>
        <w:tabs>
          <w:tab w:val="left" w:pos="4120"/>
          <w:tab w:val="left" w:pos="7140"/>
        </w:tabs>
        <w:spacing w:line="360" w:lineRule="auto"/>
        <w:ind w:firstLine="808" w:firstLineChars="33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你方于</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（投标日期）所递交的</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（项目名称）投标文件已被我方接受，被确定为中标人。</w:t>
      </w:r>
    </w:p>
    <w:p w14:paraId="7EAED111">
      <w:pPr>
        <w:tabs>
          <w:tab w:val="left" w:pos="3260"/>
        </w:tabs>
        <w:spacing w:line="360" w:lineRule="auto"/>
        <w:ind w:left="76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中标价为：</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zh-CN"/>
          <w14:textFill>
            <w14:solidFill>
              <w14:schemeClr w14:val="tx1"/>
            </w14:solidFill>
          </w14:textFill>
        </w:rPr>
        <w:t>元</w:t>
      </w:r>
    </w:p>
    <w:p w14:paraId="362AD4B3">
      <w:pPr>
        <w:tabs>
          <w:tab w:val="left" w:pos="3260"/>
        </w:tabs>
        <w:spacing w:line="360" w:lineRule="auto"/>
        <w:ind w:left="7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合同履行期限</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w:t>
      </w:r>
    </w:p>
    <w:p w14:paraId="42216CD8">
      <w:pPr>
        <w:tabs>
          <w:tab w:val="left" w:pos="4120"/>
          <w:tab w:val="left" w:pos="672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请你方在接到本通知书后的</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日内到</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（指定地点）与我方签订</w:t>
      </w:r>
      <w:r>
        <w:rPr>
          <w:rFonts w:hint="eastAsia" w:ascii="宋体" w:hAnsi="宋体" w:eastAsia="宋体" w:cs="宋体"/>
          <w:color w:val="000000" w:themeColor="text1"/>
          <w:sz w:val="24"/>
          <w:szCs w:val="24"/>
          <w:highlight w:val="none"/>
          <w:lang w:eastAsia="zh-CN"/>
          <w14:textFill>
            <w14:solidFill>
              <w14:schemeClr w14:val="tx1"/>
            </w14:solidFill>
          </w14:textFill>
        </w:rPr>
        <w:t>项目</w:t>
      </w:r>
      <w:r>
        <w:rPr>
          <w:rFonts w:hint="eastAsia" w:ascii="宋体" w:hAnsi="宋体" w:eastAsia="宋体" w:cs="宋体"/>
          <w:color w:val="000000" w:themeColor="text1"/>
          <w:sz w:val="24"/>
          <w:szCs w:val="24"/>
          <w:highlight w:val="none"/>
          <w14:textFill>
            <w14:solidFill>
              <w14:schemeClr w14:val="tx1"/>
            </w14:solidFill>
          </w14:textFill>
        </w:rPr>
        <w:t>采购合同。</w:t>
      </w:r>
    </w:p>
    <w:p w14:paraId="3BDA6C8B">
      <w:pPr>
        <w:spacing w:line="360" w:lineRule="auto"/>
        <w:ind w:left="7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特此通知。</w:t>
      </w:r>
    </w:p>
    <w:p w14:paraId="015F805E">
      <w:pPr>
        <w:tabs>
          <w:tab w:val="left" w:pos="7215"/>
        </w:tabs>
        <w:spacing w:line="720" w:lineRule="auto"/>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（盖单位章）</w:t>
      </w:r>
    </w:p>
    <w:p w14:paraId="13A7FF9D">
      <w:pPr>
        <w:tabs>
          <w:tab w:val="left" w:pos="7215"/>
        </w:tabs>
        <w:spacing w:line="720" w:lineRule="auto"/>
        <w:jc w:val="right"/>
        <w:rPr>
          <w:rFonts w:hint="eastAsia" w:ascii="宋体" w:hAnsi="宋体" w:eastAsia="宋体" w:cs="宋体"/>
          <w:color w:val="000000" w:themeColor="text1"/>
          <w:sz w:val="24"/>
          <w:szCs w:val="24"/>
          <w:highlight w:val="none"/>
          <w14:textFill>
            <w14:solidFill>
              <w14:schemeClr w14:val="tx1"/>
            </w14:solidFill>
          </w14:textFill>
        </w:rPr>
      </w:pPr>
    </w:p>
    <w:p w14:paraId="7A96EE1B">
      <w:pPr>
        <w:tabs>
          <w:tab w:val="left" w:pos="7215"/>
        </w:tabs>
        <w:spacing w:line="720" w:lineRule="auto"/>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（签字或盖章）</w:t>
      </w:r>
    </w:p>
    <w:p w14:paraId="7E903190">
      <w:pPr>
        <w:tabs>
          <w:tab w:val="left" w:pos="7215"/>
        </w:tabs>
        <w:spacing w:line="720" w:lineRule="auto"/>
        <w:jc w:val="right"/>
        <w:rPr>
          <w:rFonts w:hint="eastAsia" w:ascii="宋体" w:hAnsi="宋体" w:eastAsia="宋体" w:cs="宋体"/>
          <w:color w:val="000000" w:themeColor="text1"/>
          <w:sz w:val="24"/>
          <w:szCs w:val="24"/>
          <w:highlight w:val="none"/>
          <w14:textFill>
            <w14:solidFill>
              <w14:schemeClr w14:val="tx1"/>
            </w14:solidFill>
          </w14:textFill>
        </w:rPr>
      </w:pPr>
    </w:p>
    <w:p w14:paraId="0DE2725D">
      <w:pPr>
        <w:tabs>
          <w:tab w:val="left" w:pos="7215"/>
        </w:tabs>
        <w:spacing w:line="720" w:lineRule="auto"/>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采购代理机构：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（盖单位章）    </w:t>
      </w:r>
    </w:p>
    <w:p w14:paraId="109AFDB8">
      <w:pPr>
        <w:tabs>
          <w:tab w:val="left" w:pos="7215"/>
        </w:tabs>
        <w:spacing w:line="720" w:lineRule="auto"/>
        <w:jc w:val="right"/>
        <w:rPr>
          <w:rFonts w:hint="eastAsia" w:ascii="宋体" w:hAnsi="宋体" w:eastAsia="宋体" w:cs="宋体"/>
          <w:color w:val="000000" w:themeColor="text1"/>
          <w:sz w:val="24"/>
          <w:szCs w:val="24"/>
          <w:highlight w:val="none"/>
          <w14:textFill>
            <w14:solidFill>
              <w14:schemeClr w14:val="tx1"/>
            </w14:solidFill>
          </w14:textFill>
        </w:rPr>
      </w:pPr>
    </w:p>
    <w:p w14:paraId="71A0B2BA">
      <w:pPr>
        <w:tabs>
          <w:tab w:val="left" w:pos="7215"/>
        </w:tabs>
        <w:spacing w:line="720" w:lineRule="auto"/>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（签字或盖章）</w:t>
      </w:r>
    </w:p>
    <w:p w14:paraId="5147163C">
      <w:pPr>
        <w:pStyle w:val="1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63781AA4">
      <w:pPr>
        <w:pStyle w:val="18"/>
        <w:jc w:val="right"/>
        <w:rPr>
          <w:rFonts w:hint="eastAsia" w:ascii="宋体" w:hAnsi="宋体" w:eastAsia="宋体" w:cs="宋体"/>
          <w:color w:val="000000" w:themeColor="text1"/>
          <w:sz w:val="24"/>
          <w:szCs w:val="24"/>
          <w:highlight w:val="none"/>
          <w14:textFill>
            <w14:solidFill>
              <w14:schemeClr w14:val="tx1"/>
            </w14:solidFill>
          </w14:textFill>
        </w:rPr>
        <w:sectPr>
          <w:pgSz w:w="11906" w:h="16838"/>
          <w:pgMar w:top="1440" w:right="1800" w:bottom="1440" w:left="1800" w:header="1140" w:footer="720" w:gutter="0"/>
          <w:pgNumType w:fmt="decimal"/>
          <w:cols w:space="720" w:num="1"/>
          <w:rtlGutter w:val="0"/>
          <w:docGrid w:type="lines" w:linePitch="312" w:charSpace="0"/>
        </w:sect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722752A6">
      <w:pPr>
        <w:spacing w:line="320" w:lineRule="exact"/>
        <w:ind w:left="-2" w:leftChars="-1" w:firstLine="120" w:firstLineChars="5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附件五：中标结果通知书</w:t>
      </w:r>
    </w:p>
    <w:p w14:paraId="058C2A43">
      <w:pPr>
        <w:spacing w:line="201" w:lineRule="exact"/>
        <w:rPr>
          <w:rFonts w:hint="eastAsia" w:ascii="宋体" w:hAnsi="宋体" w:eastAsia="宋体" w:cs="宋体"/>
          <w:color w:val="000000" w:themeColor="text1"/>
          <w:sz w:val="24"/>
          <w:szCs w:val="24"/>
          <w:highlight w:val="none"/>
          <w14:textFill>
            <w14:solidFill>
              <w14:schemeClr w14:val="tx1"/>
            </w14:solidFill>
          </w14:textFill>
        </w:rPr>
      </w:pPr>
    </w:p>
    <w:p w14:paraId="03AFCDC7">
      <w:pPr>
        <w:spacing w:line="240" w:lineRule="auto"/>
        <w:jc w:val="cente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中标结果通知书</w:t>
      </w:r>
    </w:p>
    <w:p w14:paraId="16C14F93">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5F39F371">
      <w:pPr>
        <w:spacing w:line="379" w:lineRule="exact"/>
        <w:rPr>
          <w:rFonts w:hint="eastAsia" w:ascii="宋体" w:hAnsi="宋体" w:eastAsia="宋体" w:cs="宋体"/>
          <w:color w:val="000000" w:themeColor="text1"/>
          <w:sz w:val="24"/>
          <w:szCs w:val="24"/>
          <w:highlight w:val="none"/>
          <w14:textFill>
            <w14:solidFill>
              <w14:schemeClr w14:val="tx1"/>
            </w14:solidFill>
          </w14:textFill>
        </w:rPr>
      </w:pPr>
    </w:p>
    <w:p w14:paraId="57B7D85C">
      <w:pPr>
        <w:spacing w:line="379"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（未中标人名称）：</w:t>
      </w:r>
    </w:p>
    <w:p w14:paraId="2F47ABD0">
      <w:pPr>
        <w:spacing w:line="379" w:lineRule="exact"/>
        <w:rPr>
          <w:rFonts w:hint="eastAsia" w:ascii="宋体" w:hAnsi="宋体" w:eastAsia="宋体" w:cs="宋体"/>
          <w:color w:val="000000" w:themeColor="text1"/>
          <w:sz w:val="24"/>
          <w:szCs w:val="24"/>
          <w:highlight w:val="none"/>
          <w14:textFill>
            <w14:solidFill>
              <w14:schemeClr w14:val="tx1"/>
            </w14:solidFill>
          </w14:textFill>
        </w:rPr>
      </w:pPr>
    </w:p>
    <w:p w14:paraId="7B10DB97">
      <w:pPr>
        <w:spacing w:line="379"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我方已接受</w:t>
      </w:r>
      <w:r>
        <w:rPr>
          <w:rFonts w:hint="eastAsia" w:ascii="宋体" w:hAnsi="宋体" w:eastAsia="宋体" w:cs="宋体"/>
          <w:color w:val="000000" w:themeColor="text1"/>
          <w:w w:val="98"/>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（中标人名称）于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（投标日期）所递交的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（项目名称）招标的投标文件，确定</w:t>
      </w:r>
      <w:r>
        <w:rPr>
          <w:rFonts w:hint="eastAsia" w:ascii="宋体" w:hAnsi="宋体" w:eastAsia="宋体" w:cs="宋体"/>
          <w:color w:val="000000" w:themeColor="text1"/>
          <w:w w:val="99"/>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（中标人名称）为中标人。</w:t>
      </w:r>
    </w:p>
    <w:p w14:paraId="0DA29124">
      <w:pPr>
        <w:spacing w:line="379"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感谢你单位对招标项目的参与！</w:t>
      </w:r>
    </w:p>
    <w:p w14:paraId="76B23E7A">
      <w:pPr>
        <w:spacing w:line="379" w:lineRule="exact"/>
        <w:rPr>
          <w:rFonts w:hint="eastAsia" w:ascii="宋体" w:hAnsi="宋体" w:eastAsia="宋体" w:cs="宋体"/>
          <w:color w:val="000000" w:themeColor="text1"/>
          <w:sz w:val="24"/>
          <w:szCs w:val="24"/>
          <w:highlight w:val="none"/>
          <w14:textFill>
            <w14:solidFill>
              <w14:schemeClr w14:val="tx1"/>
            </w14:solidFill>
          </w14:textFill>
        </w:rPr>
      </w:pPr>
    </w:p>
    <w:p w14:paraId="664B1B55">
      <w:pPr>
        <w:spacing w:line="379"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4BA2D927">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5498B980">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5FB8DB32">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7E7366FB">
      <w:pPr>
        <w:spacing w:line="322" w:lineRule="exact"/>
        <w:rPr>
          <w:rFonts w:hint="eastAsia" w:ascii="宋体" w:hAnsi="宋体" w:eastAsia="宋体" w:cs="宋体"/>
          <w:color w:val="000000" w:themeColor="text1"/>
          <w:sz w:val="24"/>
          <w:szCs w:val="24"/>
          <w:highlight w:val="none"/>
          <w14:textFill>
            <w14:solidFill>
              <w14:schemeClr w14:val="tx1"/>
            </w14:solidFill>
          </w14:textFill>
        </w:rPr>
      </w:pPr>
    </w:p>
    <w:p w14:paraId="6DDFF4DF">
      <w:pPr>
        <w:ind w:firstLine="1800" w:firstLineChars="750"/>
        <w:rPr>
          <w:rFonts w:hint="eastAsia" w:ascii="宋体" w:hAnsi="宋体" w:eastAsia="宋体" w:cs="宋体"/>
          <w:color w:val="000000" w:themeColor="text1"/>
          <w:sz w:val="24"/>
          <w:szCs w:val="24"/>
          <w:highlight w:val="none"/>
          <w14:textFill>
            <w14:solidFill>
              <w14:schemeClr w14:val="tx1"/>
            </w14:solidFill>
          </w14:textFill>
        </w:rPr>
      </w:pPr>
    </w:p>
    <w:p w14:paraId="22E42D46">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采  购  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（单位盖章）</w:t>
      </w:r>
    </w:p>
    <w:p w14:paraId="6F9948C3">
      <w:pPr>
        <w:tabs>
          <w:tab w:val="left" w:pos="6420"/>
        </w:tabs>
        <w:spacing w:line="48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008676C5">
      <w:pPr>
        <w:tabs>
          <w:tab w:val="left" w:pos="6420"/>
        </w:tabs>
        <w:spacing w:line="480" w:lineRule="auto"/>
        <w:ind w:firstLine="1680" w:firstLineChars="700"/>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法定代表人：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（签字或盖章）</w:t>
      </w:r>
    </w:p>
    <w:p w14:paraId="47C27F0B">
      <w:pPr>
        <w:spacing w:line="20" w:lineRule="exact"/>
        <w:rPr>
          <w:rFonts w:hint="eastAsia" w:ascii="宋体" w:hAnsi="宋体" w:eastAsia="宋体" w:cs="宋体"/>
          <w:color w:val="000000" w:themeColor="text1"/>
          <w:sz w:val="24"/>
          <w:szCs w:val="24"/>
          <w:highlight w:val="none"/>
          <w14:textFill>
            <w14:solidFill>
              <w14:schemeClr w14:val="tx1"/>
            </w14:solidFill>
          </w14:textFill>
        </w:rPr>
      </w:pPr>
    </w:p>
    <w:p w14:paraId="32A01F8D">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6871F8F9">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53FC3A06">
      <w:pPr>
        <w:spacing w:line="219" w:lineRule="exact"/>
        <w:rPr>
          <w:rFonts w:hint="eastAsia" w:ascii="宋体" w:hAnsi="宋体" w:eastAsia="宋体" w:cs="宋体"/>
          <w:color w:val="000000" w:themeColor="text1"/>
          <w:sz w:val="24"/>
          <w:szCs w:val="24"/>
          <w:highlight w:val="none"/>
          <w14:textFill>
            <w14:solidFill>
              <w14:schemeClr w14:val="tx1"/>
            </w14:solidFill>
          </w14:textFill>
        </w:rPr>
      </w:pPr>
    </w:p>
    <w:p w14:paraId="1C550664">
      <w:pPr>
        <w:pStyle w:val="18"/>
        <w:rPr>
          <w:rFonts w:hint="eastAsia" w:ascii="宋体" w:hAnsi="宋体" w:eastAsia="宋体" w:cs="宋体"/>
          <w:color w:val="000000" w:themeColor="text1"/>
          <w:sz w:val="24"/>
          <w:szCs w:val="24"/>
          <w:highlight w:val="none"/>
          <w14:textFill>
            <w14:solidFill>
              <w14:schemeClr w14:val="tx1"/>
            </w14:solidFill>
          </w14:textFill>
        </w:rPr>
        <w:sectPr>
          <w:pgSz w:w="11906" w:h="16838"/>
          <w:pgMar w:top="1440" w:right="1800" w:bottom="1440" w:left="1800" w:header="1140" w:footer="720" w:gutter="0"/>
          <w:pgNumType w:fmt="decimal"/>
          <w:cols w:space="720" w:num="1"/>
          <w:rtlGutter w:val="0"/>
          <w:docGrid w:type="lines" w:linePitch="312" w:charSpace="0"/>
        </w:sect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14:textFill>
            <w14:solidFill>
              <w14:schemeClr w14:val="tx1"/>
            </w14:solidFill>
          </w14:textFill>
        </w:rPr>
        <w:br w:type="page"/>
      </w:r>
    </w:p>
    <w:p w14:paraId="27B6A74F">
      <w:pPr>
        <w:spacing w:line="320" w:lineRule="exact"/>
        <w:ind w:left="-2" w:leftChars="-1" w:firstLine="120" w:firstLineChars="5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附件六：确认通知</w:t>
      </w:r>
    </w:p>
    <w:p w14:paraId="1F43AA76">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0E23B9AB">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7C4034DE">
      <w:pPr>
        <w:spacing w:line="240" w:lineRule="auto"/>
        <w:jc w:val="cente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确认通知</w:t>
      </w:r>
    </w:p>
    <w:p w14:paraId="0AA8D292">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3DCA2CE3">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7BE51C2A">
      <w:pPr>
        <w:spacing w:line="379"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（采购人名称）：</w:t>
      </w:r>
    </w:p>
    <w:p w14:paraId="5D494B58">
      <w:pPr>
        <w:spacing w:line="379" w:lineRule="exact"/>
        <w:rPr>
          <w:rFonts w:hint="eastAsia" w:ascii="宋体" w:hAnsi="宋体" w:eastAsia="宋体" w:cs="宋体"/>
          <w:color w:val="000000" w:themeColor="text1"/>
          <w:sz w:val="24"/>
          <w:szCs w:val="24"/>
          <w:highlight w:val="none"/>
          <w14:textFill>
            <w14:solidFill>
              <w14:schemeClr w14:val="tx1"/>
            </w14:solidFill>
          </w14:textFill>
        </w:rPr>
      </w:pPr>
    </w:p>
    <w:p w14:paraId="4E9DAE04">
      <w:pPr>
        <w:spacing w:line="379" w:lineRule="exact"/>
        <w:rPr>
          <w:rFonts w:hint="eastAsia" w:ascii="宋体" w:hAnsi="宋体" w:eastAsia="宋体" w:cs="宋体"/>
          <w:color w:val="000000" w:themeColor="text1"/>
          <w:sz w:val="24"/>
          <w:szCs w:val="24"/>
          <w:highlight w:val="none"/>
          <w14:textFill>
            <w14:solidFill>
              <w14:schemeClr w14:val="tx1"/>
            </w14:solidFill>
          </w14:textFill>
        </w:rPr>
      </w:pPr>
    </w:p>
    <w:p w14:paraId="45A190B1">
      <w:pPr>
        <w:spacing w:line="379"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你方于 </w:t>
      </w:r>
      <w:r>
        <w:rPr>
          <w:rFonts w:hint="eastAsia" w:ascii="宋体" w:hAnsi="宋体" w:eastAsia="宋体" w:cs="宋体"/>
          <w:color w:val="000000" w:themeColor="text1"/>
          <w:w w:val="98"/>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w w:val="98"/>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w w:val="98"/>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日发出的 </w:t>
      </w:r>
      <w:r>
        <w:rPr>
          <w:rFonts w:hint="eastAsia" w:ascii="宋体" w:hAnsi="宋体" w:eastAsia="宋体" w:cs="宋体"/>
          <w:color w:val="000000" w:themeColor="text1"/>
          <w:w w:val="97"/>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（项目名称）招标关于</w:t>
      </w:r>
      <w:r>
        <w:rPr>
          <w:rFonts w:hint="eastAsia" w:ascii="宋体" w:hAnsi="宋体" w:eastAsia="宋体" w:cs="宋体"/>
          <w:color w:val="000000" w:themeColor="text1"/>
          <w:sz w:val="24"/>
          <w:szCs w:val="24"/>
          <w:highlight w:val="none"/>
          <w:u w:val="single"/>
          <w14:textFill>
            <w14:solidFill>
              <w14:schemeClr w14:val="tx1"/>
            </w14:solidFill>
          </w14:textFill>
        </w:rPr>
        <w:t>招标文件的澄清/修改</w:t>
      </w:r>
      <w:r>
        <w:rPr>
          <w:rFonts w:hint="eastAsia" w:ascii="宋体" w:hAnsi="宋体" w:eastAsia="宋体" w:cs="宋体"/>
          <w:color w:val="000000" w:themeColor="text1"/>
          <w:sz w:val="24"/>
          <w:szCs w:val="24"/>
          <w:highlight w:val="none"/>
          <w14:textFill>
            <w14:solidFill>
              <w14:schemeClr w14:val="tx1"/>
            </w14:solidFill>
          </w14:textFill>
        </w:rPr>
        <w:t>的通知，我方已于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日收到。</w:t>
      </w:r>
    </w:p>
    <w:p w14:paraId="6AB31BF9">
      <w:pPr>
        <w:spacing w:line="379"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特此确认。</w:t>
      </w:r>
    </w:p>
    <w:p w14:paraId="32D6FA7C">
      <w:pPr>
        <w:spacing w:line="379" w:lineRule="exact"/>
        <w:rPr>
          <w:rFonts w:hint="eastAsia" w:ascii="宋体" w:hAnsi="宋体" w:eastAsia="宋体" w:cs="宋体"/>
          <w:color w:val="000000" w:themeColor="text1"/>
          <w:sz w:val="24"/>
          <w:szCs w:val="24"/>
          <w:highlight w:val="none"/>
          <w14:textFill>
            <w14:solidFill>
              <w14:schemeClr w14:val="tx1"/>
            </w14:solidFill>
          </w14:textFill>
        </w:rPr>
      </w:pPr>
    </w:p>
    <w:p w14:paraId="4286E449">
      <w:pPr>
        <w:spacing w:line="379" w:lineRule="exact"/>
        <w:rPr>
          <w:rFonts w:hint="eastAsia" w:ascii="宋体" w:hAnsi="宋体" w:eastAsia="宋体" w:cs="宋体"/>
          <w:color w:val="000000" w:themeColor="text1"/>
          <w:sz w:val="24"/>
          <w:szCs w:val="24"/>
          <w:highlight w:val="none"/>
          <w14:textFill>
            <w14:solidFill>
              <w14:schemeClr w14:val="tx1"/>
            </w14:solidFill>
          </w14:textFill>
        </w:rPr>
      </w:pPr>
    </w:p>
    <w:p w14:paraId="7C84CB57">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0FECBDCC">
      <w:pPr>
        <w:spacing w:line="200" w:lineRule="exact"/>
        <w:rPr>
          <w:rFonts w:hint="eastAsia" w:ascii="宋体" w:hAnsi="宋体" w:eastAsia="宋体" w:cs="宋体"/>
          <w:color w:val="000000" w:themeColor="text1"/>
          <w:sz w:val="24"/>
          <w:szCs w:val="24"/>
          <w:highlight w:val="none"/>
          <w14:textFill>
            <w14:solidFill>
              <w14:schemeClr w14:val="tx1"/>
            </w14:solidFill>
          </w14:textFill>
        </w:rPr>
      </w:pPr>
    </w:p>
    <w:p w14:paraId="2EF85159">
      <w:pPr>
        <w:spacing w:line="339" w:lineRule="exact"/>
        <w:rPr>
          <w:rFonts w:hint="eastAsia" w:ascii="宋体" w:hAnsi="宋体" w:eastAsia="宋体" w:cs="宋体"/>
          <w:color w:val="000000" w:themeColor="text1"/>
          <w:sz w:val="24"/>
          <w:szCs w:val="24"/>
          <w:highlight w:val="none"/>
          <w14:textFill>
            <w14:solidFill>
              <w14:schemeClr w14:val="tx1"/>
            </w14:solidFill>
          </w14:textFill>
        </w:rPr>
      </w:pPr>
    </w:p>
    <w:p w14:paraId="11DF1C09">
      <w:pPr>
        <w:tabs>
          <w:tab w:val="left" w:pos="7380"/>
        </w:tabs>
        <w:spacing w:line="240" w:lineRule="exact"/>
        <w:ind w:left="27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（盖单位章）</w:t>
      </w:r>
    </w:p>
    <w:p w14:paraId="483C6D2A">
      <w:pPr>
        <w:spacing w:line="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2296795</wp:posOffset>
                </wp:positionH>
                <wp:positionV relativeFrom="paragraph">
                  <wp:posOffset>6350</wp:posOffset>
                </wp:positionV>
                <wp:extent cx="2397760" cy="0"/>
                <wp:effectExtent l="0" t="0" r="0" b="0"/>
                <wp:wrapNone/>
                <wp:docPr id="36" name="直接连接符 36"/>
                <wp:cNvGraphicFramePr/>
                <a:graphic xmlns:a="http://schemas.openxmlformats.org/drawingml/2006/main">
                  <a:graphicData uri="http://schemas.microsoft.com/office/word/2010/wordprocessingShape">
                    <wps:wsp>
                      <wps:cNvCnPr/>
                      <wps:spPr>
                        <a:xfrm>
                          <a:off x="0" y="0"/>
                          <a:ext cx="239776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0.85pt;margin-top:0.5pt;height:0pt;width:188.8pt;z-index:-251655168;mso-width-relative:page;mso-height-relative:page;" filled="f" stroked="t" coordsize="21600,21600" o:gfxdata="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COGNrTAAAABwEAAA8AAAAAAAAAAQAgAAAAIgAAAGRycy9kb3ducmV2LnhtbFBLAQIU&#10;ABQAAAAIAIdO4kAU7+QW+AEAAOYDAAAOAAAAAAAAAAEAIAAAACIBAABkcnMvZTJvRG9jLnhtbFBL&#10;BQYAAAAABgAGAFkBAACMBQAAAAA=&#10;">
                <v:fill on="f" focussize="0,0"/>
                <v:stroke weight="0.72pt" color="#000000" joinstyle="round"/>
                <v:imagedata o:title=""/>
                <o:lock v:ext="edit" aspectratio="f"/>
              </v:line>
            </w:pict>
          </mc:Fallback>
        </mc:AlternateContent>
      </w:r>
    </w:p>
    <w:p w14:paraId="7E5B887B">
      <w:pPr>
        <w:spacing w:line="285" w:lineRule="exact"/>
        <w:rPr>
          <w:rFonts w:hint="eastAsia" w:ascii="宋体" w:hAnsi="宋体" w:eastAsia="宋体" w:cs="宋体"/>
          <w:color w:val="000000" w:themeColor="text1"/>
          <w:sz w:val="24"/>
          <w:szCs w:val="24"/>
          <w:highlight w:val="none"/>
          <w14:textFill>
            <w14:solidFill>
              <w14:schemeClr w14:val="tx1"/>
            </w14:solidFill>
          </w14:textFill>
        </w:rPr>
      </w:pPr>
    </w:p>
    <w:p w14:paraId="55BFA803">
      <w:pPr>
        <w:tabs>
          <w:tab w:val="left" w:pos="6120"/>
        </w:tabs>
        <w:spacing w:line="240" w:lineRule="exact"/>
        <w:ind w:left="27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法定代表人或其委托代理人：</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（签字）</w:t>
      </w:r>
    </w:p>
    <w:p w14:paraId="6C26CC2A">
      <w:pPr>
        <w:tabs>
          <w:tab w:val="left" w:pos="6120"/>
        </w:tabs>
        <w:spacing w:line="240" w:lineRule="exact"/>
        <w:ind w:left="2780" w:firstLine="720" w:firstLineChars="300"/>
        <w:rPr>
          <w:rFonts w:hint="eastAsia" w:ascii="宋体" w:hAnsi="宋体" w:eastAsia="宋体" w:cs="宋体"/>
          <w:color w:val="000000" w:themeColor="text1"/>
          <w:sz w:val="24"/>
          <w:szCs w:val="24"/>
          <w:highlight w:val="none"/>
          <w14:textFill>
            <w14:solidFill>
              <w14:schemeClr w14:val="tx1"/>
            </w14:solidFill>
          </w14:textFill>
        </w:rPr>
      </w:pPr>
    </w:p>
    <w:p w14:paraId="609D7F02">
      <w:pPr>
        <w:tabs>
          <w:tab w:val="left" w:pos="6120"/>
        </w:tabs>
        <w:spacing w:line="240" w:lineRule="exact"/>
        <w:ind w:left="2780" w:firstLine="720" w:firstLineChars="3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2206AFAA">
      <w:pPr>
        <w:tabs>
          <w:tab w:val="left" w:pos="6120"/>
        </w:tabs>
        <w:spacing w:line="240" w:lineRule="exact"/>
        <w:ind w:left="2780" w:firstLine="720" w:firstLineChars="300"/>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年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月</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日</w:t>
      </w:r>
    </w:p>
    <w:p w14:paraId="7D359F7F">
      <w:pPr>
        <w:pStyle w:val="18"/>
        <w:rPr>
          <w:rFonts w:hint="eastAsia" w:ascii="宋体" w:hAnsi="宋体" w:eastAsia="宋体" w:cs="宋体"/>
          <w:color w:val="000000" w:themeColor="text1"/>
          <w:sz w:val="24"/>
          <w:szCs w:val="24"/>
          <w:highlight w:val="none"/>
          <w14:textFill>
            <w14:solidFill>
              <w14:schemeClr w14:val="tx1"/>
            </w14:solidFill>
          </w14:textFill>
        </w:rPr>
        <w:sectPr>
          <w:pgSz w:w="11906" w:h="16838"/>
          <w:pgMar w:top="1440" w:right="1800" w:bottom="1440" w:left="1800" w:header="1140" w:footer="720" w:gutter="0"/>
          <w:pgNumType w:fmt="decimal"/>
          <w:cols w:space="720" w:num="1"/>
          <w:rtlGutter w:val="0"/>
          <w:docGrid w:type="lines" w:linePitch="312" w:charSpace="0"/>
        </w:sectPr>
      </w:pPr>
      <w:r>
        <w:rPr>
          <w:rFonts w:hint="eastAsia" w:ascii="宋体" w:hAnsi="宋体" w:eastAsia="宋体" w:cs="宋体"/>
          <w:color w:val="000000" w:themeColor="text1"/>
          <w:sz w:val="24"/>
          <w:szCs w:val="24"/>
          <w:highlight w:val="none"/>
          <w14:textFill>
            <w14:solidFill>
              <w14:schemeClr w14:val="tx1"/>
            </w14:solidFill>
          </w14:textFill>
        </w:rPr>
        <w:br w:type="page"/>
      </w:r>
    </w:p>
    <w:p w14:paraId="75E8AB93">
      <w:pPr>
        <w:pStyle w:val="3"/>
        <w:keepNext/>
        <w:keepLines/>
        <w:pageBreakBefore w:val="0"/>
        <w:widowControl w:val="0"/>
        <w:kinsoku/>
        <w:wordWrap/>
        <w:overflowPunct/>
        <w:topLinePunct w:val="0"/>
        <w:autoSpaceDE/>
        <w:autoSpaceDN/>
        <w:bidi w:val="0"/>
        <w:adjustRightInd/>
        <w:snapToGrid/>
        <w:spacing w:before="0" w:after="0" w:line="500" w:lineRule="exact"/>
        <w:jc w:val="center"/>
        <w:textAlignment w:val="auto"/>
        <w:rPr>
          <w:rFonts w:hint="eastAsia" w:ascii="宋体" w:hAnsi="宋体" w:eastAsia="宋体" w:cs="宋体"/>
          <w:b/>
          <w:bCs/>
          <w:color w:val="000000" w:themeColor="text1"/>
          <w:sz w:val="36"/>
          <w:szCs w:val="36"/>
          <w:highlight w:val="none"/>
          <w14:textFill>
            <w14:solidFill>
              <w14:schemeClr w14:val="tx1"/>
            </w14:solidFill>
          </w14:textFill>
        </w:rPr>
      </w:pPr>
      <w:bookmarkStart w:id="26" w:name="_Toc26815"/>
      <w:r>
        <w:rPr>
          <w:rFonts w:hint="eastAsia" w:ascii="宋体" w:hAnsi="宋体" w:eastAsia="宋体" w:cs="宋体"/>
          <w:b/>
          <w:bCs/>
          <w:color w:val="000000" w:themeColor="text1"/>
          <w:sz w:val="36"/>
          <w:szCs w:val="36"/>
          <w:highlight w:val="none"/>
          <w14:textFill>
            <w14:solidFill>
              <w14:schemeClr w14:val="tx1"/>
            </w14:solidFill>
          </w14:textFill>
        </w:rPr>
        <w:t>第三章 评标办法</w:t>
      </w:r>
      <w:bookmarkEnd w:id="25"/>
      <w:bookmarkEnd w:id="26"/>
    </w:p>
    <w:p w14:paraId="4C8F4839">
      <w:pPr>
        <w:pStyle w:val="88"/>
        <w:keepNext w:val="0"/>
        <w:keepLines w:val="0"/>
        <w:pageBreakBefore w:val="0"/>
        <w:widowControl w:val="0"/>
        <w:kinsoku/>
        <w:wordWrap/>
        <w:overflowPunct/>
        <w:topLinePunct w:val="0"/>
        <w:autoSpaceDE/>
        <w:autoSpaceDN/>
        <w:bidi w:val="0"/>
        <w:adjustRightInd/>
        <w:snapToGrid/>
        <w:spacing w:line="500" w:lineRule="exact"/>
        <w:ind w:left="102" w:right="102"/>
        <w:jc w:val="center"/>
        <w:textAlignment w:val="auto"/>
        <w:outlineLvl w:val="1"/>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一、</w:t>
      </w:r>
      <w:r>
        <w:rPr>
          <w:rFonts w:hint="eastAsia" w:ascii="宋体" w:hAnsi="宋体" w:eastAsia="宋体" w:cs="宋体"/>
          <w:color w:val="000000" w:themeColor="text1"/>
          <w:highlight w:val="none"/>
          <w14:textFill>
            <w14:solidFill>
              <w14:schemeClr w14:val="tx1"/>
            </w14:solidFill>
          </w14:textFill>
        </w:rPr>
        <w:t>评标办法前附表</w:t>
      </w:r>
    </w:p>
    <w:p w14:paraId="2F197CE2">
      <w:pPr>
        <w:spacing w:line="360" w:lineRule="auto"/>
        <w:jc w:val="center"/>
        <w:outlineLvl w:val="9"/>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（所有评审中要求的材料，复印件装订在</w:t>
      </w:r>
      <w:r>
        <w:rPr>
          <w:rFonts w:hint="eastAsia" w:ascii="宋体" w:hAnsi="宋体" w:eastAsia="宋体" w:cs="宋体"/>
          <w:b/>
          <w:bCs/>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b/>
          <w:bCs/>
          <w:color w:val="000000" w:themeColor="text1"/>
          <w:sz w:val="24"/>
          <w:szCs w:val="24"/>
          <w:highlight w:val="none"/>
          <w14:textFill>
            <w14:solidFill>
              <w14:schemeClr w14:val="tx1"/>
            </w14:solidFill>
          </w14:textFill>
        </w:rPr>
        <w:t>中。）</w:t>
      </w:r>
    </w:p>
    <w:tbl>
      <w:tblPr>
        <w:tblStyle w:val="36"/>
        <w:tblW w:w="8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241"/>
        <w:gridCol w:w="1923"/>
        <w:gridCol w:w="4512"/>
      </w:tblGrid>
      <w:tr w14:paraId="60D12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14:paraId="033FA386">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条款号</w:t>
            </w:r>
          </w:p>
        </w:tc>
        <w:tc>
          <w:tcPr>
            <w:tcW w:w="1923" w:type="dxa"/>
            <w:tcBorders>
              <w:top w:val="single" w:color="auto" w:sz="4" w:space="0"/>
              <w:left w:val="nil"/>
              <w:bottom w:val="single" w:color="auto" w:sz="4" w:space="0"/>
              <w:right w:val="single" w:color="auto" w:sz="4" w:space="0"/>
            </w:tcBorders>
            <w:vAlign w:val="center"/>
          </w:tcPr>
          <w:p w14:paraId="7E7B610C">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评审因素</w:t>
            </w:r>
          </w:p>
        </w:tc>
        <w:tc>
          <w:tcPr>
            <w:tcW w:w="4512" w:type="dxa"/>
            <w:tcBorders>
              <w:top w:val="single" w:color="auto" w:sz="4" w:space="0"/>
              <w:left w:val="nil"/>
              <w:bottom w:val="single" w:color="auto" w:sz="4" w:space="0"/>
              <w:right w:val="single" w:color="auto" w:sz="4" w:space="0"/>
            </w:tcBorders>
            <w:vAlign w:val="center"/>
          </w:tcPr>
          <w:p w14:paraId="4CEEB86B">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评审标准</w:t>
            </w:r>
          </w:p>
        </w:tc>
      </w:tr>
      <w:tr w14:paraId="0AF0C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59" w:type="dxa"/>
            <w:vMerge w:val="restart"/>
            <w:tcBorders>
              <w:top w:val="nil"/>
              <w:left w:val="single" w:color="auto" w:sz="4" w:space="0"/>
              <w:bottom w:val="single" w:color="auto" w:sz="4" w:space="0"/>
              <w:right w:val="single" w:color="auto" w:sz="4" w:space="0"/>
            </w:tcBorders>
            <w:vAlign w:val="center"/>
          </w:tcPr>
          <w:p w14:paraId="72ADC855">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w:t>
            </w:r>
          </w:p>
        </w:tc>
        <w:tc>
          <w:tcPr>
            <w:tcW w:w="1241" w:type="dxa"/>
            <w:vMerge w:val="restart"/>
            <w:tcBorders>
              <w:top w:val="nil"/>
              <w:left w:val="nil"/>
              <w:bottom w:val="single" w:color="auto" w:sz="4" w:space="0"/>
              <w:right w:val="single" w:color="auto" w:sz="4" w:space="0"/>
            </w:tcBorders>
            <w:vAlign w:val="center"/>
          </w:tcPr>
          <w:p w14:paraId="592818F3">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形式评审标准</w:t>
            </w:r>
          </w:p>
        </w:tc>
        <w:tc>
          <w:tcPr>
            <w:tcW w:w="1923" w:type="dxa"/>
            <w:tcBorders>
              <w:top w:val="single" w:color="auto" w:sz="4" w:space="0"/>
              <w:left w:val="nil"/>
              <w:bottom w:val="single" w:color="auto" w:sz="4" w:space="0"/>
              <w:right w:val="single" w:color="auto" w:sz="4" w:space="0"/>
            </w:tcBorders>
            <w:vAlign w:val="center"/>
          </w:tcPr>
          <w:p w14:paraId="47565D47">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供应商名称</w:t>
            </w:r>
          </w:p>
        </w:tc>
        <w:tc>
          <w:tcPr>
            <w:tcW w:w="4512" w:type="dxa"/>
            <w:tcBorders>
              <w:top w:val="single" w:color="auto" w:sz="4" w:space="0"/>
              <w:left w:val="nil"/>
              <w:bottom w:val="single" w:color="auto" w:sz="4" w:space="0"/>
              <w:right w:val="single" w:color="auto" w:sz="4" w:space="0"/>
            </w:tcBorders>
            <w:vAlign w:val="center"/>
          </w:tcPr>
          <w:p w14:paraId="2536962C">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与营业执照</w:t>
            </w:r>
            <w:r>
              <w:rPr>
                <w:rFonts w:hint="eastAsia" w:ascii="宋体" w:hAnsi="宋体" w:eastAsia="宋体" w:cs="宋体"/>
                <w:color w:val="000000" w:themeColor="text1"/>
                <w:sz w:val="24"/>
                <w:szCs w:val="24"/>
                <w:highlight w:val="none"/>
                <w:lang w:eastAsia="zh-CN"/>
                <w14:textFill>
                  <w14:solidFill>
                    <w14:schemeClr w14:val="tx1"/>
                  </w14:solidFill>
                </w14:textFill>
              </w:rPr>
              <w:t>、资质证书</w:t>
            </w:r>
            <w:r>
              <w:rPr>
                <w:rFonts w:hint="eastAsia" w:ascii="宋体" w:hAnsi="宋体" w:eastAsia="宋体" w:cs="宋体"/>
                <w:color w:val="000000" w:themeColor="text1"/>
                <w:sz w:val="24"/>
                <w:szCs w:val="24"/>
                <w:highlight w:val="none"/>
                <w14:textFill>
                  <w14:solidFill>
                    <w14:schemeClr w14:val="tx1"/>
                  </w14:solidFill>
                </w14:textFill>
              </w:rPr>
              <w:t>一致。</w:t>
            </w:r>
          </w:p>
        </w:tc>
      </w:tr>
      <w:tr w14:paraId="0FD44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5" w:hRule="atLeast"/>
          <w:jc w:val="center"/>
        </w:trPr>
        <w:tc>
          <w:tcPr>
            <w:tcW w:w="859" w:type="dxa"/>
            <w:vMerge w:val="continue"/>
            <w:tcBorders>
              <w:top w:val="nil"/>
              <w:left w:val="single" w:color="auto" w:sz="4" w:space="0"/>
              <w:bottom w:val="single" w:color="auto" w:sz="4" w:space="0"/>
              <w:right w:val="single" w:color="auto" w:sz="4" w:space="0"/>
            </w:tcBorders>
            <w:vAlign w:val="center"/>
          </w:tcPr>
          <w:p w14:paraId="39F55B7F">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41" w:type="dxa"/>
            <w:vMerge w:val="continue"/>
            <w:tcBorders>
              <w:top w:val="nil"/>
              <w:left w:val="nil"/>
              <w:bottom w:val="single" w:color="auto" w:sz="4" w:space="0"/>
              <w:right w:val="single" w:color="auto" w:sz="4" w:space="0"/>
            </w:tcBorders>
            <w:vAlign w:val="center"/>
          </w:tcPr>
          <w:p w14:paraId="2175FEEF">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923" w:type="dxa"/>
            <w:tcBorders>
              <w:top w:val="single" w:color="auto" w:sz="4" w:space="0"/>
              <w:left w:val="nil"/>
              <w:bottom w:val="single" w:color="auto" w:sz="4" w:space="0"/>
              <w:right w:val="single" w:color="auto" w:sz="4" w:space="0"/>
            </w:tcBorders>
            <w:vAlign w:val="center"/>
          </w:tcPr>
          <w:p w14:paraId="12AE2A48">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签字或盖章要求</w:t>
            </w:r>
          </w:p>
        </w:tc>
        <w:tc>
          <w:tcPr>
            <w:tcW w:w="4512" w:type="dxa"/>
            <w:tcBorders>
              <w:top w:val="single" w:color="auto" w:sz="4" w:space="0"/>
              <w:left w:val="nil"/>
              <w:bottom w:val="single" w:color="auto" w:sz="4" w:space="0"/>
              <w:right w:val="single" w:color="auto" w:sz="4" w:space="0"/>
            </w:tcBorders>
            <w:vAlign w:val="top"/>
          </w:tcPr>
          <w:p w14:paraId="4ABCF2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t>投标文件</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封面、</w:t>
            </w:r>
            <w:r>
              <w:rPr>
                <w:rFonts w:hint="eastAsia" w:ascii="宋体" w:hAnsi="宋体" w:eastAsia="宋体" w:cs="宋体"/>
                <w:b w:val="0"/>
                <w:bCs w:val="0"/>
                <w:color w:val="000000" w:themeColor="text1"/>
                <w:spacing w:val="0"/>
                <w:w w:val="100"/>
                <w:position w:val="0"/>
                <w:sz w:val="24"/>
                <w:szCs w:val="24"/>
                <w:highlight w:val="none"/>
                <w:lang w:val="en-US" w:eastAsia="zh-CN"/>
                <w14:textFill>
                  <w14:solidFill>
                    <w14:schemeClr w14:val="tx1"/>
                  </w14:solidFill>
                </w14:textFill>
              </w:rPr>
              <w:t>投标</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函和其他需要签字或盖章的地方均应加盖供</w:t>
            </w:r>
            <w:r>
              <w:rPr>
                <w:rFonts w:hint="eastAsia" w:ascii="宋体" w:hAnsi="宋体" w:eastAsia="宋体" w:cs="宋体"/>
                <w:color w:val="000000" w:themeColor="text1"/>
                <w:sz w:val="24"/>
                <w:szCs w:val="24"/>
                <w:highlight w:val="none"/>
                <w14:textFill>
                  <w14:solidFill>
                    <w14:schemeClr w14:val="tx1"/>
                  </w14:solidFill>
                </w14:textFill>
              </w:rPr>
              <w:t>应商印章并经法定代表人或其委托代理人签字或盖章。由委托代理人签字或盖章的在</w:t>
            </w:r>
            <w:r>
              <w:rPr>
                <w:rFonts w:hint="eastAsia" w:ascii="宋体" w:hAnsi="宋体" w:eastAsia="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中须同时递交</w:t>
            </w:r>
            <w:r>
              <w:rPr>
                <w:rFonts w:hint="eastAsia" w:ascii="宋体" w:hAnsi="宋体" w:eastAsia="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授权委托书。</w:t>
            </w:r>
            <w:r>
              <w:rPr>
                <w:rFonts w:hint="eastAsia" w:ascii="宋体" w:hAnsi="宋体" w:eastAsia="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授权委托书格式、签字、盖章及内容均应符合要求，否则</w:t>
            </w:r>
            <w:r>
              <w:rPr>
                <w:rFonts w:hint="eastAsia" w:ascii="宋体" w:hAnsi="宋体" w:eastAsia="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授权委托书无效。</w:t>
            </w:r>
          </w:p>
        </w:tc>
      </w:tr>
      <w:tr w14:paraId="271F5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59" w:type="dxa"/>
            <w:vMerge w:val="continue"/>
            <w:tcBorders>
              <w:top w:val="nil"/>
              <w:left w:val="single" w:color="auto" w:sz="4" w:space="0"/>
              <w:bottom w:val="single" w:color="auto" w:sz="4" w:space="0"/>
              <w:right w:val="single" w:color="auto" w:sz="4" w:space="0"/>
            </w:tcBorders>
            <w:vAlign w:val="center"/>
          </w:tcPr>
          <w:p w14:paraId="3EC2DD7A">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41" w:type="dxa"/>
            <w:vMerge w:val="continue"/>
            <w:tcBorders>
              <w:top w:val="nil"/>
              <w:left w:val="nil"/>
              <w:bottom w:val="single" w:color="auto" w:sz="4" w:space="0"/>
              <w:right w:val="single" w:color="auto" w:sz="4" w:space="0"/>
            </w:tcBorders>
            <w:vAlign w:val="center"/>
          </w:tcPr>
          <w:p w14:paraId="0B1CBA2E">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923" w:type="dxa"/>
            <w:tcBorders>
              <w:top w:val="single" w:color="auto" w:sz="4" w:space="0"/>
              <w:left w:val="nil"/>
              <w:bottom w:val="single" w:color="auto" w:sz="4" w:space="0"/>
              <w:right w:val="single" w:color="auto" w:sz="4" w:space="0"/>
            </w:tcBorders>
            <w:vAlign w:val="center"/>
          </w:tcPr>
          <w:p w14:paraId="08B47DBD">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投标文件格式</w:t>
            </w:r>
          </w:p>
        </w:tc>
        <w:tc>
          <w:tcPr>
            <w:tcW w:w="4512" w:type="dxa"/>
            <w:tcBorders>
              <w:top w:val="single" w:color="auto" w:sz="4" w:space="0"/>
              <w:left w:val="nil"/>
              <w:bottom w:val="single" w:color="auto" w:sz="4" w:space="0"/>
              <w:right w:val="single" w:color="auto" w:sz="4" w:space="0"/>
            </w:tcBorders>
            <w:vAlign w:val="center"/>
          </w:tcPr>
          <w:p w14:paraId="0F649848">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符合第六章“投标文件格式”的要求。</w:t>
            </w:r>
          </w:p>
        </w:tc>
      </w:tr>
      <w:tr w14:paraId="69526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859" w:type="dxa"/>
            <w:vMerge w:val="continue"/>
            <w:tcBorders>
              <w:top w:val="nil"/>
              <w:left w:val="single" w:color="auto" w:sz="4" w:space="0"/>
              <w:bottom w:val="single" w:color="auto" w:sz="4" w:space="0"/>
              <w:right w:val="single" w:color="auto" w:sz="4" w:space="0"/>
            </w:tcBorders>
            <w:vAlign w:val="center"/>
          </w:tcPr>
          <w:p w14:paraId="731F9C84">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41" w:type="dxa"/>
            <w:vMerge w:val="continue"/>
            <w:tcBorders>
              <w:top w:val="nil"/>
              <w:left w:val="nil"/>
              <w:bottom w:val="single" w:color="auto" w:sz="4" w:space="0"/>
              <w:right w:val="single" w:color="auto" w:sz="4" w:space="0"/>
            </w:tcBorders>
            <w:vAlign w:val="center"/>
          </w:tcPr>
          <w:p w14:paraId="25F4A8DD">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923" w:type="dxa"/>
            <w:tcBorders>
              <w:top w:val="single" w:color="auto" w:sz="4" w:space="0"/>
              <w:left w:val="nil"/>
              <w:bottom w:val="single" w:color="auto" w:sz="4" w:space="0"/>
              <w:right w:val="single" w:color="auto" w:sz="4" w:space="0"/>
            </w:tcBorders>
            <w:vAlign w:val="center"/>
          </w:tcPr>
          <w:p w14:paraId="1FF818B9">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报价唯一</w:t>
            </w:r>
          </w:p>
        </w:tc>
        <w:tc>
          <w:tcPr>
            <w:tcW w:w="4512" w:type="dxa"/>
            <w:tcBorders>
              <w:top w:val="single" w:color="auto" w:sz="4" w:space="0"/>
              <w:left w:val="nil"/>
              <w:bottom w:val="single" w:color="auto" w:sz="4" w:space="0"/>
              <w:right w:val="single" w:color="auto" w:sz="4" w:space="0"/>
            </w:tcBorders>
            <w:vAlign w:val="center"/>
          </w:tcPr>
          <w:p w14:paraId="3F77523C">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只能有一个有效报价。</w:t>
            </w:r>
          </w:p>
        </w:tc>
      </w:tr>
      <w:tr w14:paraId="0276D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jc w:val="center"/>
        </w:trPr>
        <w:tc>
          <w:tcPr>
            <w:tcW w:w="859" w:type="dxa"/>
            <w:vMerge w:val="restart"/>
            <w:tcBorders>
              <w:top w:val="nil"/>
              <w:left w:val="single" w:color="auto" w:sz="4" w:space="0"/>
              <w:right w:val="single" w:color="auto" w:sz="4" w:space="0"/>
            </w:tcBorders>
            <w:vAlign w:val="center"/>
          </w:tcPr>
          <w:p w14:paraId="5F3ED1D3">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w:t>
            </w:r>
          </w:p>
        </w:tc>
        <w:tc>
          <w:tcPr>
            <w:tcW w:w="1241" w:type="dxa"/>
            <w:vMerge w:val="restart"/>
            <w:tcBorders>
              <w:top w:val="nil"/>
              <w:left w:val="nil"/>
              <w:right w:val="single" w:color="auto" w:sz="4" w:space="0"/>
            </w:tcBorders>
            <w:vAlign w:val="center"/>
          </w:tcPr>
          <w:p w14:paraId="335E2A52">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资格评审</w:t>
            </w:r>
          </w:p>
          <w:p w14:paraId="135D2EC9">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标准</w:t>
            </w:r>
          </w:p>
        </w:tc>
        <w:tc>
          <w:tcPr>
            <w:tcW w:w="1923" w:type="dxa"/>
            <w:tcBorders>
              <w:top w:val="single" w:color="auto" w:sz="4" w:space="0"/>
              <w:left w:val="nil"/>
              <w:right w:val="single" w:color="auto" w:sz="4" w:space="0"/>
            </w:tcBorders>
            <w:vAlign w:val="center"/>
          </w:tcPr>
          <w:p w14:paraId="71C229DB">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营业执照</w:t>
            </w:r>
          </w:p>
        </w:tc>
        <w:tc>
          <w:tcPr>
            <w:tcW w:w="4512" w:type="dxa"/>
            <w:tcBorders>
              <w:top w:val="single" w:color="auto" w:sz="4" w:space="0"/>
              <w:left w:val="nil"/>
              <w:bottom w:val="single" w:color="auto" w:sz="4" w:space="0"/>
              <w:right w:val="single" w:color="auto" w:sz="4" w:space="0"/>
            </w:tcBorders>
            <w:vAlign w:val="center"/>
          </w:tcPr>
          <w:p w14:paraId="27446222">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符合第二章“</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须知</w:t>
            </w:r>
            <w:r>
              <w:rPr>
                <w:rFonts w:hint="eastAsia" w:ascii="宋体" w:hAnsi="宋体" w:eastAsia="宋体" w:cs="宋体"/>
                <w:color w:val="000000" w:themeColor="text1"/>
                <w:sz w:val="24"/>
                <w:szCs w:val="24"/>
                <w:highlight w:val="none"/>
                <w:lang w:eastAsia="zh-CN"/>
                <w14:textFill>
                  <w14:solidFill>
                    <w14:schemeClr w14:val="tx1"/>
                  </w14:solidFill>
                </w14:textFill>
              </w:rPr>
              <w:t>正文</w:t>
            </w:r>
            <w:r>
              <w:rPr>
                <w:rFonts w:hint="eastAsia" w:ascii="宋体" w:hAnsi="宋体" w:eastAsia="宋体" w:cs="宋体"/>
                <w:color w:val="000000" w:themeColor="text1"/>
                <w:sz w:val="24"/>
                <w:szCs w:val="24"/>
                <w:highlight w:val="none"/>
                <w14:textFill>
                  <w14:solidFill>
                    <w14:schemeClr w14:val="tx1"/>
                  </w14:solidFill>
                </w14:textFill>
              </w:rPr>
              <w:t>”第 3.5.1 项规定，具备有效的营业执照</w:t>
            </w:r>
            <w:r>
              <w:rPr>
                <w:rFonts w:hint="eastAsia" w:ascii="宋体" w:hAnsi="宋体" w:eastAsia="宋体" w:cs="宋体"/>
                <w:color w:val="000000" w:themeColor="text1"/>
                <w:sz w:val="24"/>
                <w:szCs w:val="24"/>
                <w:highlight w:val="none"/>
                <w:lang w:eastAsia="zh-CN"/>
                <w14:textFill>
                  <w14:solidFill>
                    <w14:schemeClr w14:val="tx1"/>
                  </w14:solidFill>
                </w14:textFill>
              </w:rPr>
              <w:t>副本</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须</w:t>
            </w:r>
            <w:r>
              <w:rPr>
                <w:rFonts w:hint="eastAsia" w:ascii="宋体" w:hAnsi="宋体" w:eastAsia="宋体" w:cs="宋体"/>
                <w:color w:val="000000" w:themeColor="text1"/>
                <w:sz w:val="24"/>
                <w:szCs w:val="24"/>
                <w:highlight w:val="none"/>
                <w14:textFill>
                  <w14:solidFill>
                    <w14:schemeClr w14:val="tx1"/>
                  </w14:solidFill>
                </w14:textFill>
              </w:rPr>
              <w:t>提供原件，标书内附复印件</w:t>
            </w:r>
            <w:r>
              <w:rPr>
                <w:rFonts w:hint="eastAsia" w:ascii="宋体" w:hAnsi="宋体" w:eastAsia="宋体" w:cs="宋体"/>
                <w:color w:val="000000" w:themeColor="text1"/>
                <w:sz w:val="24"/>
                <w:szCs w:val="24"/>
                <w:highlight w:val="none"/>
                <w:lang w:eastAsia="zh-CN"/>
                <w14:textFill>
                  <w14:solidFill>
                    <w14:schemeClr w14:val="tx1"/>
                  </w14:solidFill>
                </w14:textFill>
              </w:rPr>
              <w:t>加盖公章。</w:t>
            </w:r>
          </w:p>
        </w:tc>
      </w:tr>
      <w:tr w14:paraId="1F97C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0" w:hRule="atLeast"/>
          <w:jc w:val="center"/>
        </w:trPr>
        <w:tc>
          <w:tcPr>
            <w:tcW w:w="859" w:type="dxa"/>
            <w:vMerge w:val="continue"/>
            <w:tcBorders>
              <w:left w:val="single" w:color="auto" w:sz="4" w:space="0"/>
              <w:right w:val="single" w:color="auto" w:sz="4" w:space="0"/>
            </w:tcBorders>
            <w:vAlign w:val="center"/>
          </w:tcPr>
          <w:p w14:paraId="12A6B63F">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41" w:type="dxa"/>
            <w:vMerge w:val="continue"/>
            <w:tcBorders>
              <w:left w:val="nil"/>
              <w:right w:val="single" w:color="auto" w:sz="4" w:space="0"/>
            </w:tcBorders>
            <w:vAlign w:val="center"/>
          </w:tcPr>
          <w:p w14:paraId="5AE73719">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923" w:type="dxa"/>
            <w:tcBorders>
              <w:top w:val="single" w:color="auto" w:sz="4" w:space="0"/>
              <w:left w:val="nil"/>
              <w:right w:val="single" w:color="auto" w:sz="4" w:space="0"/>
            </w:tcBorders>
            <w:vAlign w:val="center"/>
          </w:tcPr>
          <w:p w14:paraId="02FA9E6C">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资质要求</w:t>
            </w:r>
          </w:p>
        </w:tc>
        <w:tc>
          <w:tcPr>
            <w:tcW w:w="4512" w:type="dxa"/>
            <w:tcBorders>
              <w:top w:val="single" w:color="auto" w:sz="4" w:space="0"/>
              <w:left w:val="nil"/>
              <w:bottom w:val="single" w:color="auto" w:sz="4" w:space="0"/>
              <w:right w:val="single" w:color="auto" w:sz="4" w:space="0"/>
            </w:tcBorders>
            <w:vAlign w:val="center"/>
          </w:tcPr>
          <w:p w14:paraId="7A81DAE4">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pacing w:val="-7"/>
                <w:sz w:val="24"/>
                <w:szCs w:val="24"/>
                <w:highlight w:val="none"/>
                <w:lang w:eastAsia="zh-CN"/>
                <w14:textFill>
                  <w14:solidFill>
                    <w14:schemeClr w14:val="tx1"/>
                  </w14:solidFill>
                </w14:textFill>
              </w:rPr>
              <w:t>供应商必须是具有独立承担民事责任能力的在中华人民共和国境内注册的法人或其他组织，投标时提交有效的营业执照副本，并要求每标段具备以下资格：</w:t>
            </w:r>
            <w:r>
              <w:rPr>
                <w:rFonts w:hint="eastAsia" w:ascii="宋体" w:hAnsi="宋体" w:eastAsia="宋体" w:cs="宋体"/>
                <w:b/>
                <w:bCs w:val="0"/>
                <w:color w:val="000000" w:themeColor="text1"/>
                <w:spacing w:val="-7"/>
                <w:sz w:val="24"/>
                <w:szCs w:val="24"/>
                <w:highlight w:val="none"/>
                <w:lang w:eastAsia="zh-CN"/>
                <w14:textFill>
                  <w14:solidFill>
                    <w14:schemeClr w14:val="tx1"/>
                  </w14:solidFill>
                </w14:textFill>
              </w:rPr>
              <w:t>①第一标段具备行政主管部门颁发的有效期内的《律师事务所执业许可证》或《律师事务所分所执业许可证》，分支机构参与本项目的提交总公司授权书原件须加盖总公司公章；②第二标段具备行政主管部门颁发的有效期内的《会计师事务所执业证书》，分支机构参与本项目的提交总公司授权书原件须加盖总公司公章；③第三标段具备行政主管部门颁发的有效期内的《工程咨询单位资信证书》（建筑、市政公用工程）乙级（含）及以上资质，分</w:t>
            </w:r>
          </w:p>
        </w:tc>
      </w:tr>
      <w:tr w14:paraId="6770E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4" w:hRule="atLeast"/>
          <w:jc w:val="center"/>
        </w:trPr>
        <w:tc>
          <w:tcPr>
            <w:tcW w:w="859" w:type="dxa"/>
            <w:vMerge w:val="continue"/>
            <w:tcBorders>
              <w:left w:val="single" w:color="auto" w:sz="4" w:space="0"/>
              <w:right w:val="single" w:color="auto" w:sz="4" w:space="0"/>
            </w:tcBorders>
            <w:vAlign w:val="center"/>
          </w:tcPr>
          <w:p w14:paraId="3060F83E">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41" w:type="dxa"/>
            <w:vMerge w:val="continue"/>
            <w:tcBorders>
              <w:left w:val="nil"/>
              <w:right w:val="single" w:color="auto" w:sz="4" w:space="0"/>
            </w:tcBorders>
            <w:vAlign w:val="center"/>
          </w:tcPr>
          <w:p w14:paraId="2AA716EB">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923" w:type="dxa"/>
            <w:tcBorders>
              <w:top w:val="single" w:color="auto" w:sz="4" w:space="0"/>
              <w:left w:val="nil"/>
              <w:right w:val="single" w:color="auto" w:sz="4" w:space="0"/>
            </w:tcBorders>
            <w:vAlign w:val="center"/>
          </w:tcPr>
          <w:p w14:paraId="6765BCB7">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p>
        </w:tc>
        <w:tc>
          <w:tcPr>
            <w:tcW w:w="4512" w:type="dxa"/>
            <w:tcBorders>
              <w:top w:val="single" w:color="auto" w:sz="4" w:space="0"/>
              <w:left w:val="nil"/>
              <w:bottom w:val="single" w:color="auto" w:sz="4" w:space="0"/>
              <w:right w:val="single" w:color="auto" w:sz="4" w:space="0"/>
            </w:tcBorders>
            <w:vAlign w:val="center"/>
          </w:tcPr>
          <w:p w14:paraId="4C878351">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40" w:lineRule="exact"/>
              <w:ind w:left="0" w:right="0"/>
              <w:textAlignment w:val="auto"/>
              <w:rPr>
                <w:rFonts w:hint="eastAsia" w:ascii="宋体" w:hAnsi="宋体" w:eastAsia="宋体" w:cs="宋体"/>
                <w:b/>
                <w:bCs w:val="0"/>
                <w:color w:val="000000" w:themeColor="text1"/>
                <w:spacing w:val="-7"/>
                <w:sz w:val="24"/>
                <w:szCs w:val="24"/>
                <w:highlight w:val="none"/>
                <w:lang w:eastAsia="zh-CN"/>
                <w14:textFill>
                  <w14:solidFill>
                    <w14:schemeClr w14:val="tx1"/>
                  </w14:solidFill>
                </w14:textFill>
              </w:rPr>
            </w:pPr>
            <w:r>
              <w:rPr>
                <w:rFonts w:hint="eastAsia" w:ascii="宋体" w:hAnsi="宋体" w:eastAsia="宋体" w:cs="宋体"/>
                <w:b/>
                <w:bCs w:val="0"/>
                <w:color w:val="000000" w:themeColor="text1"/>
                <w:spacing w:val="-7"/>
                <w:sz w:val="24"/>
                <w:szCs w:val="24"/>
                <w:highlight w:val="none"/>
                <w:lang w:eastAsia="zh-CN"/>
                <w14:textFill>
                  <w14:solidFill>
                    <w14:schemeClr w14:val="tx1"/>
                  </w14:solidFill>
                </w14:textFill>
              </w:rPr>
              <w:t>支机构参与本项目的提交总公司授权书原件须加盖总公司公章；</w:t>
            </w:r>
          </w:p>
          <w:p w14:paraId="4578D94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40" w:lineRule="exact"/>
              <w:ind w:left="0" w:right="0"/>
              <w:textAlignment w:val="auto"/>
              <w:rPr>
                <w:rFonts w:hint="eastAsia" w:ascii="宋体" w:hAnsi="宋体" w:eastAsia="宋体" w:cs="宋体"/>
                <w:b/>
                <w:bCs w:val="0"/>
                <w:color w:val="000000" w:themeColor="text1"/>
                <w:spacing w:val="-7"/>
                <w:sz w:val="24"/>
                <w:szCs w:val="24"/>
                <w:highlight w:val="none"/>
                <w:lang w:eastAsia="zh-CN"/>
                <w14:textFill>
                  <w14:solidFill>
                    <w14:schemeClr w14:val="tx1"/>
                  </w14:solidFill>
                </w14:textFill>
              </w:rPr>
            </w:pPr>
            <w:r>
              <w:rPr>
                <w:rFonts w:hint="eastAsia" w:ascii="宋体" w:hAnsi="宋体" w:eastAsia="宋体" w:cs="宋体"/>
                <w:b/>
                <w:bCs w:val="0"/>
                <w:color w:val="000000" w:themeColor="text1"/>
                <w:spacing w:val="-7"/>
                <w:sz w:val="24"/>
                <w:szCs w:val="24"/>
                <w:highlight w:val="none"/>
                <w:lang w:eastAsia="zh-CN"/>
                <w14:textFill>
                  <w14:solidFill>
                    <w14:schemeClr w14:val="tx1"/>
                  </w14:solidFill>
                </w14:textFill>
              </w:rPr>
              <w:t>④第四标段具备本标段相适应的相关经营范围（</w:t>
            </w:r>
            <w:r>
              <w:rPr>
                <w:rFonts w:hint="eastAsia" w:ascii="宋体" w:hAnsi="宋体" w:eastAsia="宋体" w:cs="宋体"/>
                <w:b/>
                <w:bCs/>
                <w:color w:val="000000" w:themeColor="text1"/>
                <w:sz w:val="24"/>
                <w:szCs w:val="24"/>
                <w:highlight w:val="none"/>
                <w:lang w:eastAsia="zh-CN"/>
                <w14:textFill>
                  <w14:solidFill>
                    <w14:schemeClr w14:val="tx1"/>
                  </w14:solidFill>
                </w14:textFill>
              </w:rPr>
              <w:t>绩效评价</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等相关范围</w:t>
            </w:r>
            <w:r>
              <w:rPr>
                <w:rFonts w:hint="eastAsia" w:ascii="宋体" w:hAnsi="宋体" w:eastAsia="宋体" w:cs="宋体"/>
                <w:b/>
                <w:bCs w:val="0"/>
                <w:color w:val="000000" w:themeColor="text1"/>
                <w:spacing w:val="-7"/>
                <w:sz w:val="24"/>
                <w:szCs w:val="24"/>
                <w:highlight w:val="none"/>
                <w:lang w:eastAsia="zh-CN"/>
                <w14:textFill>
                  <w14:solidFill>
                    <w14:schemeClr w14:val="tx1"/>
                  </w14:solidFill>
                </w14:textFill>
              </w:rPr>
              <w:t>）；</w:t>
            </w:r>
          </w:p>
          <w:p w14:paraId="6800811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4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⑤第五标段</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具备</w:t>
            </w:r>
            <w:r>
              <w:rPr>
                <w:rFonts w:hint="eastAsia" w:ascii="宋体" w:hAnsi="宋体" w:eastAsia="宋体" w:cs="宋体"/>
                <w:b/>
                <w:bCs w:val="0"/>
                <w:color w:val="000000" w:themeColor="text1"/>
                <w:spacing w:val="-7"/>
                <w:sz w:val="24"/>
                <w:szCs w:val="24"/>
                <w:highlight w:val="none"/>
                <w:lang w:eastAsia="zh-CN"/>
                <w14:textFill>
                  <w14:solidFill>
                    <w14:schemeClr w14:val="tx1"/>
                  </w14:solidFill>
                </w14:textFill>
              </w:rPr>
              <w:t>本标段相适应的相关经营范围</w:t>
            </w:r>
            <w:r>
              <w:rPr>
                <w:rFonts w:hint="eastAsia" w:ascii="宋体" w:hAnsi="宋体" w:eastAsia="宋体" w:cs="宋体"/>
                <w:b/>
                <w:bCs w:val="0"/>
                <w:color w:val="000000" w:themeColor="text1"/>
                <w:spacing w:val="-7"/>
                <w:sz w:val="24"/>
                <w:szCs w:val="24"/>
                <w:highlight w:val="none"/>
                <w:lang w:val="en-US" w:eastAsia="zh-CN"/>
                <w14:textFill>
                  <w14:solidFill>
                    <w14:schemeClr w14:val="tx1"/>
                  </w14:solidFill>
                </w14:textFill>
              </w:rPr>
              <w:t>，</w:t>
            </w:r>
            <w:r>
              <w:rPr>
                <w:rFonts w:hint="eastAsia" w:ascii="宋体" w:hAnsi="宋体" w:eastAsia="宋体" w:cs="宋体"/>
                <w:b w:val="0"/>
                <w:bCs/>
                <w:color w:val="000000" w:themeColor="text1"/>
                <w:spacing w:val="-7"/>
                <w:sz w:val="24"/>
                <w:szCs w:val="24"/>
                <w:highlight w:val="none"/>
                <w:lang w:eastAsia="zh-CN"/>
                <w14:textFill>
                  <w14:solidFill>
                    <w14:schemeClr w14:val="tx1"/>
                  </w14:solidFill>
                </w14:textFill>
              </w:rPr>
              <w:t>具有相应的人员、设备、资金、经验等方面的能力</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sz w:val="24"/>
                <w:szCs w:val="24"/>
                <w:highlight w:val="none"/>
              </w:rPr>
              <w:t>提供原件，</w:t>
            </w:r>
            <w:r>
              <w:rPr>
                <w:rFonts w:hint="eastAsia" w:ascii="宋体" w:hAnsi="宋体" w:eastAsia="宋体" w:cs="宋体"/>
                <w:color w:val="000000" w:themeColor="text1"/>
                <w:sz w:val="24"/>
                <w:szCs w:val="24"/>
                <w:highlight w:val="none"/>
                <w14:textFill>
                  <w14:solidFill>
                    <w14:schemeClr w14:val="tx1"/>
                  </w14:solidFill>
                </w14:textFill>
              </w:rPr>
              <w:t>标书内附复印件</w:t>
            </w:r>
            <w:r>
              <w:rPr>
                <w:rFonts w:hint="eastAsia" w:ascii="宋体" w:hAnsi="宋体" w:eastAsia="宋体" w:cs="宋体"/>
                <w:color w:val="000000" w:themeColor="text1"/>
                <w:sz w:val="24"/>
                <w:szCs w:val="24"/>
                <w:highlight w:val="none"/>
                <w:lang w:eastAsia="zh-CN"/>
                <w14:textFill>
                  <w14:solidFill>
                    <w14:schemeClr w14:val="tx1"/>
                  </w14:solidFill>
                </w14:textFill>
              </w:rPr>
              <w:t>加盖公章。</w:t>
            </w:r>
          </w:p>
        </w:tc>
      </w:tr>
      <w:tr w14:paraId="3A6CE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3" w:hRule="atLeast"/>
          <w:jc w:val="center"/>
        </w:trPr>
        <w:tc>
          <w:tcPr>
            <w:tcW w:w="859" w:type="dxa"/>
            <w:vMerge w:val="continue"/>
            <w:tcBorders>
              <w:left w:val="single" w:color="auto" w:sz="4" w:space="0"/>
              <w:right w:val="single" w:color="auto" w:sz="4" w:space="0"/>
            </w:tcBorders>
            <w:vAlign w:val="center"/>
          </w:tcPr>
          <w:p w14:paraId="3BC07C01">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41" w:type="dxa"/>
            <w:vMerge w:val="continue"/>
            <w:tcBorders>
              <w:left w:val="nil"/>
              <w:right w:val="single" w:color="auto" w:sz="4" w:space="0"/>
            </w:tcBorders>
            <w:vAlign w:val="center"/>
          </w:tcPr>
          <w:p w14:paraId="3B9F6217">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923" w:type="dxa"/>
            <w:tcBorders>
              <w:top w:val="single" w:color="auto" w:sz="4" w:space="0"/>
              <w:left w:val="nil"/>
              <w:bottom w:val="single" w:color="auto" w:sz="4" w:space="0"/>
              <w:right w:val="single" w:color="auto" w:sz="4" w:space="0"/>
            </w:tcBorders>
            <w:vAlign w:val="center"/>
          </w:tcPr>
          <w:p w14:paraId="2542D0DD">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财务状况</w:t>
            </w:r>
          </w:p>
        </w:tc>
        <w:tc>
          <w:tcPr>
            <w:tcW w:w="4512" w:type="dxa"/>
            <w:tcBorders>
              <w:top w:val="single" w:color="auto" w:sz="4" w:space="0"/>
              <w:left w:val="nil"/>
              <w:bottom w:val="single" w:color="auto" w:sz="4" w:space="0"/>
              <w:right w:val="single" w:color="auto" w:sz="4" w:space="0"/>
            </w:tcBorders>
            <w:vAlign w:val="center"/>
          </w:tcPr>
          <w:p w14:paraId="6E2C300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4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近年度（2023年度）</w:t>
            </w:r>
            <w:r>
              <w:rPr>
                <w:rFonts w:hint="eastAsia" w:ascii="宋体" w:hAnsi="宋体" w:eastAsia="宋体" w:cs="宋体"/>
                <w:b w:val="0"/>
                <w:bCs w:val="0"/>
                <w:color w:val="000000" w:themeColor="text1"/>
                <w:sz w:val="24"/>
                <w:szCs w:val="24"/>
                <w:highlight w:val="none"/>
                <w:lang w:val="zh-CN" w:eastAsia="zh-CN"/>
                <w14:textFill>
                  <w14:solidFill>
                    <w14:schemeClr w14:val="tx1"/>
                  </w14:solidFill>
                </w14:textFill>
              </w:rPr>
              <w:t>经会计师事务所出具的财务审计报告或财务报表（含资产负债表、现金流量表、利润表），</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新成立企业提供当年验资报告或银行出具的公司资信证明</w:t>
            </w:r>
            <w:r>
              <w:rPr>
                <w:rFonts w:hint="eastAsia" w:ascii="宋体" w:hAnsi="宋体" w:eastAsia="宋体" w:cs="宋体"/>
                <w:sz w:val="24"/>
                <w:szCs w:val="24"/>
                <w:highlight w:val="none"/>
              </w:rPr>
              <w:t>原件，</w:t>
            </w:r>
            <w:r>
              <w:rPr>
                <w:rFonts w:hint="eastAsia" w:ascii="宋体" w:hAnsi="宋体" w:eastAsia="宋体" w:cs="宋体"/>
                <w:color w:val="000000" w:themeColor="text1"/>
                <w:sz w:val="24"/>
                <w:szCs w:val="24"/>
                <w:highlight w:val="none"/>
                <w14:textFill>
                  <w14:solidFill>
                    <w14:schemeClr w14:val="tx1"/>
                  </w14:solidFill>
                </w14:textFill>
              </w:rPr>
              <w:t>标书内附复印件</w:t>
            </w:r>
            <w:r>
              <w:rPr>
                <w:rFonts w:hint="eastAsia" w:ascii="宋体" w:hAnsi="宋体" w:eastAsia="宋体" w:cs="宋体"/>
                <w:color w:val="000000" w:themeColor="text1"/>
                <w:sz w:val="24"/>
                <w:szCs w:val="24"/>
                <w:highlight w:val="none"/>
                <w:lang w:eastAsia="zh-CN"/>
                <w14:textFill>
                  <w14:solidFill>
                    <w14:schemeClr w14:val="tx1"/>
                  </w14:solidFill>
                </w14:textFill>
              </w:rPr>
              <w:t>加盖公章。</w:t>
            </w:r>
          </w:p>
        </w:tc>
      </w:tr>
      <w:tr w14:paraId="492C9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2" w:hRule="atLeast"/>
          <w:jc w:val="center"/>
        </w:trPr>
        <w:tc>
          <w:tcPr>
            <w:tcW w:w="859" w:type="dxa"/>
            <w:vMerge w:val="continue"/>
            <w:tcBorders>
              <w:left w:val="single" w:color="auto" w:sz="4" w:space="0"/>
              <w:right w:val="single" w:color="auto" w:sz="4" w:space="0"/>
            </w:tcBorders>
            <w:vAlign w:val="center"/>
          </w:tcPr>
          <w:p w14:paraId="62D83494">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41" w:type="dxa"/>
            <w:vMerge w:val="continue"/>
            <w:tcBorders>
              <w:left w:val="nil"/>
              <w:right w:val="single" w:color="auto" w:sz="4" w:space="0"/>
            </w:tcBorders>
            <w:vAlign w:val="center"/>
          </w:tcPr>
          <w:p w14:paraId="3EDAD698">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923" w:type="dxa"/>
            <w:tcBorders>
              <w:top w:val="single" w:color="auto" w:sz="4" w:space="0"/>
              <w:left w:val="nil"/>
              <w:right w:val="single" w:color="auto" w:sz="4" w:space="0"/>
            </w:tcBorders>
            <w:vAlign w:val="center"/>
          </w:tcPr>
          <w:p w14:paraId="6C2038B1">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信誉要求</w:t>
            </w:r>
          </w:p>
        </w:tc>
        <w:tc>
          <w:tcPr>
            <w:tcW w:w="4512" w:type="dxa"/>
            <w:tcBorders>
              <w:top w:val="single" w:color="auto" w:sz="4" w:space="0"/>
              <w:left w:val="nil"/>
              <w:right w:val="single" w:color="auto" w:sz="4" w:space="0"/>
            </w:tcBorders>
            <w:vAlign w:val="center"/>
          </w:tcPr>
          <w:p w14:paraId="0E8AA334">
            <w:pPr>
              <w:pStyle w:val="83"/>
              <w:keepNext w:val="0"/>
              <w:keepLines w:val="0"/>
              <w:pageBreakBefore w:val="0"/>
              <w:widowControl w:val="0"/>
              <w:suppressLineNumbers w:val="0"/>
              <w:shd w:val="clear" w:color="auto" w:fill="auto"/>
              <w:tabs>
                <w:tab w:val="left" w:pos="422"/>
              </w:tabs>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（1）拒绝列入政府取消投标资格记录期间的企业或个人投标（提供由法定代表人或其委托代理人签字并加盖单位公章的承诺书）；</w:t>
            </w:r>
          </w:p>
          <w:p w14:paraId="682CA98E">
            <w:pPr>
              <w:pStyle w:val="83"/>
              <w:keepNext w:val="0"/>
              <w:keepLines w:val="0"/>
              <w:pageBreakBefore w:val="0"/>
              <w:widowControl w:val="0"/>
              <w:suppressLineNumbers w:val="0"/>
              <w:shd w:val="clear" w:color="auto" w:fill="auto"/>
              <w:tabs>
                <w:tab w:val="left" w:pos="528"/>
              </w:tabs>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w:t>
            </w:r>
            <w:r>
              <w:rPr>
                <w:rFonts w:hint="eastAsia" w:ascii="宋体" w:hAnsi="宋体" w:eastAsia="宋体" w:cs="宋体"/>
                <w:b w:val="0"/>
                <w:bCs w:val="0"/>
                <w:color w:val="000000" w:themeColor="text1"/>
                <w:spacing w:val="0"/>
                <w:w w:val="100"/>
                <w:position w:val="0"/>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）供应商须对供应商、法定代表人、</w:t>
            </w:r>
            <w:r>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t>拟委任的项目负责人进行行贿犯罪档案查询</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（登录中国裁判文书网自行查询）。（查询时间范围必须包括：本项目信息公告发布之日起（含公告发布当日）前三年）；（须提供网络截图加盖公章）</w:t>
            </w:r>
          </w:p>
          <w:p w14:paraId="0E3583C8">
            <w:pPr>
              <w:pStyle w:val="83"/>
              <w:keepNext w:val="0"/>
              <w:keepLines w:val="0"/>
              <w:pageBreakBefore w:val="0"/>
              <w:widowControl w:val="0"/>
              <w:suppressLineNumbers w:val="0"/>
              <w:shd w:val="clear" w:color="auto" w:fill="auto"/>
              <w:tabs>
                <w:tab w:val="left" w:pos="427"/>
              </w:tabs>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w:t>
            </w:r>
            <w:r>
              <w:rPr>
                <w:rFonts w:hint="eastAsia" w:ascii="宋体" w:hAnsi="宋体" w:eastAsia="宋体" w:cs="宋体"/>
                <w:b w:val="0"/>
                <w:bCs w:val="0"/>
                <w:color w:val="000000" w:themeColor="text1"/>
                <w:spacing w:val="0"/>
                <w:w w:val="100"/>
                <w:position w:val="0"/>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ab/>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未被工商行政管理机关在全国企业信用信息公示系统</w:t>
            </w:r>
            <w:r>
              <w:rPr>
                <w:rFonts w:hint="eastAsia" w:ascii="宋体" w:hAnsi="宋体" w:eastAsia="宋体" w:cs="宋体"/>
                <w:b w:val="0"/>
                <w:bCs w:val="0"/>
                <w:color w:val="000000" w:themeColor="text1"/>
                <w:spacing w:val="0"/>
                <w:w w:val="100"/>
                <w:position w:val="0"/>
                <w:sz w:val="24"/>
                <w:szCs w:val="24"/>
                <w:highlight w:val="none"/>
                <w:lang w:val="en-US" w:eastAsia="en-US" w:bidi="en-US"/>
                <w14:textFill>
                  <w14:solidFill>
                    <w14:schemeClr w14:val="tx1"/>
                  </w14:solidFill>
                </w14:textFill>
              </w:rPr>
              <w:t>（http://www.gsxt.gov.cn/）</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中列入严重违法失信企业名单；（须提供网络截图加盖公章）</w:t>
            </w:r>
          </w:p>
          <w:p w14:paraId="008D0B0A">
            <w:pPr>
              <w:pStyle w:val="83"/>
              <w:keepNext w:val="0"/>
              <w:keepLines w:val="0"/>
              <w:pageBreakBefore w:val="0"/>
              <w:widowControl w:val="0"/>
              <w:suppressLineNumbers w:val="0"/>
              <w:shd w:val="clear" w:color="auto" w:fill="auto"/>
              <w:tabs>
                <w:tab w:val="left" w:pos="422"/>
              </w:tabs>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w:t>
            </w:r>
            <w:r>
              <w:rPr>
                <w:rFonts w:hint="eastAsia" w:ascii="宋体" w:hAnsi="宋体" w:eastAsia="宋体" w:cs="宋体"/>
                <w:b w:val="0"/>
                <w:bCs w:val="0"/>
                <w:color w:val="000000" w:themeColor="text1"/>
                <w:spacing w:val="0"/>
                <w:w w:val="100"/>
                <w:position w:val="0"/>
                <w:sz w:val="24"/>
                <w:szCs w:val="24"/>
                <w:highlight w:val="none"/>
                <w:lang w:val="en-US" w:eastAsia="zh-CN"/>
                <w14:textFill>
                  <w14:solidFill>
                    <w14:schemeClr w14:val="tx1"/>
                  </w14:solidFill>
                </w14:textFill>
              </w:rPr>
              <w:t>4</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ab/>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供应商未被列入</w:t>
            </w:r>
            <w:r>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信用</w:t>
            </w:r>
            <w:r>
              <w:rPr>
                <w:rFonts w:hint="eastAsia" w:ascii="宋体" w:hAnsi="宋体" w:eastAsia="宋体" w:cs="宋体"/>
                <w:b w:val="0"/>
                <w:bCs w:val="0"/>
                <w:color w:val="000000" w:themeColor="text1"/>
                <w:spacing w:val="0"/>
                <w:w w:val="100"/>
                <w:position w:val="0"/>
                <w:sz w:val="24"/>
                <w:szCs w:val="24"/>
                <w:highlight w:val="none"/>
                <w:lang w:val="zh-CN" w:eastAsia="zh-CN" w:bidi="zh-CN"/>
                <w14:textFill>
                  <w14:solidFill>
                    <w14:schemeClr w14:val="tx1"/>
                  </w14:solidFill>
                </w14:textFill>
              </w:rPr>
              <w:t>中国”</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网站</w:t>
            </w:r>
          </w:p>
          <w:p w14:paraId="3DA17BFE">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4"/>
                <w:szCs w:val="24"/>
                <w:highlight w:val="none"/>
                <w:lang w:val="en-US" w:eastAsia="en-US" w:bidi="en-US"/>
                <w14:textFill>
                  <w14:solidFill>
                    <w14:schemeClr w14:val="tx1"/>
                  </w14:solidFill>
                </w14:textFill>
              </w:rPr>
              <w:t>（www.creditchina.gov.cn）</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、中国政府采购网</w:t>
            </w:r>
          </w:p>
          <w:p w14:paraId="02C84B10">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4"/>
                <w:szCs w:val="24"/>
                <w:highlight w:val="none"/>
                <w:lang w:val="en-US" w:eastAsia="en-US" w:bidi="en-US"/>
                <w14:textFill>
                  <w14:solidFill>
                    <w14:schemeClr w14:val="tx1"/>
                  </w14:solidFill>
                </w14:textFill>
              </w:rPr>
              <w:t>（www.ccgp.gov.cn）</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等渠道信用记录失信被执行人、</w:t>
            </w:r>
            <w:r>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t>重大税收违法失信主体</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、政府采购严重违法失信行为记录名单；（须提供网络截图</w:t>
            </w:r>
            <w:r>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t>加盖公章</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w:t>
            </w:r>
          </w:p>
        </w:tc>
      </w:tr>
      <w:tr w14:paraId="4D1DA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jc w:val="center"/>
        </w:trPr>
        <w:tc>
          <w:tcPr>
            <w:tcW w:w="859" w:type="dxa"/>
            <w:vMerge w:val="continue"/>
            <w:tcBorders>
              <w:left w:val="single" w:color="auto" w:sz="4" w:space="0"/>
              <w:right w:val="single" w:color="auto" w:sz="4" w:space="0"/>
            </w:tcBorders>
            <w:vAlign w:val="center"/>
          </w:tcPr>
          <w:p w14:paraId="66CC02D7">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41" w:type="dxa"/>
            <w:vMerge w:val="continue"/>
            <w:tcBorders>
              <w:left w:val="nil"/>
              <w:right w:val="single" w:color="auto" w:sz="4" w:space="0"/>
            </w:tcBorders>
            <w:vAlign w:val="center"/>
          </w:tcPr>
          <w:p w14:paraId="392C9715">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923" w:type="dxa"/>
            <w:tcBorders>
              <w:top w:val="single" w:color="auto" w:sz="4" w:space="0"/>
              <w:left w:val="nil"/>
              <w:right w:val="single" w:color="auto" w:sz="4" w:space="0"/>
            </w:tcBorders>
            <w:vAlign w:val="center"/>
          </w:tcPr>
          <w:p w14:paraId="318829BE">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center"/>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项目</w:t>
            </w:r>
            <w:r>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t>经理</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资格</w:t>
            </w:r>
            <w:r>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t>要求</w:t>
            </w:r>
          </w:p>
        </w:tc>
        <w:tc>
          <w:tcPr>
            <w:tcW w:w="4512" w:type="dxa"/>
            <w:tcBorders>
              <w:top w:val="single" w:color="auto" w:sz="4" w:space="0"/>
              <w:left w:val="nil"/>
              <w:right w:val="single" w:color="auto" w:sz="4" w:space="0"/>
            </w:tcBorders>
            <w:vAlign w:val="center"/>
          </w:tcPr>
          <w:p w14:paraId="7CC5AD25">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宋体" w:hAnsi="宋体" w:eastAsia="宋体" w:cs="宋体"/>
                <w:b w:val="0"/>
                <w:bCs w:val="0"/>
                <w:color w:val="000000" w:themeColor="text1"/>
                <w:spacing w:val="0"/>
                <w:w w:val="100"/>
                <w:position w:val="0"/>
                <w:sz w:val="24"/>
                <w:szCs w:val="24"/>
                <w:highlight w:val="none"/>
                <w:lang w:val="en-US" w:eastAsia="en-US" w:bidi="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供应商须具有保证项目顺利实施完成的人员和专业技术能力条件，</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并拟派往本项目每标段的负责人应具备以下资格要求：①第一标段具备《中华人民共和国律师执业证》；②第二标段具备注册会计师资格证书；③第三标段具备高级工程师职称；④第四标段具备应具备以下任意一项要求：1）具备国家注册咨询师并同时具有中级及以上经济师职称；2）具备注册造价工程师并同时具有中级及以上职称；3）具备注册会计师同时具有中级及以上会计师职称</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lang w:eastAsia="zh-CN"/>
                <w14:textFill>
                  <w14:solidFill>
                    <w14:schemeClr w14:val="tx1"/>
                  </w14:solidFill>
                </w14:textFill>
              </w:rPr>
              <w:t>⑤第五标段</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具备高级工程师职称</w:t>
            </w:r>
            <w:r>
              <w:rPr>
                <w:rFonts w:hint="eastAsia" w:ascii="宋体" w:hAnsi="宋体" w:eastAsia="宋体" w:cs="宋体"/>
                <w:b/>
                <w:bCs w:val="0"/>
                <w:color w:val="000000" w:themeColor="text1"/>
                <w:spacing w:val="-7"/>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提供项目负责人</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投标截止日期前六个月内任意一个月的社保缴费证明及劳动合同</w:t>
            </w:r>
            <w:r>
              <w:rPr>
                <w:rFonts w:hint="eastAsia" w:ascii="宋体" w:hAnsi="宋体" w:eastAsia="宋体" w:cs="宋体"/>
                <w:b w:val="0"/>
                <w:bCs w:val="0"/>
                <w:sz w:val="24"/>
                <w:szCs w:val="24"/>
                <w:highlight w:val="none"/>
              </w:rPr>
              <w:t>原件，标书内附复印件</w:t>
            </w:r>
            <w:r>
              <w:rPr>
                <w:rFonts w:hint="eastAsia" w:ascii="宋体" w:hAnsi="宋体" w:eastAsia="宋体" w:cs="宋体"/>
                <w:b w:val="0"/>
                <w:bCs w:val="0"/>
                <w:sz w:val="24"/>
                <w:szCs w:val="24"/>
                <w:highlight w:val="none"/>
                <w:lang w:eastAsia="zh-CN"/>
              </w:rPr>
              <w:t>加盖公章。</w:t>
            </w:r>
          </w:p>
        </w:tc>
      </w:tr>
      <w:tr w14:paraId="5AF6E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2" w:hRule="atLeast"/>
          <w:jc w:val="center"/>
        </w:trPr>
        <w:tc>
          <w:tcPr>
            <w:tcW w:w="859" w:type="dxa"/>
            <w:vMerge w:val="continue"/>
            <w:tcBorders>
              <w:left w:val="single" w:color="auto" w:sz="4" w:space="0"/>
              <w:right w:val="single" w:color="auto" w:sz="4" w:space="0"/>
            </w:tcBorders>
            <w:vAlign w:val="center"/>
          </w:tcPr>
          <w:p w14:paraId="6F99F4CB">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41" w:type="dxa"/>
            <w:vMerge w:val="continue"/>
            <w:tcBorders>
              <w:left w:val="nil"/>
              <w:right w:val="single" w:color="auto" w:sz="4" w:space="0"/>
            </w:tcBorders>
            <w:vAlign w:val="center"/>
          </w:tcPr>
          <w:p w14:paraId="25BE925B">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923" w:type="dxa"/>
            <w:tcBorders>
              <w:top w:val="single" w:color="auto" w:sz="4" w:space="0"/>
              <w:left w:val="nil"/>
              <w:right w:val="single" w:color="auto" w:sz="4" w:space="0"/>
            </w:tcBorders>
            <w:vAlign w:val="center"/>
          </w:tcPr>
          <w:p w14:paraId="5B55B02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leftChars="0" w:right="0" w:righ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auto"/>
                <w:sz w:val="24"/>
                <w:szCs w:val="24"/>
                <w:highlight w:val="none"/>
                <w:lang w:val="zh-CN"/>
              </w:rPr>
              <w:t>有依法</w:t>
            </w:r>
            <w:r>
              <w:rPr>
                <w:rFonts w:hint="eastAsia" w:ascii="宋体" w:hAnsi="宋体" w:eastAsia="宋体" w:cs="宋体"/>
                <w:color w:val="000000" w:themeColor="text1"/>
                <w:sz w:val="24"/>
                <w:szCs w:val="24"/>
                <w:highlight w:val="none"/>
                <w:lang w:val="zh-CN" w:eastAsia="zh-CN"/>
                <w14:textFill>
                  <w14:solidFill>
                    <w14:schemeClr w14:val="tx1"/>
                  </w14:solidFill>
                </w14:textFill>
              </w:rPr>
              <w:t>依法缴纳税收和社会保障资金的良好记录</w:t>
            </w:r>
          </w:p>
        </w:tc>
        <w:tc>
          <w:tcPr>
            <w:tcW w:w="4512" w:type="dxa"/>
            <w:tcBorders>
              <w:top w:val="single" w:color="auto" w:sz="4" w:space="0"/>
              <w:left w:val="nil"/>
              <w:right w:val="single" w:color="auto" w:sz="4" w:space="0"/>
            </w:tcBorders>
            <w:vAlign w:val="center"/>
          </w:tcPr>
          <w:p w14:paraId="53679E01">
            <w:pPr>
              <w:keepNext w:val="0"/>
              <w:keepLines w:val="0"/>
              <w:pageBreakBefore w:val="0"/>
              <w:widowControl/>
              <w:suppressLineNumbers w:val="0"/>
              <w:kinsoku/>
              <w:wordWrap/>
              <w:overflowPunct/>
              <w:topLinePunct w:val="0"/>
              <w:autoSpaceDE/>
              <w:autoSpaceDN/>
              <w:bidi w:val="0"/>
              <w:adjustRightInd w:val="0"/>
              <w:snapToGrid w:val="0"/>
              <w:spacing w:before="157" w:beforeLines="50" w:beforeAutospacing="0" w:after="0" w:afterAutospacing="0" w:line="360" w:lineRule="exact"/>
              <w:ind w:left="0" w:leftChars="0" w:right="0" w:rightChars="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投标人须提供投标截止日期前六个月内任意一个月的依法缴纳税收和社会保障资金相关证明材料</w:t>
            </w:r>
            <w:r>
              <w:rPr>
                <w:rFonts w:hint="eastAsia" w:ascii="宋体" w:hAnsi="宋体" w:eastAsia="宋体" w:cs="宋体"/>
                <w:sz w:val="24"/>
                <w:szCs w:val="24"/>
                <w:highlight w:val="none"/>
              </w:rPr>
              <w:t>原件，</w:t>
            </w:r>
            <w:r>
              <w:rPr>
                <w:rFonts w:hint="eastAsia" w:ascii="宋体" w:hAnsi="宋体" w:eastAsia="宋体" w:cs="宋体"/>
                <w:color w:val="000000" w:themeColor="text1"/>
                <w:sz w:val="24"/>
                <w:szCs w:val="24"/>
                <w:highlight w:val="none"/>
                <w14:textFill>
                  <w14:solidFill>
                    <w14:schemeClr w14:val="tx1"/>
                  </w14:solidFill>
                </w14:textFill>
              </w:rPr>
              <w:t>标书内附复印件</w:t>
            </w:r>
            <w:r>
              <w:rPr>
                <w:rFonts w:hint="eastAsia" w:ascii="宋体" w:hAnsi="宋体" w:eastAsia="宋体" w:cs="宋体"/>
                <w:color w:val="000000" w:themeColor="text1"/>
                <w:sz w:val="24"/>
                <w:szCs w:val="24"/>
                <w:highlight w:val="none"/>
                <w:lang w:eastAsia="zh-CN"/>
                <w14:textFill>
                  <w14:solidFill>
                    <w14:schemeClr w14:val="tx1"/>
                  </w14:solidFill>
                </w14:textFill>
              </w:rPr>
              <w:t>加盖公章。</w:t>
            </w:r>
          </w:p>
        </w:tc>
      </w:tr>
      <w:tr w14:paraId="5CF6A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859" w:type="dxa"/>
            <w:vMerge w:val="restart"/>
            <w:tcBorders>
              <w:top w:val="single" w:color="auto" w:sz="4" w:space="0"/>
              <w:left w:val="single" w:color="auto" w:sz="4" w:space="0"/>
              <w:right w:val="single" w:color="auto" w:sz="4" w:space="0"/>
            </w:tcBorders>
            <w:vAlign w:val="center"/>
          </w:tcPr>
          <w:p w14:paraId="676D70CC">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1.1.3</w:t>
            </w:r>
          </w:p>
        </w:tc>
        <w:tc>
          <w:tcPr>
            <w:tcW w:w="1241" w:type="dxa"/>
            <w:vMerge w:val="restart"/>
            <w:tcBorders>
              <w:top w:val="single" w:color="auto" w:sz="4" w:space="0"/>
              <w:left w:val="nil"/>
              <w:right w:val="single" w:color="auto" w:sz="4" w:space="0"/>
            </w:tcBorders>
            <w:vAlign w:val="center"/>
          </w:tcPr>
          <w:p w14:paraId="780CD7F8">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响应性评审标准</w:t>
            </w:r>
          </w:p>
        </w:tc>
        <w:tc>
          <w:tcPr>
            <w:tcW w:w="1923" w:type="dxa"/>
            <w:tcBorders>
              <w:top w:val="single" w:color="auto" w:sz="4" w:space="0"/>
              <w:left w:val="nil"/>
              <w:bottom w:val="single" w:color="auto" w:sz="4" w:space="0"/>
              <w:right w:val="single" w:color="auto" w:sz="4" w:space="0"/>
            </w:tcBorders>
            <w:vAlign w:val="center"/>
          </w:tcPr>
          <w:p w14:paraId="0F948356">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投标内容</w:t>
            </w:r>
          </w:p>
        </w:tc>
        <w:tc>
          <w:tcPr>
            <w:tcW w:w="4512" w:type="dxa"/>
            <w:tcBorders>
              <w:top w:val="single" w:color="auto" w:sz="4" w:space="0"/>
              <w:left w:val="nil"/>
              <w:bottom w:val="single" w:color="auto" w:sz="4" w:space="0"/>
              <w:right w:val="single" w:color="auto" w:sz="4" w:space="0"/>
            </w:tcBorders>
            <w:vAlign w:val="center"/>
          </w:tcPr>
          <w:p w14:paraId="1BEBBF14">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符合招标文件的</w:t>
            </w:r>
            <w:r>
              <w:rPr>
                <w:rFonts w:hint="eastAsia" w:ascii="宋体" w:hAnsi="宋体" w:eastAsia="宋体" w:cs="宋体"/>
                <w:color w:val="000000" w:themeColor="text1"/>
                <w:sz w:val="24"/>
                <w:szCs w:val="24"/>
                <w:highlight w:val="none"/>
                <w:lang w:val="en-US" w:eastAsia="zh-CN"/>
                <w14:textFill>
                  <w14:solidFill>
                    <w14:schemeClr w14:val="tx1"/>
                  </w14:solidFill>
                </w14:textFill>
              </w:rPr>
              <w:t>要求</w:t>
            </w:r>
            <w:r>
              <w:rPr>
                <w:rFonts w:hint="eastAsia" w:ascii="宋体" w:hAnsi="宋体" w:eastAsia="宋体" w:cs="宋体"/>
                <w:color w:val="000000" w:themeColor="text1"/>
                <w:sz w:val="24"/>
                <w:szCs w:val="24"/>
                <w:highlight w:val="none"/>
                <w14:textFill>
                  <w14:solidFill>
                    <w14:schemeClr w14:val="tx1"/>
                  </w14:solidFill>
                </w14:textFill>
              </w:rPr>
              <w:t>。</w:t>
            </w:r>
          </w:p>
        </w:tc>
      </w:tr>
      <w:tr w14:paraId="4D79F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859" w:type="dxa"/>
            <w:vMerge w:val="continue"/>
            <w:tcBorders>
              <w:left w:val="single" w:color="auto" w:sz="4" w:space="0"/>
              <w:right w:val="single" w:color="auto" w:sz="4" w:space="0"/>
            </w:tcBorders>
            <w:vAlign w:val="center"/>
          </w:tcPr>
          <w:p w14:paraId="37DB7C19">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41" w:type="dxa"/>
            <w:vMerge w:val="continue"/>
            <w:tcBorders>
              <w:left w:val="nil"/>
              <w:right w:val="single" w:color="auto" w:sz="4" w:space="0"/>
            </w:tcBorders>
            <w:vAlign w:val="center"/>
          </w:tcPr>
          <w:p w14:paraId="12BD79B3">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923" w:type="dxa"/>
            <w:tcBorders>
              <w:top w:val="single" w:color="auto" w:sz="4" w:space="0"/>
              <w:left w:val="nil"/>
              <w:bottom w:val="single" w:color="auto" w:sz="4" w:space="0"/>
              <w:right w:val="single" w:color="auto" w:sz="4" w:space="0"/>
            </w:tcBorders>
            <w:vAlign w:val="center"/>
          </w:tcPr>
          <w:p w14:paraId="10B96AC8">
            <w:pPr>
              <w:pStyle w:val="25"/>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合同履行期限</w:t>
            </w:r>
          </w:p>
        </w:tc>
        <w:tc>
          <w:tcPr>
            <w:tcW w:w="4512" w:type="dxa"/>
            <w:tcBorders>
              <w:top w:val="single" w:color="auto" w:sz="4" w:space="0"/>
              <w:left w:val="nil"/>
              <w:bottom w:val="single" w:color="auto" w:sz="4" w:space="0"/>
              <w:right w:val="single" w:color="auto" w:sz="4" w:space="0"/>
            </w:tcBorders>
            <w:vAlign w:val="center"/>
          </w:tcPr>
          <w:p w14:paraId="3D0A7B32">
            <w:pPr>
              <w:pStyle w:val="31"/>
              <w:keepNext w:val="0"/>
              <w:keepLines w:val="0"/>
              <w:pageBreakBefore w:val="0"/>
              <w:suppressLineNumbers w:val="0"/>
              <w:kinsoku/>
              <w:wordWrap/>
              <w:overflowPunct/>
              <w:topLinePunct w:val="0"/>
              <w:bidi w:val="0"/>
              <w:spacing w:after="0" w:afterAutospacing="0" w:line="300" w:lineRule="exact"/>
              <w:ind w:left="0" w:right="0"/>
              <w:textAlignment w:val="auto"/>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eastAsia="zh-CN"/>
                <w14:textFill>
                  <w14:solidFill>
                    <w14:schemeClr w14:val="tx1"/>
                  </w14:solidFill>
                </w14:textFill>
              </w:rPr>
              <w:t>符合“供应商须知前附表”规定。</w:t>
            </w:r>
          </w:p>
        </w:tc>
      </w:tr>
      <w:tr w14:paraId="33931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859" w:type="dxa"/>
            <w:vMerge w:val="continue"/>
            <w:tcBorders>
              <w:left w:val="single" w:color="auto" w:sz="4" w:space="0"/>
              <w:right w:val="single" w:color="auto" w:sz="4" w:space="0"/>
            </w:tcBorders>
            <w:vAlign w:val="center"/>
          </w:tcPr>
          <w:p w14:paraId="69BD4175">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41" w:type="dxa"/>
            <w:vMerge w:val="continue"/>
            <w:tcBorders>
              <w:left w:val="nil"/>
              <w:right w:val="single" w:color="auto" w:sz="4" w:space="0"/>
            </w:tcBorders>
            <w:vAlign w:val="center"/>
          </w:tcPr>
          <w:p w14:paraId="53F6A3AE">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923" w:type="dxa"/>
            <w:tcBorders>
              <w:top w:val="single" w:color="auto" w:sz="4" w:space="0"/>
              <w:left w:val="nil"/>
              <w:bottom w:val="single" w:color="auto" w:sz="4" w:space="0"/>
              <w:right w:val="single" w:color="auto" w:sz="4" w:space="0"/>
            </w:tcBorders>
            <w:vAlign w:val="center"/>
          </w:tcPr>
          <w:p w14:paraId="6C49E620">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质量要求</w:t>
            </w:r>
          </w:p>
        </w:tc>
        <w:tc>
          <w:tcPr>
            <w:tcW w:w="4512" w:type="dxa"/>
            <w:tcBorders>
              <w:top w:val="single" w:color="auto" w:sz="4" w:space="0"/>
              <w:left w:val="nil"/>
              <w:bottom w:val="single" w:color="auto" w:sz="4" w:space="0"/>
              <w:right w:val="single" w:color="auto" w:sz="4" w:space="0"/>
            </w:tcBorders>
            <w:vAlign w:val="center"/>
          </w:tcPr>
          <w:p w14:paraId="7B422BC3">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符合“供应商须知前附表”规定。</w:t>
            </w:r>
          </w:p>
        </w:tc>
      </w:tr>
      <w:tr w14:paraId="43F90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859" w:type="dxa"/>
            <w:vMerge w:val="continue"/>
            <w:tcBorders>
              <w:left w:val="single" w:color="auto" w:sz="4" w:space="0"/>
              <w:right w:val="single" w:color="auto" w:sz="4" w:space="0"/>
            </w:tcBorders>
            <w:vAlign w:val="center"/>
          </w:tcPr>
          <w:p w14:paraId="53F2E16A">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41" w:type="dxa"/>
            <w:vMerge w:val="continue"/>
            <w:tcBorders>
              <w:left w:val="nil"/>
              <w:right w:val="single" w:color="auto" w:sz="4" w:space="0"/>
            </w:tcBorders>
            <w:vAlign w:val="center"/>
          </w:tcPr>
          <w:p w14:paraId="772620BA">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923" w:type="dxa"/>
            <w:tcBorders>
              <w:top w:val="single" w:color="auto" w:sz="4" w:space="0"/>
              <w:left w:val="nil"/>
              <w:bottom w:val="single" w:color="auto" w:sz="4" w:space="0"/>
              <w:right w:val="single" w:color="auto" w:sz="4" w:space="0"/>
            </w:tcBorders>
            <w:vAlign w:val="center"/>
          </w:tcPr>
          <w:p w14:paraId="3EA702CB">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投标有效期</w:t>
            </w:r>
          </w:p>
        </w:tc>
        <w:tc>
          <w:tcPr>
            <w:tcW w:w="4512" w:type="dxa"/>
            <w:tcBorders>
              <w:top w:val="single" w:color="auto" w:sz="4" w:space="0"/>
              <w:left w:val="nil"/>
              <w:bottom w:val="single" w:color="auto" w:sz="4" w:space="0"/>
              <w:right w:val="single" w:color="auto" w:sz="4" w:space="0"/>
            </w:tcBorders>
            <w:vAlign w:val="center"/>
          </w:tcPr>
          <w:p w14:paraId="3BD81B50">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自供应商提交投标文件截止之日起计算</w:t>
            </w:r>
            <w:r>
              <w:rPr>
                <w:rFonts w:hint="eastAsia" w:ascii="宋体" w:hAnsi="宋体" w:eastAsia="宋体" w:cs="宋体"/>
                <w:b w:val="0"/>
                <w:bCs w:val="0"/>
                <w:color w:val="000000" w:themeColor="text1"/>
                <w:spacing w:val="0"/>
                <w:w w:val="100"/>
                <w:position w:val="0"/>
                <w:sz w:val="24"/>
                <w:szCs w:val="24"/>
                <w:highlight w:val="none"/>
                <w:lang w:val="en-US" w:eastAsia="zh-CN"/>
                <w14:textFill>
                  <w14:solidFill>
                    <w14:schemeClr w14:val="tx1"/>
                  </w14:solidFill>
                </w14:textFill>
              </w:rPr>
              <w:t>90</w:t>
            </w:r>
            <w:r>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t>日历</w:t>
            </w: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天</w:t>
            </w:r>
            <w:r>
              <w:rPr>
                <w:rFonts w:hint="eastAsia" w:ascii="宋体" w:hAnsi="宋体" w:eastAsia="宋体" w:cs="宋体"/>
                <w:color w:val="auto"/>
                <w:sz w:val="24"/>
                <w:szCs w:val="24"/>
                <w:highlight w:val="none"/>
              </w:rPr>
              <w:t>。</w:t>
            </w:r>
          </w:p>
        </w:tc>
      </w:tr>
      <w:tr w14:paraId="17F9B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859" w:type="dxa"/>
            <w:vMerge w:val="continue"/>
            <w:tcBorders>
              <w:left w:val="single" w:color="auto" w:sz="4" w:space="0"/>
              <w:right w:val="single" w:color="auto" w:sz="4" w:space="0"/>
            </w:tcBorders>
            <w:vAlign w:val="center"/>
          </w:tcPr>
          <w:p w14:paraId="0C8682CC">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41" w:type="dxa"/>
            <w:vMerge w:val="continue"/>
            <w:tcBorders>
              <w:left w:val="nil"/>
              <w:right w:val="single" w:color="auto" w:sz="4" w:space="0"/>
            </w:tcBorders>
            <w:vAlign w:val="center"/>
          </w:tcPr>
          <w:p w14:paraId="7F4C0564">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923" w:type="dxa"/>
            <w:tcBorders>
              <w:top w:val="single" w:color="auto" w:sz="4" w:space="0"/>
              <w:left w:val="nil"/>
              <w:bottom w:val="single" w:color="auto" w:sz="4" w:space="0"/>
              <w:right w:val="single" w:color="auto" w:sz="4" w:space="0"/>
            </w:tcBorders>
            <w:vAlign w:val="center"/>
          </w:tcPr>
          <w:p w14:paraId="0E817228">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投标保证金</w:t>
            </w:r>
          </w:p>
        </w:tc>
        <w:tc>
          <w:tcPr>
            <w:tcW w:w="4512" w:type="dxa"/>
            <w:tcBorders>
              <w:top w:val="single" w:color="auto" w:sz="4" w:space="0"/>
              <w:left w:val="nil"/>
              <w:bottom w:val="single" w:color="auto" w:sz="4" w:space="0"/>
              <w:right w:val="single" w:color="auto" w:sz="4" w:space="0"/>
            </w:tcBorders>
            <w:vAlign w:val="center"/>
          </w:tcPr>
          <w:p w14:paraId="2C4258CD">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0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符合“供应商须知前附表”规定。</w:t>
            </w:r>
          </w:p>
        </w:tc>
      </w:tr>
      <w:tr w14:paraId="37658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59" w:type="dxa"/>
            <w:vMerge w:val="continue"/>
            <w:tcBorders>
              <w:left w:val="single" w:color="auto" w:sz="4" w:space="0"/>
              <w:right w:val="single" w:color="auto" w:sz="4" w:space="0"/>
            </w:tcBorders>
            <w:vAlign w:val="center"/>
          </w:tcPr>
          <w:p w14:paraId="4D7DABD5">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41" w:type="dxa"/>
            <w:vMerge w:val="continue"/>
            <w:tcBorders>
              <w:left w:val="nil"/>
              <w:right w:val="single" w:color="auto" w:sz="4" w:space="0"/>
            </w:tcBorders>
            <w:vAlign w:val="center"/>
          </w:tcPr>
          <w:p w14:paraId="795C3367">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923" w:type="dxa"/>
            <w:tcBorders>
              <w:top w:val="single" w:color="auto" w:sz="4" w:space="0"/>
              <w:left w:val="nil"/>
              <w:bottom w:val="single" w:color="auto" w:sz="4" w:space="0"/>
              <w:right w:val="single" w:color="auto" w:sz="4" w:space="0"/>
            </w:tcBorders>
            <w:vAlign w:val="center"/>
          </w:tcPr>
          <w:p w14:paraId="27F908F3">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投标报价</w:t>
            </w:r>
          </w:p>
        </w:tc>
        <w:tc>
          <w:tcPr>
            <w:tcW w:w="4512" w:type="dxa"/>
            <w:tcBorders>
              <w:top w:val="single" w:color="auto" w:sz="4" w:space="0"/>
              <w:left w:val="nil"/>
              <w:bottom w:val="single" w:color="auto" w:sz="4" w:space="0"/>
              <w:right w:val="single" w:color="auto" w:sz="4" w:space="0"/>
            </w:tcBorders>
            <w:vAlign w:val="center"/>
          </w:tcPr>
          <w:p w14:paraId="6C3B744C">
            <w:pPr>
              <w:keepNext w:val="0"/>
              <w:keepLines w:val="0"/>
              <w:pageBreakBefore w:val="0"/>
              <w:suppressLineNumbers w:val="0"/>
              <w:kinsoku/>
              <w:wordWrap/>
              <w:overflowPunct/>
              <w:topLinePunct w:val="0"/>
              <w:bidi w:val="0"/>
              <w:spacing w:before="0" w:beforeAutospacing="0" w:after="0" w:afterAutospacing="0" w:line="300" w:lineRule="exact"/>
              <w:ind w:left="0" w:right="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符合招标文件要求。</w:t>
            </w:r>
          </w:p>
        </w:tc>
      </w:tr>
      <w:tr w14:paraId="01C60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59" w:type="dxa"/>
            <w:vMerge w:val="continue"/>
            <w:tcBorders>
              <w:left w:val="single" w:color="auto" w:sz="4" w:space="0"/>
              <w:bottom w:val="single" w:color="auto" w:sz="4" w:space="0"/>
              <w:right w:val="single" w:color="auto" w:sz="4" w:space="0"/>
            </w:tcBorders>
            <w:vAlign w:val="center"/>
          </w:tcPr>
          <w:p w14:paraId="11822EA1">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41" w:type="dxa"/>
            <w:vMerge w:val="continue"/>
            <w:tcBorders>
              <w:left w:val="nil"/>
              <w:bottom w:val="single" w:color="auto" w:sz="4" w:space="0"/>
              <w:right w:val="single" w:color="auto" w:sz="4" w:space="0"/>
            </w:tcBorders>
            <w:vAlign w:val="center"/>
          </w:tcPr>
          <w:p w14:paraId="7F64DC6D">
            <w:pPr>
              <w:keepNext w:val="0"/>
              <w:keepLines w:val="0"/>
              <w:pageBreakBefore w:val="0"/>
              <w:widowControl/>
              <w:suppressLineNumbers w:val="0"/>
              <w:kinsoku/>
              <w:wordWrap/>
              <w:overflowPunct/>
              <w:topLinePunct w:val="0"/>
              <w:bidi w:val="0"/>
              <w:spacing w:before="0" w:beforeAutospacing="0" w:after="0" w:afterAutospacing="0" w:line="300" w:lineRule="exact"/>
              <w:ind w:left="0" w:right="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923" w:type="dxa"/>
            <w:tcBorders>
              <w:top w:val="single" w:color="auto" w:sz="4" w:space="0"/>
              <w:left w:val="nil"/>
              <w:bottom w:val="single" w:color="auto" w:sz="4" w:space="0"/>
              <w:right w:val="single" w:color="auto" w:sz="4" w:space="0"/>
            </w:tcBorders>
            <w:vAlign w:val="center"/>
          </w:tcPr>
          <w:p w14:paraId="3174F33A">
            <w:pPr>
              <w:keepNext w:val="0"/>
              <w:keepLines w:val="0"/>
              <w:pageBreakBefore w:val="0"/>
              <w:suppressLineNumbers w:val="0"/>
              <w:kinsoku/>
              <w:wordWrap/>
              <w:overflowPunct/>
              <w:topLinePunct w:val="0"/>
              <w:bidi w:val="0"/>
              <w:spacing w:before="0" w:beforeAutospacing="0" w:after="0" w:afterAutospacing="0" w:line="300" w:lineRule="exact"/>
              <w:ind w:left="0" w:right="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服务内容及要求</w:t>
            </w:r>
          </w:p>
        </w:tc>
        <w:tc>
          <w:tcPr>
            <w:tcW w:w="4512" w:type="dxa"/>
            <w:tcBorders>
              <w:top w:val="single" w:color="auto" w:sz="4" w:space="0"/>
              <w:left w:val="nil"/>
              <w:bottom w:val="single" w:color="auto" w:sz="4" w:space="0"/>
              <w:right w:val="single" w:color="auto" w:sz="4" w:space="0"/>
            </w:tcBorders>
            <w:vAlign w:val="center"/>
          </w:tcPr>
          <w:p w14:paraId="440628E3">
            <w:pPr>
              <w:keepNext w:val="0"/>
              <w:keepLines w:val="0"/>
              <w:pageBreakBefore w:val="0"/>
              <w:suppressLineNumbers w:val="0"/>
              <w:kinsoku/>
              <w:wordWrap/>
              <w:overflowPunct/>
              <w:topLinePunct w:val="0"/>
              <w:bidi w:val="0"/>
              <w:spacing w:before="0" w:beforeAutospacing="0" w:after="0" w:afterAutospacing="0" w:line="300" w:lineRule="exact"/>
              <w:ind w:left="0" w:right="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符合第五章“</w:t>
            </w:r>
            <w:r>
              <w:rPr>
                <w:rFonts w:hint="eastAsia" w:ascii="宋体" w:hAnsi="宋体" w:eastAsia="宋体" w:cs="宋体"/>
                <w:color w:val="000000" w:themeColor="text1"/>
                <w:sz w:val="24"/>
                <w:szCs w:val="24"/>
                <w:highlight w:val="none"/>
                <w:lang w:val="en-US" w:eastAsia="zh-CN"/>
                <w14:textFill>
                  <w14:solidFill>
                    <w14:schemeClr w14:val="tx1"/>
                  </w14:solidFill>
                </w14:textFill>
              </w:rPr>
              <w:t>服务内容及要求</w:t>
            </w:r>
            <w:r>
              <w:rPr>
                <w:rFonts w:hint="eastAsia" w:ascii="宋体" w:hAnsi="宋体" w:eastAsia="宋体" w:cs="宋体"/>
                <w:color w:val="000000" w:themeColor="text1"/>
                <w:sz w:val="24"/>
                <w:szCs w:val="24"/>
                <w:highlight w:val="none"/>
                <w14:textFill>
                  <w14:solidFill>
                    <w14:schemeClr w14:val="tx1"/>
                  </w14:solidFill>
                </w14:textFill>
              </w:rPr>
              <w:t>”中实质性内容。</w:t>
            </w:r>
          </w:p>
        </w:tc>
      </w:tr>
    </w:tbl>
    <w:p w14:paraId="67921EEB">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 xml:space="preserve"> </w:t>
      </w:r>
    </w:p>
    <w:p w14:paraId="5CB0388D">
      <w:pPr>
        <w:pStyle w:val="32"/>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b/>
          <w:bCs/>
          <w:color w:val="000000" w:themeColor="text1"/>
          <w:sz w:val="28"/>
          <w:szCs w:val="28"/>
          <w:highlight w:val="none"/>
          <w14:textFill>
            <w14:solidFill>
              <w14:schemeClr w14:val="tx1"/>
            </w14:solidFill>
          </w14:textFill>
        </w:rPr>
      </w:pPr>
    </w:p>
    <w:p w14:paraId="3BAE8A7E">
      <w:pPr>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b/>
          <w:bCs/>
          <w:color w:val="000000" w:themeColor="text1"/>
          <w:sz w:val="28"/>
          <w:szCs w:val="28"/>
          <w:highlight w:val="none"/>
          <w14:textFill>
            <w14:solidFill>
              <w14:schemeClr w14:val="tx1"/>
            </w14:solidFill>
          </w14:textFill>
        </w:rPr>
      </w:pPr>
    </w:p>
    <w:p w14:paraId="64D6B7D5">
      <w:pPr>
        <w:keepNext w:val="0"/>
        <w:keepLines w:val="0"/>
        <w:pageBreakBefore w:val="0"/>
        <w:kinsoku/>
        <w:wordWrap/>
        <w:overflowPunct/>
        <w:topLinePunct w:val="0"/>
        <w:autoSpaceDE/>
        <w:autoSpaceDN/>
        <w:bidi w:val="0"/>
        <w:adjustRightInd/>
        <w:snapToGrid/>
        <w:textAlignment w:val="auto"/>
        <w:outlineLvl w:val="9"/>
        <w:rPr>
          <w:rFonts w:hint="eastAsia" w:ascii="宋体" w:hAnsi="宋体" w:eastAsia="宋体" w:cs="宋体"/>
          <w:b/>
          <w:bCs/>
          <w:color w:val="000000" w:themeColor="text1"/>
          <w:sz w:val="28"/>
          <w:szCs w:val="28"/>
          <w:highlight w:val="none"/>
          <w14:textFill>
            <w14:solidFill>
              <w14:schemeClr w14:val="tx1"/>
            </w14:solidFill>
          </w14:textFill>
        </w:rPr>
      </w:pPr>
    </w:p>
    <w:p w14:paraId="75CE3FE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bCs/>
          <w:sz w:val="32"/>
          <w:szCs w:val="32"/>
          <w:highlight w:val="none"/>
        </w:rPr>
      </w:pPr>
      <w:r>
        <w:rPr>
          <w:rFonts w:hint="eastAsia" w:ascii="宋体" w:hAnsi="宋体" w:eastAsia="宋体" w:cs="宋体"/>
          <w:b/>
          <w:bCs/>
          <w:sz w:val="32"/>
          <w:szCs w:val="32"/>
          <w:highlight w:val="none"/>
          <w:lang w:eastAsia="zh-CN"/>
        </w:rPr>
        <w:t>二、</w:t>
      </w:r>
      <w:r>
        <w:rPr>
          <w:rFonts w:hint="eastAsia" w:ascii="宋体" w:hAnsi="宋体" w:eastAsia="宋体" w:cs="宋体"/>
          <w:b/>
          <w:bCs/>
          <w:sz w:val="32"/>
          <w:szCs w:val="32"/>
          <w:highlight w:val="none"/>
        </w:rPr>
        <w:t>综合评分法</w:t>
      </w:r>
    </w:p>
    <w:p w14:paraId="6457B7B5">
      <w:pPr>
        <w:pStyle w:val="44"/>
        <w:rPr>
          <w:rFonts w:hint="eastAsia" w:ascii="宋体" w:hAnsi="宋体" w:eastAsia="宋体" w:cs="宋体"/>
          <w:highlight w:val="none"/>
        </w:rPr>
      </w:pPr>
    </w:p>
    <w:tbl>
      <w:tblPr>
        <w:tblStyle w:val="36"/>
        <w:tblW w:w="8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650"/>
        <w:gridCol w:w="5126"/>
      </w:tblGrid>
      <w:tr w14:paraId="2E75A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512" w:type="dxa"/>
            <w:tcBorders>
              <w:top w:val="single" w:color="auto" w:sz="4" w:space="0"/>
              <w:left w:val="single" w:color="auto" w:sz="4" w:space="0"/>
              <w:bottom w:val="single" w:color="auto" w:sz="4" w:space="0"/>
              <w:right w:val="single" w:color="auto" w:sz="4" w:space="0"/>
            </w:tcBorders>
            <w:vAlign w:val="center"/>
          </w:tcPr>
          <w:p w14:paraId="23BBE698">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条款号</w:t>
            </w:r>
          </w:p>
        </w:tc>
        <w:tc>
          <w:tcPr>
            <w:tcW w:w="1650" w:type="dxa"/>
            <w:tcBorders>
              <w:top w:val="single" w:color="auto" w:sz="4" w:space="0"/>
              <w:left w:val="nil"/>
              <w:bottom w:val="single" w:color="auto" w:sz="4" w:space="0"/>
              <w:right w:val="single" w:color="auto" w:sz="4" w:space="0"/>
            </w:tcBorders>
            <w:vAlign w:val="center"/>
          </w:tcPr>
          <w:p w14:paraId="690F6FE6">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分值</w:t>
            </w:r>
          </w:p>
        </w:tc>
        <w:tc>
          <w:tcPr>
            <w:tcW w:w="5126" w:type="dxa"/>
            <w:tcBorders>
              <w:top w:val="single" w:color="auto" w:sz="4" w:space="0"/>
              <w:left w:val="nil"/>
              <w:bottom w:val="single" w:color="auto" w:sz="4" w:space="0"/>
              <w:right w:val="single" w:color="auto" w:sz="4" w:space="0"/>
            </w:tcBorders>
            <w:vAlign w:val="center"/>
          </w:tcPr>
          <w:p w14:paraId="36A5EC44">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评审标准</w:t>
            </w:r>
          </w:p>
        </w:tc>
      </w:tr>
      <w:tr w14:paraId="19033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512" w:type="dxa"/>
            <w:tcBorders>
              <w:top w:val="single" w:color="auto" w:sz="4" w:space="0"/>
              <w:left w:val="single" w:color="auto" w:sz="4" w:space="0"/>
              <w:bottom w:val="single" w:color="auto" w:sz="4" w:space="0"/>
              <w:right w:val="single" w:color="auto" w:sz="4" w:space="0"/>
            </w:tcBorders>
            <w:vAlign w:val="center"/>
          </w:tcPr>
          <w:p w14:paraId="381956D4">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2.2.1</w:t>
            </w:r>
          </w:p>
        </w:tc>
        <w:tc>
          <w:tcPr>
            <w:tcW w:w="1650" w:type="dxa"/>
            <w:tcBorders>
              <w:top w:val="single" w:color="auto" w:sz="4" w:space="0"/>
              <w:left w:val="nil"/>
              <w:bottom w:val="single" w:color="auto" w:sz="4" w:space="0"/>
              <w:right w:val="single" w:color="auto" w:sz="4" w:space="0"/>
            </w:tcBorders>
            <w:vAlign w:val="center"/>
          </w:tcPr>
          <w:p w14:paraId="6D1524D4">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分值构成</w:t>
            </w:r>
          </w:p>
          <w:p w14:paraId="6466068D">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(总分100分)</w:t>
            </w:r>
          </w:p>
        </w:tc>
        <w:tc>
          <w:tcPr>
            <w:tcW w:w="5126" w:type="dxa"/>
            <w:tcBorders>
              <w:top w:val="single" w:color="auto" w:sz="4" w:space="0"/>
              <w:left w:val="nil"/>
              <w:bottom w:val="single" w:color="auto" w:sz="4" w:space="0"/>
              <w:right w:val="single" w:color="auto" w:sz="4" w:space="0"/>
            </w:tcBorders>
          </w:tcPr>
          <w:p w14:paraId="50D61E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sz w:val="24"/>
                <w:szCs w:val="24"/>
              </w:rPr>
            </w:pPr>
            <w:r>
              <w:rPr>
                <w:rFonts w:hint="eastAsia" w:ascii="宋体" w:hAnsi="宋体" w:eastAsia="宋体" w:cs="宋体"/>
                <w:sz w:val="24"/>
                <w:szCs w:val="24"/>
              </w:rPr>
              <w:t>投标报价：</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p w14:paraId="487C75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sz w:val="24"/>
                <w:szCs w:val="24"/>
              </w:rPr>
            </w:pPr>
            <w:r>
              <w:rPr>
                <w:rFonts w:hint="eastAsia" w:ascii="宋体" w:hAnsi="宋体" w:eastAsia="宋体" w:cs="宋体"/>
                <w:sz w:val="24"/>
                <w:szCs w:val="24"/>
              </w:rPr>
              <w:t>商务部分：</w:t>
            </w:r>
            <w:r>
              <w:rPr>
                <w:rFonts w:hint="eastAsia" w:ascii="宋体" w:hAnsi="宋体" w:eastAsia="宋体" w:cs="宋体"/>
                <w:sz w:val="24"/>
                <w:szCs w:val="24"/>
                <w:lang w:val="en-US" w:eastAsia="zh-CN"/>
              </w:rPr>
              <w:t>20</w:t>
            </w:r>
            <w:r>
              <w:rPr>
                <w:rFonts w:hint="eastAsia" w:ascii="宋体" w:hAnsi="宋体" w:eastAsia="宋体" w:cs="宋体"/>
                <w:sz w:val="24"/>
                <w:szCs w:val="24"/>
              </w:rPr>
              <w:t>分；</w:t>
            </w:r>
          </w:p>
          <w:p w14:paraId="4486E0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sz w:val="24"/>
                <w:szCs w:val="24"/>
              </w:rPr>
            </w:pPr>
            <w:r>
              <w:rPr>
                <w:rFonts w:hint="eastAsia" w:ascii="宋体" w:hAnsi="宋体" w:eastAsia="宋体" w:cs="宋体"/>
                <w:sz w:val="24"/>
                <w:szCs w:val="24"/>
              </w:rPr>
              <w:t>技术部分：</w:t>
            </w:r>
            <w:r>
              <w:rPr>
                <w:rFonts w:hint="eastAsia" w:ascii="宋体" w:hAnsi="宋体" w:eastAsia="宋体" w:cs="宋体"/>
                <w:sz w:val="24"/>
                <w:szCs w:val="24"/>
                <w:lang w:val="en-US" w:eastAsia="zh-CN"/>
              </w:rPr>
              <w:t>60</w:t>
            </w:r>
            <w:r>
              <w:rPr>
                <w:rFonts w:hint="eastAsia" w:ascii="宋体" w:hAnsi="宋体" w:eastAsia="宋体" w:cs="宋体"/>
                <w:sz w:val="24"/>
                <w:szCs w:val="24"/>
              </w:rPr>
              <w:t>分；</w:t>
            </w:r>
          </w:p>
          <w:p w14:paraId="4D8201FA">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textAlignment w:val="auto"/>
              <w:rPr>
                <w:rFonts w:hint="eastAsia" w:ascii="宋体" w:hAnsi="宋体" w:eastAsia="宋体" w:cs="宋体"/>
                <w:lang w:val="en-US" w:eastAsia="zh-CN"/>
              </w:rPr>
            </w:pPr>
            <w:r>
              <w:rPr>
                <w:rFonts w:hint="eastAsia" w:ascii="宋体" w:hAnsi="宋体" w:eastAsia="宋体" w:cs="宋体"/>
                <w:color w:val="000000" w:themeColor="text1"/>
                <w:sz w:val="24"/>
                <w:szCs w:val="24"/>
                <w:highlight w:val="none"/>
                <w:lang w:eastAsia="zh-CN"/>
                <w14:textFill>
                  <w14:solidFill>
                    <w14:schemeClr w14:val="tx1"/>
                  </w14:solidFill>
                </w14:textFill>
              </w:rPr>
              <w:t>其他部分：</w:t>
            </w:r>
            <w:r>
              <w:rPr>
                <w:rFonts w:hint="eastAsia" w:ascii="宋体" w:hAnsi="宋体" w:eastAsia="宋体" w:cs="宋体"/>
                <w:color w:val="000000" w:themeColor="text1"/>
                <w:sz w:val="24"/>
                <w:szCs w:val="24"/>
                <w:highlight w:val="none"/>
                <w:lang w:val="en-US" w:eastAsia="zh-CN"/>
                <w14:textFill>
                  <w14:solidFill>
                    <w14:schemeClr w14:val="tx1"/>
                  </w14:solidFill>
                </w14:textFill>
              </w:rPr>
              <w:t>10分。</w:t>
            </w:r>
          </w:p>
        </w:tc>
      </w:tr>
    </w:tbl>
    <w:p w14:paraId="1BD01F5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000000" w:themeColor="text1"/>
          <w:sz w:val="24"/>
          <w:szCs w:val="24"/>
          <w:highlight w:val="none"/>
          <w14:textFill>
            <w14:solidFill>
              <w14:schemeClr w14:val="tx1"/>
            </w14:solidFill>
          </w14:textFill>
        </w:rPr>
      </w:pPr>
      <w:bookmarkStart w:id="27" w:name="_Toc8017"/>
      <w:r>
        <w:rPr>
          <w:rFonts w:hint="eastAsia" w:ascii="宋体" w:hAnsi="宋体" w:eastAsia="宋体" w:cs="宋体"/>
          <w:b/>
          <w:bCs/>
          <w:color w:val="000000" w:themeColor="text1"/>
          <w:sz w:val="24"/>
          <w:szCs w:val="24"/>
          <w:highlight w:val="none"/>
          <w14:textFill>
            <w14:solidFill>
              <w14:schemeClr w14:val="tx1"/>
            </w14:solidFill>
          </w14:textFill>
        </w:rPr>
        <w:t>评审因素见下表：</w:t>
      </w:r>
    </w:p>
    <w:bookmarkEnd w:id="27"/>
    <w:tbl>
      <w:tblPr>
        <w:tblStyle w:val="36"/>
        <w:tblpPr w:leftFromText="180" w:rightFromText="180" w:vertAnchor="text" w:horzAnchor="page" w:tblpX="1883" w:tblpY="310"/>
        <w:tblOverlap w:val="never"/>
        <w:tblW w:w="8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2"/>
        <w:gridCol w:w="1245"/>
        <w:gridCol w:w="1394"/>
        <w:gridCol w:w="4920"/>
      </w:tblGrid>
      <w:tr w14:paraId="310DE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37C7D2F">
            <w:pPr>
              <w:pStyle w:val="9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2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26820B0">
            <w:pPr>
              <w:pStyle w:val="9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评分项目</w:t>
            </w:r>
          </w:p>
        </w:tc>
        <w:tc>
          <w:tcPr>
            <w:tcW w:w="13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BA66050">
            <w:pPr>
              <w:pStyle w:val="9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基准分值</w:t>
            </w:r>
          </w:p>
        </w:tc>
        <w:tc>
          <w:tcPr>
            <w:tcW w:w="49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C8B6403">
            <w:pPr>
              <w:pStyle w:val="9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21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r>
      <w:tr w14:paraId="09842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E38AC4F">
            <w:pPr>
              <w:pStyle w:val="9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6A741E3">
            <w:pPr>
              <w:pStyle w:val="9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报价部分</w:t>
            </w:r>
          </w:p>
          <w:p w14:paraId="50C23C34">
            <w:pPr>
              <w:pStyle w:val="9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13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CA2E981">
            <w:pPr>
              <w:pStyle w:val="9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49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F330ADD">
            <w:pPr>
              <w:pStyle w:val="9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以满足招标文件要求且有效投标价格的最低的投标报价为评标基准价</w:t>
            </w:r>
            <w:r>
              <w:rPr>
                <w:rFonts w:hint="eastAsia" w:ascii="宋体" w:hAnsi="宋体" w:eastAsia="宋体" w:cs="宋体"/>
                <w:color w:val="auto"/>
                <w:sz w:val="24"/>
                <w:szCs w:val="24"/>
                <w:highlight w:val="none"/>
              </w:rPr>
              <w:t>。投标人的价格分按</w:t>
            </w:r>
            <w:r>
              <w:rPr>
                <w:rFonts w:hint="eastAsia" w:ascii="宋体" w:hAnsi="宋体" w:eastAsia="宋体" w:cs="宋体"/>
                <w:color w:val="auto"/>
                <w:sz w:val="24"/>
                <w:szCs w:val="24"/>
                <w:highlight w:val="none"/>
                <w:lang w:eastAsia="zh-CN"/>
              </w:rPr>
              <w:t>以</w:t>
            </w:r>
            <w:r>
              <w:rPr>
                <w:rFonts w:hint="eastAsia" w:ascii="宋体" w:hAnsi="宋体" w:eastAsia="宋体" w:cs="宋体"/>
                <w:color w:val="auto"/>
                <w:sz w:val="24"/>
                <w:szCs w:val="24"/>
                <w:highlight w:val="none"/>
              </w:rPr>
              <w:t>下</w:t>
            </w:r>
            <w:r>
              <w:rPr>
                <w:rFonts w:hint="eastAsia" w:ascii="宋体" w:hAnsi="宋体" w:eastAsia="宋体" w:cs="宋体"/>
                <w:color w:val="auto"/>
                <w:sz w:val="24"/>
                <w:szCs w:val="24"/>
                <w:highlight w:val="none"/>
                <w:lang w:eastAsia="zh-CN"/>
              </w:rPr>
              <w:t>公</w:t>
            </w:r>
            <w:r>
              <w:rPr>
                <w:rFonts w:hint="eastAsia" w:ascii="宋体" w:hAnsi="宋体" w:eastAsia="宋体" w:cs="宋体"/>
                <w:color w:val="auto"/>
                <w:sz w:val="24"/>
                <w:szCs w:val="24"/>
                <w:highlight w:val="none"/>
              </w:rPr>
              <w:t>式计算：价格分=（评分基准价/评标价）×</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w:t>
            </w:r>
            <w:r>
              <w:rPr>
                <w:rFonts w:hint="eastAsia" w:ascii="宋体" w:hAnsi="宋体" w:eastAsia="宋体" w:cs="宋体"/>
                <w:color w:val="000000" w:themeColor="text1"/>
                <w:sz w:val="24"/>
                <w:szCs w:val="24"/>
                <w:highlight w:val="none"/>
                <w14:textFill>
                  <w14:solidFill>
                    <w14:schemeClr w14:val="tx1"/>
                  </w14:solidFill>
                </w14:textFill>
              </w:rPr>
              <w:t>精确到小数点后两位。</w:t>
            </w:r>
          </w:p>
          <w:p w14:paraId="5671E0DE">
            <w:pPr>
              <w:pStyle w:val="9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sz w:val="20"/>
                <w:szCs w:val="20"/>
                <w:highlight w:val="none"/>
                <w:lang w:val="en-US" w:eastAsia="zh-CN"/>
              </w:rPr>
              <w:t>注：中小企业须提供出具的《中小企业声明函》后投标报价予以10%的扣除，用扣除后的报价参与评审（提供中小企业声明函的投标企业除投标文件外须单独提供一份并加盖公章密封）。</w:t>
            </w:r>
          </w:p>
        </w:tc>
      </w:tr>
      <w:tr w14:paraId="56390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trPr>
        <w:tc>
          <w:tcPr>
            <w:tcW w:w="752"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48B0C2F">
            <w:pPr>
              <w:pStyle w:val="9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45"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B25F1DE">
            <w:pPr>
              <w:pStyle w:val="9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商务</w:t>
            </w:r>
            <w:r>
              <w:rPr>
                <w:rFonts w:hint="eastAsia" w:ascii="宋体" w:hAnsi="宋体" w:eastAsia="宋体" w:cs="宋体"/>
                <w:color w:val="auto"/>
                <w:sz w:val="24"/>
                <w:szCs w:val="24"/>
                <w:highlight w:val="none"/>
                <w:lang w:eastAsia="zh-CN"/>
              </w:rPr>
              <w:t>部分</w:t>
            </w:r>
          </w:p>
          <w:p w14:paraId="516689A9">
            <w:pPr>
              <w:pStyle w:val="9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p w14:paraId="7F0523D8">
            <w:pPr>
              <w:pStyle w:val="9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highlight w:val="none"/>
              </w:rPr>
            </w:pPr>
          </w:p>
        </w:tc>
        <w:tc>
          <w:tcPr>
            <w:tcW w:w="13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EDF25C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投标文件编制</w:t>
            </w:r>
          </w:p>
          <w:p w14:paraId="63067D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c>
          <w:tcPr>
            <w:tcW w:w="49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6D601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编制完整、规范、有序，装订</w:t>
            </w:r>
            <w:r>
              <w:rPr>
                <w:rFonts w:hint="eastAsia" w:ascii="宋体" w:hAnsi="宋体" w:eastAsia="宋体" w:cs="宋体"/>
                <w:color w:val="000000" w:themeColor="text1"/>
                <w:sz w:val="24"/>
                <w:szCs w:val="24"/>
                <w:highlight w:val="none"/>
                <w:lang w:eastAsia="zh-CN"/>
                <w14:textFill>
                  <w14:solidFill>
                    <w14:schemeClr w14:val="tx1"/>
                  </w14:solidFill>
                </w14:textFill>
              </w:rPr>
              <w:t>完善</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b/>
                <w:bCs/>
                <w:color w:val="000000" w:themeColor="text1"/>
                <w:sz w:val="24"/>
                <w:szCs w:val="24"/>
                <w:highlight w:val="none"/>
                <w14:textFill>
                  <w14:solidFill>
                    <w14:schemeClr w14:val="tx1"/>
                  </w14:solidFill>
                </w14:textFill>
              </w:rPr>
              <w:t>得</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2.5</w:t>
            </w:r>
            <w:r>
              <w:rPr>
                <w:rFonts w:hint="eastAsia" w:ascii="宋体" w:hAnsi="宋体" w:eastAsia="宋体" w:cs="宋体"/>
                <w:b/>
                <w:bCs/>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114374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无目录</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42962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未按照</w:t>
            </w:r>
            <w:r>
              <w:rPr>
                <w:rFonts w:hint="eastAsia" w:ascii="宋体" w:hAnsi="宋体" w:eastAsia="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格式要求或未按详细评审项目编制</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E3352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页码不连续</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399A8C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打印（书写）不清晰的</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3E32FD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sz w:val="24"/>
                <w:szCs w:val="24"/>
                <w:highlight w:val="none"/>
                <w14:textFill>
                  <w14:solidFill>
                    <w14:schemeClr w14:val="tx1"/>
                  </w14:solidFill>
                </w14:textFill>
              </w:rPr>
              <w:t>发生前后矛盾与</w:t>
            </w:r>
            <w:r>
              <w:rPr>
                <w:rFonts w:hint="eastAsia" w:ascii="宋体" w:hAnsi="宋体" w:eastAsia="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要求不一致</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提供</w:t>
            </w:r>
            <w:r>
              <w:rPr>
                <w:rFonts w:hint="eastAsia" w:ascii="宋体" w:hAnsi="宋体" w:eastAsia="宋体" w:cs="宋体"/>
                <w:color w:val="000000" w:themeColor="text1"/>
                <w:sz w:val="24"/>
                <w:szCs w:val="24"/>
                <w:highlight w:val="none"/>
                <w:lang w:eastAsia="zh-CN"/>
                <w14:textFill>
                  <w14:solidFill>
                    <w14:schemeClr w14:val="tx1"/>
                  </w14:solidFill>
                </w14:textFill>
              </w:rPr>
              <w:t>招标文件</w:t>
            </w:r>
            <w:r>
              <w:rPr>
                <w:rFonts w:hint="eastAsia" w:ascii="宋体" w:hAnsi="宋体" w:eastAsia="宋体" w:cs="宋体"/>
                <w:color w:val="000000" w:themeColor="text1"/>
                <w:sz w:val="24"/>
                <w:szCs w:val="24"/>
                <w:highlight w:val="none"/>
                <w14:textFill>
                  <w14:solidFill>
                    <w14:schemeClr w14:val="tx1"/>
                  </w14:solidFill>
                </w14:textFill>
              </w:rPr>
              <w:t>所要求以外的不必要证明材料的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每有一项扣</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0.5</w:t>
            </w:r>
            <w:r>
              <w:rPr>
                <w:rFonts w:hint="eastAsia" w:ascii="宋体" w:hAnsi="宋体" w:eastAsia="宋体" w:cs="宋体"/>
                <w:b/>
                <w:bCs/>
                <w:color w:val="000000" w:themeColor="text1"/>
                <w:sz w:val="24"/>
                <w:szCs w:val="24"/>
                <w:highlight w:val="none"/>
                <w14:textFill>
                  <w14:solidFill>
                    <w14:schemeClr w14:val="tx1"/>
                  </w14:solidFill>
                </w14:textFill>
              </w:rPr>
              <w:t>分，扣完为止</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14:paraId="3A54C73B">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w:t>
            </w:r>
            <w:r>
              <w:rPr>
                <w:rFonts w:hint="eastAsia" w:ascii="宋体" w:hAnsi="宋体" w:eastAsia="宋体" w:cs="宋体"/>
                <w:color w:val="000000" w:themeColor="text1"/>
                <w:sz w:val="24"/>
                <w:szCs w:val="24"/>
                <w:highlight w:val="none"/>
                <w14:textFill>
                  <w14:solidFill>
                    <w14:schemeClr w14:val="tx1"/>
                  </w14:solidFill>
                </w14:textFill>
              </w:rPr>
              <w:t>响应全面</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内容整齐</w:t>
            </w:r>
            <w:r>
              <w:rPr>
                <w:rFonts w:hint="eastAsia" w:ascii="宋体" w:hAnsi="宋体" w:eastAsia="宋体" w:cs="宋体"/>
                <w:color w:val="000000" w:themeColor="text1"/>
                <w:sz w:val="24"/>
                <w:szCs w:val="24"/>
                <w:highlight w:val="none"/>
                <w:lang w:eastAsia="zh-CN"/>
                <w14:textFill>
                  <w14:solidFill>
                    <w14:schemeClr w14:val="tx1"/>
                  </w14:solidFill>
                </w14:textFill>
              </w:rPr>
              <w:t>、条例清楚</w:t>
            </w:r>
            <w:r>
              <w:rPr>
                <w:rFonts w:hint="eastAsia" w:ascii="宋体" w:hAnsi="宋体" w:eastAsia="宋体" w:cs="宋体"/>
                <w:b/>
                <w:bCs/>
                <w:color w:val="000000" w:themeColor="text1"/>
                <w:sz w:val="24"/>
                <w:szCs w:val="24"/>
                <w:highlight w:val="none"/>
                <w14:textFill>
                  <w14:solidFill>
                    <w14:schemeClr w14:val="tx1"/>
                  </w14:solidFill>
                </w14:textFill>
              </w:rPr>
              <w:t>得</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2.5</w:t>
            </w:r>
            <w:r>
              <w:rPr>
                <w:rFonts w:hint="eastAsia" w:ascii="宋体" w:hAnsi="宋体" w:cs="宋体"/>
                <w:b/>
                <w:bCs/>
                <w:color w:val="000000" w:themeColor="text1"/>
                <w:sz w:val="24"/>
                <w:szCs w:val="24"/>
                <w:highlight w:val="none"/>
                <w:lang w:val="en-US" w:eastAsia="zh-CN"/>
                <w14:textFill>
                  <w14:solidFill>
                    <w14:schemeClr w14:val="tx1"/>
                  </w14:solidFill>
                </w14:textFill>
              </w:rPr>
              <w:t>-1.6</w:t>
            </w:r>
            <w:r>
              <w:rPr>
                <w:rFonts w:hint="eastAsia" w:ascii="宋体" w:hAnsi="宋体" w:eastAsia="宋体" w:cs="宋体"/>
                <w:b/>
                <w:bCs/>
                <w:color w:val="000000" w:themeColor="text1"/>
                <w:sz w:val="24"/>
                <w:szCs w:val="24"/>
                <w:highlight w:val="none"/>
                <w14:textFill>
                  <w14:solidFill>
                    <w14:schemeClr w14:val="tx1"/>
                  </w14:solidFill>
                </w14:textFill>
              </w:rPr>
              <w:t>分</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14:paraId="7B110223">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响应</w:t>
            </w:r>
            <w:r>
              <w:rPr>
                <w:rFonts w:hint="eastAsia" w:ascii="宋体" w:hAnsi="宋体" w:eastAsia="宋体" w:cs="宋体"/>
                <w:color w:val="000000" w:themeColor="text1"/>
                <w:sz w:val="24"/>
                <w:szCs w:val="24"/>
                <w:highlight w:val="none"/>
                <w:lang w:eastAsia="zh-CN"/>
                <w14:textFill>
                  <w14:solidFill>
                    <w14:schemeClr w14:val="tx1"/>
                  </w14:solidFill>
                </w14:textFill>
              </w:rPr>
              <w:t>的一般、</w:t>
            </w:r>
            <w:r>
              <w:rPr>
                <w:rFonts w:hint="eastAsia" w:ascii="宋体" w:hAnsi="宋体" w:eastAsia="宋体" w:cs="宋体"/>
                <w:color w:val="000000" w:themeColor="text1"/>
                <w:sz w:val="24"/>
                <w:szCs w:val="24"/>
                <w:highlight w:val="none"/>
                <w14:textFill>
                  <w14:solidFill>
                    <w14:schemeClr w14:val="tx1"/>
                  </w14:solidFill>
                </w14:textFill>
              </w:rPr>
              <w:t>内容</w:t>
            </w:r>
            <w:r>
              <w:rPr>
                <w:rFonts w:hint="eastAsia" w:ascii="宋体" w:hAnsi="宋体" w:eastAsia="宋体" w:cs="宋体"/>
                <w:color w:val="000000" w:themeColor="text1"/>
                <w:sz w:val="24"/>
                <w:szCs w:val="24"/>
                <w:highlight w:val="none"/>
                <w:lang w:eastAsia="zh-CN"/>
                <w14:textFill>
                  <w14:solidFill>
                    <w14:schemeClr w14:val="tx1"/>
                  </w14:solidFill>
                </w14:textFill>
              </w:rPr>
              <w:t>较</w:t>
            </w:r>
            <w:r>
              <w:rPr>
                <w:rFonts w:hint="eastAsia" w:ascii="宋体" w:hAnsi="宋体" w:eastAsia="宋体" w:cs="宋体"/>
                <w:color w:val="000000" w:themeColor="text1"/>
                <w:sz w:val="24"/>
                <w:szCs w:val="24"/>
                <w:highlight w:val="none"/>
                <w14:textFill>
                  <w14:solidFill>
                    <w14:schemeClr w14:val="tx1"/>
                  </w14:solidFill>
                </w14:textFill>
              </w:rPr>
              <w:t>整齐</w:t>
            </w:r>
            <w:r>
              <w:rPr>
                <w:rFonts w:hint="eastAsia" w:ascii="宋体" w:hAnsi="宋体" w:eastAsia="宋体" w:cs="宋体"/>
                <w:color w:val="000000" w:themeColor="text1"/>
                <w:sz w:val="24"/>
                <w:szCs w:val="24"/>
                <w:highlight w:val="none"/>
                <w:lang w:eastAsia="zh-CN"/>
                <w14:textFill>
                  <w14:solidFill>
                    <w14:schemeClr w14:val="tx1"/>
                  </w14:solidFill>
                </w14:textFill>
              </w:rPr>
              <w:t>、条例较清楚</w:t>
            </w:r>
            <w:r>
              <w:rPr>
                <w:rFonts w:hint="eastAsia" w:ascii="宋体" w:hAnsi="宋体" w:eastAsia="宋体" w:cs="宋体"/>
                <w:b/>
                <w:bCs/>
                <w:color w:val="000000" w:themeColor="text1"/>
                <w:sz w:val="24"/>
                <w:szCs w:val="24"/>
                <w:highlight w:val="none"/>
                <w14:textFill>
                  <w14:solidFill>
                    <w14:schemeClr w14:val="tx1"/>
                  </w14:solidFill>
                </w14:textFill>
              </w:rPr>
              <w:t>得</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1.5</w:t>
            </w:r>
            <w:r>
              <w:rPr>
                <w:rFonts w:hint="eastAsia" w:ascii="宋体" w:hAnsi="宋体" w:cs="宋体"/>
                <w:b/>
                <w:bCs/>
                <w:color w:val="000000" w:themeColor="text1"/>
                <w:sz w:val="24"/>
                <w:szCs w:val="24"/>
                <w:highlight w:val="none"/>
                <w:lang w:val="en-US" w:eastAsia="zh-CN"/>
                <w14:textFill>
                  <w14:solidFill>
                    <w14:schemeClr w14:val="tx1"/>
                  </w14:solidFill>
                </w14:textFill>
              </w:rPr>
              <w:t>-0.6</w:t>
            </w:r>
            <w:r>
              <w:rPr>
                <w:rFonts w:hint="eastAsia" w:ascii="宋体" w:hAnsi="宋体" w:eastAsia="宋体" w:cs="宋体"/>
                <w:b/>
                <w:bCs/>
                <w:color w:val="000000" w:themeColor="text1"/>
                <w:sz w:val="24"/>
                <w:szCs w:val="24"/>
                <w:highlight w:val="none"/>
                <w14:textFill>
                  <w14:solidFill>
                    <w14:schemeClr w14:val="tx1"/>
                  </w14:solidFill>
                </w14:textFill>
              </w:rPr>
              <w:t>分</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14:paraId="3363DF3F">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响应</w:t>
            </w:r>
            <w:r>
              <w:rPr>
                <w:rFonts w:hint="eastAsia" w:ascii="宋体" w:hAnsi="宋体" w:eastAsia="宋体" w:cs="宋体"/>
                <w:color w:val="000000" w:themeColor="text1"/>
                <w:sz w:val="24"/>
                <w:szCs w:val="24"/>
                <w:highlight w:val="none"/>
                <w:lang w:eastAsia="zh-CN"/>
                <w14:textFill>
                  <w14:solidFill>
                    <w14:schemeClr w14:val="tx1"/>
                  </w14:solidFill>
                </w14:textFill>
              </w:rPr>
              <w:t>的简单、</w:t>
            </w:r>
            <w:r>
              <w:rPr>
                <w:rFonts w:hint="eastAsia" w:ascii="宋体" w:hAnsi="宋体" w:eastAsia="宋体" w:cs="宋体"/>
                <w:color w:val="000000" w:themeColor="text1"/>
                <w:sz w:val="24"/>
                <w:szCs w:val="24"/>
                <w:highlight w:val="none"/>
                <w14:textFill>
                  <w14:solidFill>
                    <w14:schemeClr w14:val="tx1"/>
                  </w14:solidFill>
                </w14:textFill>
              </w:rPr>
              <w:t>内容</w:t>
            </w:r>
            <w:r>
              <w:rPr>
                <w:rFonts w:hint="eastAsia" w:ascii="宋体" w:hAnsi="宋体" w:eastAsia="宋体" w:cs="宋体"/>
                <w:color w:val="000000" w:themeColor="text1"/>
                <w:sz w:val="24"/>
                <w:szCs w:val="24"/>
                <w:highlight w:val="none"/>
                <w:lang w:eastAsia="zh-CN"/>
                <w14:textFill>
                  <w14:solidFill>
                    <w14:schemeClr w14:val="tx1"/>
                  </w14:solidFill>
                </w14:textFill>
              </w:rPr>
              <w:t>杂乱、条例不清楚</w:t>
            </w:r>
            <w:r>
              <w:rPr>
                <w:rFonts w:hint="eastAsia" w:ascii="宋体" w:hAnsi="宋体" w:eastAsia="宋体" w:cs="宋体"/>
                <w:b/>
                <w:bCs/>
                <w:color w:val="000000" w:themeColor="text1"/>
                <w:sz w:val="24"/>
                <w:szCs w:val="24"/>
                <w:highlight w:val="none"/>
                <w14:textFill>
                  <w14:solidFill>
                    <w14:schemeClr w14:val="tx1"/>
                  </w14:solidFill>
                </w14:textFill>
              </w:rPr>
              <w:t>得</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0.5</w:t>
            </w:r>
            <w:r>
              <w:rPr>
                <w:rFonts w:hint="eastAsia" w:ascii="宋体" w:hAnsi="宋体" w:cs="宋体"/>
                <w:b/>
                <w:bCs/>
                <w:color w:val="000000" w:themeColor="text1"/>
                <w:sz w:val="24"/>
                <w:szCs w:val="24"/>
                <w:highlight w:val="none"/>
                <w:lang w:val="en-US" w:eastAsia="zh-CN"/>
                <w14:textFill>
                  <w14:solidFill>
                    <w14:schemeClr w14:val="tx1"/>
                  </w14:solidFill>
                </w14:textFill>
              </w:rPr>
              <w:t>-0.1</w:t>
            </w:r>
            <w:r>
              <w:rPr>
                <w:rFonts w:hint="eastAsia" w:ascii="宋体" w:hAnsi="宋体" w:eastAsia="宋体" w:cs="宋体"/>
                <w:b/>
                <w:bCs/>
                <w:color w:val="000000" w:themeColor="text1"/>
                <w:sz w:val="24"/>
                <w:szCs w:val="24"/>
                <w:highlight w:val="none"/>
                <w14:textFill>
                  <w14:solidFill>
                    <w14:schemeClr w14:val="tx1"/>
                  </w14:solidFill>
                </w14:textFill>
              </w:rPr>
              <w:t>分</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14:paraId="009AF9C1">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righ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eastAsia="zh-CN"/>
                <w14:textFill>
                  <w14:solidFill>
                    <w14:schemeClr w14:val="tx1"/>
                  </w14:solidFill>
                </w14:textFill>
              </w:rPr>
              <w:t>特别差</w:t>
            </w:r>
            <w:r>
              <w:rPr>
                <w:rFonts w:hint="eastAsia" w:ascii="宋体" w:hAnsi="宋体" w:eastAsia="宋体" w:cs="宋体"/>
                <w:b/>
                <w:bCs/>
                <w:color w:val="000000" w:themeColor="text1"/>
                <w:sz w:val="24"/>
                <w:szCs w:val="24"/>
                <w:highlight w:val="none"/>
                <w14:textFill>
                  <w14:solidFill>
                    <w14:schemeClr w14:val="tx1"/>
                  </w14:solidFill>
                </w14:textFill>
              </w:rPr>
              <w:t>不得分</w:t>
            </w:r>
            <w:r>
              <w:rPr>
                <w:rFonts w:hint="eastAsia" w:ascii="宋体" w:hAnsi="宋体" w:eastAsia="宋体" w:cs="宋体"/>
                <w:b w:val="0"/>
                <w:bCs w:val="0"/>
                <w:color w:val="auto"/>
                <w:sz w:val="24"/>
                <w:szCs w:val="24"/>
                <w:highlight w:val="none"/>
                <w:lang w:val="en-US" w:eastAsia="zh-CN"/>
              </w:rPr>
              <w:t>。</w:t>
            </w:r>
          </w:p>
        </w:tc>
      </w:tr>
      <w:tr w14:paraId="18731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6" w:hRule="atLeast"/>
        </w:trPr>
        <w:tc>
          <w:tcPr>
            <w:tcW w:w="752" w:type="dxa"/>
            <w:vMerge w:val="continue"/>
            <w:tcBorders>
              <w:top w:val="single" w:color="auto" w:sz="4" w:space="0"/>
              <w:left w:val="single" w:color="auto" w:sz="4" w:space="0"/>
              <w:bottom w:val="single" w:color="auto" w:sz="4" w:space="0"/>
              <w:right w:val="single" w:color="auto" w:sz="4" w:space="0"/>
            </w:tcBorders>
            <w:vAlign w:val="center"/>
          </w:tcPr>
          <w:p w14:paraId="2A7C36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宋体" w:eastAsia="宋体" w:cs="宋体"/>
                <w:color w:val="auto"/>
                <w:sz w:val="24"/>
                <w:szCs w:val="24"/>
                <w:highlight w:val="none"/>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14:paraId="5979AA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宋体" w:eastAsia="宋体" w:cs="宋体"/>
                <w:color w:val="auto"/>
                <w:sz w:val="24"/>
                <w:szCs w:val="24"/>
                <w:highlight w:val="none"/>
              </w:rPr>
            </w:pPr>
          </w:p>
        </w:tc>
        <w:tc>
          <w:tcPr>
            <w:tcW w:w="1394" w:type="dxa"/>
            <w:tcBorders>
              <w:top w:val="single" w:color="auto" w:sz="4" w:space="0"/>
              <w:left w:val="single" w:color="auto" w:sz="4" w:space="0"/>
              <w:right w:val="single" w:color="auto" w:sz="4" w:space="0"/>
            </w:tcBorders>
            <w:tcMar>
              <w:top w:w="0" w:type="dxa"/>
              <w:left w:w="108" w:type="dxa"/>
              <w:bottom w:w="0" w:type="dxa"/>
              <w:right w:w="108" w:type="dxa"/>
            </w:tcMar>
            <w:vAlign w:val="center"/>
          </w:tcPr>
          <w:p w14:paraId="0130AA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企业</w:t>
            </w:r>
            <w:r>
              <w:rPr>
                <w:rFonts w:hint="eastAsia" w:ascii="宋体" w:hAnsi="宋体" w:eastAsia="宋体" w:cs="宋体"/>
                <w:color w:val="auto"/>
                <w:sz w:val="24"/>
                <w:szCs w:val="24"/>
                <w:highlight w:val="none"/>
              </w:rPr>
              <w:t>业绩</w:t>
            </w:r>
            <w:r>
              <w:rPr>
                <w:rFonts w:hint="eastAsia" w:ascii="宋体" w:hAnsi="宋体" w:eastAsia="宋体" w:cs="宋体"/>
                <w:color w:val="auto"/>
                <w:sz w:val="24"/>
                <w:szCs w:val="24"/>
                <w:highlight w:val="none"/>
                <w:lang w:val="en-US" w:eastAsia="zh-CN"/>
              </w:rPr>
              <w:t>10分</w:t>
            </w:r>
          </w:p>
        </w:tc>
        <w:tc>
          <w:tcPr>
            <w:tcW w:w="49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B70E5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auto"/>
                <w:sz w:val="24"/>
                <w:szCs w:val="24"/>
                <w:highlight w:val="none"/>
                <w:lang w:eastAsia="zh-CN"/>
              </w:rPr>
              <w:t>投标单位近年（</w:t>
            </w:r>
            <w:r>
              <w:rPr>
                <w:rFonts w:hint="eastAsia" w:ascii="宋体" w:hAnsi="宋体" w:eastAsia="宋体" w:cs="宋体"/>
                <w:color w:val="auto"/>
                <w:sz w:val="24"/>
                <w:szCs w:val="24"/>
                <w:highlight w:val="none"/>
                <w:lang w:val="en-US" w:eastAsia="zh-CN"/>
              </w:rPr>
              <w:t>2021年12月份-至今</w:t>
            </w:r>
            <w:r>
              <w:rPr>
                <w:rFonts w:hint="eastAsia" w:ascii="宋体" w:hAnsi="宋体" w:eastAsia="宋体" w:cs="宋体"/>
                <w:color w:val="auto"/>
                <w:sz w:val="24"/>
                <w:szCs w:val="24"/>
                <w:highlight w:val="none"/>
                <w:lang w:eastAsia="zh-CN"/>
              </w:rPr>
              <w:t>）完成过类似服务项目的</w:t>
            </w:r>
            <w:r>
              <w:rPr>
                <w:rFonts w:hint="eastAsia" w:ascii="宋体" w:hAnsi="宋体" w:eastAsia="宋体" w:cs="宋体"/>
                <w:b/>
                <w:bCs/>
                <w:color w:val="auto"/>
                <w:sz w:val="24"/>
                <w:szCs w:val="24"/>
                <w:highlight w:val="none"/>
                <w:lang w:eastAsia="zh-CN"/>
              </w:rPr>
              <w:t>每提供一项业绩的得</w:t>
            </w:r>
            <w:r>
              <w:rPr>
                <w:rFonts w:hint="eastAsia" w:ascii="宋体" w:hAnsi="宋体" w:eastAsia="宋体" w:cs="宋体"/>
                <w:b/>
                <w:bCs/>
                <w:color w:val="auto"/>
                <w:sz w:val="24"/>
                <w:szCs w:val="24"/>
                <w:highlight w:val="none"/>
                <w:lang w:val="en-US" w:eastAsia="zh-CN"/>
              </w:rPr>
              <w:t>2分，最多得10分，没有则不得分。（提供中标通知书或合同协议书等有效证明材料复印件）</w:t>
            </w:r>
          </w:p>
        </w:tc>
      </w:tr>
      <w:tr w14:paraId="2F151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7" w:hRule="atLeast"/>
        </w:trPr>
        <w:tc>
          <w:tcPr>
            <w:tcW w:w="752" w:type="dxa"/>
            <w:vMerge w:val="continue"/>
            <w:tcBorders>
              <w:top w:val="single" w:color="auto" w:sz="4" w:space="0"/>
              <w:left w:val="single" w:color="auto" w:sz="4" w:space="0"/>
              <w:bottom w:val="single" w:color="auto" w:sz="4" w:space="0"/>
              <w:right w:val="single" w:color="auto" w:sz="4" w:space="0"/>
            </w:tcBorders>
            <w:vAlign w:val="center"/>
          </w:tcPr>
          <w:p w14:paraId="0F98C7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宋体" w:eastAsia="宋体" w:cs="宋体"/>
                <w:color w:val="auto"/>
                <w:sz w:val="24"/>
                <w:szCs w:val="24"/>
                <w:highlight w:val="none"/>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14:paraId="438DB8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宋体" w:eastAsia="宋体" w:cs="宋体"/>
                <w:color w:val="auto"/>
                <w:sz w:val="24"/>
                <w:szCs w:val="24"/>
                <w:highlight w:val="none"/>
              </w:rPr>
            </w:pPr>
          </w:p>
        </w:tc>
        <w:tc>
          <w:tcPr>
            <w:tcW w:w="1394" w:type="dxa"/>
            <w:tcBorders>
              <w:top w:val="single" w:color="auto" w:sz="4" w:space="0"/>
              <w:left w:val="single" w:color="auto" w:sz="4" w:space="0"/>
              <w:right w:val="single" w:color="auto" w:sz="4" w:space="0"/>
            </w:tcBorders>
            <w:tcMar>
              <w:top w:w="0" w:type="dxa"/>
              <w:left w:w="108" w:type="dxa"/>
              <w:bottom w:w="0" w:type="dxa"/>
              <w:right w:w="108" w:type="dxa"/>
            </w:tcMar>
            <w:vAlign w:val="center"/>
          </w:tcPr>
          <w:p w14:paraId="1194EB7A">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leftChars="0"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人员配备</w:t>
            </w:r>
          </w:p>
          <w:p w14:paraId="289095CE">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c>
          <w:tcPr>
            <w:tcW w:w="49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A22F7CF">
            <w:pPr>
              <w:keepNext w:val="0"/>
              <w:keepLines w:val="0"/>
              <w:pageBreakBefore w:val="0"/>
              <w:widowControl/>
              <w:suppressLineNumbers w:val="0"/>
              <w:kinsoku/>
              <w:wordWrap/>
              <w:overflowPunct/>
              <w:topLinePunct w:val="0"/>
              <w:autoSpaceDE/>
              <w:autoSpaceDN/>
              <w:bidi w:val="0"/>
              <w:adjustRightInd w:val="0"/>
              <w:snapToGrid w:val="0"/>
              <w:spacing w:before="0" w:beforeLines="10" w:beforeAutospacing="0" w:after="0" w:afterAutospacing="0" w:line="360" w:lineRule="exact"/>
              <w:ind w:left="0" w:leftChars="0" w:right="0" w:righ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人员力量充足，</w:t>
            </w:r>
            <w:r>
              <w:rPr>
                <w:rFonts w:hint="eastAsia" w:ascii="宋体" w:hAnsi="宋体" w:eastAsia="宋体" w:cs="宋体"/>
                <w:spacing w:val="-2"/>
                <w:sz w:val="24"/>
                <w:szCs w:val="24"/>
                <w:highlight w:val="none"/>
              </w:rPr>
              <w:t>人员综合实力强</w:t>
            </w:r>
            <w:r>
              <w:rPr>
                <w:rFonts w:hint="eastAsia" w:ascii="宋体" w:hAnsi="宋体" w:eastAsia="宋体" w:cs="宋体"/>
                <w:spacing w:val="-2"/>
                <w:sz w:val="24"/>
                <w:szCs w:val="24"/>
                <w:highlight w:val="none"/>
                <w:lang w:eastAsia="zh-CN"/>
              </w:rPr>
              <w:t>，</w:t>
            </w:r>
            <w:r>
              <w:rPr>
                <w:rFonts w:hint="eastAsia" w:ascii="宋体" w:hAnsi="宋体" w:eastAsia="宋体" w:cs="宋体"/>
                <w:color w:val="auto"/>
                <w:sz w:val="24"/>
                <w:szCs w:val="24"/>
                <w:highlight w:val="none"/>
                <w:lang w:eastAsia="zh-CN"/>
              </w:rPr>
              <w:t>内部管理严密，团队经验丰富，各专业有固定的人员，</w:t>
            </w:r>
            <w:r>
              <w:rPr>
                <w:rFonts w:hint="eastAsia" w:ascii="宋体" w:hAnsi="宋体" w:eastAsia="宋体" w:cs="宋体"/>
                <w:spacing w:val="-3"/>
                <w:sz w:val="24"/>
                <w:szCs w:val="24"/>
                <w:highlight w:val="none"/>
              </w:rPr>
              <w:t>业务熟练度高</w:t>
            </w:r>
            <w:r>
              <w:rPr>
                <w:rFonts w:hint="eastAsia" w:ascii="宋体" w:hAnsi="宋体" w:eastAsia="宋体" w:cs="宋体"/>
                <w:b/>
                <w:bCs/>
                <w:spacing w:val="-3"/>
                <w:sz w:val="24"/>
                <w:szCs w:val="24"/>
                <w:highlight w:val="none"/>
                <w:lang w:eastAsia="zh-CN"/>
              </w:rPr>
              <w:t>得</w:t>
            </w:r>
            <w:r>
              <w:rPr>
                <w:rFonts w:hint="eastAsia" w:ascii="宋体" w:hAnsi="宋体" w:eastAsia="宋体" w:cs="宋体"/>
                <w:b/>
                <w:bCs/>
                <w:color w:val="auto"/>
                <w:sz w:val="24"/>
                <w:szCs w:val="24"/>
                <w:highlight w:val="none"/>
                <w:lang w:val="en-US" w:eastAsia="zh-CN"/>
              </w:rPr>
              <w:t>5</w:t>
            </w:r>
            <w:r>
              <w:rPr>
                <w:rFonts w:hint="eastAsia" w:ascii="宋体" w:hAnsi="宋体" w:cs="宋体"/>
                <w:b/>
                <w:bCs/>
                <w:color w:val="auto"/>
                <w:sz w:val="24"/>
                <w:szCs w:val="24"/>
                <w:highlight w:val="none"/>
                <w:lang w:val="en-US" w:eastAsia="zh-CN"/>
              </w:rPr>
              <w:t>-3.1</w:t>
            </w:r>
            <w:r>
              <w:rPr>
                <w:rFonts w:hint="eastAsia" w:ascii="宋体" w:hAnsi="宋体" w:eastAsia="宋体" w:cs="宋体"/>
                <w:b/>
                <w:bCs/>
                <w:color w:val="auto"/>
                <w:sz w:val="24"/>
                <w:szCs w:val="24"/>
                <w:highlight w:val="none"/>
                <w:lang w:val="en-US" w:eastAsia="zh-CN"/>
              </w:rPr>
              <w:t>分；</w:t>
            </w:r>
          </w:p>
          <w:p w14:paraId="3C2A7042">
            <w:pPr>
              <w:keepNext w:val="0"/>
              <w:keepLines w:val="0"/>
              <w:pageBreakBefore w:val="0"/>
              <w:widowControl/>
              <w:suppressLineNumbers w:val="0"/>
              <w:kinsoku/>
              <w:wordWrap/>
              <w:overflowPunct/>
              <w:topLinePunct w:val="0"/>
              <w:autoSpaceDE/>
              <w:autoSpaceDN/>
              <w:bidi w:val="0"/>
              <w:adjustRightInd w:val="0"/>
              <w:snapToGrid w:val="0"/>
              <w:spacing w:before="0" w:beforeLines="10" w:beforeAutospacing="0" w:after="0" w:afterAutospacing="0" w:line="360" w:lineRule="exact"/>
              <w:ind w:left="0" w:leftChars="0" w:right="0" w:righ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人员力量</w:t>
            </w:r>
            <w:r>
              <w:rPr>
                <w:rFonts w:hint="eastAsia" w:ascii="宋体" w:hAnsi="宋体" w:eastAsia="宋体" w:cs="宋体"/>
                <w:spacing w:val="-2"/>
                <w:sz w:val="24"/>
                <w:szCs w:val="24"/>
                <w:highlight w:val="none"/>
                <w:lang w:eastAsia="zh-CN"/>
              </w:rPr>
              <w:t>较</w:t>
            </w:r>
            <w:r>
              <w:rPr>
                <w:rFonts w:hint="eastAsia" w:ascii="宋体" w:hAnsi="宋体" w:eastAsia="宋体" w:cs="宋体"/>
                <w:color w:val="auto"/>
                <w:sz w:val="24"/>
                <w:szCs w:val="24"/>
                <w:highlight w:val="none"/>
                <w:lang w:eastAsia="zh-CN"/>
              </w:rPr>
              <w:t>足，</w:t>
            </w:r>
            <w:r>
              <w:rPr>
                <w:rFonts w:hint="eastAsia" w:ascii="宋体" w:hAnsi="宋体" w:eastAsia="宋体" w:cs="宋体"/>
                <w:spacing w:val="-2"/>
                <w:sz w:val="24"/>
                <w:szCs w:val="24"/>
                <w:highlight w:val="none"/>
              </w:rPr>
              <w:t>人员综合实力</w:t>
            </w:r>
            <w:r>
              <w:rPr>
                <w:rFonts w:hint="eastAsia" w:ascii="宋体" w:hAnsi="宋体" w:eastAsia="宋体" w:cs="宋体"/>
                <w:spacing w:val="-2"/>
                <w:sz w:val="24"/>
                <w:szCs w:val="24"/>
                <w:highlight w:val="none"/>
                <w:lang w:eastAsia="zh-CN"/>
              </w:rPr>
              <w:t>较</w:t>
            </w:r>
            <w:r>
              <w:rPr>
                <w:rFonts w:hint="eastAsia" w:ascii="宋体" w:hAnsi="宋体" w:eastAsia="宋体" w:cs="宋体"/>
                <w:spacing w:val="-2"/>
                <w:sz w:val="24"/>
                <w:szCs w:val="24"/>
                <w:highlight w:val="none"/>
              </w:rPr>
              <w:t>强</w:t>
            </w:r>
            <w:r>
              <w:rPr>
                <w:rFonts w:hint="eastAsia" w:ascii="宋体" w:hAnsi="宋体" w:eastAsia="宋体" w:cs="宋体"/>
                <w:spacing w:val="-2"/>
                <w:sz w:val="24"/>
                <w:szCs w:val="24"/>
                <w:highlight w:val="none"/>
                <w:lang w:eastAsia="zh-CN"/>
              </w:rPr>
              <w:t>，</w:t>
            </w:r>
            <w:r>
              <w:rPr>
                <w:rFonts w:hint="eastAsia" w:ascii="宋体" w:hAnsi="宋体" w:eastAsia="宋体" w:cs="宋体"/>
                <w:color w:val="auto"/>
                <w:sz w:val="24"/>
                <w:szCs w:val="24"/>
                <w:highlight w:val="none"/>
                <w:lang w:eastAsia="zh-CN"/>
              </w:rPr>
              <w:t>内部管理严密，团队经验</w:t>
            </w:r>
            <w:r>
              <w:rPr>
                <w:rFonts w:hint="eastAsia" w:ascii="宋体" w:hAnsi="宋体" w:eastAsia="宋体" w:cs="宋体"/>
                <w:spacing w:val="-2"/>
                <w:sz w:val="24"/>
                <w:szCs w:val="24"/>
                <w:highlight w:val="none"/>
                <w:lang w:eastAsia="zh-CN"/>
              </w:rPr>
              <w:t>较</w:t>
            </w:r>
            <w:r>
              <w:rPr>
                <w:rFonts w:hint="eastAsia" w:ascii="宋体" w:hAnsi="宋体" w:eastAsia="宋体" w:cs="宋体"/>
                <w:color w:val="auto"/>
                <w:sz w:val="24"/>
                <w:szCs w:val="24"/>
                <w:highlight w:val="none"/>
                <w:lang w:eastAsia="zh-CN"/>
              </w:rPr>
              <w:t>丰富，各专业有固定的人员，</w:t>
            </w:r>
            <w:r>
              <w:rPr>
                <w:rFonts w:hint="eastAsia" w:ascii="宋体" w:hAnsi="宋体" w:eastAsia="宋体" w:cs="宋体"/>
                <w:spacing w:val="-3"/>
                <w:sz w:val="24"/>
                <w:szCs w:val="24"/>
                <w:highlight w:val="none"/>
              </w:rPr>
              <w:t>业务熟练度</w:t>
            </w:r>
            <w:r>
              <w:rPr>
                <w:rFonts w:hint="eastAsia" w:ascii="宋体" w:hAnsi="宋体" w:eastAsia="宋体" w:cs="宋体"/>
                <w:spacing w:val="-2"/>
                <w:sz w:val="24"/>
                <w:szCs w:val="24"/>
                <w:highlight w:val="none"/>
                <w:lang w:eastAsia="zh-CN"/>
              </w:rPr>
              <w:t>较</w:t>
            </w:r>
            <w:r>
              <w:rPr>
                <w:rFonts w:hint="eastAsia" w:ascii="宋体" w:hAnsi="宋体" w:eastAsia="宋体" w:cs="宋体"/>
                <w:spacing w:val="-3"/>
                <w:sz w:val="24"/>
                <w:szCs w:val="24"/>
                <w:highlight w:val="none"/>
              </w:rPr>
              <w:t>高</w:t>
            </w:r>
            <w:r>
              <w:rPr>
                <w:rFonts w:hint="eastAsia" w:ascii="宋体" w:hAnsi="宋体" w:eastAsia="宋体" w:cs="宋体"/>
                <w:b/>
                <w:bCs/>
                <w:spacing w:val="-3"/>
                <w:sz w:val="24"/>
                <w:szCs w:val="24"/>
                <w:highlight w:val="none"/>
                <w:lang w:eastAsia="zh-CN"/>
              </w:rPr>
              <w:t>得</w:t>
            </w:r>
            <w:r>
              <w:rPr>
                <w:rFonts w:hint="eastAsia" w:ascii="宋体" w:hAnsi="宋体" w:eastAsia="宋体" w:cs="宋体"/>
                <w:b/>
                <w:bCs/>
                <w:color w:val="auto"/>
                <w:sz w:val="24"/>
                <w:szCs w:val="24"/>
                <w:highlight w:val="none"/>
                <w:lang w:val="en-US" w:eastAsia="zh-CN"/>
              </w:rPr>
              <w:t>3</w:t>
            </w:r>
            <w:r>
              <w:rPr>
                <w:rFonts w:hint="eastAsia" w:ascii="宋体" w:hAnsi="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lang w:val="en-US" w:eastAsia="zh-CN"/>
              </w:rPr>
              <w:t>分；</w:t>
            </w:r>
          </w:p>
          <w:p w14:paraId="5626CA65">
            <w:pPr>
              <w:keepNext w:val="0"/>
              <w:keepLines w:val="0"/>
              <w:pageBreakBefore w:val="0"/>
              <w:widowControl/>
              <w:suppressLineNumbers w:val="0"/>
              <w:kinsoku/>
              <w:wordWrap/>
              <w:overflowPunct/>
              <w:topLinePunct w:val="0"/>
              <w:autoSpaceDE/>
              <w:autoSpaceDN/>
              <w:bidi w:val="0"/>
              <w:adjustRightInd w:val="0"/>
              <w:snapToGrid w:val="0"/>
              <w:spacing w:before="0" w:beforeLines="10" w:beforeAutospacing="0" w:after="0" w:afterAutospacing="0" w:line="360" w:lineRule="exact"/>
              <w:ind w:left="0" w:leftChars="0" w:right="0" w:righ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人员力量</w:t>
            </w:r>
            <w:r>
              <w:rPr>
                <w:rFonts w:hint="eastAsia" w:ascii="宋体" w:hAnsi="宋体" w:eastAsia="宋体" w:cs="宋体"/>
                <w:spacing w:val="-2"/>
                <w:sz w:val="24"/>
                <w:szCs w:val="24"/>
                <w:highlight w:val="none"/>
                <w:lang w:eastAsia="zh-CN"/>
              </w:rPr>
              <w:t>一般</w:t>
            </w:r>
            <w:r>
              <w:rPr>
                <w:rFonts w:hint="eastAsia" w:ascii="宋体" w:hAnsi="宋体" w:eastAsia="宋体" w:cs="宋体"/>
                <w:color w:val="auto"/>
                <w:sz w:val="24"/>
                <w:szCs w:val="24"/>
                <w:highlight w:val="none"/>
                <w:lang w:eastAsia="zh-CN"/>
              </w:rPr>
              <w:t>，</w:t>
            </w:r>
            <w:r>
              <w:rPr>
                <w:rFonts w:hint="eastAsia" w:ascii="宋体" w:hAnsi="宋体" w:eastAsia="宋体" w:cs="宋体"/>
                <w:spacing w:val="-2"/>
                <w:sz w:val="24"/>
                <w:szCs w:val="24"/>
                <w:highlight w:val="none"/>
              </w:rPr>
              <w:t>人员综合实力</w:t>
            </w:r>
            <w:r>
              <w:rPr>
                <w:rFonts w:hint="eastAsia" w:ascii="宋体" w:hAnsi="宋体" w:eastAsia="宋体" w:cs="宋体"/>
                <w:spacing w:val="-2"/>
                <w:sz w:val="24"/>
                <w:szCs w:val="24"/>
                <w:highlight w:val="none"/>
                <w:lang w:eastAsia="zh-CN"/>
              </w:rPr>
              <w:t>一般，</w:t>
            </w:r>
            <w:r>
              <w:rPr>
                <w:rFonts w:hint="eastAsia" w:ascii="宋体" w:hAnsi="宋体" w:eastAsia="宋体" w:cs="宋体"/>
                <w:color w:val="auto"/>
                <w:sz w:val="24"/>
                <w:szCs w:val="24"/>
                <w:highlight w:val="none"/>
                <w:lang w:eastAsia="zh-CN"/>
              </w:rPr>
              <w:t>内部管理严密，团队经验</w:t>
            </w:r>
            <w:r>
              <w:rPr>
                <w:rFonts w:hint="eastAsia" w:ascii="宋体" w:hAnsi="宋体" w:eastAsia="宋体" w:cs="宋体"/>
                <w:spacing w:val="-2"/>
                <w:sz w:val="24"/>
                <w:szCs w:val="24"/>
                <w:highlight w:val="none"/>
                <w:lang w:eastAsia="zh-CN"/>
              </w:rPr>
              <w:t>一般</w:t>
            </w:r>
            <w:r>
              <w:rPr>
                <w:rFonts w:hint="eastAsia" w:ascii="宋体" w:hAnsi="宋体" w:eastAsia="宋体" w:cs="宋体"/>
                <w:color w:val="auto"/>
                <w:sz w:val="24"/>
                <w:szCs w:val="24"/>
                <w:highlight w:val="none"/>
                <w:lang w:eastAsia="zh-CN"/>
              </w:rPr>
              <w:t>，各专业有固定的人员，</w:t>
            </w:r>
            <w:r>
              <w:rPr>
                <w:rFonts w:hint="eastAsia" w:ascii="宋体" w:hAnsi="宋体" w:eastAsia="宋体" w:cs="宋体"/>
                <w:spacing w:val="-3"/>
                <w:sz w:val="24"/>
                <w:szCs w:val="24"/>
                <w:highlight w:val="none"/>
              </w:rPr>
              <w:t>业务熟练度</w:t>
            </w:r>
            <w:r>
              <w:rPr>
                <w:rFonts w:hint="eastAsia" w:ascii="宋体" w:hAnsi="宋体" w:eastAsia="宋体" w:cs="宋体"/>
                <w:spacing w:val="-2"/>
                <w:sz w:val="24"/>
                <w:szCs w:val="24"/>
                <w:highlight w:val="none"/>
                <w:lang w:eastAsia="zh-CN"/>
              </w:rPr>
              <w:t>一般</w:t>
            </w:r>
            <w:r>
              <w:rPr>
                <w:rFonts w:hint="eastAsia" w:ascii="宋体" w:hAnsi="宋体" w:eastAsia="宋体" w:cs="宋体"/>
                <w:b/>
                <w:bCs/>
                <w:color w:val="auto"/>
                <w:sz w:val="24"/>
                <w:szCs w:val="24"/>
                <w:highlight w:val="none"/>
                <w:lang w:val="en-US" w:eastAsia="zh-CN"/>
              </w:rPr>
              <w:t>得1</w:t>
            </w:r>
            <w:r>
              <w:rPr>
                <w:rFonts w:hint="eastAsia" w:ascii="宋体" w:hAnsi="宋体" w:cs="宋体"/>
                <w:b/>
                <w:bCs/>
                <w:color w:val="auto"/>
                <w:sz w:val="24"/>
                <w:szCs w:val="24"/>
                <w:highlight w:val="none"/>
                <w:lang w:val="en-US" w:eastAsia="zh-CN"/>
              </w:rPr>
              <w:t>-0.1</w:t>
            </w:r>
            <w:r>
              <w:rPr>
                <w:rFonts w:hint="eastAsia" w:ascii="宋体" w:hAnsi="宋体" w:eastAsia="宋体" w:cs="宋体"/>
                <w:b/>
                <w:bCs/>
                <w:color w:val="auto"/>
                <w:sz w:val="24"/>
                <w:szCs w:val="24"/>
                <w:highlight w:val="none"/>
                <w:lang w:val="en-US" w:eastAsia="zh-CN"/>
              </w:rPr>
              <w:t>分；</w:t>
            </w:r>
          </w:p>
          <w:p w14:paraId="6B37876C">
            <w:pPr>
              <w:keepNext w:val="0"/>
              <w:keepLines w:val="0"/>
              <w:pageBreakBefore w:val="0"/>
              <w:widowControl/>
              <w:suppressLineNumbers w:val="0"/>
              <w:kinsoku/>
              <w:wordWrap/>
              <w:overflowPunct/>
              <w:topLinePunct w:val="0"/>
              <w:autoSpaceDE/>
              <w:autoSpaceDN/>
              <w:bidi w:val="0"/>
              <w:adjustRightInd w:val="0"/>
              <w:snapToGrid w:val="0"/>
              <w:spacing w:before="0" w:beforeLines="10" w:beforeAutospacing="0" w:after="0" w:afterAutospacing="0" w:line="360" w:lineRule="exact"/>
              <w:ind w:left="0" w:leftChars="0" w:right="0" w:righ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bCs w:val="0"/>
                <w:color w:val="000000" w:themeColor="text1"/>
                <w:sz w:val="24"/>
                <w:szCs w:val="24"/>
                <w:highlight w:val="none"/>
                <w14:textFill>
                  <w14:solidFill>
                    <w14:schemeClr w14:val="tx1"/>
                  </w14:solidFill>
                </w14:textFill>
              </w:rPr>
              <w:t>无此项内容不得分</w:t>
            </w:r>
            <w:r>
              <w:rPr>
                <w:rFonts w:hint="eastAsia" w:ascii="宋体" w:hAnsi="宋体" w:eastAsia="宋体" w:cs="宋体"/>
                <w:b w:val="0"/>
                <w:bCs w:val="0"/>
                <w:color w:val="auto"/>
                <w:sz w:val="24"/>
                <w:szCs w:val="24"/>
                <w:highlight w:val="none"/>
                <w:lang w:val="en-US" w:eastAsia="zh-CN"/>
              </w:rPr>
              <w:t>。</w:t>
            </w:r>
          </w:p>
          <w:p w14:paraId="0830C4CD">
            <w:pPr>
              <w:keepNext w:val="0"/>
              <w:keepLines w:val="0"/>
              <w:pageBreakBefore w:val="0"/>
              <w:widowControl/>
              <w:suppressLineNumbers w:val="0"/>
              <w:kinsoku/>
              <w:wordWrap/>
              <w:overflowPunct/>
              <w:topLinePunct w:val="0"/>
              <w:autoSpaceDE/>
              <w:autoSpaceDN/>
              <w:bidi w:val="0"/>
              <w:adjustRightInd w:val="0"/>
              <w:snapToGrid w:val="0"/>
              <w:spacing w:before="0" w:beforeLines="10" w:beforeAutospacing="0" w:after="0" w:afterAutospacing="0" w:line="360" w:lineRule="exact"/>
              <w:ind w:left="0" w:leftChars="0" w:right="0" w:rightChars="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投标人</w:t>
            </w:r>
            <w:r>
              <w:rPr>
                <w:rFonts w:hint="eastAsia" w:ascii="宋体" w:hAnsi="宋体" w:eastAsia="宋体" w:cs="宋体"/>
                <w:b/>
                <w:bCs/>
                <w:color w:val="000000" w:themeColor="text1"/>
                <w:sz w:val="24"/>
                <w:szCs w:val="24"/>
                <w:highlight w:val="none"/>
                <w14:textFill>
                  <w14:solidFill>
                    <w14:schemeClr w14:val="tx1"/>
                  </w14:solidFill>
                </w14:textFill>
              </w:rPr>
              <w:t>须提供相关证书、劳动合同</w:t>
            </w:r>
            <w:r>
              <w:rPr>
                <w:rFonts w:hint="eastAsia" w:ascii="宋体" w:hAnsi="宋体" w:eastAsia="宋体" w:cs="宋体"/>
                <w:b/>
                <w:bCs/>
                <w:color w:val="000000" w:themeColor="text1"/>
                <w:sz w:val="24"/>
                <w:szCs w:val="24"/>
                <w:highlight w:val="none"/>
                <w:lang w:eastAsia="zh-CN"/>
                <w14:textFill>
                  <w14:solidFill>
                    <w14:schemeClr w14:val="tx1"/>
                  </w14:solidFill>
                </w14:textFill>
              </w:rPr>
              <w:t>及投标截止日期前的</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六个月内任意一个月</w:t>
            </w:r>
            <w:r>
              <w:rPr>
                <w:rFonts w:hint="eastAsia" w:ascii="宋体" w:hAnsi="宋体" w:eastAsia="宋体" w:cs="宋体"/>
                <w:b/>
                <w:bCs/>
                <w:color w:val="000000" w:themeColor="text1"/>
                <w:sz w:val="24"/>
                <w:szCs w:val="24"/>
                <w:highlight w:val="none"/>
                <w14:textFill>
                  <w14:solidFill>
                    <w14:schemeClr w14:val="tx1"/>
                  </w14:solidFill>
                </w14:textFill>
              </w:rPr>
              <w:t>社保参保证明。</w:t>
            </w:r>
          </w:p>
          <w:p w14:paraId="592A7033">
            <w:pPr>
              <w:keepNext w:val="0"/>
              <w:keepLines w:val="0"/>
              <w:pageBreakBefore w:val="0"/>
              <w:widowControl/>
              <w:suppressLineNumbers w:val="0"/>
              <w:kinsoku/>
              <w:wordWrap/>
              <w:overflowPunct/>
              <w:topLinePunct w:val="0"/>
              <w:autoSpaceDE/>
              <w:autoSpaceDN/>
              <w:bidi w:val="0"/>
              <w:adjustRightInd w:val="0"/>
              <w:snapToGrid w:val="0"/>
              <w:spacing w:before="0" w:beforeLines="10" w:beforeAutospacing="0" w:after="0" w:afterAutospacing="0" w:line="360" w:lineRule="exact"/>
              <w:ind w:left="0" w:leftChars="0" w:right="0" w:rightChars="0"/>
              <w:textAlignment w:val="auto"/>
              <w:rPr>
                <w:rFonts w:hint="eastAsia" w:ascii="宋体" w:hAnsi="宋体" w:eastAsia="宋体" w:cs="宋体"/>
                <w:b/>
                <w:bCs/>
                <w:i/>
                <w:iCs/>
                <w:color w:val="000000" w:themeColor="text1"/>
                <w:sz w:val="24"/>
                <w:szCs w:val="24"/>
                <w:highlight w:val="none"/>
                <w:lang w:eastAsia="zh-CN"/>
                <w14:textFill>
                  <w14:solidFill>
                    <w14:schemeClr w14:val="tx1"/>
                  </w14:solidFill>
                </w14:textFill>
              </w:rPr>
            </w:pPr>
          </w:p>
          <w:p w14:paraId="68F7F6B7">
            <w:pPr>
              <w:keepNext w:val="0"/>
              <w:keepLines w:val="0"/>
              <w:pageBreakBefore w:val="0"/>
              <w:widowControl/>
              <w:suppressLineNumbers w:val="0"/>
              <w:kinsoku/>
              <w:wordWrap/>
              <w:overflowPunct/>
              <w:topLinePunct w:val="0"/>
              <w:autoSpaceDE/>
              <w:autoSpaceDN/>
              <w:bidi w:val="0"/>
              <w:adjustRightInd w:val="0"/>
              <w:snapToGrid w:val="0"/>
              <w:spacing w:before="0" w:beforeLines="10" w:beforeAutospacing="0" w:after="0" w:afterAutospacing="0" w:line="360" w:lineRule="exact"/>
              <w:ind w:left="0" w:leftChars="0" w:right="0" w:rightChars="0"/>
              <w:textAlignment w:val="auto"/>
              <w:rPr>
                <w:rFonts w:hint="eastAsia" w:ascii="宋体" w:hAnsi="宋体" w:eastAsia="宋体" w:cs="宋体"/>
                <w:b/>
                <w:bCs/>
                <w:color w:val="auto"/>
                <w:szCs w:val="24"/>
                <w:highlight w:val="none"/>
                <w:lang w:val="en-US" w:eastAsia="zh-CN"/>
              </w:rPr>
            </w:pPr>
            <w:r>
              <w:rPr>
                <w:rFonts w:hint="eastAsia" w:ascii="宋体" w:hAnsi="宋体" w:eastAsia="宋体" w:cs="宋体"/>
                <w:b/>
                <w:bCs/>
                <w:i w:val="0"/>
                <w:iCs w:val="0"/>
                <w:color w:val="000000" w:themeColor="text1"/>
                <w:sz w:val="24"/>
                <w:szCs w:val="24"/>
                <w:highlight w:val="yellow"/>
                <w:lang w:eastAsia="zh-CN"/>
                <w14:textFill>
                  <w14:solidFill>
                    <w14:schemeClr w14:val="tx1"/>
                  </w14:solidFill>
                </w14:textFill>
              </w:rPr>
              <w:t>（注：第四标段人员配备需满足第五章</w:t>
            </w:r>
            <w:r>
              <w:rPr>
                <w:rFonts w:hint="eastAsia" w:ascii="宋体" w:hAnsi="宋体" w:eastAsia="宋体" w:cs="宋体"/>
                <w:b/>
                <w:bCs/>
                <w:i w:val="0"/>
                <w:iCs w:val="0"/>
                <w:color w:val="000000" w:themeColor="text1"/>
                <w:sz w:val="24"/>
                <w:szCs w:val="24"/>
                <w:highlight w:val="yellow"/>
                <w:lang w:val="en-US" w:eastAsia="zh-CN"/>
                <w14:textFill>
                  <w14:solidFill>
                    <w14:schemeClr w14:val="tx1"/>
                  </w14:solidFill>
                </w14:textFill>
              </w:rPr>
              <w:t xml:space="preserve"> 服务内容及要求 第五项综合服务要求中</w:t>
            </w:r>
            <w:r>
              <w:rPr>
                <w:rFonts w:hint="eastAsia" w:ascii="宋体" w:hAnsi="宋体" w:eastAsia="宋体" w:cs="宋体"/>
                <w:b/>
                <w:bCs/>
                <w:i w:val="0"/>
                <w:iCs w:val="0"/>
                <w:sz w:val="24"/>
                <w:szCs w:val="24"/>
                <w:highlight w:val="yellow"/>
                <w:lang w:val="en-US" w:eastAsia="zh-CN"/>
              </w:rPr>
              <w:t>第四标段-</w:t>
            </w:r>
            <w:r>
              <w:rPr>
                <w:rFonts w:hint="eastAsia" w:ascii="宋体" w:hAnsi="宋体" w:eastAsia="宋体" w:cs="宋体"/>
                <w:b/>
                <w:bCs/>
                <w:i w:val="0"/>
                <w:iCs w:val="0"/>
                <w:color w:val="000000" w:themeColor="text1"/>
                <w:sz w:val="24"/>
                <w:szCs w:val="24"/>
                <w:highlight w:val="yellow"/>
                <w:lang w:val="en-US" w:eastAsia="zh-CN"/>
                <w14:textFill>
                  <w14:solidFill>
                    <w14:schemeClr w14:val="tx1"/>
                  </w14:solidFill>
                </w14:textFill>
              </w:rPr>
              <w:t>预算绩效评价咨询服务内容，不提供不得分</w:t>
            </w:r>
            <w:r>
              <w:rPr>
                <w:rFonts w:hint="eastAsia" w:ascii="宋体" w:hAnsi="宋体" w:eastAsia="宋体" w:cs="宋体"/>
                <w:b/>
                <w:bCs/>
                <w:i w:val="0"/>
                <w:iCs w:val="0"/>
                <w:color w:val="000000" w:themeColor="text1"/>
                <w:sz w:val="24"/>
                <w:szCs w:val="24"/>
                <w:highlight w:val="yellow"/>
                <w:lang w:eastAsia="zh-CN"/>
                <w14:textFill>
                  <w14:solidFill>
                    <w14:schemeClr w14:val="tx1"/>
                  </w14:solidFill>
                </w14:textFill>
              </w:rPr>
              <w:t>）</w:t>
            </w:r>
          </w:p>
        </w:tc>
      </w:tr>
      <w:tr w14:paraId="7FE90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7" w:hRule="atLeast"/>
        </w:trPr>
        <w:tc>
          <w:tcPr>
            <w:tcW w:w="752"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2824414">
            <w:pPr>
              <w:pStyle w:val="9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45"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08CD649">
            <w:pPr>
              <w:pStyle w:val="9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技术部分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rPr>
              <w:t>分)</w:t>
            </w:r>
          </w:p>
          <w:p w14:paraId="55780308">
            <w:pPr>
              <w:pStyle w:val="9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highlight w:val="none"/>
              </w:rPr>
            </w:pPr>
          </w:p>
        </w:tc>
        <w:tc>
          <w:tcPr>
            <w:tcW w:w="1394"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1FF486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项目实施方案</w:t>
            </w:r>
          </w:p>
          <w:p w14:paraId="02EDC0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12分</w:t>
            </w:r>
          </w:p>
        </w:tc>
        <w:tc>
          <w:tcPr>
            <w:tcW w:w="4920" w:type="dxa"/>
            <w:tcBorders>
              <w:top w:val="single" w:color="auto" w:sz="4" w:space="0"/>
              <w:left w:val="single" w:color="auto" w:sz="4" w:space="0"/>
              <w:right w:val="single" w:color="auto" w:sz="4" w:space="0"/>
            </w:tcBorders>
            <w:tcMar>
              <w:top w:w="0" w:type="dxa"/>
              <w:left w:w="108" w:type="dxa"/>
              <w:bottom w:w="0" w:type="dxa"/>
              <w:right w:w="108" w:type="dxa"/>
            </w:tcMar>
            <w:vAlign w:val="center"/>
          </w:tcPr>
          <w:p w14:paraId="337C7368">
            <w:pPr>
              <w:pStyle w:val="9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rPr>
                <w:rFonts w:hint="eastAsia" w:ascii="宋体" w:hAnsi="宋体" w:eastAsia="宋体" w:cs="宋体"/>
                <w:b/>
                <w:bCs w:val="0"/>
                <w:color w:val="000000" w:themeColor="text1"/>
                <w:sz w:val="24"/>
                <w:szCs w:val="24"/>
                <w:highlight w:val="none"/>
                <w:lang w:eastAsia="zh-CN"/>
                <w14:textFill>
                  <w14:solidFill>
                    <w14:schemeClr w14:val="tx1"/>
                  </w14:solidFill>
                </w14:textFill>
              </w:rPr>
            </w:pPr>
            <w:r>
              <w:rPr>
                <w:rFonts w:hint="eastAsia" w:ascii="宋体" w:hAnsi="宋体" w:eastAsia="宋体" w:cs="宋体"/>
                <w:color w:val="auto"/>
                <w:kern w:val="0"/>
                <w:sz w:val="24"/>
                <w:szCs w:val="24"/>
                <w:highlight w:val="none"/>
                <w:shd w:val="clear" w:fill="FFFFFF" w:themeFill="background1"/>
                <w:lang w:val="en-US" w:bidi="zh-CN"/>
              </w:rPr>
              <w:t>1.针对</w:t>
            </w:r>
            <w:r>
              <w:rPr>
                <w:rFonts w:hint="eastAsia" w:ascii="宋体" w:hAnsi="宋体" w:eastAsia="宋体" w:cs="宋体"/>
                <w:color w:val="auto"/>
                <w:kern w:val="0"/>
                <w:sz w:val="24"/>
                <w:szCs w:val="24"/>
                <w:highlight w:val="none"/>
                <w:shd w:val="clear" w:fill="FFFFFF" w:themeFill="background1"/>
                <w:lang w:val="zh-CN" w:bidi="zh-CN"/>
              </w:rPr>
              <w:t>本项</w:t>
            </w:r>
            <w:r>
              <w:rPr>
                <w:rFonts w:hint="eastAsia" w:ascii="宋体" w:hAnsi="宋体" w:eastAsia="宋体" w:cs="宋体"/>
                <w:b w:val="0"/>
                <w:bCs w:val="0"/>
                <w:color w:val="auto"/>
                <w:kern w:val="0"/>
                <w:sz w:val="24"/>
                <w:szCs w:val="24"/>
                <w:highlight w:val="none"/>
                <w:shd w:val="clear" w:fill="FFFFFF" w:themeFill="background1"/>
                <w:lang w:val="zh-CN" w:bidi="zh-CN"/>
              </w:rPr>
              <w:t>目</w:t>
            </w:r>
            <w:r>
              <w:rPr>
                <w:rFonts w:hint="eastAsia" w:ascii="宋体" w:hAnsi="宋体" w:eastAsia="宋体" w:cs="宋体"/>
                <w:b w:val="0"/>
                <w:bCs w:val="0"/>
                <w:sz w:val="24"/>
                <w:szCs w:val="24"/>
                <w:highlight w:val="none"/>
                <w:lang w:eastAsia="zh-CN"/>
              </w:rPr>
              <w:t>完善的</w:t>
            </w:r>
            <w:r>
              <w:rPr>
                <w:rFonts w:hint="eastAsia" w:ascii="宋体" w:hAnsi="宋体" w:eastAsia="宋体" w:cs="宋体"/>
                <w:b w:val="0"/>
                <w:bCs w:val="0"/>
                <w:color w:val="auto"/>
                <w:kern w:val="0"/>
                <w:sz w:val="24"/>
                <w:szCs w:val="24"/>
                <w:highlight w:val="none"/>
                <w:shd w:val="clear" w:fill="FFFFFF" w:themeFill="background1"/>
                <w:lang w:val="zh-CN" w:bidi="zh-CN"/>
              </w:rPr>
              <w:t>核</w:t>
            </w:r>
            <w:r>
              <w:rPr>
                <w:rFonts w:hint="eastAsia" w:ascii="宋体" w:hAnsi="宋体" w:eastAsia="宋体" w:cs="宋体"/>
                <w:color w:val="auto"/>
                <w:kern w:val="0"/>
                <w:sz w:val="24"/>
                <w:szCs w:val="24"/>
                <w:highlight w:val="none"/>
                <w:shd w:val="clear" w:fill="FFFFFF" w:themeFill="background1"/>
                <w:lang w:val="zh-CN" w:bidi="zh-CN"/>
              </w:rPr>
              <w:t>心思路、项目实施步骤、项目成果及其内容构成</w:t>
            </w:r>
            <w:r>
              <w:rPr>
                <w:rFonts w:hint="eastAsia" w:ascii="宋体" w:hAnsi="宋体" w:eastAsia="宋体" w:cs="宋体"/>
                <w:b/>
                <w:bCs/>
                <w:sz w:val="24"/>
                <w:szCs w:val="24"/>
                <w:highlight w:val="none"/>
                <w:lang w:eastAsia="zh-CN"/>
              </w:rPr>
              <w:t>得</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6</w:t>
            </w:r>
            <w:r>
              <w:rPr>
                <w:rFonts w:hint="eastAsia" w:ascii="宋体" w:hAnsi="宋体" w:cs="宋体"/>
                <w:b/>
                <w:bCs w:val="0"/>
                <w:color w:val="000000" w:themeColor="text1"/>
                <w:sz w:val="24"/>
                <w:szCs w:val="24"/>
                <w:highlight w:val="none"/>
                <w:lang w:val="en-US" w:eastAsia="zh-CN"/>
                <w14:textFill>
                  <w14:solidFill>
                    <w14:schemeClr w14:val="tx1"/>
                  </w14:solidFill>
                </w14:textFill>
              </w:rPr>
              <w:t>-3.1</w:t>
            </w:r>
            <w:r>
              <w:rPr>
                <w:rFonts w:hint="eastAsia" w:ascii="宋体" w:hAnsi="宋体" w:eastAsia="宋体" w:cs="宋体"/>
                <w:b/>
                <w:bCs w:val="0"/>
                <w:color w:val="000000" w:themeColor="text1"/>
                <w:sz w:val="24"/>
                <w:szCs w:val="24"/>
                <w:highlight w:val="none"/>
                <w14:textFill>
                  <w14:solidFill>
                    <w14:schemeClr w14:val="tx1"/>
                  </w14:solidFill>
                </w14:textFill>
              </w:rPr>
              <w:t>分</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w:t>
            </w:r>
          </w:p>
          <w:p w14:paraId="35CDB0F8">
            <w:pPr>
              <w:pStyle w:val="9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rPr>
                <w:rFonts w:hint="eastAsia" w:ascii="宋体" w:hAnsi="宋体" w:eastAsia="宋体" w:cs="宋体"/>
                <w:b/>
                <w:bCs w:val="0"/>
                <w:color w:val="000000" w:themeColor="text1"/>
                <w:sz w:val="24"/>
                <w:szCs w:val="24"/>
                <w:highlight w:val="none"/>
                <w:lang w:eastAsia="zh-CN"/>
                <w14:textFill>
                  <w14:solidFill>
                    <w14:schemeClr w14:val="tx1"/>
                  </w14:solidFill>
                </w14:textFill>
              </w:rPr>
            </w:pPr>
            <w:r>
              <w:rPr>
                <w:rFonts w:hint="eastAsia" w:ascii="宋体" w:hAnsi="宋体" w:eastAsia="宋体" w:cs="宋体"/>
                <w:color w:val="auto"/>
                <w:kern w:val="0"/>
                <w:sz w:val="24"/>
                <w:szCs w:val="24"/>
                <w:highlight w:val="none"/>
                <w:shd w:val="clear" w:fill="FFFFFF" w:themeFill="background1"/>
                <w:lang w:val="en-US" w:bidi="zh-CN"/>
              </w:rPr>
              <w:t>2.针</w:t>
            </w:r>
            <w:r>
              <w:rPr>
                <w:rFonts w:hint="eastAsia" w:ascii="宋体" w:hAnsi="宋体" w:eastAsia="宋体" w:cs="宋体"/>
                <w:color w:val="auto"/>
                <w:kern w:val="0"/>
                <w:sz w:val="24"/>
                <w:szCs w:val="24"/>
                <w:highlight w:val="none"/>
                <w:shd w:val="clear" w:fill="FFFFFF" w:themeFill="background1"/>
                <w:lang w:val="zh-CN" w:bidi="zh-CN"/>
              </w:rPr>
              <w:t>对本项</w:t>
            </w:r>
            <w:r>
              <w:rPr>
                <w:rFonts w:hint="eastAsia" w:ascii="宋体" w:hAnsi="宋体" w:eastAsia="宋体" w:cs="宋体"/>
                <w:b w:val="0"/>
                <w:bCs w:val="0"/>
                <w:color w:val="auto"/>
                <w:kern w:val="0"/>
                <w:sz w:val="24"/>
                <w:szCs w:val="24"/>
                <w:highlight w:val="none"/>
                <w:shd w:val="clear" w:fill="FFFFFF" w:themeFill="background1"/>
                <w:lang w:val="zh-CN" w:bidi="zh-CN"/>
              </w:rPr>
              <w:t>目</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较完善的</w:t>
            </w:r>
            <w:r>
              <w:rPr>
                <w:rFonts w:hint="eastAsia" w:ascii="宋体" w:hAnsi="宋体" w:eastAsia="宋体" w:cs="宋体"/>
                <w:b w:val="0"/>
                <w:bCs w:val="0"/>
                <w:color w:val="auto"/>
                <w:kern w:val="0"/>
                <w:sz w:val="24"/>
                <w:szCs w:val="24"/>
                <w:highlight w:val="none"/>
                <w:shd w:val="clear" w:fill="FFFFFF" w:themeFill="background1"/>
                <w:lang w:val="zh-CN" w:bidi="zh-CN"/>
              </w:rPr>
              <w:t>核</w:t>
            </w:r>
            <w:r>
              <w:rPr>
                <w:rFonts w:hint="eastAsia" w:ascii="宋体" w:hAnsi="宋体" w:eastAsia="宋体" w:cs="宋体"/>
                <w:color w:val="auto"/>
                <w:kern w:val="0"/>
                <w:sz w:val="24"/>
                <w:szCs w:val="24"/>
                <w:highlight w:val="none"/>
                <w:shd w:val="clear" w:fill="FFFFFF" w:themeFill="background1"/>
                <w:lang w:val="zh-CN" w:bidi="zh-CN"/>
              </w:rPr>
              <w:t>心思路、项目实施步骤、项目成果及其内容构成</w:t>
            </w:r>
            <w:r>
              <w:rPr>
                <w:rFonts w:hint="eastAsia" w:ascii="宋体" w:hAnsi="宋体" w:eastAsia="宋体" w:cs="宋体"/>
                <w:b/>
                <w:bCs w:val="0"/>
                <w:color w:val="000000" w:themeColor="text1"/>
                <w:sz w:val="24"/>
                <w:szCs w:val="24"/>
                <w:highlight w:val="none"/>
                <w14:textFill>
                  <w14:solidFill>
                    <w14:schemeClr w14:val="tx1"/>
                  </w14:solidFill>
                </w14:textFill>
              </w:rPr>
              <w:t>得</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3</w:t>
            </w:r>
            <w:r>
              <w:rPr>
                <w:rFonts w:hint="eastAsia" w:ascii="宋体" w:hAnsi="宋体" w:cs="宋体"/>
                <w:b/>
                <w:bCs w:val="0"/>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b/>
                <w:bCs w:val="0"/>
                <w:color w:val="000000" w:themeColor="text1"/>
                <w:sz w:val="24"/>
                <w:szCs w:val="24"/>
                <w:highlight w:val="none"/>
                <w14:textFill>
                  <w14:solidFill>
                    <w14:schemeClr w14:val="tx1"/>
                  </w14:solidFill>
                </w14:textFill>
              </w:rPr>
              <w:t>分</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w:t>
            </w:r>
          </w:p>
          <w:p w14:paraId="581A3338">
            <w:pPr>
              <w:pStyle w:val="9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rPr>
                <w:rFonts w:hint="eastAsia" w:ascii="宋体" w:hAnsi="宋体" w:eastAsia="宋体" w:cs="宋体"/>
                <w:b/>
                <w:bCs w:val="0"/>
                <w:color w:val="000000" w:themeColor="text1"/>
                <w:sz w:val="24"/>
                <w:szCs w:val="24"/>
                <w:highlight w:val="none"/>
                <w:lang w:eastAsia="zh-CN"/>
                <w14:textFill>
                  <w14:solidFill>
                    <w14:schemeClr w14:val="tx1"/>
                  </w14:solidFill>
                </w14:textFill>
              </w:rPr>
            </w:pPr>
            <w:r>
              <w:rPr>
                <w:rFonts w:hint="eastAsia" w:ascii="宋体" w:hAnsi="宋体" w:eastAsia="宋体" w:cs="宋体"/>
                <w:color w:val="auto"/>
                <w:kern w:val="0"/>
                <w:sz w:val="24"/>
                <w:szCs w:val="24"/>
                <w:highlight w:val="none"/>
                <w:shd w:val="clear" w:fill="FFFFFF" w:themeFill="background1"/>
                <w:lang w:val="en-US" w:bidi="zh-CN"/>
              </w:rPr>
              <w:t>3.针</w:t>
            </w:r>
            <w:r>
              <w:rPr>
                <w:rFonts w:hint="eastAsia" w:ascii="宋体" w:hAnsi="宋体" w:eastAsia="宋体" w:cs="宋体"/>
                <w:color w:val="auto"/>
                <w:kern w:val="0"/>
                <w:sz w:val="24"/>
                <w:szCs w:val="24"/>
                <w:highlight w:val="none"/>
                <w:shd w:val="clear" w:fill="FFFFFF" w:themeFill="background1"/>
                <w:lang w:val="zh-CN" w:bidi="zh-CN"/>
              </w:rPr>
              <w:t>对本项</w:t>
            </w:r>
            <w:r>
              <w:rPr>
                <w:rFonts w:hint="eastAsia" w:ascii="宋体" w:hAnsi="宋体" w:eastAsia="宋体" w:cs="宋体"/>
                <w:b w:val="0"/>
                <w:bCs w:val="0"/>
                <w:color w:val="auto"/>
                <w:kern w:val="0"/>
                <w:sz w:val="24"/>
                <w:szCs w:val="24"/>
                <w:highlight w:val="none"/>
                <w:shd w:val="clear" w:fill="FFFFFF" w:themeFill="background1"/>
                <w:lang w:val="zh-CN" w:bidi="zh-CN"/>
              </w:rPr>
              <w:t>目</w:t>
            </w:r>
            <w:r>
              <w:rPr>
                <w:rFonts w:hint="eastAsia" w:ascii="宋体" w:hAnsi="宋体" w:eastAsia="宋体" w:cs="宋体"/>
                <w:b w:val="0"/>
                <w:bCs w:val="0"/>
                <w:color w:val="000000" w:themeColor="text1"/>
                <w:sz w:val="24"/>
                <w:szCs w:val="24"/>
                <w:highlight w:val="none"/>
                <w14:textFill>
                  <w14:solidFill>
                    <w14:schemeClr w14:val="tx1"/>
                  </w14:solidFill>
                </w14:textFill>
              </w:rPr>
              <w:t>一般</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的</w:t>
            </w:r>
            <w:r>
              <w:rPr>
                <w:rFonts w:hint="eastAsia" w:ascii="宋体" w:hAnsi="宋体" w:eastAsia="宋体" w:cs="宋体"/>
                <w:b w:val="0"/>
                <w:bCs w:val="0"/>
                <w:color w:val="auto"/>
                <w:kern w:val="0"/>
                <w:sz w:val="24"/>
                <w:szCs w:val="24"/>
                <w:highlight w:val="none"/>
                <w:shd w:val="clear" w:fill="FFFFFF" w:themeFill="background1"/>
                <w:lang w:val="zh-CN" w:bidi="zh-CN"/>
              </w:rPr>
              <w:t>核心</w:t>
            </w:r>
            <w:r>
              <w:rPr>
                <w:rFonts w:hint="eastAsia" w:ascii="宋体" w:hAnsi="宋体" w:eastAsia="宋体" w:cs="宋体"/>
                <w:color w:val="auto"/>
                <w:kern w:val="0"/>
                <w:sz w:val="24"/>
                <w:szCs w:val="24"/>
                <w:highlight w:val="none"/>
                <w:shd w:val="clear" w:fill="FFFFFF" w:themeFill="background1"/>
                <w:lang w:val="zh-CN" w:bidi="zh-CN"/>
              </w:rPr>
              <w:t>思路、项目实施步骤、项目成果及其内容构成</w:t>
            </w:r>
            <w:r>
              <w:rPr>
                <w:rFonts w:hint="eastAsia" w:ascii="宋体" w:hAnsi="宋体" w:eastAsia="宋体" w:cs="宋体"/>
                <w:b/>
                <w:bCs w:val="0"/>
                <w:color w:val="000000" w:themeColor="text1"/>
                <w:sz w:val="24"/>
                <w:szCs w:val="24"/>
                <w:highlight w:val="none"/>
                <w14:textFill>
                  <w14:solidFill>
                    <w14:schemeClr w14:val="tx1"/>
                  </w14:solidFill>
                </w14:textFill>
              </w:rPr>
              <w:t>得</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1</w:t>
            </w:r>
            <w:r>
              <w:rPr>
                <w:rFonts w:hint="eastAsia" w:ascii="宋体" w:hAnsi="宋体" w:cs="宋体"/>
                <w:b/>
                <w:bCs w:val="0"/>
                <w:color w:val="000000" w:themeColor="text1"/>
                <w:sz w:val="24"/>
                <w:szCs w:val="24"/>
                <w:highlight w:val="none"/>
                <w:lang w:val="en-US" w:eastAsia="zh-CN"/>
                <w14:textFill>
                  <w14:solidFill>
                    <w14:schemeClr w14:val="tx1"/>
                  </w14:solidFill>
                </w14:textFill>
              </w:rPr>
              <w:t>-0.1</w:t>
            </w:r>
            <w:r>
              <w:rPr>
                <w:rFonts w:hint="eastAsia" w:ascii="宋体" w:hAnsi="宋体" w:eastAsia="宋体" w:cs="宋体"/>
                <w:b/>
                <w:bCs w:val="0"/>
                <w:color w:val="000000" w:themeColor="text1"/>
                <w:sz w:val="24"/>
                <w:szCs w:val="24"/>
                <w:highlight w:val="none"/>
                <w14:textFill>
                  <w14:solidFill>
                    <w14:schemeClr w14:val="tx1"/>
                  </w14:solidFill>
                </w14:textFill>
              </w:rPr>
              <w:t>分</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w:t>
            </w:r>
          </w:p>
          <w:p w14:paraId="277F1299">
            <w:pPr>
              <w:pStyle w:val="9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bCs w:val="0"/>
                <w:color w:val="000000" w:themeColor="text1"/>
                <w:sz w:val="24"/>
                <w:szCs w:val="24"/>
                <w:highlight w:val="none"/>
                <w14:textFill>
                  <w14:solidFill>
                    <w14:schemeClr w14:val="tx1"/>
                  </w14:solidFill>
                </w14:textFill>
              </w:rPr>
              <w:t>无此项内容不得分。</w:t>
            </w:r>
          </w:p>
        </w:tc>
      </w:tr>
      <w:tr w14:paraId="0BC3D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9" w:hRule="atLeast"/>
        </w:trPr>
        <w:tc>
          <w:tcPr>
            <w:tcW w:w="752" w:type="dxa"/>
            <w:vMerge w:val="continue"/>
            <w:tcBorders>
              <w:left w:val="single" w:color="auto" w:sz="4" w:space="0"/>
              <w:right w:val="single" w:color="auto" w:sz="4" w:space="0"/>
            </w:tcBorders>
            <w:tcMar>
              <w:top w:w="0" w:type="dxa"/>
              <w:left w:w="108" w:type="dxa"/>
              <w:bottom w:w="0" w:type="dxa"/>
              <w:right w:w="108" w:type="dxa"/>
            </w:tcMar>
            <w:vAlign w:val="center"/>
          </w:tcPr>
          <w:p w14:paraId="3FAD2A06">
            <w:pPr>
              <w:pStyle w:val="9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highlight w:val="none"/>
              </w:rPr>
            </w:pPr>
          </w:p>
        </w:tc>
        <w:tc>
          <w:tcPr>
            <w:tcW w:w="1245" w:type="dxa"/>
            <w:vMerge w:val="continue"/>
            <w:tcBorders>
              <w:left w:val="single" w:color="auto" w:sz="4" w:space="0"/>
              <w:right w:val="single" w:color="auto" w:sz="4" w:space="0"/>
            </w:tcBorders>
            <w:tcMar>
              <w:top w:w="0" w:type="dxa"/>
              <w:left w:w="108" w:type="dxa"/>
              <w:bottom w:w="0" w:type="dxa"/>
              <w:right w:w="108" w:type="dxa"/>
            </w:tcMar>
            <w:vAlign w:val="center"/>
          </w:tcPr>
          <w:p w14:paraId="45196ED6">
            <w:pPr>
              <w:pStyle w:val="9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highlight w:val="none"/>
              </w:rPr>
            </w:pPr>
          </w:p>
        </w:tc>
        <w:tc>
          <w:tcPr>
            <w:tcW w:w="1394" w:type="dxa"/>
            <w:vMerge w:val="continue"/>
            <w:tcBorders>
              <w:left w:val="single" w:color="auto" w:sz="4" w:space="0"/>
              <w:right w:val="single" w:color="auto" w:sz="4" w:space="0"/>
            </w:tcBorders>
            <w:tcMar>
              <w:top w:w="0" w:type="dxa"/>
              <w:left w:w="108" w:type="dxa"/>
              <w:bottom w:w="0" w:type="dxa"/>
              <w:right w:w="108" w:type="dxa"/>
            </w:tcMar>
            <w:vAlign w:val="center"/>
          </w:tcPr>
          <w:p w14:paraId="504BCA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p>
        </w:tc>
        <w:tc>
          <w:tcPr>
            <w:tcW w:w="4920" w:type="dxa"/>
            <w:tcBorders>
              <w:top w:val="single" w:color="auto" w:sz="4" w:space="0"/>
              <w:left w:val="single" w:color="auto" w:sz="4" w:space="0"/>
              <w:right w:val="single" w:color="auto" w:sz="4" w:space="0"/>
            </w:tcBorders>
            <w:tcMar>
              <w:top w:w="0" w:type="dxa"/>
              <w:left w:w="108" w:type="dxa"/>
              <w:bottom w:w="0" w:type="dxa"/>
              <w:right w:w="108" w:type="dxa"/>
            </w:tcMar>
            <w:vAlign w:val="center"/>
          </w:tcPr>
          <w:p w14:paraId="77DD981B">
            <w:pPr>
              <w:pStyle w:val="9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rPr>
                <w:rFonts w:hint="eastAsia" w:ascii="宋体" w:hAnsi="宋体" w:eastAsia="宋体" w:cs="宋体"/>
                <w:b/>
                <w:bCs w:val="0"/>
                <w:color w:val="000000" w:themeColor="text1"/>
                <w:sz w:val="24"/>
                <w:szCs w:val="24"/>
                <w:highlight w:val="none"/>
                <w:lang w:eastAsia="zh-CN"/>
                <w14:textFill>
                  <w14:solidFill>
                    <w14:schemeClr w14:val="tx1"/>
                  </w14:solidFill>
                </w14:textFill>
              </w:rPr>
            </w:pPr>
            <w:r>
              <w:rPr>
                <w:rFonts w:hint="eastAsia" w:ascii="宋体" w:hAnsi="宋体" w:eastAsia="宋体" w:cs="宋体"/>
                <w:color w:val="auto"/>
                <w:kern w:val="0"/>
                <w:sz w:val="24"/>
                <w:szCs w:val="24"/>
                <w:highlight w:val="none"/>
                <w:lang w:val="en-US" w:bidi="zh-CN"/>
              </w:rPr>
              <w:t>1.</w:t>
            </w:r>
            <w:r>
              <w:rPr>
                <w:rFonts w:hint="eastAsia" w:ascii="宋体" w:hAnsi="宋体" w:eastAsia="宋体" w:cs="宋体"/>
                <w:color w:val="auto"/>
                <w:kern w:val="0"/>
                <w:sz w:val="24"/>
                <w:szCs w:val="24"/>
                <w:highlight w:val="none"/>
                <w:lang w:val="zh-CN" w:bidi="zh-CN"/>
              </w:rPr>
              <w:t>针对本项目目标、方向的理解程度强</w:t>
            </w:r>
            <w:r>
              <w:rPr>
                <w:rFonts w:hint="eastAsia" w:ascii="宋体" w:hAnsi="宋体" w:eastAsia="宋体" w:cs="宋体"/>
                <w:b/>
                <w:bCs/>
                <w:sz w:val="24"/>
                <w:szCs w:val="24"/>
                <w:highlight w:val="none"/>
                <w:lang w:eastAsia="zh-CN"/>
              </w:rPr>
              <w:t>得</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6</w:t>
            </w:r>
            <w:r>
              <w:rPr>
                <w:rFonts w:hint="eastAsia" w:ascii="宋体" w:hAnsi="宋体" w:cs="宋体"/>
                <w:b/>
                <w:bCs w:val="0"/>
                <w:color w:val="000000" w:themeColor="text1"/>
                <w:sz w:val="24"/>
                <w:szCs w:val="24"/>
                <w:highlight w:val="none"/>
                <w:lang w:val="en-US" w:eastAsia="zh-CN"/>
                <w14:textFill>
                  <w14:solidFill>
                    <w14:schemeClr w14:val="tx1"/>
                  </w14:solidFill>
                </w14:textFill>
              </w:rPr>
              <w:t>-3.1</w:t>
            </w:r>
            <w:r>
              <w:rPr>
                <w:rFonts w:hint="eastAsia" w:ascii="宋体" w:hAnsi="宋体" w:eastAsia="宋体" w:cs="宋体"/>
                <w:b/>
                <w:bCs w:val="0"/>
                <w:color w:val="000000" w:themeColor="text1"/>
                <w:sz w:val="24"/>
                <w:szCs w:val="24"/>
                <w:highlight w:val="none"/>
                <w14:textFill>
                  <w14:solidFill>
                    <w14:schemeClr w14:val="tx1"/>
                  </w14:solidFill>
                </w14:textFill>
              </w:rPr>
              <w:t>分</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w:t>
            </w:r>
          </w:p>
          <w:p w14:paraId="09084A94">
            <w:pPr>
              <w:pStyle w:val="9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auto"/>
                <w:kern w:val="0"/>
                <w:sz w:val="24"/>
                <w:szCs w:val="24"/>
                <w:highlight w:val="none"/>
                <w:lang w:val="zh-CN" w:bidi="zh-CN"/>
              </w:rPr>
              <w:t>针对本项目目标、方向的理解程度较强</w:t>
            </w:r>
            <w:r>
              <w:rPr>
                <w:rFonts w:hint="eastAsia" w:ascii="宋体" w:hAnsi="宋体" w:eastAsia="宋体" w:cs="宋体"/>
                <w:b/>
                <w:bCs/>
                <w:sz w:val="24"/>
                <w:szCs w:val="24"/>
                <w:highlight w:val="none"/>
                <w:lang w:eastAsia="zh-CN"/>
              </w:rPr>
              <w:t>得</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3</w:t>
            </w:r>
            <w:r>
              <w:rPr>
                <w:rFonts w:hint="eastAsia" w:ascii="宋体" w:hAnsi="宋体" w:cs="宋体"/>
                <w:b/>
                <w:bCs w:val="0"/>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b/>
                <w:bCs w:val="0"/>
                <w:color w:val="000000" w:themeColor="text1"/>
                <w:sz w:val="24"/>
                <w:szCs w:val="24"/>
                <w:highlight w:val="none"/>
                <w14:textFill>
                  <w14:solidFill>
                    <w14:schemeClr w14:val="tx1"/>
                  </w14:solidFill>
                </w14:textFill>
              </w:rPr>
              <w:t>分</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w:t>
            </w:r>
          </w:p>
          <w:p w14:paraId="44661494">
            <w:pPr>
              <w:pStyle w:val="9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rPr>
                <w:rFonts w:hint="eastAsia" w:ascii="宋体" w:hAnsi="宋体" w:eastAsia="宋体" w:cs="宋体"/>
                <w:b/>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auto"/>
                <w:kern w:val="0"/>
                <w:sz w:val="24"/>
                <w:szCs w:val="24"/>
                <w:highlight w:val="none"/>
                <w:lang w:val="zh-CN" w:bidi="zh-CN"/>
              </w:rPr>
              <w:t>针对本项目目标、方向的理解程度</w:t>
            </w:r>
            <w:r>
              <w:rPr>
                <w:rFonts w:hint="eastAsia" w:ascii="宋体" w:hAnsi="宋体" w:eastAsia="宋体" w:cs="宋体"/>
                <w:b w:val="0"/>
                <w:bCs/>
                <w:color w:val="000000" w:themeColor="text1"/>
                <w:sz w:val="24"/>
                <w:szCs w:val="24"/>
                <w:highlight w:val="none"/>
                <w14:textFill>
                  <w14:solidFill>
                    <w14:schemeClr w14:val="tx1"/>
                  </w14:solidFill>
                </w14:textFill>
              </w:rPr>
              <w:t>一般</w:t>
            </w:r>
            <w:r>
              <w:rPr>
                <w:rFonts w:hint="eastAsia" w:ascii="宋体" w:hAnsi="宋体" w:eastAsia="宋体" w:cs="宋体"/>
                <w:b/>
                <w:bCs w:val="0"/>
                <w:color w:val="000000" w:themeColor="text1"/>
                <w:sz w:val="24"/>
                <w:szCs w:val="24"/>
                <w:highlight w:val="none"/>
                <w14:textFill>
                  <w14:solidFill>
                    <w14:schemeClr w14:val="tx1"/>
                  </w14:solidFill>
                </w14:textFill>
              </w:rPr>
              <w:t>得1</w:t>
            </w:r>
            <w:r>
              <w:rPr>
                <w:rFonts w:hint="eastAsia" w:ascii="宋体" w:hAnsi="宋体" w:cs="宋体"/>
                <w:b/>
                <w:bCs w:val="0"/>
                <w:color w:val="000000" w:themeColor="text1"/>
                <w:sz w:val="24"/>
                <w:szCs w:val="24"/>
                <w:highlight w:val="none"/>
                <w:lang w:val="en-US" w:eastAsia="zh-CN"/>
                <w14:textFill>
                  <w14:solidFill>
                    <w14:schemeClr w14:val="tx1"/>
                  </w14:solidFill>
                </w14:textFill>
              </w:rPr>
              <w:t>-0.1</w:t>
            </w:r>
            <w:r>
              <w:rPr>
                <w:rFonts w:hint="eastAsia" w:ascii="宋体" w:hAnsi="宋体" w:eastAsia="宋体" w:cs="宋体"/>
                <w:b/>
                <w:bCs w:val="0"/>
                <w:color w:val="000000" w:themeColor="text1"/>
                <w:sz w:val="24"/>
                <w:szCs w:val="24"/>
                <w:highlight w:val="none"/>
                <w14:textFill>
                  <w14:solidFill>
                    <w14:schemeClr w14:val="tx1"/>
                  </w14:solidFill>
                </w14:textFill>
              </w:rPr>
              <w:t>分</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w:t>
            </w:r>
          </w:p>
          <w:p w14:paraId="32E137FB">
            <w:pPr>
              <w:pStyle w:val="9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bCs w:val="0"/>
                <w:color w:val="000000" w:themeColor="text1"/>
                <w:sz w:val="24"/>
                <w:szCs w:val="24"/>
                <w:highlight w:val="none"/>
                <w14:textFill>
                  <w14:solidFill>
                    <w14:schemeClr w14:val="tx1"/>
                  </w14:solidFill>
                </w14:textFill>
              </w:rPr>
              <w:t>无此项内容不得分。</w:t>
            </w:r>
          </w:p>
        </w:tc>
      </w:tr>
      <w:tr w14:paraId="33190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3" w:hRule="atLeast"/>
        </w:trPr>
        <w:tc>
          <w:tcPr>
            <w:tcW w:w="752"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9669F75">
            <w:pPr>
              <w:pStyle w:val="9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highlight w:val="none"/>
              </w:rPr>
            </w:pPr>
          </w:p>
        </w:tc>
        <w:tc>
          <w:tcPr>
            <w:tcW w:w="1245"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1FBE3F0">
            <w:pPr>
              <w:pStyle w:val="9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highlight w:val="none"/>
              </w:rPr>
            </w:pPr>
          </w:p>
        </w:tc>
        <w:tc>
          <w:tcPr>
            <w:tcW w:w="1394" w:type="dxa"/>
            <w:tcBorders>
              <w:left w:val="single" w:color="auto" w:sz="4" w:space="0"/>
              <w:right w:val="single" w:color="auto" w:sz="4" w:space="0"/>
            </w:tcBorders>
            <w:tcMar>
              <w:top w:w="0" w:type="dxa"/>
              <w:left w:w="108" w:type="dxa"/>
              <w:bottom w:w="0" w:type="dxa"/>
              <w:right w:w="108" w:type="dxa"/>
            </w:tcMar>
            <w:vAlign w:val="center"/>
          </w:tcPr>
          <w:p w14:paraId="350AC3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技术服务方案</w:t>
            </w:r>
          </w:p>
          <w:p w14:paraId="3B12A6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12分</w:t>
            </w:r>
          </w:p>
        </w:tc>
        <w:tc>
          <w:tcPr>
            <w:tcW w:w="49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386FF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针对本项目定位准确，具有创新、前瞻性，符合项目要求、规范要点提出的指标（或评价指标体系）进行评分：</w:t>
            </w:r>
          </w:p>
          <w:p w14:paraId="58A67E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技术服务方案完整，</w:t>
            </w:r>
            <w:r>
              <w:rPr>
                <w:rFonts w:hint="eastAsia" w:ascii="宋体" w:hAnsi="宋体" w:eastAsia="宋体" w:cs="宋体"/>
                <w:sz w:val="24"/>
                <w:szCs w:val="24"/>
                <w:highlight w:val="none"/>
                <w:lang w:eastAsia="zh-CN"/>
              </w:rPr>
              <w:t>方案</w:t>
            </w:r>
            <w:r>
              <w:rPr>
                <w:rFonts w:hint="eastAsia" w:ascii="宋体" w:hAnsi="宋体" w:eastAsia="宋体" w:cs="宋体"/>
                <w:sz w:val="24"/>
                <w:szCs w:val="24"/>
                <w:highlight w:val="none"/>
              </w:rPr>
              <w:t>合</w:t>
            </w:r>
            <w:r>
              <w:rPr>
                <w:rFonts w:hint="eastAsia" w:ascii="宋体" w:hAnsi="宋体" w:eastAsia="宋体" w:cs="宋体"/>
                <w:spacing w:val="-2"/>
                <w:sz w:val="24"/>
                <w:szCs w:val="24"/>
                <w:highlight w:val="none"/>
              </w:rPr>
              <w:t>理可行、针对性强</w:t>
            </w:r>
            <w:r>
              <w:rPr>
                <w:rFonts w:hint="eastAsia" w:ascii="宋体" w:hAnsi="宋体" w:eastAsia="宋体" w:cs="宋体"/>
                <w:spacing w:val="-2"/>
                <w:sz w:val="24"/>
                <w:szCs w:val="24"/>
                <w:highlight w:val="none"/>
                <w:lang w:eastAsia="zh-CN"/>
              </w:rPr>
              <w:t>，</w:t>
            </w:r>
            <w:r>
              <w:rPr>
                <w:rFonts w:hint="eastAsia" w:ascii="宋体" w:hAnsi="宋体" w:eastAsia="宋体" w:cs="宋体"/>
                <w:color w:val="auto"/>
                <w:sz w:val="24"/>
                <w:szCs w:val="24"/>
                <w:highlight w:val="none"/>
                <w:lang w:eastAsia="zh-CN"/>
              </w:rPr>
              <w:t>充分理解招标人的理念需求</w:t>
            </w:r>
            <w:r>
              <w:rPr>
                <w:rFonts w:hint="eastAsia" w:ascii="宋体" w:hAnsi="宋体" w:eastAsia="宋体" w:cs="宋体"/>
                <w:b/>
                <w:bCs/>
                <w:color w:val="auto"/>
                <w:sz w:val="24"/>
                <w:szCs w:val="24"/>
                <w:highlight w:val="none"/>
                <w:lang w:eastAsia="zh-CN"/>
              </w:rPr>
              <w:t>得</w:t>
            </w:r>
            <w:r>
              <w:rPr>
                <w:rFonts w:hint="eastAsia" w:ascii="宋体" w:hAnsi="宋体" w:eastAsia="宋体" w:cs="宋体"/>
                <w:b/>
                <w:bCs/>
                <w:color w:val="auto"/>
                <w:sz w:val="24"/>
                <w:szCs w:val="24"/>
                <w:highlight w:val="none"/>
                <w:lang w:val="en-US" w:eastAsia="zh-CN"/>
              </w:rPr>
              <w:t>12</w:t>
            </w:r>
            <w:r>
              <w:rPr>
                <w:rFonts w:hint="eastAsia" w:ascii="宋体" w:hAnsi="宋体" w:cs="宋体"/>
                <w:b/>
                <w:bCs/>
                <w:color w:val="auto"/>
                <w:sz w:val="24"/>
                <w:szCs w:val="24"/>
                <w:highlight w:val="none"/>
                <w:lang w:val="en-US" w:eastAsia="zh-CN"/>
              </w:rPr>
              <w:t>-8.1</w:t>
            </w:r>
            <w:r>
              <w:rPr>
                <w:rFonts w:hint="eastAsia" w:ascii="宋体" w:hAnsi="宋体" w:eastAsia="宋体" w:cs="宋体"/>
                <w:b/>
                <w:bCs/>
                <w:color w:val="auto"/>
                <w:sz w:val="24"/>
                <w:szCs w:val="24"/>
                <w:highlight w:val="none"/>
                <w:lang w:val="en-US" w:eastAsia="zh-CN"/>
              </w:rPr>
              <w:t>分；</w:t>
            </w:r>
          </w:p>
          <w:p w14:paraId="4E9AEE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技术服务方案较完整，</w:t>
            </w:r>
            <w:r>
              <w:rPr>
                <w:rFonts w:hint="eastAsia" w:ascii="宋体" w:hAnsi="宋体" w:eastAsia="宋体" w:cs="宋体"/>
                <w:sz w:val="24"/>
                <w:szCs w:val="24"/>
                <w:highlight w:val="none"/>
                <w:lang w:eastAsia="zh-CN"/>
              </w:rPr>
              <w:t>方案较</w:t>
            </w:r>
            <w:r>
              <w:rPr>
                <w:rFonts w:hint="eastAsia" w:ascii="宋体" w:hAnsi="宋体" w:eastAsia="宋体" w:cs="宋体"/>
                <w:sz w:val="24"/>
                <w:szCs w:val="24"/>
                <w:highlight w:val="none"/>
              </w:rPr>
              <w:t>合</w:t>
            </w:r>
            <w:r>
              <w:rPr>
                <w:rFonts w:hint="eastAsia" w:ascii="宋体" w:hAnsi="宋体" w:eastAsia="宋体" w:cs="宋体"/>
                <w:spacing w:val="-2"/>
                <w:sz w:val="24"/>
                <w:szCs w:val="24"/>
                <w:highlight w:val="none"/>
              </w:rPr>
              <w:t>理可行、针对性</w:t>
            </w:r>
            <w:r>
              <w:rPr>
                <w:rFonts w:hint="eastAsia" w:ascii="宋体" w:hAnsi="宋体" w:eastAsia="宋体" w:cs="宋体"/>
                <w:spacing w:val="-2"/>
                <w:sz w:val="24"/>
                <w:szCs w:val="24"/>
                <w:highlight w:val="none"/>
                <w:lang w:eastAsia="zh-CN"/>
              </w:rPr>
              <w:t>较</w:t>
            </w:r>
            <w:r>
              <w:rPr>
                <w:rFonts w:hint="eastAsia" w:ascii="宋体" w:hAnsi="宋体" w:eastAsia="宋体" w:cs="宋体"/>
                <w:spacing w:val="-2"/>
                <w:sz w:val="24"/>
                <w:szCs w:val="24"/>
                <w:highlight w:val="none"/>
              </w:rPr>
              <w:t>强</w:t>
            </w:r>
            <w:r>
              <w:rPr>
                <w:rFonts w:hint="eastAsia" w:ascii="宋体" w:hAnsi="宋体" w:eastAsia="宋体" w:cs="宋体"/>
                <w:spacing w:val="-2"/>
                <w:sz w:val="24"/>
                <w:szCs w:val="24"/>
                <w:highlight w:val="none"/>
                <w:lang w:eastAsia="zh-CN"/>
              </w:rPr>
              <w:t>，较</w:t>
            </w:r>
            <w:r>
              <w:rPr>
                <w:rFonts w:hint="eastAsia" w:ascii="宋体" w:hAnsi="宋体" w:eastAsia="宋体" w:cs="宋体"/>
                <w:color w:val="auto"/>
                <w:sz w:val="24"/>
                <w:szCs w:val="24"/>
                <w:highlight w:val="none"/>
                <w:lang w:eastAsia="zh-CN"/>
              </w:rPr>
              <w:t>理解招标人的理念需求</w:t>
            </w:r>
            <w:r>
              <w:rPr>
                <w:rFonts w:hint="eastAsia" w:ascii="宋体" w:hAnsi="宋体" w:eastAsia="宋体" w:cs="宋体"/>
                <w:b/>
                <w:bCs/>
                <w:color w:val="auto"/>
                <w:sz w:val="24"/>
                <w:szCs w:val="24"/>
                <w:highlight w:val="none"/>
                <w:lang w:val="en-US" w:eastAsia="zh-CN"/>
              </w:rPr>
              <w:t>得8</w:t>
            </w:r>
            <w:r>
              <w:rPr>
                <w:rFonts w:hint="eastAsia" w:ascii="宋体" w:hAnsi="宋体" w:cs="宋体"/>
                <w:b/>
                <w:bCs/>
                <w:color w:val="auto"/>
                <w:sz w:val="24"/>
                <w:szCs w:val="24"/>
                <w:highlight w:val="none"/>
                <w:lang w:val="en-US" w:eastAsia="zh-CN"/>
              </w:rPr>
              <w:t>-4.1</w:t>
            </w:r>
            <w:r>
              <w:rPr>
                <w:rFonts w:hint="eastAsia" w:ascii="宋体" w:hAnsi="宋体" w:eastAsia="宋体" w:cs="宋体"/>
                <w:b/>
                <w:bCs/>
                <w:color w:val="auto"/>
                <w:sz w:val="24"/>
                <w:szCs w:val="24"/>
                <w:highlight w:val="none"/>
                <w:lang w:val="en-US" w:eastAsia="zh-CN"/>
              </w:rPr>
              <w:t>分；</w:t>
            </w:r>
          </w:p>
          <w:p w14:paraId="654FAE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技术服务方案一般，</w:t>
            </w:r>
            <w:r>
              <w:rPr>
                <w:rFonts w:hint="eastAsia" w:ascii="宋体" w:hAnsi="宋体" w:eastAsia="宋体" w:cs="宋体"/>
                <w:sz w:val="24"/>
                <w:szCs w:val="24"/>
                <w:highlight w:val="none"/>
                <w:lang w:eastAsia="zh-CN"/>
              </w:rPr>
              <w:t>方案基本</w:t>
            </w:r>
            <w:r>
              <w:rPr>
                <w:rFonts w:hint="eastAsia" w:ascii="宋体" w:hAnsi="宋体" w:eastAsia="宋体" w:cs="宋体"/>
                <w:sz w:val="24"/>
                <w:szCs w:val="24"/>
                <w:highlight w:val="none"/>
              </w:rPr>
              <w:t>合</w:t>
            </w:r>
            <w:r>
              <w:rPr>
                <w:rFonts w:hint="eastAsia" w:ascii="宋体" w:hAnsi="宋体" w:eastAsia="宋体" w:cs="宋体"/>
                <w:spacing w:val="-2"/>
                <w:sz w:val="24"/>
                <w:szCs w:val="24"/>
                <w:highlight w:val="none"/>
              </w:rPr>
              <w:t>理可行、针对性</w:t>
            </w:r>
            <w:r>
              <w:rPr>
                <w:rFonts w:hint="eastAsia" w:ascii="宋体" w:hAnsi="宋体" w:eastAsia="宋体" w:cs="宋体"/>
                <w:spacing w:val="-2"/>
                <w:sz w:val="24"/>
                <w:szCs w:val="24"/>
                <w:highlight w:val="none"/>
                <w:lang w:eastAsia="zh-CN"/>
              </w:rPr>
              <w:t>一般，</w:t>
            </w:r>
            <w:r>
              <w:rPr>
                <w:rFonts w:hint="eastAsia" w:ascii="宋体" w:hAnsi="宋体" w:eastAsia="宋体" w:cs="宋体"/>
                <w:color w:val="auto"/>
                <w:sz w:val="24"/>
                <w:szCs w:val="24"/>
                <w:highlight w:val="none"/>
                <w:lang w:eastAsia="zh-CN"/>
              </w:rPr>
              <w:t>一般理解招标人的理念需求</w:t>
            </w:r>
            <w:r>
              <w:rPr>
                <w:rFonts w:hint="eastAsia" w:ascii="宋体" w:hAnsi="宋体" w:eastAsia="宋体" w:cs="宋体"/>
                <w:b/>
                <w:bCs/>
                <w:color w:val="auto"/>
                <w:sz w:val="24"/>
                <w:szCs w:val="24"/>
                <w:highlight w:val="none"/>
                <w:lang w:val="en-US" w:eastAsia="zh-CN"/>
              </w:rPr>
              <w:t>得4</w:t>
            </w:r>
            <w:r>
              <w:rPr>
                <w:rFonts w:hint="eastAsia" w:ascii="宋体" w:hAnsi="宋体" w:cs="宋体"/>
                <w:b/>
                <w:bCs/>
                <w:color w:val="auto"/>
                <w:sz w:val="24"/>
                <w:szCs w:val="24"/>
                <w:highlight w:val="none"/>
                <w:lang w:val="en-US" w:eastAsia="zh-CN"/>
              </w:rPr>
              <w:t>-2.1</w:t>
            </w:r>
            <w:r>
              <w:rPr>
                <w:rFonts w:hint="eastAsia" w:ascii="宋体" w:hAnsi="宋体" w:eastAsia="宋体" w:cs="宋体"/>
                <w:b/>
                <w:bCs/>
                <w:color w:val="auto"/>
                <w:sz w:val="24"/>
                <w:szCs w:val="24"/>
                <w:highlight w:val="none"/>
                <w:lang w:val="en-US" w:eastAsia="zh-CN"/>
              </w:rPr>
              <w:t>分；</w:t>
            </w:r>
          </w:p>
          <w:p w14:paraId="397BC8B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技术服务方案简单，</w:t>
            </w:r>
            <w:r>
              <w:rPr>
                <w:rFonts w:hint="eastAsia" w:ascii="宋体" w:hAnsi="宋体" w:eastAsia="宋体" w:cs="宋体"/>
                <w:sz w:val="24"/>
                <w:szCs w:val="24"/>
                <w:highlight w:val="none"/>
                <w:lang w:eastAsia="zh-CN"/>
              </w:rPr>
              <w:t>方案简单</w:t>
            </w:r>
            <w:r>
              <w:rPr>
                <w:rFonts w:hint="eastAsia" w:ascii="宋体" w:hAnsi="宋体" w:eastAsia="宋体" w:cs="宋体"/>
                <w:spacing w:val="-2"/>
                <w:sz w:val="24"/>
                <w:szCs w:val="24"/>
                <w:highlight w:val="none"/>
              </w:rPr>
              <w:t>、针对性</w:t>
            </w:r>
            <w:r>
              <w:rPr>
                <w:rFonts w:hint="eastAsia" w:ascii="宋体" w:hAnsi="宋体" w:eastAsia="宋体" w:cs="宋体"/>
                <w:spacing w:val="-2"/>
                <w:sz w:val="24"/>
                <w:szCs w:val="24"/>
                <w:highlight w:val="none"/>
                <w:lang w:eastAsia="zh-CN"/>
              </w:rPr>
              <w:t>简单，简单</w:t>
            </w:r>
            <w:r>
              <w:rPr>
                <w:rFonts w:hint="eastAsia" w:ascii="宋体" w:hAnsi="宋体" w:eastAsia="宋体" w:cs="宋体"/>
                <w:color w:val="auto"/>
                <w:sz w:val="24"/>
                <w:szCs w:val="24"/>
                <w:highlight w:val="none"/>
                <w:lang w:eastAsia="zh-CN"/>
              </w:rPr>
              <w:t>理解招标人的理念需求</w:t>
            </w:r>
            <w:r>
              <w:rPr>
                <w:rFonts w:hint="eastAsia" w:ascii="宋体" w:hAnsi="宋体" w:eastAsia="宋体" w:cs="宋体"/>
                <w:b/>
                <w:bCs/>
                <w:color w:val="auto"/>
                <w:sz w:val="24"/>
                <w:szCs w:val="24"/>
                <w:highlight w:val="none"/>
                <w:lang w:eastAsia="zh-CN"/>
              </w:rPr>
              <w:t>得</w:t>
            </w:r>
            <w:r>
              <w:rPr>
                <w:rFonts w:hint="eastAsia" w:ascii="宋体" w:hAnsi="宋体" w:eastAsia="宋体" w:cs="宋体"/>
                <w:b/>
                <w:bCs/>
                <w:color w:val="auto"/>
                <w:sz w:val="24"/>
                <w:szCs w:val="24"/>
                <w:highlight w:val="none"/>
                <w:lang w:val="en-US" w:eastAsia="zh-CN"/>
              </w:rPr>
              <w:t>2</w:t>
            </w:r>
            <w:r>
              <w:rPr>
                <w:rFonts w:hint="eastAsia" w:ascii="宋体" w:hAnsi="宋体" w:cs="宋体"/>
                <w:b/>
                <w:bCs/>
                <w:color w:val="auto"/>
                <w:sz w:val="24"/>
                <w:szCs w:val="24"/>
                <w:highlight w:val="none"/>
                <w:lang w:val="en-US" w:eastAsia="zh-CN"/>
              </w:rPr>
              <w:t>-0.1</w:t>
            </w:r>
            <w:r>
              <w:rPr>
                <w:rFonts w:hint="eastAsia" w:ascii="宋体" w:hAnsi="宋体" w:eastAsia="宋体" w:cs="宋体"/>
                <w:b/>
                <w:bCs/>
                <w:color w:val="auto"/>
                <w:sz w:val="24"/>
                <w:szCs w:val="24"/>
                <w:highlight w:val="none"/>
                <w:lang w:val="en-US" w:eastAsia="zh-CN"/>
              </w:rPr>
              <w:t>分；</w:t>
            </w:r>
          </w:p>
          <w:p w14:paraId="388687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val="0"/>
                <w:color w:val="000000" w:themeColor="text1"/>
                <w:sz w:val="24"/>
                <w:szCs w:val="24"/>
                <w:highlight w:val="none"/>
                <w14:textFill>
                  <w14:solidFill>
                    <w14:schemeClr w14:val="tx1"/>
                  </w14:solidFill>
                </w14:textFill>
              </w:rPr>
              <w:t>无此项内容不得分</w:t>
            </w:r>
            <w:r>
              <w:rPr>
                <w:rFonts w:hint="eastAsia" w:ascii="宋体" w:hAnsi="宋体" w:eastAsia="宋体" w:cs="宋体"/>
                <w:b/>
                <w:bCs/>
                <w:color w:val="auto"/>
                <w:sz w:val="24"/>
                <w:szCs w:val="24"/>
                <w:highlight w:val="none"/>
                <w:lang w:val="en-US" w:eastAsia="zh-CN"/>
              </w:rPr>
              <w:t>。</w:t>
            </w:r>
          </w:p>
        </w:tc>
      </w:tr>
      <w:tr w14:paraId="17DFD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1" w:hRule="atLeast"/>
        </w:trPr>
        <w:tc>
          <w:tcPr>
            <w:tcW w:w="752"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3E9D3120">
            <w:pPr>
              <w:pStyle w:val="9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highlight w:val="none"/>
              </w:rPr>
            </w:pPr>
          </w:p>
        </w:tc>
        <w:tc>
          <w:tcPr>
            <w:tcW w:w="1245"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16151BBE">
            <w:pPr>
              <w:pStyle w:val="9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highlight w:val="none"/>
              </w:rPr>
            </w:pPr>
          </w:p>
        </w:tc>
        <w:tc>
          <w:tcPr>
            <w:tcW w:w="1394" w:type="dxa"/>
            <w:tcBorders>
              <w:left w:val="single" w:color="auto" w:sz="4" w:space="0"/>
              <w:right w:val="single" w:color="auto" w:sz="4" w:space="0"/>
            </w:tcBorders>
            <w:tcMar>
              <w:top w:w="0" w:type="dxa"/>
              <w:left w:w="108" w:type="dxa"/>
              <w:bottom w:w="0" w:type="dxa"/>
              <w:right w:w="108" w:type="dxa"/>
            </w:tcMar>
            <w:vAlign w:val="center"/>
          </w:tcPr>
          <w:p w14:paraId="35F64F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质量保证措施</w:t>
            </w:r>
          </w:p>
          <w:p w14:paraId="48FE06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12分</w:t>
            </w:r>
          </w:p>
        </w:tc>
        <w:tc>
          <w:tcPr>
            <w:tcW w:w="49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253CBAD">
            <w:pPr>
              <w:pStyle w:val="94"/>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针对本项目投标人提供的质量保证措施合理、全面</w:t>
            </w:r>
            <w:r>
              <w:rPr>
                <w:rFonts w:hint="eastAsia" w:ascii="宋体" w:hAnsi="宋体" w:eastAsia="宋体" w:cs="宋体"/>
                <w:sz w:val="24"/>
                <w:szCs w:val="24"/>
                <w:highlight w:val="none"/>
                <w:lang w:val="en-US" w:eastAsia="zh-CN"/>
              </w:rPr>
              <w:t>齐全、科学、具体、可行</w:t>
            </w:r>
            <w:r>
              <w:rPr>
                <w:rFonts w:hint="eastAsia" w:ascii="宋体" w:hAnsi="宋体" w:eastAsia="宋体" w:cs="宋体"/>
                <w:color w:val="auto"/>
                <w:sz w:val="24"/>
                <w:szCs w:val="24"/>
                <w:highlight w:val="none"/>
                <w:lang w:eastAsia="zh-CN"/>
              </w:rPr>
              <w:t>有效</w:t>
            </w:r>
            <w:r>
              <w:rPr>
                <w:rFonts w:hint="eastAsia" w:ascii="宋体" w:hAnsi="宋体" w:eastAsia="宋体" w:cs="宋体"/>
                <w:b/>
                <w:bCs/>
                <w:color w:val="auto"/>
                <w:sz w:val="24"/>
                <w:szCs w:val="24"/>
                <w:highlight w:val="none"/>
                <w:lang w:eastAsia="zh-CN"/>
              </w:rPr>
              <w:t>得</w:t>
            </w:r>
            <w:r>
              <w:rPr>
                <w:rFonts w:hint="eastAsia" w:ascii="宋体" w:hAnsi="宋体" w:eastAsia="宋体" w:cs="宋体"/>
                <w:b/>
                <w:bCs/>
                <w:color w:val="auto"/>
                <w:sz w:val="24"/>
                <w:szCs w:val="24"/>
                <w:highlight w:val="none"/>
                <w:lang w:val="en-US" w:eastAsia="zh-CN"/>
              </w:rPr>
              <w:t>12</w:t>
            </w:r>
            <w:r>
              <w:rPr>
                <w:rFonts w:hint="eastAsia" w:ascii="宋体" w:hAnsi="宋体" w:cs="宋体"/>
                <w:b/>
                <w:bCs/>
                <w:color w:val="auto"/>
                <w:sz w:val="24"/>
                <w:szCs w:val="24"/>
                <w:highlight w:val="none"/>
                <w:lang w:val="en-US" w:eastAsia="zh-CN"/>
              </w:rPr>
              <w:t>-8.1</w:t>
            </w:r>
            <w:r>
              <w:rPr>
                <w:rFonts w:hint="eastAsia" w:ascii="宋体" w:hAnsi="宋体" w:eastAsia="宋体" w:cs="宋体"/>
                <w:b/>
                <w:bCs/>
                <w:color w:val="auto"/>
                <w:sz w:val="24"/>
                <w:szCs w:val="24"/>
                <w:highlight w:val="none"/>
                <w:lang w:val="en-US" w:eastAsia="zh-CN"/>
              </w:rPr>
              <w:t>分；</w:t>
            </w:r>
          </w:p>
          <w:p w14:paraId="539A9CEF">
            <w:pPr>
              <w:pStyle w:val="94"/>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color w:val="auto"/>
                <w:sz w:val="24"/>
                <w:szCs w:val="24"/>
                <w:highlight w:val="none"/>
                <w:lang w:eastAsia="zh-CN"/>
              </w:rPr>
              <w:t>针对本项目投标人提供的质量保证措施较合理、较</w:t>
            </w:r>
            <w:r>
              <w:rPr>
                <w:rFonts w:hint="eastAsia" w:ascii="宋体" w:hAnsi="宋体" w:eastAsia="宋体" w:cs="宋体"/>
                <w:sz w:val="24"/>
                <w:szCs w:val="24"/>
                <w:highlight w:val="none"/>
                <w:lang w:val="en-US" w:eastAsia="zh-CN"/>
              </w:rPr>
              <w:t>齐全、科学、具体、较可行</w:t>
            </w:r>
            <w:r>
              <w:rPr>
                <w:rFonts w:hint="eastAsia" w:ascii="宋体" w:hAnsi="宋体" w:eastAsia="宋体" w:cs="宋体"/>
                <w:color w:val="auto"/>
                <w:sz w:val="24"/>
                <w:szCs w:val="24"/>
                <w:highlight w:val="none"/>
                <w:lang w:eastAsia="zh-CN"/>
              </w:rPr>
              <w:t>有效</w:t>
            </w:r>
            <w:r>
              <w:rPr>
                <w:rFonts w:hint="eastAsia" w:ascii="宋体" w:hAnsi="宋体" w:eastAsia="宋体" w:cs="宋体"/>
                <w:b/>
                <w:bCs/>
                <w:color w:val="auto"/>
                <w:sz w:val="24"/>
                <w:szCs w:val="24"/>
                <w:highlight w:val="none"/>
                <w:lang w:val="en-US" w:eastAsia="zh-CN"/>
              </w:rPr>
              <w:t>得8</w:t>
            </w:r>
            <w:r>
              <w:rPr>
                <w:rFonts w:hint="eastAsia" w:ascii="宋体" w:hAnsi="宋体" w:cs="宋体"/>
                <w:b/>
                <w:bCs/>
                <w:color w:val="auto"/>
                <w:sz w:val="24"/>
                <w:szCs w:val="24"/>
                <w:highlight w:val="none"/>
                <w:lang w:val="en-US" w:eastAsia="zh-CN"/>
              </w:rPr>
              <w:t>-4.1</w:t>
            </w:r>
            <w:r>
              <w:rPr>
                <w:rFonts w:hint="eastAsia" w:ascii="宋体" w:hAnsi="宋体" w:eastAsia="宋体" w:cs="宋体"/>
                <w:b/>
                <w:bCs/>
                <w:color w:val="auto"/>
                <w:sz w:val="24"/>
                <w:szCs w:val="24"/>
                <w:highlight w:val="none"/>
                <w:lang w:val="en-US" w:eastAsia="zh-CN"/>
              </w:rPr>
              <w:t>分；</w:t>
            </w:r>
          </w:p>
          <w:p w14:paraId="465A108A">
            <w:pPr>
              <w:pStyle w:val="9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针</w:t>
            </w:r>
            <w:r>
              <w:rPr>
                <w:rFonts w:hint="eastAsia" w:ascii="宋体" w:hAnsi="宋体" w:eastAsia="宋体" w:cs="宋体"/>
                <w:color w:val="auto"/>
                <w:sz w:val="24"/>
                <w:szCs w:val="24"/>
                <w:highlight w:val="none"/>
                <w:lang w:eastAsia="zh-CN"/>
              </w:rPr>
              <w:t>对本项目投标人提供的质量保证措施基本合理、</w:t>
            </w:r>
            <w:r>
              <w:rPr>
                <w:rFonts w:hint="eastAsia" w:ascii="宋体" w:hAnsi="宋体" w:eastAsia="宋体" w:cs="宋体"/>
                <w:sz w:val="24"/>
                <w:szCs w:val="24"/>
                <w:highlight w:val="none"/>
                <w:lang w:val="en-US" w:eastAsia="zh-CN"/>
              </w:rPr>
              <w:t>科学、具体、一般可行</w:t>
            </w:r>
            <w:r>
              <w:rPr>
                <w:rFonts w:hint="eastAsia" w:ascii="宋体" w:hAnsi="宋体" w:eastAsia="宋体" w:cs="宋体"/>
                <w:color w:val="auto"/>
                <w:sz w:val="24"/>
                <w:szCs w:val="24"/>
                <w:highlight w:val="none"/>
                <w:lang w:eastAsia="zh-CN"/>
              </w:rPr>
              <w:t>有效</w:t>
            </w:r>
            <w:r>
              <w:rPr>
                <w:rFonts w:hint="eastAsia" w:ascii="宋体" w:hAnsi="宋体" w:eastAsia="宋体" w:cs="宋体"/>
                <w:b/>
                <w:bCs/>
                <w:color w:val="auto"/>
                <w:sz w:val="24"/>
                <w:szCs w:val="24"/>
                <w:highlight w:val="none"/>
                <w:lang w:val="en-US" w:eastAsia="zh-CN"/>
              </w:rPr>
              <w:t>得4</w:t>
            </w:r>
            <w:r>
              <w:rPr>
                <w:rFonts w:hint="eastAsia" w:ascii="宋体" w:hAnsi="宋体" w:cs="宋体"/>
                <w:b/>
                <w:bCs/>
                <w:color w:val="auto"/>
                <w:sz w:val="24"/>
                <w:szCs w:val="24"/>
                <w:highlight w:val="none"/>
                <w:lang w:val="en-US" w:eastAsia="zh-CN"/>
              </w:rPr>
              <w:t>-2.1</w:t>
            </w:r>
            <w:r>
              <w:rPr>
                <w:rFonts w:hint="eastAsia" w:ascii="宋体" w:hAnsi="宋体" w:eastAsia="宋体" w:cs="宋体"/>
                <w:b/>
                <w:bCs/>
                <w:color w:val="auto"/>
                <w:sz w:val="24"/>
                <w:szCs w:val="24"/>
                <w:highlight w:val="none"/>
                <w:lang w:val="en-US" w:eastAsia="zh-CN"/>
              </w:rPr>
              <w:t>分；</w:t>
            </w:r>
          </w:p>
          <w:p w14:paraId="241F8EAD">
            <w:pPr>
              <w:pStyle w:val="9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针</w:t>
            </w:r>
            <w:r>
              <w:rPr>
                <w:rFonts w:hint="eastAsia" w:ascii="宋体" w:hAnsi="宋体" w:eastAsia="宋体" w:cs="宋体"/>
                <w:color w:val="auto"/>
                <w:sz w:val="24"/>
                <w:szCs w:val="24"/>
                <w:highlight w:val="none"/>
                <w:lang w:eastAsia="zh-CN"/>
              </w:rPr>
              <w:t>对本项目投标人提供的质量保证措施简单</w:t>
            </w:r>
            <w:r>
              <w:rPr>
                <w:rFonts w:hint="eastAsia" w:ascii="宋体" w:hAnsi="宋体" w:eastAsia="宋体" w:cs="宋体"/>
                <w:b/>
                <w:bCs/>
                <w:color w:val="auto"/>
                <w:sz w:val="24"/>
                <w:szCs w:val="24"/>
                <w:highlight w:val="none"/>
                <w:lang w:eastAsia="zh-CN"/>
              </w:rPr>
              <w:t>得</w:t>
            </w:r>
            <w:r>
              <w:rPr>
                <w:rFonts w:hint="eastAsia" w:ascii="宋体" w:hAnsi="宋体" w:eastAsia="宋体" w:cs="宋体"/>
                <w:b/>
                <w:bCs/>
                <w:color w:val="auto"/>
                <w:sz w:val="24"/>
                <w:szCs w:val="24"/>
                <w:highlight w:val="none"/>
                <w:lang w:val="en-US" w:eastAsia="zh-CN"/>
              </w:rPr>
              <w:t>2</w:t>
            </w:r>
            <w:r>
              <w:rPr>
                <w:rFonts w:hint="eastAsia" w:ascii="宋体" w:hAnsi="宋体" w:cs="宋体"/>
                <w:b/>
                <w:bCs/>
                <w:color w:val="auto"/>
                <w:sz w:val="24"/>
                <w:szCs w:val="24"/>
                <w:highlight w:val="none"/>
                <w:lang w:val="en-US" w:eastAsia="zh-CN"/>
              </w:rPr>
              <w:t>-0.1</w:t>
            </w:r>
            <w:r>
              <w:rPr>
                <w:rFonts w:hint="eastAsia" w:ascii="宋体" w:hAnsi="宋体" w:eastAsia="宋体" w:cs="宋体"/>
                <w:b/>
                <w:bCs/>
                <w:color w:val="auto"/>
                <w:sz w:val="24"/>
                <w:szCs w:val="24"/>
                <w:highlight w:val="none"/>
                <w:lang w:val="en-US" w:eastAsia="zh-CN"/>
              </w:rPr>
              <w:t>分；</w:t>
            </w:r>
          </w:p>
          <w:p w14:paraId="1B0674C6">
            <w:pPr>
              <w:pStyle w:val="94"/>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val="0"/>
                <w:color w:val="000000" w:themeColor="text1"/>
                <w:sz w:val="24"/>
                <w:szCs w:val="24"/>
                <w:highlight w:val="none"/>
                <w14:textFill>
                  <w14:solidFill>
                    <w14:schemeClr w14:val="tx1"/>
                  </w14:solidFill>
                </w14:textFill>
              </w:rPr>
              <w:t>无此项内容不得分</w:t>
            </w:r>
            <w:r>
              <w:rPr>
                <w:rFonts w:hint="eastAsia" w:ascii="宋体" w:hAnsi="宋体" w:eastAsia="宋体" w:cs="宋体"/>
                <w:b/>
                <w:bCs/>
                <w:color w:val="auto"/>
                <w:sz w:val="24"/>
                <w:szCs w:val="24"/>
                <w:highlight w:val="none"/>
                <w:lang w:val="en-US" w:eastAsia="zh-CN"/>
              </w:rPr>
              <w:t>。</w:t>
            </w:r>
          </w:p>
        </w:tc>
      </w:tr>
      <w:tr w14:paraId="6A1FB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2" w:hRule="atLeast"/>
        </w:trPr>
        <w:tc>
          <w:tcPr>
            <w:tcW w:w="752"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731321B1">
            <w:pPr>
              <w:pStyle w:val="9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highlight w:val="none"/>
              </w:rPr>
            </w:pPr>
          </w:p>
        </w:tc>
        <w:tc>
          <w:tcPr>
            <w:tcW w:w="1245"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0F31A9A0">
            <w:pPr>
              <w:pStyle w:val="9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highlight w:val="none"/>
              </w:rPr>
            </w:pPr>
          </w:p>
        </w:tc>
        <w:tc>
          <w:tcPr>
            <w:tcW w:w="1394" w:type="dxa"/>
            <w:tcBorders>
              <w:left w:val="single" w:color="auto" w:sz="4" w:space="0"/>
              <w:right w:val="single" w:color="auto" w:sz="4" w:space="0"/>
            </w:tcBorders>
            <w:tcMar>
              <w:top w:w="0" w:type="dxa"/>
              <w:left w:w="108" w:type="dxa"/>
              <w:bottom w:w="0" w:type="dxa"/>
              <w:right w:w="108" w:type="dxa"/>
            </w:tcMar>
            <w:vAlign w:val="center"/>
          </w:tcPr>
          <w:p w14:paraId="54A4E9E1">
            <w:pPr>
              <w:keepNext w:val="0"/>
              <w:keepLines w:val="0"/>
              <w:pageBreakBefore w:val="0"/>
              <w:widowControl/>
              <w:suppressLineNumbers w:val="0"/>
              <w:kinsoku/>
              <w:wordWrap/>
              <w:overflowPunct/>
              <w:topLinePunct w:val="0"/>
              <w:autoSpaceDE/>
              <w:autoSpaceDN/>
              <w:bidi w:val="0"/>
              <w:spacing w:before="0" w:beforeAutospacing="0" w:after="0" w:afterAutospacing="0" w:line="300" w:lineRule="exact"/>
              <w:ind w:left="0" w:leftChars="0" w:right="0" w:rightChars="0"/>
              <w:jc w:val="center"/>
              <w:textAlignment w:val="auto"/>
              <w:rPr>
                <w:rFonts w:hint="eastAsia" w:ascii="宋体" w:hAnsi="宋体" w:eastAsia="宋体" w:cs="宋体"/>
                <w:highlight w:val="none"/>
                <w:lang w:val="en-US" w:eastAsia="zh-CN"/>
              </w:rPr>
            </w:pPr>
            <w:r>
              <w:rPr>
                <w:rFonts w:hint="eastAsia" w:ascii="宋体" w:hAnsi="宋体" w:eastAsia="宋体" w:cs="宋体"/>
                <w:color w:val="auto"/>
                <w:sz w:val="24"/>
                <w:szCs w:val="24"/>
                <w:highlight w:val="none"/>
                <w:lang w:eastAsia="zh-CN"/>
              </w:rPr>
              <w:t>进度计划</w:t>
            </w:r>
            <w:r>
              <w:rPr>
                <w:rFonts w:hint="eastAsia" w:ascii="宋体" w:hAnsi="宋体" w:eastAsia="宋体" w:cs="宋体"/>
                <w:color w:val="auto"/>
                <w:sz w:val="24"/>
                <w:szCs w:val="24"/>
                <w:highlight w:val="none"/>
                <w:lang w:val="en-US" w:eastAsia="zh-CN"/>
              </w:rPr>
              <w:t>12分</w:t>
            </w:r>
          </w:p>
        </w:tc>
        <w:tc>
          <w:tcPr>
            <w:tcW w:w="49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030193E">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投标人</w:t>
            </w:r>
            <w:r>
              <w:rPr>
                <w:rFonts w:hint="eastAsia" w:ascii="宋体" w:hAnsi="宋体" w:eastAsia="宋体" w:cs="宋体"/>
                <w:sz w:val="24"/>
                <w:highlight w:val="none"/>
              </w:rPr>
              <w:t>针对本项目</w:t>
            </w:r>
            <w:r>
              <w:rPr>
                <w:rFonts w:hint="eastAsia" w:ascii="宋体" w:hAnsi="宋体" w:eastAsia="宋体" w:cs="宋体"/>
                <w:color w:val="auto"/>
                <w:sz w:val="24"/>
                <w:szCs w:val="24"/>
                <w:highlight w:val="none"/>
                <w:lang w:eastAsia="zh-CN"/>
              </w:rPr>
              <w:t>技术服务提供有完善的流程规范、技术服务进度计划方案、合理的</w:t>
            </w:r>
            <w:r>
              <w:rPr>
                <w:rFonts w:hint="eastAsia" w:ascii="宋体" w:hAnsi="宋体" w:eastAsia="宋体" w:cs="宋体"/>
                <w:color w:val="auto"/>
                <w:kern w:val="1"/>
                <w:sz w:val="24"/>
                <w:szCs w:val="24"/>
                <w:highlight w:val="none"/>
              </w:rPr>
              <w:t>项目实施时间安排</w:t>
            </w:r>
            <w:r>
              <w:rPr>
                <w:rFonts w:hint="eastAsia" w:ascii="宋体" w:hAnsi="宋体" w:eastAsia="宋体" w:cs="宋体"/>
                <w:color w:val="auto"/>
                <w:kern w:val="1"/>
                <w:sz w:val="24"/>
                <w:szCs w:val="24"/>
                <w:highlight w:val="none"/>
                <w:lang w:eastAsia="zh-CN"/>
              </w:rPr>
              <w:t>及</w:t>
            </w:r>
            <w:r>
              <w:rPr>
                <w:rFonts w:hint="eastAsia" w:ascii="宋体" w:hAnsi="宋体" w:eastAsia="宋体" w:cs="宋体"/>
                <w:color w:val="auto"/>
                <w:kern w:val="1"/>
                <w:sz w:val="24"/>
                <w:szCs w:val="24"/>
                <w:highlight w:val="none"/>
              </w:rPr>
              <w:t>人员安排</w:t>
            </w:r>
            <w:r>
              <w:rPr>
                <w:rFonts w:hint="eastAsia" w:ascii="宋体" w:hAnsi="宋体" w:eastAsia="宋体" w:cs="宋体"/>
                <w:color w:val="auto"/>
                <w:kern w:val="1"/>
                <w:sz w:val="24"/>
                <w:szCs w:val="24"/>
                <w:highlight w:val="none"/>
                <w:lang w:eastAsia="zh-CN"/>
              </w:rPr>
              <w:t>，合理的</w:t>
            </w:r>
            <w:r>
              <w:rPr>
                <w:rFonts w:hint="eastAsia" w:ascii="宋体" w:hAnsi="宋体" w:eastAsia="宋体" w:cs="宋体"/>
                <w:color w:val="auto"/>
                <w:kern w:val="1"/>
                <w:sz w:val="24"/>
                <w:szCs w:val="24"/>
                <w:highlight w:val="none"/>
              </w:rPr>
              <w:t>内部质控机制</w:t>
            </w:r>
            <w:r>
              <w:rPr>
                <w:rFonts w:hint="eastAsia" w:ascii="宋体" w:hAnsi="宋体" w:eastAsia="宋体" w:cs="宋体"/>
                <w:b/>
                <w:bCs/>
                <w:color w:val="auto"/>
                <w:sz w:val="24"/>
                <w:szCs w:val="24"/>
                <w:highlight w:val="none"/>
                <w:lang w:eastAsia="zh-CN"/>
              </w:rPr>
              <w:t>得</w:t>
            </w:r>
            <w:r>
              <w:rPr>
                <w:rFonts w:hint="eastAsia" w:ascii="宋体" w:hAnsi="宋体" w:eastAsia="宋体" w:cs="宋体"/>
                <w:b/>
                <w:bCs/>
                <w:color w:val="auto"/>
                <w:sz w:val="24"/>
                <w:szCs w:val="24"/>
                <w:highlight w:val="none"/>
                <w:lang w:val="en-US" w:eastAsia="zh-CN"/>
              </w:rPr>
              <w:t>12</w:t>
            </w:r>
            <w:r>
              <w:rPr>
                <w:rFonts w:hint="eastAsia" w:ascii="宋体" w:hAnsi="宋体" w:cs="宋体"/>
                <w:b/>
                <w:bCs/>
                <w:color w:val="auto"/>
                <w:sz w:val="24"/>
                <w:szCs w:val="24"/>
                <w:highlight w:val="none"/>
                <w:lang w:val="en-US" w:eastAsia="zh-CN"/>
              </w:rPr>
              <w:t>-8.1</w:t>
            </w:r>
            <w:r>
              <w:rPr>
                <w:rFonts w:hint="eastAsia" w:ascii="宋体" w:hAnsi="宋体" w:eastAsia="宋体" w:cs="宋体"/>
                <w:b/>
                <w:bCs/>
                <w:color w:val="auto"/>
                <w:sz w:val="24"/>
                <w:szCs w:val="24"/>
                <w:highlight w:val="none"/>
                <w:lang w:val="en-US" w:eastAsia="zh-CN"/>
              </w:rPr>
              <w:t>分，</w:t>
            </w:r>
          </w:p>
          <w:p w14:paraId="1B277984">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投</w:t>
            </w:r>
            <w:r>
              <w:rPr>
                <w:rFonts w:hint="eastAsia" w:ascii="宋体" w:hAnsi="宋体" w:eastAsia="宋体" w:cs="宋体"/>
                <w:color w:val="auto"/>
                <w:sz w:val="24"/>
                <w:szCs w:val="24"/>
                <w:highlight w:val="none"/>
                <w:lang w:eastAsia="zh-CN"/>
              </w:rPr>
              <w:t>标人</w:t>
            </w:r>
            <w:r>
              <w:rPr>
                <w:rFonts w:hint="eastAsia" w:ascii="宋体" w:hAnsi="宋体" w:eastAsia="宋体" w:cs="宋体"/>
                <w:sz w:val="24"/>
                <w:highlight w:val="none"/>
              </w:rPr>
              <w:t>针对本项目</w:t>
            </w:r>
            <w:r>
              <w:rPr>
                <w:rFonts w:hint="eastAsia" w:ascii="宋体" w:hAnsi="宋体" w:eastAsia="宋体" w:cs="宋体"/>
                <w:color w:val="auto"/>
                <w:sz w:val="24"/>
                <w:szCs w:val="24"/>
                <w:highlight w:val="none"/>
                <w:lang w:eastAsia="zh-CN"/>
              </w:rPr>
              <w:t>技术服务提供有较完善的流程规范、技术服务进度计划方案、较合理的</w:t>
            </w:r>
            <w:r>
              <w:rPr>
                <w:rFonts w:hint="eastAsia" w:ascii="宋体" w:hAnsi="宋体" w:eastAsia="宋体" w:cs="宋体"/>
                <w:color w:val="auto"/>
                <w:kern w:val="1"/>
                <w:sz w:val="24"/>
                <w:szCs w:val="24"/>
                <w:highlight w:val="none"/>
              </w:rPr>
              <w:t>项目实施时间安排</w:t>
            </w:r>
            <w:r>
              <w:rPr>
                <w:rFonts w:hint="eastAsia" w:ascii="宋体" w:hAnsi="宋体" w:eastAsia="宋体" w:cs="宋体"/>
                <w:color w:val="auto"/>
                <w:kern w:val="1"/>
                <w:sz w:val="24"/>
                <w:szCs w:val="24"/>
                <w:highlight w:val="none"/>
                <w:lang w:eastAsia="zh-CN"/>
              </w:rPr>
              <w:t>及</w:t>
            </w:r>
            <w:r>
              <w:rPr>
                <w:rFonts w:hint="eastAsia" w:ascii="宋体" w:hAnsi="宋体" w:eastAsia="宋体" w:cs="宋体"/>
                <w:color w:val="auto"/>
                <w:kern w:val="1"/>
                <w:sz w:val="24"/>
                <w:szCs w:val="24"/>
                <w:highlight w:val="none"/>
              </w:rPr>
              <w:t>人员安排</w:t>
            </w:r>
            <w:r>
              <w:rPr>
                <w:rFonts w:hint="eastAsia" w:ascii="宋体" w:hAnsi="宋体" w:eastAsia="宋体" w:cs="宋体"/>
                <w:color w:val="auto"/>
                <w:kern w:val="1"/>
                <w:sz w:val="24"/>
                <w:szCs w:val="24"/>
                <w:highlight w:val="none"/>
                <w:lang w:eastAsia="zh-CN"/>
              </w:rPr>
              <w:t>，较合理的</w:t>
            </w:r>
            <w:r>
              <w:rPr>
                <w:rFonts w:hint="eastAsia" w:ascii="宋体" w:hAnsi="宋体" w:eastAsia="宋体" w:cs="宋体"/>
                <w:color w:val="auto"/>
                <w:kern w:val="1"/>
                <w:sz w:val="24"/>
                <w:szCs w:val="24"/>
                <w:highlight w:val="none"/>
              </w:rPr>
              <w:t>内部质控机制</w:t>
            </w:r>
            <w:r>
              <w:rPr>
                <w:rFonts w:hint="eastAsia" w:ascii="宋体" w:hAnsi="宋体" w:eastAsia="宋体" w:cs="宋体"/>
                <w:b/>
                <w:bCs/>
                <w:color w:val="auto"/>
                <w:sz w:val="24"/>
                <w:szCs w:val="24"/>
                <w:highlight w:val="none"/>
                <w:lang w:val="en-US" w:eastAsia="zh-CN"/>
              </w:rPr>
              <w:t>得8</w:t>
            </w:r>
            <w:r>
              <w:rPr>
                <w:rFonts w:hint="eastAsia" w:ascii="宋体" w:hAnsi="宋体" w:cs="宋体"/>
                <w:b/>
                <w:bCs/>
                <w:color w:val="auto"/>
                <w:sz w:val="24"/>
                <w:szCs w:val="24"/>
                <w:highlight w:val="none"/>
                <w:lang w:val="en-US" w:eastAsia="zh-CN"/>
              </w:rPr>
              <w:t>-4.1</w:t>
            </w:r>
            <w:r>
              <w:rPr>
                <w:rFonts w:hint="eastAsia" w:ascii="宋体" w:hAnsi="宋体" w:eastAsia="宋体" w:cs="宋体"/>
                <w:b/>
                <w:bCs/>
                <w:color w:val="auto"/>
                <w:sz w:val="24"/>
                <w:szCs w:val="24"/>
                <w:highlight w:val="none"/>
                <w:lang w:val="en-US" w:eastAsia="zh-CN"/>
              </w:rPr>
              <w:t>分，</w:t>
            </w:r>
          </w:p>
          <w:p w14:paraId="6A45DCB0">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投</w:t>
            </w:r>
            <w:r>
              <w:rPr>
                <w:rFonts w:hint="eastAsia" w:ascii="宋体" w:hAnsi="宋体" w:eastAsia="宋体" w:cs="宋体"/>
                <w:color w:val="auto"/>
                <w:sz w:val="24"/>
                <w:szCs w:val="24"/>
                <w:highlight w:val="none"/>
                <w:lang w:eastAsia="zh-CN"/>
              </w:rPr>
              <w:t>标人</w:t>
            </w:r>
            <w:r>
              <w:rPr>
                <w:rFonts w:hint="eastAsia" w:ascii="宋体" w:hAnsi="宋体" w:eastAsia="宋体" w:cs="宋体"/>
                <w:sz w:val="24"/>
                <w:highlight w:val="none"/>
              </w:rPr>
              <w:t>针对本项目</w:t>
            </w:r>
            <w:r>
              <w:rPr>
                <w:rFonts w:hint="eastAsia" w:ascii="宋体" w:hAnsi="宋体" w:eastAsia="宋体" w:cs="宋体"/>
                <w:color w:val="auto"/>
                <w:sz w:val="24"/>
                <w:szCs w:val="24"/>
                <w:highlight w:val="none"/>
                <w:lang w:eastAsia="zh-CN"/>
              </w:rPr>
              <w:t>技术服务提供一般的流程规范、技术服务进度计划方案、基本合理的</w:t>
            </w:r>
            <w:r>
              <w:rPr>
                <w:rFonts w:hint="eastAsia" w:ascii="宋体" w:hAnsi="宋体" w:eastAsia="宋体" w:cs="宋体"/>
                <w:color w:val="auto"/>
                <w:kern w:val="1"/>
                <w:sz w:val="24"/>
                <w:szCs w:val="24"/>
                <w:highlight w:val="none"/>
              </w:rPr>
              <w:t>项目实施时间安排</w:t>
            </w:r>
            <w:r>
              <w:rPr>
                <w:rFonts w:hint="eastAsia" w:ascii="宋体" w:hAnsi="宋体" w:eastAsia="宋体" w:cs="宋体"/>
                <w:color w:val="auto"/>
                <w:kern w:val="1"/>
                <w:sz w:val="24"/>
                <w:szCs w:val="24"/>
                <w:highlight w:val="none"/>
                <w:lang w:eastAsia="zh-CN"/>
              </w:rPr>
              <w:t>及</w:t>
            </w:r>
            <w:r>
              <w:rPr>
                <w:rFonts w:hint="eastAsia" w:ascii="宋体" w:hAnsi="宋体" w:eastAsia="宋体" w:cs="宋体"/>
                <w:color w:val="auto"/>
                <w:kern w:val="1"/>
                <w:sz w:val="24"/>
                <w:szCs w:val="24"/>
                <w:highlight w:val="none"/>
              </w:rPr>
              <w:t>人员安排</w:t>
            </w:r>
            <w:r>
              <w:rPr>
                <w:rFonts w:hint="eastAsia" w:ascii="宋体" w:hAnsi="宋体" w:eastAsia="宋体" w:cs="宋体"/>
                <w:color w:val="auto"/>
                <w:kern w:val="1"/>
                <w:sz w:val="24"/>
                <w:szCs w:val="24"/>
                <w:highlight w:val="none"/>
                <w:lang w:eastAsia="zh-CN"/>
              </w:rPr>
              <w:t>，基本合理的</w:t>
            </w:r>
            <w:r>
              <w:rPr>
                <w:rFonts w:hint="eastAsia" w:ascii="宋体" w:hAnsi="宋体" w:eastAsia="宋体" w:cs="宋体"/>
                <w:color w:val="auto"/>
                <w:kern w:val="1"/>
                <w:sz w:val="24"/>
                <w:szCs w:val="24"/>
                <w:highlight w:val="none"/>
              </w:rPr>
              <w:t>内部质控机制</w:t>
            </w:r>
            <w:r>
              <w:rPr>
                <w:rFonts w:hint="eastAsia" w:ascii="宋体" w:hAnsi="宋体" w:eastAsia="宋体" w:cs="宋体"/>
                <w:b/>
                <w:bCs/>
                <w:color w:val="auto"/>
                <w:sz w:val="24"/>
                <w:szCs w:val="24"/>
                <w:highlight w:val="none"/>
                <w:lang w:val="en-US" w:eastAsia="zh-CN"/>
              </w:rPr>
              <w:t>得4</w:t>
            </w:r>
            <w:r>
              <w:rPr>
                <w:rFonts w:hint="eastAsia" w:ascii="宋体" w:hAnsi="宋体" w:cs="宋体"/>
                <w:b/>
                <w:bCs/>
                <w:color w:val="auto"/>
                <w:sz w:val="24"/>
                <w:szCs w:val="24"/>
                <w:highlight w:val="none"/>
                <w:lang w:val="en-US" w:eastAsia="zh-CN"/>
              </w:rPr>
              <w:t>-2.1</w:t>
            </w:r>
            <w:r>
              <w:rPr>
                <w:rFonts w:hint="eastAsia" w:ascii="宋体" w:hAnsi="宋体" w:eastAsia="宋体" w:cs="宋体"/>
                <w:b/>
                <w:bCs/>
                <w:color w:val="auto"/>
                <w:sz w:val="24"/>
                <w:szCs w:val="24"/>
                <w:highlight w:val="none"/>
                <w:lang w:val="en-US" w:eastAsia="zh-CN"/>
              </w:rPr>
              <w:t>分，</w:t>
            </w:r>
          </w:p>
          <w:p w14:paraId="177AE6D8">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投</w:t>
            </w:r>
            <w:r>
              <w:rPr>
                <w:rFonts w:hint="eastAsia" w:ascii="宋体" w:hAnsi="宋体" w:eastAsia="宋体" w:cs="宋体"/>
                <w:color w:val="auto"/>
                <w:sz w:val="24"/>
                <w:szCs w:val="24"/>
                <w:highlight w:val="none"/>
                <w:lang w:eastAsia="zh-CN"/>
              </w:rPr>
              <w:t>标人</w:t>
            </w:r>
            <w:r>
              <w:rPr>
                <w:rFonts w:hint="eastAsia" w:ascii="宋体" w:hAnsi="宋体" w:eastAsia="宋体" w:cs="宋体"/>
                <w:sz w:val="24"/>
                <w:highlight w:val="none"/>
              </w:rPr>
              <w:t>针对本项目</w:t>
            </w:r>
            <w:r>
              <w:rPr>
                <w:rFonts w:hint="eastAsia" w:ascii="宋体" w:hAnsi="宋体" w:eastAsia="宋体" w:cs="宋体"/>
                <w:color w:val="auto"/>
                <w:sz w:val="24"/>
                <w:szCs w:val="24"/>
                <w:highlight w:val="none"/>
                <w:lang w:eastAsia="zh-CN"/>
              </w:rPr>
              <w:t>技术服务提供简单的流程规范、技术服务进度计划方案、简单的</w:t>
            </w:r>
            <w:r>
              <w:rPr>
                <w:rFonts w:hint="eastAsia" w:ascii="宋体" w:hAnsi="宋体" w:eastAsia="宋体" w:cs="宋体"/>
                <w:color w:val="auto"/>
                <w:kern w:val="1"/>
                <w:sz w:val="24"/>
                <w:szCs w:val="24"/>
                <w:highlight w:val="none"/>
              </w:rPr>
              <w:t>项目实施时间安排</w:t>
            </w:r>
            <w:r>
              <w:rPr>
                <w:rFonts w:hint="eastAsia" w:ascii="宋体" w:hAnsi="宋体" w:eastAsia="宋体" w:cs="宋体"/>
                <w:color w:val="auto"/>
                <w:kern w:val="1"/>
                <w:sz w:val="24"/>
                <w:szCs w:val="24"/>
                <w:highlight w:val="none"/>
                <w:lang w:eastAsia="zh-CN"/>
              </w:rPr>
              <w:t>及</w:t>
            </w:r>
            <w:r>
              <w:rPr>
                <w:rFonts w:hint="eastAsia" w:ascii="宋体" w:hAnsi="宋体" w:eastAsia="宋体" w:cs="宋体"/>
                <w:color w:val="auto"/>
                <w:kern w:val="1"/>
                <w:sz w:val="24"/>
                <w:szCs w:val="24"/>
                <w:highlight w:val="none"/>
              </w:rPr>
              <w:t>人员安排</w:t>
            </w:r>
            <w:r>
              <w:rPr>
                <w:rFonts w:hint="eastAsia" w:ascii="宋体" w:hAnsi="宋体" w:eastAsia="宋体" w:cs="宋体"/>
                <w:color w:val="auto"/>
                <w:kern w:val="1"/>
                <w:sz w:val="24"/>
                <w:szCs w:val="24"/>
                <w:highlight w:val="none"/>
                <w:lang w:eastAsia="zh-CN"/>
              </w:rPr>
              <w:t>，简单的</w:t>
            </w:r>
            <w:r>
              <w:rPr>
                <w:rFonts w:hint="eastAsia" w:ascii="宋体" w:hAnsi="宋体" w:eastAsia="宋体" w:cs="宋体"/>
                <w:color w:val="auto"/>
                <w:kern w:val="1"/>
                <w:sz w:val="24"/>
                <w:szCs w:val="24"/>
                <w:highlight w:val="none"/>
              </w:rPr>
              <w:t>内部质控机制</w:t>
            </w:r>
            <w:r>
              <w:rPr>
                <w:rFonts w:hint="eastAsia" w:ascii="宋体" w:hAnsi="宋体" w:eastAsia="宋体" w:cs="宋体"/>
                <w:b/>
                <w:bCs/>
                <w:color w:val="auto"/>
                <w:sz w:val="24"/>
                <w:szCs w:val="24"/>
                <w:highlight w:val="none"/>
                <w:lang w:val="en-US" w:eastAsia="zh-CN"/>
              </w:rPr>
              <w:t>得2</w:t>
            </w:r>
            <w:r>
              <w:rPr>
                <w:rFonts w:hint="eastAsia" w:ascii="宋体" w:hAnsi="宋体" w:cs="宋体"/>
                <w:b/>
                <w:bCs/>
                <w:color w:val="auto"/>
                <w:sz w:val="24"/>
                <w:szCs w:val="24"/>
                <w:highlight w:val="none"/>
                <w:lang w:val="en-US" w:eastAsia="zh-CN"/>
              </w:rPr>
              <w:t>-0.1</w:t>
            </w:r>
            <w:r>
              <w:rPr>
                <w:rFonts w:hint="eastAsia" w:ascii="宋体" w:hAnsi="宋体" w:eastAsia="宋体" w:cs="宋体"/>
                <w:b/>
                <w:bCs/>
                <w:color w:val="auto"/>
                <w:sz w:val="24"/>
                <w:szCs w:val="24"/>
                <w:highlight w:val="none"/>
                <w:lang w:val="en-US" w:eastAsia="zh-CN"/>
              </w:rPr>
              <w:t>分；</w:t>
            </w:r>
          </w:p>
          <w:p w14:paraId="0C60E1C6">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val="0"/>
                <w:color w:val="000000" w:themeColor="text1"/>
                <w:sz w:val="24"/>
                <w:szCs w:val="24"/>
                <w:highlight w:val="none"/>
                <w14:textFill>
                  <w14:solidFill>
                    <w14:schemeClr w14:val="tx1"/>
                  </w14:solidFill>
                </w14:textFill>
              </w:rPr>
              <w:t>无此项内容不得分</w:t>
            </w:r>
            <w:r>
              <w:rPr>
                <w:rFonts w:hint="eastAsia" w:ascii="宋体" w:hAnsi="宋体" w:eastAsia="宋体" w:cs="宋体"/>
                <w:b/>
                <w:bCs/>
                <w:color w:val="auto"/>
                <w:sz w:val="24"/>
                <w:szCs w:val="24"/>
                <w:highlight w:val="none"/>
                <w:lang w:val="en-US" w:eastAsia="zh-CN"/>
              </w:rPr>
              <w:t>。</w:t>
            </w:r>
          </w:p>
        </w:tc>
      </w:tr>
      <w:tr w14:paraId="7D4CF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5" w:hRule="atLeast"/>
        </w:trPr>
        <w:tc>
          <w:tcPr>
            <w:tcW w:w="752"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03593990">
            <w:pPr>
              <w:pStyle w:val="9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highlight w:val="none"/>
              </w:rPr>
            </w:pPr>
          </w:p>
        </w:tc>
        <w:tc>
          <w:tcPr>
            <w:tcW w:w="1245"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2BBBCE92">
            <w:pPr>
              <w:pStyle w:val="9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highlight w:val="none"/>
              </w:rPr>
            </w:pPr>
          </w:p>
        </w:tc>
        <w:tc>
          <w:tcPr>
            <w:tcW w:w="1394" w:type="dxa"/>
            <w:tcBorders>
              <w:left w:val="single" w:color="auto" w:sz="4" w:space="0"/>
              <w:right w:val="single" w:color="auto" w:sz="4" w:space="0"/>
            </w:tcBorders>
            <w:tcMar>
              <w:top w:w="0" w:type="dxa"/>
              <w:left w:w="108" w:type="dxa"/>
              <w:bottom w:w="0" w:type="dxa"/>
              <w:right w:w="108" w:type="dxa"/>
            </w:tcMar>
            <w:vAlign w:val="center"/>
          </w:tcPr>
          <w:p w14:paraId="31C732CC">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对项目实施过程中的关键点分析及解决方案</w:t>
            </w:r>
          </w:p>
          <w:p w14:paraId="0D1F00A4">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leftChars="0" w:right="0" w:right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12分</w:t>
            </w:r>
          </w:p>
        </w:tc>
        <w:tc>
          <w:tcPr>
            <w:tcW w:w="49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AB1E589">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投标人针对本项目咨询服务过程中的关键点分析及解决方案</w:t>
            </w:r>
            <w:r>
              <w:rPr>
                <w:rFonts w:hint="eastAsia" w:ascii="宋体" w:hAnsi="宋体" w:eastAsia="宋体" w:cs="宋体"/>
                <w:sz w:val="24"/>
                <w:szCs w:val="24"/>
                <w:highlight w:val="none"/>
                <w:lang w:eastAsia="zh-CN"/>
              </w:rPr>
              <w:t>内容进行评分：</w:t>
            </w:r>
          </w:p>
          <w:p w14:paraId="5E5EAB74">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t>关键点分析透彻，解决方案</w:t>
            </w:r>
            <w:r>
              <w:rPr>
                <w:rFonts w:hint="eastAsia" w:ascii="宋体" w:hAnsi="宋体" w:eastAsia="宋体" w:cs="宋体"/>
                <w:b w:val="0"/>
                <w:bCs w:val="0"/>
                <w:sz w:val="24"/>
                <w:szCs w:val="24"/>
                <w:highlight w:val="none"/>
                <w:lang w:eastAsia="zh-CN"/>
              </w:rPr>
              <w:t>具有全面</w:t>
            </w:r>
            <w:r>
              <w:rPr>
                <w:rFonts w:hint="eastAsia" w:ascii="宋体" w:hAnsi="宋体" w:eastAsia="宋体" w:cs="宋体"/>
                <w:b w:val="0"/>
                <w:bCs w:val="0"/>
                <w:sz w:val="24"/>
                <w:szCs w:val="24"/>
                <w:highlight w:val="none"/>
              </w:rPr>
              <w:t>有效性、可</w:t>
            </w:r>
            <w:r>
              <w:rPr>
                <w:rFonts w:hint="eastAsia" w:ascii="宋体" w:hAnsi="宋体" w:eastAsia="宋体" w:cs="宋体"/>
                <w:sz w:val="24"/>
                <w:szCs w:val="24"/>
                <w:highlight w:val="none"/>
              </w:rPr>
              <w:t>操作性</w:t>
            </w:r>
            <w:r>
              <w:rPr>
                <w:rFonts w:hint="eastAsia" w:ascii="宋体" w:hAnsi="宋体" w:eastAsia="宋体" w:cs="宋体"/>
                <w:sz w:val="24"/>
                <w:szCs w:val="24"/>
                <w:highlight w:val="none"/>
                <w:lang w:eastAsia="zh-CN"/>
              </w:rPr>
              <w:t>强</w:t>
            </w:r>
            <w:r>
              <w:rPr>
                <w:rFonts w:hint="eastAsia" w:ascii="宋体" w:hAnsi="宋体" w:eastAsia="宋体" w:cs="宋体"/>
                <w:b/>
                <w:bCs/>
                <w:color w:val="auto"/>
                <w:sz w:val="24"/>
                <w:szCs w:val="24"/>
                <w:highlight w:val="none"/>
                <w:lang w:eastAsia="zh-CN"/>
              </w:rPr>
              <w:t>得</w:t>
            </w:r>
            <w:r>
              <w:rPr>
                <w:rFonts w:hint="eastAsia" w:ascii="宋体" w:hAnsi="宋体" w:eastAsia="宋体" w:cs="宋体"/>
                <w:b/>
                <w:bCs/>
                <w:color w:val="auto"/>
                <w:sz w:val="24"/>
                <w:szCs w:val="24"/>
                <w:highlight w:val="none"/>
                <w:lang w:val="en-US" w:eastAsia="zh-CN"/>
              </w:rPr>
              <w:t>12</w:t>
            </w:r>
            <w:r>
              <w:rPr>
                <w:rFonts w:hint="eastAsia" w:ascii="宋体" w:hAnsi="宋体" w:cs="宋体"/>
                <w:b/>
                <w:bCs/>
                <w:color w:val="auto"/>
                <w:sz w:val="24"/>
                <w:szCs w:val="24"/>
                <w:highlight w:val="none"/>
                <w:lang w:val="en-US" w:eastAsia="zh-CN"/>
              </w:rPr>
              <w:t>-8.1</w:t>
            </w:r>
            <w:r>
              <w:rPr>
                <w:rFonts w:hint="eastAsia" w:ascii="宋体" w:hAnsi="宋体" w:eastAsia="宋体" w:cs="宋体"/>
                <w:b/>
                <w:bCs/>
                <w:color w:val="auto"/>
                <w:sz w:val="24"/>
                <w:szCs w:val="24"/>
                <w:highlight w:val="none"/>
                <w:lang w:val="en-US" w:eastAsia="zh-CN"/>
              </w:rPr>
              <w:t>分；</w:t>
            </w:r>
          </w:p>
          <w:p w14:paraId="38FECD3A">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关</w:t>
            </w:r>
            <w:r>
              <w:rPr>
                <w:rFonts w:hint="eastAsia" w:ascii="宋体" w:hAnsi="宋体" w:eastAsia="宋体" w:cs="宋体"/>
                <w:sz w:val="24"/>
                <w:szCs w:val="24"/>
                <w:highlight w:val="none"/>
              </w:rPr>
              <w:t>键点分析</w:t>
            </w:r>
            <w:r>
              <w:rPr>
                <w:rFonts w:hint="eastAsia" w:ascii="宋体" w:hAnsi="宋体" w:eastAsia="宋体" w:cs="宋体"/>
                <w:sz w:val="24"/>
                <w:szCs w:val="24"/>
                <w:highlight w:val="none"/>
                <w:lang w:eastAsia="zh-CN"/>
              </w:rPr>
              <w:t>较</w:t>
            </w:r>
            <w:r>
              <w:rPr>
                <w:rFonts w:hint="eastAsia" w:ascii="宋体" w:hAnsi="宋体" w:eastAsia="宋体" w:cs="宋体"/>
                <w:sz w:val="24"/>
                <w:szCs w:val="24"/>
                <w:highlight w:val="none"/>
              </w:rPr>
              <w:t>透彻，解决方案</w:t>
            </w:r>
            <w:r>
              <w:rPr>
                <w:rFonts w:hint="eastAsia" w:ascii="宋体" w:hAnsi="宋体" w:eastAsia="宋体" w:cs="宋体"/>
                <w:sz w:val="24"/>
                <w:szCs w:val="24"/>
                <w:highlight w:val="none"/>
                <w:lang w:eastAsia="zh-CN"/>
              </w:rPr>
              <w:t>较为</w:t>
            </w:r>
            <w:r>
              <w:rPr>
                <w:rFonts w:hint="eastAsia" w:ascii="宋体" w:hAnsi="宋体" w:eastAsia="宋体" w:cs="宋体"/>
                <w:sz w:val="24"/>
                <w:szCs w:val="24"/>
                <w:highlight w:val="none"/>
              </w:rPr>
              <w:t>有效性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可操作性</w:t>
            </w:r>
            <w:r>
              <w:rPr>
                <w:rFonts w:hint="eastAsia" w:ascii="宋体" w:hAnsi="宋体" w:eastAsia="宋体" w:cs="宋体"/>
                <w:sz w:val="24"/>
                <w:szCs w:val="24"/>
                <w:highlight w:val="none"/>
                <w:lang w:eastAsia="zh-CN"/>
              </w:rPr>
              <w:t>较强</w:t>
            </w:r>
            <w:r>
              <w:rPr>
                <w:rFonts w:hint="eastAsia" w:ascii="宋体" w:hAnsi="宋体" w:eastAsia="宋体" w:cs="宋体"/>
                <w:b/>
                <w:bCs/>
                <w:color w:val="auto"/>
                <w:sz w:val="24"/>
                <w:szCs w:val="24"/>
                <w:highlight w:val="none"/>
                <w:lang w:val="en-US" w:eastAsia="zh-CN"/>
              </w:rPr>
              <w:t>得8</w:t>
            </w:r>
            <w:r>
              <w:rPr>
                <w:rFonts w:hint="eastAsia" w:ascii="宋体" w:hAnsi="宋体" w:cs="宋体"/>
                <w:b/>
                <w:bCs/>
                <w:color w:val="auto"/>
                <w:sz w:val="24"/>
                <w:szCs w:val="24"/>
                <w:highlight w:val="none"/>
                <w:lang w:val="en-US" w:eastAsia="zh-CN"/>
              </w:rPr>
              <w:t>-4.1</w:t>
            </w:r>
            <w:r>
              <w:rPr>
                <w:rFonts w:hint="eastAsia" w:ascii="宋体" w:hAnsi="宋体" w:eastAsia="宋体" w:cs="宋体"/>
                <w:b/>
                <w:bCs/>
                <w:color w:val="auto"/>
                <w:sz w:val="24"/>
                <w:szCs w:val="24"/>
                <w:highlight w:val="none"/>
                <w:lang w:val="en-US" w:eastAsia="zh-CN"/>
              </w:rPr>
              <w:t>分，</w:t>
            </w:r>
          </w:p>
          <w:p w14:paraId="712CC19B">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sz w:val="24"/>
                <w:szCs w:val="24"/>
                <w:highlight w:val="none"/>
                <w:lang w:eastAsia="zh-CN"/>
              </w:rPr>
              <w:t>一</w:t>
            </w:r>
            <w:r>
              <w:rPr>
                <w:rFonts w:hint="eastAsia" w:ascii="宋体" w:hAnsi="宋体" w:eastAsia="宋体" w:cs="宋体"/>
                <w:sz w:val="24"/>
                <w:szCs w:val="24"/>
                <w:highlight w:val="none"/>
                <w:lang w:eastAsia="zh-CN"/>
              </w:rPr>
              <w:t>般的</w:t>
            </w:r>
            <w:r>
              <w:rPr>
                <w:rFonts w:hint="eastAsia" w:ascii="宋体" w:hAnsi="宋体" w:eastAsia="宋体" w:cs="宋体"/>
                <w:sz w:val="24"/>
                <w:szCs w:val="24"/>
                <w:highlight w:val="none"/>
              </w:rPr>
              <w:t>关键点分析</w:t>
            </w:r>
            <w:r>
              <w:rPr>
                <w:rFonts w:hint="eastAsia" w:ascii="宋体" w:hAnsi="宋体" w:eastAsia="宋体" w:cs="宋体"/>
                <w:sz w:val="24"/>
                <w:szCs w:val="24"/>
                <w:highlight w:val="none"/>
                <w:lang w:eastAsia="zh-CN"/>
              </w:rPr>
              <w:t>及</w:t>
            </w:r>
            <w:r>
              <w:rPr>
                <w:rFonts w:hint="eastAsia" w:ascii="宋体" w:hAnsi="宋体" w:eastAsia="宋体" w:cs="宋体"/>
                <w:sz w:val="24"/>
                <w:szCs w:val="24"/>
                <w:highlight w:val="none"/>
              </w:rPr>
              <w:t>解决方案</w:t>
            </w:r>
            <w:r>
              <w:rPr>
                <w:rFonts w:hint="eastAsia" w:ascii="宋体" w:hAnsi="宋体" w:eastAsia="宋体" w:cs="宋体"/>
                <w:b/>
                <w:bCs/>
                <w:color w:val="auto"/>
                <w:sz w:val="24"/>
                <w:szCs w:val="24"/>
                <w:highlight w:val="none"/>
                <w:lang w:val="en-US" w:eastAsia="zh-CN"/>
              </w:rPr>
              <w:t>得4</w:t>
            </w:r>
            <w:r>
              <w:rPr>
                <w:rFonts w:hint="eastAsia" w:ascii="宋体" w:hAnsi="宋体" w:cs="宋体"/>
                <w:b/>
                <w:bCs/>
                <w:color w:val="auto"/>
                <w:sz w:val="24"/>
                <w:szCs w:val="24"/>
                <w:highlight w:val="none"/>
                <w:lang w:val="en-US" w:eastAsia="zh-CN"/>
              </w:rPr>
              <w:t>-2.1</w:t>
            </w:r>
            <w:r>
              <w:rPr>
                <w:rFonts w:hint="eastAsia" w:ascii="宋体" w:hAnsi="宋体" w:eastAsia="宋体" w:cs="宋体"/>
                <w:b/>
                <w:bCs/>
                <w:color w:val="auto"/>
                <w:sz w:val="24"/>
                <w:szCs w:val="24"/>
                <w:highlight w:val="none"/>
                <w:lang w:val="en-US" w:eastAsia="zh-CN"/>
              </w:rPr>
              <w:t>分；</w:t>
            </w:r>
          </w:p>
          <w:p w14:paraId="6A8E0D1F">
            <w:pPr>
              <w:pStyle w:val="35"/>
              <w:keepNext w:val="0"/>
              <w:keepLines w:val="0"/>
              <w:pageBreakBefore w:val="0"/>
              <w:suppressLineNumbers w:val="0"/>
              <w:kinsoku/>
              <w:wordWrap/>
              <w:overflowPunct/>
              <w:topLinePunct w:val="0"/>
              <w:autoSpaceDE/>
              <w:autoSpaceDN/>
              <w:bidi w:val="0"/>
              <w:spacing w:before="0" w:beforeAutospacing="0" w:afterAutospacing="0" w:line="360" w:lineRule="exact"/>
              <w:ind w:left="0" w:leftChars="0" w:right="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简单的</w:t>
            </w:r>
            <w:r>
              <w:rPr>
                <w:rFonts w:hint="eastAsia" w:ascii="宋体" w:hAnsi="宋体" w:eastAsia="宋体" w:cs="宋体"/>
                <w:sz w:val="24"/>
                <w:szCs w:val="24"/>
                <w:highlight w:val="none"/>
              </w:rPr>
              <w:t>关键点分析</w:t>
            </w:r>
            <w:r>
              <w:rPr>
                <w:rFonts w:hint="eastAsia" w:ascii="宋体" w:hAnsi="宋体" w:eastAsia="宋体" w:cs="宋体"/>
                <w:sz w:val="24"/>
                <w:szCs w:val="24"/>
                <w:highlight w:val="none"/>
                <w:lang w:eastAsia="zh-CN"/>
              </w:rPr>
              <w:t>及</w:t>
            </w:r>
            <w:r>
              <w:rPr>
                <w:rFonts w:hint="eastAsia" w:ascii="宋体" w:hAnsi="宋体" w:eastAsia="宋体" w:cs="宋体"/>
                <w:sz w:val="24"/>
                <w:szCs w:val="24"/>
                <w:highlight w:val="none"/>
              </w:rPr>
              <w:t>解决方案</w:t>
            </w:r>
            <w:r>
              <w:rPr>
                <w:rFonts w:hint="eastAsia" w:ascii="宋体" w:hAnsi="宋体" w:eastAsia="宋体" w:cs="宋体"/>
                <w:b/>
                <w:bCs/>
                <w:color w:val="auto"/>
                <w:sz w:val="24"/>
                <w:szCs w:val="24"/>
                <w:highlight w:val="none"/>
                <w:lang w:val="en-US" w:eastAsia="zh-CN"/>
              </w:rPr>
              <w:t>得2-0.1分；</w:t>
            </w:r>
          </w:p>
          <w:p w14:paraId="3DDC9BEA">
            <w:pPr>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leftChars="0" w:right="0" w:rightChars="0"/>
              <w:textAlignment w:val="auto"/>
              <w:rPr>
                <w:rFonts w:hint="eastAsia" w:ascii="宋体" w:hAnsi="宋体" w:eastAsia="宋体" w:cs="宋体"/>
                <w:sz w:val="24"/>
                <w:highlight w:val="none"/>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bCs w:val="0"/>
                <w:color w:val="000000" w:themeColor="text1"/>
                <w:sz w:val="24"/>
                <w:szCs w:val="24"/>
                <w:highlight w:val="none"/>
                <w14:textFill>
                  <w14:solidFill>
                    <w14:schemeClr w14:val="tx1"/>
                  </w14:solidFill>
                </w14:textFill>
              </w:rPr>
              <w:t>无此项内容不得分</w:t>
            </w:r>
            <w:r>
              <w:rPr>
                <w:rFonts w:hint="eastAsia" w:ascii="宋体" w:hAnsi="宋体" w:eastAsia="宋体" w:cs="宋体"/>
                <w:b/>
                <w:bCs/>
                <w:color w:val="auto"/>
                <w:sz w:val="24"/>
                <w:szCs w:val="24"/>
                <w:highlight w:val="none"/>
                <w:lang w:val="en-US" w:eastAsia="zh-CN"/>
              </w:rPr>
              <w:t>。</w:t>
            </w:r>
          </w:p>
        </w:tc>
      </w:tr>
      <w:tr w14:paraId="7783F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atLeast"/>
        </w:trPr>
        <w:tc>
          <w:tcPr>
            <w:tcW w:w="752"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720E0505">
            <w:pPr>
              <w:pStyle w:val="9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245"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6A41B511">
            <w:pPr>
              <w:pStyle w:val="9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其他部分</w:t>
            </w:r>
          </w:p>
          <w:p w14:paraId="7F9F75ED">
            <w:pPr>
              <w:pStyle w:val="9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（10分）</w:t>
            </w:r>
          </w:p>
        </w:tc>
        <w:tc>
          <w:tcPr>
            <w:tcW w:w="1394" w:type="dxa"/>
            <w:tcBorders>
              <w:left w:val="single" w:color="auto" w:sz="4" w:space="0"/>
              <w:right w:val="single" w:color="auto" w:sz="4" w:space="0"/>
            </w:tcBorders>
            <w:tcMar>
              <w:top w:w="0" w:type="dxa"/>
              <w:left w:w="108" w:type="dxa"/>
              <w:bottom w:w="0" w:type="dxa"/>
              <w:right w:w="108" w:type="dxa"/>
            </w:tcMar>
            <w:vAlign w:val="center"/>
          </w:tcPr>
          <w:p w14:paraId="136655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优惠条件</w:t>
            </w:r>
          </w:p>
          <w:p w14:paraId="07BD3E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宋体" w:hAnsi="宋体" w:eastAsia="宋体" w:cs="宋体"/>
                <w:spacing w:val="-1"/>
                <w:position w:val="3"/>
                <w:sz w:val="24"/>
                <w:szCs w:val="24"/>
                <w:highlight w:val="none"/>
              </w:rPr>
            </w:pPr>
            <w:r>
              <w:rPr>
                <w:rFonts w:hint="eastAsia" w:ascii="宋体" w:hAnsi="宋体" w:eastAsia="宋体" w:cs="宋体"/>
                <w:color w:val="auto"/>
                <w:sz w:val="24"/>
                <w:szCs w:val="24"/>
                <w:highlight w:val="none"/>
                <w:lang w:val="en-US" w:eastAsia="zh-CN"/>
              </w:rPr>
              <w:t>5分</w:t>
            </w:r>
          </w:p>
        </w:tc>
        <w:tc>
          <w:tcPr>
            <w:tcW w:w="49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06F4C7A">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98" w:rightChars="0"/>
              <w:textAlignment w:val="auto"/>
              <w:rPr>
                <w:rFonts w:hint="eastAsia" w:ascii="宋体" w:hAnsi="宋体" w:eastAsia="宋体" w:cs="宋体"/>
                <w:spacing w:val="-2"/>
                <w:sz w:val="24"/>
                <w:szCs w:val="24"/>
                <w:highlight w:val="none"/>
                <w:lang w:val="en-US" w:eastAsia="zh-CN"/>
              </w:rPr>
            </w:pPr>
            <w:r>
              <w:rPr>
                <w:rFonts w:hint="eastAsia" w:ascii="宋体" w:hAnsi="宋体" w:eastAsia="宋体" w:cs="宋体"/>
                <w:bCs/>
                <w:color w:val="000000" w:themeColor="text1"/>
                <w:sz w:val="24"/>
                <w:szCs w:val="24"/>
                <w:highlight w:val="none"/>
                <w14:textFill>
                  <w14:solidFill>
                    <w14:schemeClr w14:val="tx1"/>
                  </w14:solidFill>
                </w14:textFill>
              </w:rPr>
              <w:t>根据</w:t>
            </w:r>
            <w:r>
              <w:rPr>
                <w:rFonts w:hint="eastAsia" w:ascii="宋体" w:hAnsi="宋体" w:eastAsia="宋体" w:cs="宋体"/>
                <w:color w:val="000000" w:themeColor="text1"/>
                <w:kern w:val="0"/>
                <w:sz w:val="24"/>
                <w:szCs w:val="24"/>
                <w:highlight w:val="none"/>
                <w14:textFill>
                  <w14:solidFill>
                    <w14:schemeClr w14:val="tx1"/>
                  </w14:solidFill>
                </w14:textFill>
              </w:rPr>
              <w:t>各</w:t>
            </w:r>
            <w:r>
              <w:rPr>
                <w:rFonts w:hint="eastAsia" w:ascii="宋体" w:hAnsi="宋体" w:eastAsia="宋体" w:cs="宋体"/>
                <w:color w:val="000000" w:themeColor="text1"/>
                <w:sz w:val="24"/>
                <w:szCs w:val="24"/>
                <w:highlight w:val="none"/>
                <w14:textFill>
                  <w14:solidFill>
                    <w14:schemeClr w14:val="tx1"/>
                  </w14:solidFill>
                </w14:textFill>
              </w:rPr>
              <w:t>投标</w:t>
            </w:r>
            <w:r>
              <w:rPr>
                <w:rFonts w:hint="eastAsia" w:ascii="宋体" w:hAnsi="宋体" w:eastAsia="宋体" w:cs="宋体"/>
                <w:color w:val="000000" w:themeColor="text1"/>
                <w:sz w:val="24"/>
                <w:szCs w:val="24"/>
                <w:highlight w:val="none"/>
                <w:lang w:eastAsia="zh-CN"/>
                <w14:textFill>
                  <w14:solidFill>
                    <w14:schemeClr w14:val="tx1"/>
                  </w14:solidFill>
                </w14:textFill>
              </w:rPr>
              <w:t>人</w:t>
            </w:r>
            <w:r>
              <w:rPr>
                <w:rFonts w:hint="eastAsia" w:ascii="宋体" w:hAnsi="宋体" w:eastAsia="宋体" w:cs="宋体"/>
                <w:bCs/>
                <w:color w:val="000000" w:themeColor="text1"/>
                <w:sz w:val="24"/>
                <w:szCs w:val="24"/>
                <w:highlight w:val="none"/>
                <w14:textFill>
                  <w14:solidFill>
                    <w14:schemeClr w14:val="tx1"/>
                  </w14:solidFill>
                </w14:textFill>
              </w:rPr>
              <w:t>提出的优惠条件及其可实现程度</w:t>
            </w:r>
            <w:r>
              <w:rPr>
                <w:rFonts w:hint="eastAsia" w:ascii="宋体" w:hAnsi="宋体" w:eastAsia="宋体" w:cs="宋体"/>
                <w:bCs/>
                <w:color w:val="000000" w:themeColor="text1"/>
                <w:sz w:val="24"/>
                <w:szCs w:val="24"/>
                <w:highlight w:val="none"/>
                <w:lang w:eastAsia="zh-CN"/>
                <w14:textFill>
                  <w14:solidFill>
                    <w14:schemeClr w14:val="tx1"/>
                  </w14:solidFill>
                </w14:textFill>
              </w:rPr>
              <w:t>，并</w:t>
            </w:r>
            <w:r>
              <w:rPr>
                <w:rFonts w:hint="eastAsia" w:ascii="宋体" w:hAnsi="宋体" w:eastAsia="宋体" w:cs="宋体"/>
                <w:bCs/>
                <w:color w:val="000000" w:themeColor="text1"/>
                <w:sz w:val="24"/>
                <w:szCs w:val="24"/>
                <w:highlight w:val="none"/>
                <w14:textFill>
                  <w14:solidFill>
                    <w14:schemeClr w14:val="tx1"/>
                  </w14:solidFill>
                </w14:textFill>
              </w:rPr>
              <w:t>针对本</w:t>
            </w:r>
            <w:r>
              <w:rPr>
                <w:rFonts w:hint="eastAsia" w:ascii="宋体" w:hAnsi="宋体" w:eastAsia="宋体" w:cs="宋体"/>
                <w:bCs/>
                <w:color w:val="000000" w:themeColor="text1"/>
                <w:sz w:val="24"/>
                <w:szCs w:val="24"/>
                <w:highlight w:val="none"/>
                <w:lang w:eastAsia="zh-CN"/>
                <w14:textFill>
                  <w14:solidFill>
                    <w14:schemeClr w14:val="tx1"/>
                  </w14:solidFill>
                </w14:textFill>
              </w:rPr>
              <w:t>项目的</w:t>
            </w:r>
            <w:r>
              <w:rPr>
                <w:rFonts w:hint="eastAsia" w:ascii="宋体" w:hAnsi="宋体" w:eastAsia="宋体" w:cs="宋体"/>
                <w:bCs/>
                <w:color w:val="000000" w:themeColor="text1"/>
                <w:sz w:val="24"/>
                <w:szCs w:val="24"/>
                <w:highlight w:val="none"/>
                <w14:textFill>
                  <w14:solidFill>
                    <w14:schemeClr w14:val="tx1"/>
                  </w14:solidFill>
                </w14:textFill>
              </w:rPr>
              <w:t>其他特殊优惠承诺等情况进行综合评价，</w:t>
            </w:r>
            <w:r>
              <w:rPr>
                <w:rFonts w:hint="eastAsia" w:ascii="宋体" w:hAnsi="宋体" w:eastAsia="宋体" w:cs="宋体"/>
                <w:sz w:val="24"/>
                <w:szCs w:val="24"/>
                <w:highlight w:val="none"/>
              </w:rPr>
              <w:t>每条实质性</w:t>
            </w:r>
            <w:r>
              <w:rPr>
                <w:rFonts w:hint="eastAsia" w:ascii="宋体" w:hAnsi="宋体" w:eastAsia="宋体" w:cs="宋体"/>
                <w:spacing w:val="-5"/>
                <w:sz w:val="24"/>
                <w:szCs w:val="24"/>
                <w:highlight w:val="none"/>
              </w:rPr>
              <w:t>优惠条件</w:t>
            </w:r>
            <w:r>
              <w:rPr>
                <w:rFonts w:hint="eastAsia" w:ascii="宋体" w:hAnsi="宋体" w:eastAsia="宋体" w:cs="宋体"/>
                <w:b/>
                <w:bCs/>
                <w:sz w:val="24"/>
                <w:szCs w:val="24"/>
                <w:highlight w:val="none"/>
                <w:lang w:eastAsia="zh-CN"/>
              </w:rPr>
              <w:t>得</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val="0"/>
                <w:color w:val="000000" w:themeColor="text1"/>
                <w:sz w:val="24"/>
                <w:szCs w:val="24"/>
                <w:highlight w:val="none"/>
                <w14:textFill>
                  <w14:solidFill>
                    <w14:schemeClr w14:val="tx1"/>
                  </w14:solidFill>
                </w14:textFill>
              </w:rPr>
              <w:t>分，</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最高</w:t>
            </w:r>
            <w:r>
              <w:rPr>
                <w:rFonts w:hint="eastAsia" w:ascii="宋体" w:hAnsi="宋体" w:eastAsia="宋体" w:cs="宋体"/>
                <w:b/>
                <w:bCs w:val="0"/>
                <w:color w:val="000000" w:themeColor="text1"/>
                <w:sz w:val="24"/>
                <w:szCs w:val="24"/>
                <w:highlight w:val="none"/>
                <w14:textFill>
                  <w14:solidFill>
                    <w14:schemeClr w14:val="tx1"/>
                  </w14:solidFill>
                </w14:textFill>
              </w:rPr>
              <w:t>得</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bCs w:val="0"/>
                <w:color w:val="000000" w:themeColor="text1"/>
                <w:sz w:val="24"/>
                <w:szCs w:val="24"/>
                <w:highlight w:val="none"/>
                <w14:textFill>
                  <w14:solidFill>
                    <w14:schemeClr w14:val="tx1"/>
                  </w14:solidFill>
                </w14:textFill>
              </w:rPr>
              <w:t>分，无此项内容不得分。</w:t>
            </w:r>
          </w:p>
        </w:tc>
      </w:tr>
      <w:tr w14:paraId="54092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4" w:hRule="atLeast"/>
        </w:trPr>
        <w:tc>
          <w:tcPr>
            <w:tcW w:w="752"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69D5F584">
            <w:pPr>
              <w:pStyle w:val="9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highlight w:val="none"/>
                <w:lang w:val="en-US" w:eastAsia="zh-CN"/>
              </w:rPr>
            </w:pPr>
          </w:p>
        </w:tc>
        <w:tc>
          <w:tcPr>
            <w:tcW w:w="1245"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3EE5F2CF">
            <w:pPr>
              <w:pStyle w:val="9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color w:val="auto"/>
                <w:sz w:val="24"/>
                <w:szCs w:val="24"/>
                <w:highlight w:val="none"/>
                <w:lang w:val="en-US" w:eastAsia="zh-CN"/>
              </w:rPr>
            </w:pPr>
          </w:p>
        </w:tc>
        <w:tc>
          <w:tcPr>
            <w:tcW w:w="1394" w:type="dxa"/>
            <w:tcBorders>
              <w:left w:val="single" w:color="auto" w:sz="4" w:space="0"/>
              <w:right w:val="single" w:color="auto" w:sz="4" w:space="0"/>
            </w:tcBorders>
            <w:tcMar>
              <w:top w:w="0" w:type="dxa"/>
              <w:left w:w="108" w:type="dxa"/>
              <w:bottom w:w="0" w:type="dxa"/>
              <w:right w:w="108" w:type="dxa"/>
            </w:tcMar>
            <w:vAlign w:val="center"/>
          </w:tcPr>
          <w:p w14:paraId="19C656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服务承诺</w:t>
            </w:r>
          </w:p>
          <w:p w14:paraId="4FF9B8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宋体" w:hAnsi="宋体" w:eastAsia="宋体" w:cs="宋体"/>
                <w:spacing w:val="-1"/>
                <w:position w:val="3"/>
                <w:sz w:val="24"/>
                <w:szCs w:val="24"/>
                <w:highlight w:val="none"/>
                <w:lang w:eastAsia="zh-CN"/>
              </w:rPr>
            </w:pPr>
            <w:r>
              <w:rPr>
                <w:rFonts w:hint="eastAsia" w:ascii="宋体" w:hAnsi="宋体" w:eastAsia="宋体" w:cs="宋体"/>
                <w:color w:val="auto"/>
                <w:sz w:val="24"/>
                <w:szCs w:val="24"/>
                <w:highlight w:val="none"/>
                <w:lang w:val="en-US" w:eastAsia="zh-CN"/>
              </w:rPr>
              <w:t>5分</w:t>
            </w:r>
          </w:p>
        </w:tc>
        <w:tc>
          <w:tcPr>
            <w:tcW w:w="4920" w:type="dxa"/>
            <w:tcBorders>
              <w:top w:val="single" w:color="auto" w:sz="4" w:space="0"/>
              <w:left w:val="single" w:color="auto" w:sz="4" w:space="0"/>
              <w:right w:val="single" w:color="auto" w:sz="4" w:space="0"/>
            </w:tcBorders>
            <w:tcMar>
              <w:top w:w="0" w:type="dxa"/>
              <w:left w:w="108" w:type="dxa"/>
              <w:bottom w:w="0" w:type="dxa"/>
              <w:right w:w="108" w:type="dxa"/>
            </w:tcMar>
            <w:vAlign w:val="center"/>
          </w:tcPr>
          <w:p w14:paraId="40C65D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据各投标</w:t>
            </w:r>
            <w:r>
              <w:rPr>
                <w:rFonts w:hint="eastAsia" w:ascii="宋体" w:hAnsi="宋体" w:eastAsia="宋体" w:cs="宋体"/>
                <w:sz w:val="24"/>
                <w:szCs w:val="24"/>
                <w:highlight w:val="none"/>
                <w:lang w:eastAsia="zh-CN"/>
              </w:rPr>
              <w:t>人</w:t>
            </w:r>
            <w:r>
              <w:rPr>
                <w:rFonts w:hint="eastAsia" w:ascii="宋体" w:hAnsi="宋体" w:eastAsia="宋体" w:cs="宋体"/>
                <w:sz w:val="24"/>
                <w:szCs w:val="24"/>
                <w:highlight w:val="none"/>
              </w:rPr>
              <w:t>提出的服务承诺及其可实现程度进行综合评价</w:t>
            </w:r>
            <w:r>
              <w:rPr>
                <w:rFonts w:hint="eastAsia" w:ascii="宋体" w:hAnsi="宋体" w:eastAsia="宋体" w:cs="宋体"/>
                <w:sz w:val="24"/>
                <w:szCs w:val="24"/>
                <w:highlight w:val="none"/>
                <w:lang w:eastAsia="zh-CN"/>
              </w:rPr>
              <w:t>：</w:t>
            </w:r>
          </w:p>
          <w:p w14:paraId="0C50E5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服务承诺周到、快捷、优越</w:t>
            </w:r>
            <w:r>
              <w:rPr>
                <w:rFonts w:hint="eastAsia" w:ascii="宋体" w:hAnsi="宋体" w:eastAsia="宋体" w:cs="宋体"/>
                <w:sz w:val="24"/>
                <w:szCs w:val="24"/>
                <w:highlight w:val="none"/>
                <w:lang w:eastAsia="zh-CN"/>
              </w:rPr>
              <w:t>以及其他</w:t>
            </w:r>
            <w:r>
              <w:rPr>
                <w:rFonts w:hint="eastAsia" w:ascii="宋体" w:hAnsi="宋体" w:eastAsia="宋体" w:cs="宋体"/>
                <w:sz w:val="24"/>
                <w:szCs w:val="24"/>
                <w:highlight w:val="none"/>
              </w:rPr>
              <w:t>实质性服务项目</w:t>
            </w:r>
            <w:r>
              <w:rPr>
                <w:rFonts w:hint="eastAsia" w:ascii="宋体" w:hAnsi="宋体" w:eastAsia="宋体" w:cs="宋体"/>
                <w:sz w:val="24"/>
                <w:szCs w:val="24"/>
                <w:highlight w:val="none"/>
                <w:lang w:eastAsia="zh-CN"/>
              </w:rPr>
              <w:t>多</w:t>
            </w:r>
            <w:r>
              <w:rPr>
                <w:rFonts w:hint="eastAsia" w:ascii="宋体" w:hAnsi="宋体" w:eastAsia="宋体" w:cs="宋体"/>
                <w:b/>
                <w:bCs/>
                <w:sz w:val="24"/>
                <w:szCs w:val="24"/>
                <w:highlight w:val="none"/>
                <w:lang w:eastAsia="zh-CN"/>
              </w:rPr>
              <w:t>得</w:t>
            </w:r>
            <w:r>
              <w:rPr>
                <w:rFonts w:hint="eastAsia" w:ascii="宋体" w:hAnsi="宋体" w:eastAsia="宋体" w:cs="宋体"/>
                <w:b/>
                <w:bCs/>
                <w:sz w:val="24"/>
                <w:szCs w:val="24"/>
                <w:highlight w:val="none"/>
                <w:lang w:val="en-US" w:eastAsia="zh-CN"/>
              </w:rPr>
              <w:t>5</w:t>
            </w:r>
            <w:r>
              <w:rPr>
                <w:rFonts w:hint="eastAsia" w:ascii="宋体" w:hAnsi="宋体" w:eastAsia="宋体" w:cs="宋体"/>
                <w:b/>
                <w:bCs/>
                <w:sz w:val="24"/>
                <w:szCs w:val="24"/>
                <w:highlight w:val="none"/>
              </w:rPr>
              <w:t>分</w:t>
            </w:r>
            <w:r>
              <w:rPr>
                <w:rFonts w:hint="eastAsia" w:ascii="宋体" w:hAnsi="宋体" w:eastAsia="宋体" w:cs="宋体"/>
                <w:sz w:val="24"/>
                <w:szCs w:val="24"/>
                <w:highlight w:val="none"/>
                <w:lang w:eastAsia="zh-CN"/>
              </w:rPr>
              <w:t>；</w:t>
            </w:r>
          </w:p>
          <w:p w14:paraId="6062E2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服务承诺基本周到、快捷及优越性一般</w:t>
            </w:r>
            <w:r>
              <w:rPr>
                <w:rFonts w:hint="eastAsia" w:ascii="宋体" w:hAnsi="宋体" w:eastAsia="宋体" w:cs="宋体"/>
                <w:sz w:val="24"/>
                <w:szCs w:val="24"/>
                <w:highlight w:val="none"/>
                <w:lang w:eastAsia="zh-CN"/>
              </w:rPr>
              <w:t>以及</w:t>
            </w:r>
            <w:r>
              <w:rPr>
                <w:rFonts w:hint="eastAsia" w:ascii="宋体" w:hAnsi="宋体" w:eastAsia="宋体" w:cs="宋体"/>
                <w:sz w:val="24"/>
                <w:szCs w:val="24"/>
                <w:highlight w:val="none"/>
              </w:rPr>
              <w:t>实质性服务项目一般</w:t>
            </w:r>
            <w:r>
              <w:rPr>
                <w:rFonts w:hint="eastAsia" w:ascii="宋体" w:hAnsi="宋体" w:eastAsia="宋体" w:cs="宋体"/>
                <w:b/>
                <w:bCs/>
                <w:sz w:val="24"/>
                <w:szCs w:val="24"/>
                <w:highlight w:val="none"/>
              </w:rPr>
              <w:t>得</w:t>
            </w: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分</w:t>
            </w:r>
            <w:r>
              <w:rPr>
                <w:rFonts w:hint="eastAsia" w:ascii="宋体" w:hAnsi="宋体" w:eastAsia="宋体" w:cs="宋体"/>
                <w:sz w:val="24"/>
                <w:szCs w:val="24"/>
                <w:highlight w:val="none"/>
                <w:lang w:eastAsia="zh-CN"/>
              </w:rPr>
              <w:t>；</w:t>
            </w:r>
          </w:p>
          <w:p w14:paraId="717ABD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服务承诺较简单</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实质性服务项目少</w:t>
            </w:r>
            <w:r>
              <w:rPr>
                <w:rFonts w:hint="eastAsia" w:ascii="宋体" w:hAnsi="宋体" w:eastAsia="宋体" w:cs="宋体"/>
                <w:b/>
                <w:bCs/>
                <w:sz w:val="24"/>
                <w:szCs w:val="24"/>
                <w:highlight w:val="none"/>
                <w:lang w:eastAsia="zh-CN"/>
              </w:rPr>
              <w:t>得</w:t>
            </w:r>
            <w:r>
              <w:rPr>
                <w:rFonts w:hint="eastAsia" w:ascii="宋体" w:hAnsi="宋体" w:eastAsia="宋体" w:cs="宋体"/>
                <w:b/>
                <w:bCs/>
                <w:sz w:val="24"/>
                <w:szCs w:val="24"/>
                <w:highlight w:val="none"/>
                <w:lang w:val="en-US" w:eastAsia="zh-CN"/>
              </w:rPr>
              <w:t>1分</w:t>
            </w:r>
            <w:r>
              <w:rPr>
                <w:rFonts w:hint="eastAsia" w:ascii="宋体" w:hAnsi="宋体" w:eastAsia="宋体" w:cs="宋体"/>
                <w:sz w:val="24"/>
                <w:szCs w:val="24"/>
                <w:highlight w:val="none"/>
                <w:lang w:eastAsia="zh-CN"/>
              </w:rPr>
              <w:t>；</w:t>
            </w:r>
          </w:p>
          <w:p w14:paraId="577695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spacing w:val="-2"/>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b/>
                <w:bCs/>
                <w:sz w:val="24"/>
                <w:szCs w:val="24"/>
                <w:highlight w:val="none"/>
              </w:rPr>
              <w:t>无此项内容不得分。</w:t>
            </w:r>
          </w:p>
        </w:tc>
      </w:tr>
    </w:tbl>
    <w:p w14:paraId="0BA3CB5B">
      <w:pPr>
        <w:pStyle w:val="44"/>
        <w:rPr>
          <w:rFonts w:hint="eastAsia" w:ascii="宋体" w:hAnsi="宋体" w:eastAsia="宋体" w:cs="宋体"/>
          <w:highlight w:val="none"/>
        </w:rPr>
      </w:pPr>
    </w:p>
    <w:p w14:paraId="4E6613C9">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1.评标方法</w:t>
      </w:r>
    </w:p>
    <w:p w14:paraId="5CE5CFE5">
      <w:pPr>
        <w:keepNext w:val="0"/>
        <w:keepLines w:val="0"/>
        <w:pageBreakBefore w:val="0"/>
        <w:widowControl w:val="0"/>
        <w:kinsoku/>
        <w:wordWrap/>
        <w:overflowPunct/>
        <w:topLinePunct w:val="0"/>
        <w:bidi w:val="0"/>
        <w:snapToGrid/>
        <w:spacing w:line="400" w:lineRule="exact"/>
        <w:ind w:left="-2" w:leftChars="-1"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本次评标采用综合评估法。评标委员会对满足招标文件实质性要求的投标文件，按照本章2.2 款规定的评分标准进行打分，并按得分由高到低顺序推荐中标候选人，或根据采购人授权直接确定中标人。综合评分相等时，以</w:t>
      </w:r>
      <w:r>
        <w:rPr>
          <w:rFonts w:hint="eastAsia" w:ascii="宋体" w:hAnsi="宋体" w:eastAsia="宋体" w:cs="宋体"/>
          <w:color w:val="000000" w:themeColor="text1"/>
          <w:sz w:val="24"/>
          <w:szCs w:val="24"/>
          <w:highlight w:val="none"/>
          <w:lang w:val="en-US" w:eastAsia="zh-CN"/>
          <w14:textFill>
            <w14:solidFill>
              <w14:schemeClr w14:val="tx1"/>
            </w14:solidFill>
          </w14:textFill>
        </w:rPr>
        <w:t>商务部分得分</w:t>
      </w:r>
      <w:r>
        <w:rPr>
          <w:rFonts w:hint="eastAsia" w:ascii="宋体" w:hAnsi="宋体" w:eastAsia="宋体" w:cs="宋体"/>
          <w:color w:val="000000" w:themeColor="text1"/>
          <w:sz w:val="24"/>
          <w:szCs w:val="24"/>
          <w:highlight w:val="none"/>
          <w14:textFill>
            <w14:solidFill>
              <w14:schemeClr w14:val="tx1"/>
            </w14:solidFill>
          </w14:textFill>
        </w:rPr>
        <w:t>高的优先；</w:t>
      </w:r>
      <w:r>
        <w:rPr>
          <w:rFonts w:hint="eastAsia" w:ascii="宋体" w:hAnsi="宋体" w:eastAsia="宋体" w:cs="宋体"/>
          <w:color w:val="000000" w:themeColor="text1"/>
          <w:sz w:val="24"/>
          <w:szCs w:val="24"/>
          <w:highlight w:val="none"/>
          <w:lang w:val="en-US" w:eastAsia="zh-CN"/>
          <w14:textFill>
            <w14:solidFill>
              <w14:schemeClr w14:val="tx1"/>
            </w14:solidFill>
          </w14:textFill>
        </w:rPr>
        <w:t>商务部分得分</w:t>
      </w:r>
      <w:r>
        <w:rPr>
          <w:rFonts w:hint="eastAsia" w:ascii="宋体" w:hAnsi="宋体" w:eastAsia="宋体" w:cs="宋体"/>
          <w:color w:val="000000" w:themeColor="text1"/>
          <w:sz w:val="24"/>
          <w:szCs w:val="24"/>
          <w:highlight w:val="none"/>
          <w14:textFill>
            <w14:solidFill>
              <w14:schemeClr w14:val="tx1"/>
            </w14:solidFill>
          </w14:textFill>
        </w:rPr>
        <w:t>也相等的，以</w:t>
      </w:r>
      <w:r>
        <w:rPr>
          <w:rFonts w:hint="eastAsia" w:ascii="宋体" w:hAnsi="宋体" w:eastAsia="宋体" w:cs="宋体"/>
          <w:color w:val="000000" w:themeColor="text1"/>
          <w:sz w:val="24"/>
          <w:szCs w:val="24"/>
          <w:highlight w:val="none"/>
          <w:lang w:val="en-US" w:eastAsia="zh-CN"/>
          <w14:textFill>
            <w14:solidFill>
              <w14:schemeClr w14:val="tx1"/>
            </w14:solidFill>
          </w14:textFill>
        </w:rPr>
        <w:t>技术部分</w:t>
      </w:r>
      <w:r>
        <w:rPr>
          <w:rFonts w:hint="eastAsia" w:ascii="宋体" w:hAnsi="宋体" w:eastAsia="宋体" w:cs="宋体"/>
          <w:color w:val="000000" w:themeColor="text1"/>
          <w:sz w:val="24"/>
          <w:szCs w:val="24"/>
          <w:highlight w:val="none"/>
          <w14:textFill>
            <w14:solidFill>
              <w14:schemeClr w14:val="tx1"/>
            </w14:solidFill>
          </w14:textFill>
        </w:rPr>
        <w:t>得分高的优先；如果</w:t>
      </w:r>
      <w:r>
        <w:rPr>
          <w:rFonts w:hint="eastAsia" w:ascii="宋体" w:hAnsi="宋体" w:eastAsia="宋体" w:cs="宋体"/>
          <w:color w:val="000000" w:themeColor="text1"/>
          <w:sz w:val="24"/>
          <w:szCs w:val="24"/>
          <w:highlight w:val="none"/>
          <w:lang w:val="en-US" w:eastAsia="zh-CN"/>
          <w14:textFill>
            <w14:solidFill>
              <w14:schemeClr w14:val="tx1"/>
            </w14:solidFill>
          </w14:textFill>
        </w:rPr>
        <w:t>技术部分</w:t>
      </w:r>
      <w:r>
        <w:rPr>
          <w:rFonts w:hint="eastAsia" w:ascii="宋体" w:hAnsi="宋体" w:eastAsia="宋体" w:cs="宋体"/>
          <w:color w:val="000000" w:themeColor="text1"/>
          <w:sz w:val="24"/>
          <w:szCs w:val="24"/>
          <w:highlight w:val="none"/>
          <w14:textFill>
            <w14:solidFill>
              <w14:schemeClr w14:val="tx1"/>
            </w14:solidFill>
          </w14:textFill>
        </w:rPr>
        <w:t>得分也相等，由采购人确定。</w:t>
      </w:r>
    </w:p>
    <w:p w14:paraId="1B855B96">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2.评审标准</w:t>
      </w:r>
    </w:p>
    <w:p w14:paraId="0B6288E7">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2.1 初步评审标准</w:t>
      </w:r>
    </w:p>
    <w:p w14:paraId="07E7DFBE">
      <w:pPr>
        <w:keepNext w:val="0"/>
        <w:keepLines w:val="0"/>
        <w:pageBreakBefore w:val="0"/>
        <w:widowControl w:val="0"/>
        <w:kinsoku/>
        <w:wordWrap/>
        <w:overflowPunct/>
        <w:topLinePunct w:val="0"/>
        <w:bidi w:val="0"/>
        <w:snapToGrid/>
        <w:spacing w:line="400" w:lineRule="exact"/>
        <w:ind w:left="-2" w:leftChars="-1"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2.1.1 形式评审标准：见评标办法前附表。</w:t>
      </w:r>
    </w:p>
    <w:p w14:paraId="3EAC1623">
      <w:pPr>
        <w:keepNext w:val="0"/>
        <w:keepLines w:val="0"/>
        <w:pageBreakBefore w:val="0"/>
        <w:widowControl w:val="0"/>
        <w:kinsoku/>
        <w:wordWrap/>
        <w:overflowPunct/>
        <w:topLinePunct w:val="0"/>
        <w:bidi w:val="0"/>
        <w:snapToGrid/>
        <w:spacing w:line="400" w:lineRule="exact"/>
        <w:ind w:left="-2" w:leftChars="-1"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2.1.2 资格评审标准：见评标办法前附表。</w:t>
      </w:r>
    </w:p>
    <w:p w14:paraId="506BB5FC">
      <w:pPr>
        <w:keepNext w:val="0"/>
        <w:keepLines w:val="0"/>
        <w:pageBreakBefore w:val="0"/>
        <w:widowControl w:val="0"/>
        <w:kinsoku/>
        <w:wordWrap/>
        <w:overflowPunct/>
        <w:topLinePunct w:val="0"/>
        <w:bidi w:val="0"/>
        <w:snapToGrid/>
        <w:spacing w:line="400" w:lineRule="exact"/>
        <w:ind w:left="-2" w:leftChars="-1"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2.1.3 响应性评审标准：见评标办法前附表。</w:t>
      </w:r>
    </w:p>
    <w:p w14:paraId="0EEE441A">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2.2 分值构成与评分标准</w:t>
      </w:r>
    </w:p>
    <w:p w14:paraId="6CEB1AEC">
      <w:pPr>
        <w:keepNext w:val="0"/>
        <w:keepLines w:val="0"/>
        <w:pageBreakBefore w:val="0"/>
        <w:widowControl w:val="0"/>
        <w:kinsoku/>
        <w:wordWrap/>
        <w:overflowPunct/>
        <w:topLinePunct w:val="0"/>
        <w:bidi w:val="0"/>
        <w:snapToGrid/>
        <w:spacing w:line="400" w:lineRule="exact"/>
        <w:ind w:left="-2" w:leftChars="-1"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2.2.1 分值构成</w:t>
      </w:r>
    </w:p>
    <w:p w14:paraId="12ABA888">
      <w:pPr>
        <w:keepNext w:val="0"/>
        <w:keepLines w:val="0"/>
        <w:pageBreakBefore w:val="0"/>
        <w:widowControl w:val="0"/>
        <w:kinsoku/>
        <w:wordWrap/>
        <w:overflowPunct/>
        <w:topLinePunct w:val="0"/>
        <w:autoSpaceDE/>
        <w:autoSpaceDN/>
        <w:bidi w:val="0"/>
        <w:adjustRightInd/>
        <w:snapToGrid/>
        <w:spacing w:line="400" w:lineRule="exact"/>
        <w:ind w:left="-2" w:leftChars="-1"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报价部分</w:t>
      </w:r>
      <w:r>
        <w:rPr>
          <w:rFonts w:hint="eastAsia" w:ascii="宋体" w:hAnsi="宋体" w:eastAsia="宋体" w:cs="宋体"/>
          <w:color w:val="000000" w:themeColor="text1"/>
          <w:sz w:val="24"/>
          <w:szCs w:val="24"/>
          <w:highlight w:val="none"/>
          <w14:textFill>
            <w14:solidFill>
              <w14:schemeClr w14:val="tx1"/>
            </w14:solidFill>
          </w14:textFill>
        </w:rPr>
        <w:t>：见评标办法前附表；</w:t>
      </w:r>
    </w:p>
    <w:p w14:paraId="5475EE15">
      <w:pPr>
        <w:keepNext w:val="0"/>
        <w:keepLines w:val="0"/>
        <w:pageBreakBefore w:val="0"/>
        <w:widowControl w:val="0"/>
        <w:kinsoku/>
        <w:wordWrap/>
        <w:overflowPunct/>
        <w:topLinePunct w:val="0"/>
        <w:autoSpaceDE/>
        <w:autoSpaceDN/>
        <w:bidi w:val="0"/>
        <w:adjustRightInd/>
        <w:snapToGrid/>
        <w:spacing w:line="400" w:lineRule="exact"/>
        <w:ind w:left="-2" w:leftChars="-1"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商务部</w:t>
      </w:r>
      <w:r>
        <w:rPr>
          <w:rFonts w:hint="eastAsia" w:ascii="宋体" w:hAnsi="宋体" w:eastAsia="宋体" w:cs="宋体"/>
          <w:color w:val="000000" w:themeColor="text1"/>
          <w:sz w:val="24"/>
          <w:szCs w:val="24"/>
          <w:highlight w:val="none"/>
          <w14:textFill>
            <w14:solidFill>
              <w14:schemeClr w14:val="tx1"/>
            </w14:solidFill>
          </w14:textFill>
        </w:rPr>
        <w:t>分：见评标办法前附表；</w:t>
      </w:r>
    </w:p>
    <w:p w14:paraId="695A9663">
      <w:pPr>
        <w:keepNext w:val="0"/>
        <w:keepLines w:val="0"/>
        <w:pageBreakBefore w:val="0"/>
        <w:widowControl w:val="0"/>
        <w:kinsoku/>
        <w:wordWrap/>
        <w:overflowPunct/>
        <w:topLinePunct w:val="0"/>
        <w:autoSpaceDE/>
        <w:autoSpaceDN/>
        <w:bidi w:val="0"/>
        <w:adjustRightInd/>
        <w:snapToGrid/>
        <w:spacing w:line="400" w:lineRule="exact"/>
        <w:ind w:left="-2" w:leftChars="-1"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技术部</w:t>
      </w:r>
      <w:r>
        <w:rPr>
          <w:rFonts w:hint="eastAsia" w:ascii="宋体" w:hAnsi="宋体" w:eastAsia="宋体" w:cs="宋体"/>
          <w:color w:val="000000" w:themeColor="text1"/>
          <w:sz w:val="24"/>
          <w:szCs w:val="24"/>
          <w:highlight w:val="none"/>
          <w14:textFill>
            <w14:solidFill>
              <w14:schemeClr w14:val="tx1"/>
            </w14:solidFill>
          </w14:textFill>
        </w:rPr>
        <w:t>分：见评标办法前附表</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E1346CE">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lang w:eastAsia="zh-CN"/>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）其他部分：</w:t>
      </w:r>
      <w:r>
        <w:rPr>
          <w:rFonts w:hint="eastAsia" w:ascii="宋体" w:hAnsi="宋体" w:eastAsia="宋体" w:cs="宋体"/>
          <w:color w:val="000000" w:themeColor="text1"/>
          <w:sz w:val="24"/>
          <w:szCs w:val="24"/>
          <w:highlight w:val="none"/>
          <w14:textFill>
            <w14:solidFill>
              <w14:schemeClr w14:val="tx1"/>
            </w14:solidFill>
          </w14:textFill>
        </w:rPr>
        <w:t>见评标办法前附表</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B1D796D">
      <w:pPr>
        <w:keepNext w:val="0"/>
        <w:keepLines w:val="0"/>
        <w:pageBreakBefore w:val="0"/>
        <w:widowControl w:val="0"/>
        <w:kinsoku/>
        <w:wordWrap/>
        <w:overflowPunct/>
        <w:topLinePunct w:val="0"/>
        <w:bidi w:val="0"/>
        <w:snapToGrid/>
        <w:spacing w:line="400" w:lineRule="exact"/>
        <w:ind w:left="-2" w:leftChars="-1"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2.2.2 评标基准价计算</w:t>
      </w:r>
    </w:p>
    <w:p w14:paraId="737D2ABD">
      <w:pPr>
        <w:keepNext w:val="0"/>
        <w:keepLines w:val="0"/>
        <w:pageBreakBefore w:val="0"/>
        <w:widowControl w:val="0"/>
        <w:kinsoku/>
        <w:wordWrap/>
        <w:overflowPunct/>
        <w:topLinePunct w:val="0"/>
        <w:bidi w:val="0"/>
        <w:snapToGrid/>
        <w:spacing w:line="400" w:lineRule="exact"/>
        <w:ind w:left="-2" w:leftChars="-1"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评标基准价计算方法：见评标办法前附表。</w:t>
      </w:r>
    </w:p>
    <w:p w14:paraId="220318F4">
      <w:pPr>
        <w:keepNext w:val="0"/>
        <w:keepLines w:val="0"/>
        <w:pageBreakBefore w:val="0"/>
        <w:widowControl w:val="0"/>
        <w:kinsoku/>
        <w:wordWrap/>
        <w:overflowPunct/>
        <w:topLinePunct w:val="0"/>
        <w:bidi w:val="0"/>
        <w:snapToGrid/>
        <w:spacing w:line="400" w:lineRule="exact"/>
        <w:ind w:left="-2" w:leftChars="-1"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2.2.3 投标报价的偏差率计算</w:t>
      </w:r>
    </w:p>
    <w:p w14:paraId="3AF1EF30">
      <w:pPr>
        <w:keepNext w:val="0"/>
        <w:keepLines w:val="0"/>
        <w:pageBreakBefore w:val="0"/>
        <w:widowControl w:val="0"/>
        <w:kinsoku/>
        <w:wordWrap/>
        <w:overflowPunct/>
        <w:topLinePunct w:val="0"/>
        <w:bidi w:val="0"/>
        <w:snapToGrid/>
        <w:spacing w:line="400" w:lineRule="exact"/>
        <w:ind w:left="-2" w:leftChars="-1"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投标报价的偏差率计算公式：见评标办法前附表。</w:t>
      </w:r>
    </w:p>
    <w:p w14:paraId="7D9D8A6A">
      <w:pPr>
        <w:keepNext w:val="0"/>
        <w:keepLines w:val="0"/>
        <w:pageBreakBefore w:val="0"/>
        <w:widowControl w:val="0"/>
        <w:kinsoku/>
        <w:wordWrap/>
        <w:overflowPunct/>
        <w:topLinePunct w:val="0"/>
        <w:bidi w:val="0"/>
        <w:snapToGrid/>
        <w:spacing w:line="400" w:lineRule="exact"/>
        <w:ind w:left="-2" w:leftChars="-1"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2.2.4 评分标准</w:t>
      </w:r>
    </w:p>
    <w:p w14:paraId="1DF61B8A">
      <w:pPr>
        <w:keepNext w:val="0"/>
        <w:keepLines w:val="0"/>
        <w:pageBreakBefore w:val="0"/>
        <w:widowControl w:val="0"/>
        <w:kinsoku/>
        <w:wordWrap/>
        <w:overflowPunct/>
        <w:topLinePunct w:val="0"/>
        <w:autoSpaceDE/>
        <w:autoSpaceDN/>
        <w:bidi w:val="0"/>
        <w:adjustRightInd/>
        <w:snapToGrid/>
        <w:spacing w:line="400" w:lineRule="exact"/>
        <w:ind w:left="-2" w:leftChars="-1"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报价部分</w:t>
      </w:r>
      <w:r>
        <w:rPr>
          <w:rFonts w:hint="eastAsia" w:ascii="宋体" w:hAnsi="宋体" w:eastAsia="宋体" w:cs="宋体"/>
          <w:color w:val="000000" w:themeColor="text1"/>
          <w:sz w:val="24"/>
          <w:szCs w:val="24"/>
          <w:highlight w:val="none"/>
          <w14:textFill>
            <w14:solidFill>
              <w14:schemeClr w14:val="tx1"/>
            </w14:solidFill>
          </w14:textFill>
        </w:rPr>
        <w:t>：见评标办法前附表；</w:t>
      </w:r>
    </w:p>
    <w:p w14:paraId="2415FD9D">
      <w:pPr>
        <w:keepNext w:val="0"/>
        <w:keepLines w:val="0"/>
        <w:pageBreakBefore w:val="0"/>
        <w:widowControl w:val="0"/>
        <w:kinsoku/>
        <w:wordWrap/>
        <w:overflowPunct/>
        <w:topLinePunct w:val="0"/>
        <w:autoSpaceDE/>
        <w:autoSpaceDN/>
        <w:bidi w:val="0"/>
        <w:adjustRightInd/>
        <w:snapToGrid/>
        <w:spacing w:line="400" w:lineRule="exact"/>
        <w:ind w:left="-2" w:leftChars="-1"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商务部</w:t>
      </w:r>
      <w:r>
        <w:rPr>
          <w:rFonts w:hint="eastAsia" w:ascii="宋体" w:hAnsi="宋体" w:eastAsia="宋体" w:cs="宋体"/>
          <w:color w:val="000000" w:themeColor="text1"/>
          <w:sz w:val="24"/>
          <w:szCs w:val="24"/>
          <w:highlight w:val="none"/>
          <w14:textFill>
            <w14:solidFill>
              <w14:schemeClr w14:val="tx1"/>
            </w14:solidFill>
          </w14:textFill>
        </w:rPr>
        <w:t>分：见评标办法前附表；</w:t>
      </w:r>
    </w:p>
    <w:p w14:paraId="229227D0">
      <w:pPr>
        <w:keepNext w:val="0"/>
        <w:keepLines w:val="0"/>
        <w:pageBreakBefore w:val="0"/>
        <w:widowControl w:val="0"/>
        <w:kinsoku/>
        <w:wordWrap/>
        <w:overflowPunct/>
        <w:topLinePunct w:val="0"/>
        <w:autoSpaceDE/>
        <w:autoSpaceDN/>
        <w:bidi w:val="0"/>
        <w:adjustRightInd/>
        <w:snapToGrid/>
        <w:spacing w:line="400" w:lineRule="exact"/>
        <w:ind w:left="-2" w:leftChars="-1"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技术部</w:t>
      </w:r>
      <w:r>
        <w:rPr>
          <w:rFonts w:hint="eastAsia" w:ascii="宋体" w:hAnsi="宋体" w:eastAsia="宋体" w:cs="宋体"/>
          <w:color w:val="000000" w:themeColor="text1"/>
          <w:sz w:val="24"/>
          <w:szCs w:val="24"/>
          <w:highlight w:val="none"/>
          <w14:textFill>
            <w14:solidFill>
              <w14:schemeClr w14:val="tx1"/>
            </w14:solidFill>
          </w14:textFill>
        </w:rPr>
        <w:t>分：见评标办法前附表</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4A21399">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lang w:eastAsia="zh-CN"/>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）其他部分：</w:t>
      </w:r>
      <w:r>
        <w:rPr>
          <w:rFonts w:hint="eastAsia" w:ascii="宋体" w:hAnsi="宋体" w:eastAsia="宋体" w:cs="宋体"/>
          <w:color w:val="000000" w:themeColor="text1"/>
          <w:sz w:val="24"/>
          <w:szCs w:val="24"/>
          <w:highlight w:val="none"/>
          <w14:textFill>
            <w14:solidFill>
              <w14:schemeClr w14:val="tx1"/>
            </w14:solidFill>
          </w14:textFill>
        </w:rPr>
        <w:t>见评标办法前附表</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150F3C6">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3.评标程序</w:t>
      </w:r>
    </w:p>
    <w:p w14:paraId="3A2A07F2">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3.1 初步评审</w:t>
      </w:r>
    </w:p>
    <w:p w14:paraId="424F9ECB">
      <w:pPr>
        <w:keepNext w:val="0"/>
        <w:keepLines w:val="0"/>
        <w:pageBreakBefore w:val="0"/>
        <w:widowControl w:val="0"/>
        <w:kinsoku/>
        <w:wordWrap/>
        <w:overflowPunct/>
        <w:topLinePunct w:val="0"/>
        <w:bidi w:val="0"/>
        <w:snapToGrid/>
        <w:spacing w:line="400" w:lineRule="exact"/>
        <w:ind w:left="-2" w:leftChars="-1"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3.1.1 评标委员会可以要求</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提交第二章“</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须知”规定的有关证明和证件的原件，以便核验。评标委员会依据本章第 2.1 款规定的标准对投标文件进行初步评审。有一项不符合评审标准的，评标委员会应当否决其投标。</w:t>
      </w:r>
    </w:p>
    <w:p w14:paraId="4464AD78">
      <w:pPr>
        <w:keepNext w:val="0"/>
        <w:keepLines w:val="0"/>
        <w:pageBreakBefore w:val="0"/>
        <w:widowControl w:val="0"/>
        <w:kinsoku/>
        <w:wordWrap/>
        <w:overflowPunct/>
        <w:topLinePunct w:val="0"/>
        <w:bidi w:val="0"/>
        <w:snapToGrid/>
        <w:spacing w:line="400" w:lineRule="exact"/>
        <w:ind w:left="-2" w:leftChars="-1"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3.1.2 </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有以下情形之一的，评标委员会应当否决其投标：</w:t>
      </w:r>
    </w:p>
    <w:p w14:paraId="29587049">
      <w:pPr>
        <w:keepNext w:val="0"/>
        <w:keepLines w:val="0"/>
        <w:pageBreakBefore w:val="0"/>
        <w:widowControl w:val="0"/>
        <w:kinsoku/>
        <w:wordWrap/>
        <w:overflowPunct/>
        <w:topLinePunct w:val="0"/>
        <w:bidi w:val="0"/>
        <w:snapToGrid/>
        <w:spacing w:line="400" w:lineRule="exact"/>
        <w:ind w:left="-2" w:leftChars="-1"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（1）投标文件没有对招标文件的实质性要求和条件作出响应，或者对招标文件的偏差超出招标文件规定的偏差范围或最高项数；</w:t>
      </w:r>
    </w:p>
    <w:p w14:paraId="735E97A9">
      <w:pPr>
        <w:keepNext w:val="0"/>
        <w:keepLines w:val="0"/>
        <w:pageBreakBefore w:val="0"/>
        <w:widowControl w:val="0"/>
        <w:kinsoku/>
        <w:wordWrap/>
        <w:overflowPunct/>
        <w:topLinePunct w:val="0"/>
        <w:bidi w:val="0"/>
        <w:snapToGrid/>
        <w:spacing w:line="400" w:lineRule="exact"/>
        <w:ind w:left="-2" w:leftChars="-1"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（2）有串通投标、弄虚作假、行贿等违法行为。</w:t>
      </w:r>
    </w:p>
    <w:p w14:paraId="1F0D0330">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3.2 详细评审</w:t>
      </w:r>
    </w:p>
    <w:p w14:paraId="3AECA562">
      <w:pPr>
        <w:keepNext w:val="0"/>
        <w:keepLines w:val="0"/>
        <w:pageBreakBefore w:val="0"/>
        <w:widowControl w:val="0"/>
        <w:kinsoku/>
        <w:wordWrap/>
        <w:overflowPunct/>
        <w:topLinePunct w:val="0"/>
        <w:bidi w:val="0"/>
        <w:snapToGrid/>
        <w:spacing w:line="400" w:lineRule="exact"/>
        <w:ind w:left="-2" w:leftChars="-1"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3.2.1 评标委员会按本章第 2.2 款规定的量化因素和分值进行打分，并计算出综合评估得分。</w:t>
      </w:r>
    </w:p>
    <w:p w14:paraId="09263EE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（1）按本章第 2.2.4（1）目规定的评审因素和分值对</w:t>
      </w:r>
      <w:r>
        <w:rPr>
          <w:rFonts w:hint="eastAsia" w:ascii="宋体" w:hAnsi="宋体" w:eastAsia="宋体" w:cs="宋体"/>
          <w:sz w:val="24"/>
          <w:szCs w:val="24"/>
          <w:lang w:eastAsia="zh-CN"/>
        </w:rPr>
        <w:t>商务部分</w:t>
      </w:r>
      <w:r>
        <w:rPr>
          <w:rFonts w:hint="eastAsia" w:ascii="宋体" w:hAnsi="宋体" w:eastAsia="宋体" w:cs="宋体"/>
          <w:sz w:val="24"/>
          <w:szCs w:val="24"/>
        </w:rPr>
        <w:t>计算出得分 A；</w:t>
      </w:r>
    </w:p>
    <w:p w14:paraId="44D74C5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（2）按本章第 2.2.4（2）目规定的评审因素和分值对</w:t>
      </w:r>
      <w:r>
        <w:rPr>
          <w:rFonts w:hint="eastAsia" w:ascii="宋体" w:hAnsi="宋体" w:eastAsia="宋体" w:cs="宋体"/>
          <w:sz w:val="24"/>
          <w:szCs w:val="24"/>
          <w:lang w:eastAsia="zh-CN"/>
        </w:rPr>
        <w:t>技术部</w:t>
      </w:r>
      <w:r>
        <w:rPr>
          <w:rFonts w:hint="eastAsia" w:ascii="宋体" w:hAnsi="宋体" w:eastAsia="宋体" w:cs="宋体"/>
          <w:sz w:val="24"/>
          <w:szCs w:val="24"/>
        </w:rPr>
        <w:t>分计算出得分 B；</w:t>
      </w:r>
    </w:p>
    <w:p w14:paraId="15640DD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（3）按本章第 2.2.4（3）目规定的评审因素和分值对</w:t>
      </w:r>
      <w:r>
        <w:rPr>
          <w:rFonts w:hint="eastAsia" w:ascii="宋体" w:hAnsi="宋体" w:eastAsia="宋体" w:cs="宋体"/>
          <w:sz w:val="24"/>
          <w:szCs w:val="24"/>
          <w:lang w:eastAsia="zh-CN"/>
        </w:rPr>
        <w:t>报价部分</w:t>
      </w:r>
      <w:r>
        <w:rPr>
          <w:rFonts w:hint="eastAsia" w:ascii="宋体" w:hAnsi="宋体" w:eastAsia="宋体" w:cs="宋体"/>
          <w:sz w:val="24"/>
          <w:szCs w:val="24"/>
        </w:rPr>
        <w:t>计算出得分 C；</w:t>
      </w:r>
    </w:p>
    <w:p w14:paraId="412B5A6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）按本章第 2.2.4（</w:t>
      </w:r>
      <w:r>
        <w:rPr>
          <w:rFonts w:hint="eastAsia" w:ascii="宋体" w:hAnsi="宋体" w:eastAsia="宋体" w:cs="宋体"/>
          <w:sz w:val="24"/>
          <w:szCs w:val="24"/>
          <w:lang w:val="en-US" w:eastAsia="zh-CN"/>
        </w:rPr>
        <w:t>4</w:t>
      </w:r>
      <w:r>
        <w:rPr>
          <w:rFonts w:hint="eastAsia" w:ascii="宋体" w:hAnsi="宋体" w:eastAsia="宋体" w:cs="宋体"/>
          <w:sz w:val="24"/>
          <w:szCs w:val="24"/>
        </w:rPr>
        <w:t>）目规定的评审因素和分值对</w:t>
      </w:r>
      <w:r>
        <w:rPr>
          <w:rFonts w:hint="eastAsia" w:ascii="宋体" w:hAnsi="宋体" w:eastAsia="宋体" w:cs="宋体"/>
          <w:sz w:val="24"/>
          <w:szCs w:val="24"/>
          <w:lang w:eastAsia="zh-CN"/>
        </w:rPr>
        <w:t>其他部分</w:t>
      </w:r>
      <w:r>
        <w:rPr>
          <w:rFonts w:hint="eastAsia" w:ascii="宋体" w:hAnsi="宋体" w:eastAsia="宋体" w:cs="宋体"/>
          <w:sz w:val="24"/>
          <w:szCs w:val="24"/>
        </w:rPr>
        <w:t xml:space="preserve">计算出得分 </w:t>
      </w:r>
      <w:r>
        <w:rPr>
          <w:rFonts w:hint="eastAsia" w:ascii="宋体" w:hAnsi="宋体" w:eastAsia="宋体" w:cs="宋体"/>
          <w:sz w:val="24"/>
          <w:szCs w:val="24"/>
          <w:lang w:val="en-US" w:eastAsia="zh-CN"/>
        </w:rPr>
        <w:t>D</w:t>
      </w:r>
      <w:r>
        <w:rPr>
          <w:rFonts w:hint="eastAsia" w:ascii="宋体" w:hAnsi="宋体" w:eastAsia="宋体" w:cs="宋体"/>
          <w:sz w:val="24"/>
          <w:szCs w:val="24"/>
        </w:rPr>
        <w:t>；</w:t>
      </w:r>
    </w:p>
    <w:p w14:paraId="7C4E73EE">
      <w:pPr>
        <w:keepNext w:val="0"/>
        <w:keepLines w:val="0"/>
        <w:pageBreakBefore w:val="0"/>
        <w:widowControl w:val="0"/>
        <w:kinsoku/>
        <w:wordWrap/>
        <w:overflowPunct/>
        <w:topLinePunct w:val="0"/>
        <w:bidi w:val="0"/>
        <w:snapToGrid/>
        <w:spacing w:line="400" w:lineRule="exact"/>
        <w:ind w:left="-2" w:leftChars="-1"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3.2.2 评分分值计算保留小数点后两位，小数点后第三位“四舍五入”。</w:t>
      </w:r>
    </w:p>
    <w:p w14:paraId="52897728">
      <w:pPr>
        <w:keepNext w:val="0"/>
        <w:keepLines w:val="0"/>
        <w:pageBreakBefore w:val="0"/>
        <w:widowControl w:val="0"/>
        <w:kinsoku/>
        <w:wordWrap/>
        <w:overflowPunct/>
        <w:topLinePunct w:val="0"/>
        <w:bidi w:val="0"/>
        <w:snapToGrid/>
        <w:spacing w:line="400" w:lineRule="exact"/>
        <w:ind w:left="-2" w:leftChars="-1"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3.2.3 </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得分=A+B+C</w:t>
      </w:r>
      <w:r>
        <w:rPr>
          <w:rFonts w:hint="eastAsia" w:ascii="宋体" w:hAnsi="宋体" w:eastAsia="宋体" w:cs="宋体"/>
          <w:color w:val="000000" w:themeColor="text1"/>
          <w:sz w:val="24"/>
          <w:szCs w:val="24"/>
          <w:highlight w:val="none"/>
          <w:lang w:val="en-US" w:eastAsia="zh-CN"/>
          <w14:textFill>
            <w14:solidFill>
              <w14:schemeClr w14:val="tx1"/>
            </w14:solidFill>
          </w14:textFill>
        </w:rPr>
        <w:t>+D</w:t>
      </w:r>
      <w:r>
        <w:rPr>
          <w:rFonts w:hint="eastAsia" w:ascii="宋体" w:hAnsi="宋体" w:eastAsia="宋体" w:cs="宋体"/>
          <w:color w:val="000000" w:themeColor="text1"/>
          <w:sz w:val="24"/>
          <w:szCs w:val="24"/>
          <w:highlight w:val="none"/>
          <w14:textFill>
            <w14:solidFill>
              <w14:schemeClr w14:val="tx1"/>
            </w14:solidFill>
          </w14:textFill>
        </w:rPr>
        <w:t>。</w:t>
      </w:r>
    </w:p>
    <w:p w14:paraId="47BB449B">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3.3 投标文件的澄清</w:t>
      </w:r>
    </w:p>
    <w:p w14:paraId="50E495EA">
      <w:pPr>
        <w:keepNext w:val="0"/>
        <w:keepLines w:val="0"/>
        <w:pageBreakBefore w:val="0"/>
        <w:widowControl w:val="0"/>
        <w:kinsoku/>
        <w:wordWrap/>
        <w:overflowPunct/>
        <w:topLinePunct w:val="0"/>
        <w:bidi w:val="0"/>
        <w:snapToGrid/>
        <w:spacing w:line="400" w:lineRule="exact"/>
        <w:ind w:left="-2" w:leftChars="-1"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3.3.1 在评标过程中，评标委员会可以书面形式要求</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对投标文件中含义不明确、对同类问题表述不一致或者有明显文字和计算错误的内容作必要的澄清、说明或补正。澄清、说明或补正应以书面方式进行。评标委员会不接受</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主动提出的澄清、说明或补正。</w:t>
      </w:r>
    </w:p>
    <w:p w14:paraId="2B603D62">
      <w:pPr>
        <w:keepNext w:val="0"/>
        <w:keepLines w:val="0"/>
        <w:pageBreakBefore w:val="0"/>
        <w:widowControl w:val="0"/>
        <w:kinsoku/>
        <w:wordWrap/>
        <w:overflowPunct/>
        <w:topLinePunct w:val="0"/>
        <w:bidi w:val="0"/>
        <w:snapToGrid/>
        <w:spacing w:line="400" w:lineRule="exact"/>
        <w:ind w:left="-2" w:leftChars="-1"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3.3.2 澄清、说明或补正不得超出投标文件的范围且不得改变投标文件的实质性内容，并构成投标文件的组成部分。</w:t>
      </w:r>
    </w:p>
    <w:p w14:paraId="7AD7A2BE">
      <w:pPr>
        <w:keepNext w:val="0"/>
        <w:keepLines w:val="0"/>
        <w:pageBreakBefore w:val="0"/>
        <w:widowControl w:val="0"/>
        <w:kinsoku/>
        <w:wordWrap/>
        <w:overflowPunct/>
        <w:topLinePunct w:val="0"/>
        <w:bidi w:val="0"/>
        <w:snapToGrid/>
        <w:spacing w:line="400" w:lineRule="exact"/>
        <w:ind w:left="-2" w:leftChars="-1"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3.3.3 评标委员会对</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提交的澄清、说明或补正有疑问的，可以要求</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进一步澄清、说明或补正，直至满足评标委员会的要求。</w:t>
      </w:r>
    </w:p>
    <w:p w14:paraId="42C027C1">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3.4 评标结果</w:t>
      </w:r>
    </w:p>
    <w:p w14:paraId="0ED10313">
      <w:pPr>
        <w:keepNext w:val="0"/>
        <w:keepLines w:val="0"/>
        <w:pageBreakBefore w:val="0"/>
        <w:widowControl w:val="0"/>
        <w:kinsoku/>
        <w:wordWrap/>
        <w:overflowPunct/>
        <w:topLinePunct w:val="0"/>
        <w:bidi w:val="0"/>
        <w:snapToGrid/>
        <w:spacing w:line="400" w:lineRule="exact"/>
        <w:ind w:left="-2" w:leftChars="-1"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3.4.1 除第二章“</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须知”前附表授权直接确定中标人外，评标委员会按照得分由高到低的顺序推荐中标候选人，并标明排序。</w:t>
      </w:r>
    </w:p>
    <w:p w14:paraId="365D163E">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3.4.2 评标委员会完成评标后，应当向采购人提交书面评标报告和中标候选人名</w:t>
      </w:r>
      <w:r>
        <w:rPr>
          <w:rFonts w:hint="eastAsia" w:ascii="宋体" w:hAnsi="宋体" w:eastAsia="宋体" w:cs="宋体"/>
          <w:sz w:val="24"/>
          <w:szCs w:val="24"/>
        </w:rPr>
        <w:t>单</w:t>
      </w:r>
      <w:r>
        <w:rPr>
          <w:rFonts w:hint="eastAsia" w:ascii="宋体" w:hAnsi="宋体" w:eastAsia="宋体" w:cs="宋体"/>
          <w:sz w:val="24"/>
          <w:szCs w:val="24"/>
          <w:lang w:eastAsia="zh-CN"/>
        </w:rPr>
        <w:t>及</w:t>
      </w:r>
      <w:r>
        <w:rPr>
          <w:rFonts w:hint="eastAsia" w:ascii="宋体" w:hAnsi="宋体" w:eastAsia="宋体" w:cs="宋体"/>
          <w:sz w:val="24"/>
          <w:szCs w:val="24"/>
        </w:rPr>
        <w:t>拟中标人名单</w:t>
      </w:r>
      <w:r>
        <w:rPr>
          <w:rFonts w:hint="eastAsia" w:ascii="宋体" w:hAnsi="宋体" w:eastAsia="宋体" w:cs="宋体"/>
          <w:color w:val="000000" w:themeColor="text1"/>
          <w:sz w:val="24"/>
          <w:szCs w:val="24"/>
          <w:highlight w:val="none"/>
          <w14:textFill>
            <w14:solidFill>
              <w14:schemeClr w14:val="tx1"/>
            </w14:solidFill>
          </w14:textFill>
        </w:rPr>
        <w:t>。</w:t>
      </w:r>
    </w:p>
    <w:p w14:paraId="6195CA7A">
      <w:pP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br w:type="page"/>
      </w:r>
    </w:p>
    <w:p w14:paraId="0B0DD146">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据财政部《关于印发《政府釆购促进中小企业发展管理办法》的通知》（财库〔2020〕 46号） 规定本项目对小型和微型企业产品的价格给予扣除，用扣除后的价格参与评审，但参加本次采购活动的中小企业应当提供本办法规定的《中小企业声明函》。小型、微型企业提供中型企业制造货物的，视同为中型企业。</w:t>
      </w:r>
    </w:p>
    <w:p w14:paraId="58A0C4D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pPr>
      <w:bookmarkStart w:id="28" w:name="bookmark348"/>
      <w:bookmarkStart w:id="29" w:name="bookmark349"/>
      <w:bookmarkStart w:id="30" w:name="bookmark350"/>
      <w:r>
        <w:rPr>
          <w:rFonts w:hint="eastAsia" w:asciiTheme="majorEastAsia" w:hAnsiTheme="majorEastAsia" w:eastAsiaTheme="majorEastAsia" w:cstheme="majorEastAsia"/>
          <w:b/>
          <w:bCs/>
          <w:color w:val="000000" w:themeColor="text1"/>
          <w:sz w:val="32"/>
          <w:szCs w:val="32"/>
          <w:highlight w:val="none"/>
          <w14:textFill>
            <w14:solidFill>
              <w14:schemeClr w14:val="tx1"/>
            </w14:solidFill>
          </w14:textFill>
        </w:rPr>
        <w:t>关于印发《政府采购促进中小企业发展管理办法》的通知</w:t>
      </w:r>
      <w:bookmarkEnd w:id="28"/>
      <w:bookmarkEnd w:id="29"/>
      <w:bookmarkEnd w:id="30"/>
    </w:p>
    <w:p w14:paraId="4BD2E33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highlight w:val="none"/>
          <w14:textFill>
            <w14:solidFill>
              <w14:schemeClr w14:val="tx1"/>
            </w14:solidFill>
          </w14:textFill>
        </w:rPr>
        <w:t>财库〔2020） 46号</w:t>
      </w:r>
    </w:p>
    <w:p w14:paraId="0A11DA9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各中央预算单位办公厅（室），各省、自治区、直辖市、计划单列市财政厅（局）、 工业和信息化主管部门，新疆生产建设兵团财政局、工业和信息化主管部门：</w:t>
      </w:r>
    </w:p>
    <w:p w14:paraId="6021617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 业发展管理办法》。现印发给你们，请遵照执行。</w:t>
      </w:r>
    </w:p>
    <w:p w14:paraId="03F1FCFD">
      <w:pPr>
        <w:spacing w:line="500" w:lineRule="exact"/>
        <w:rPr>
          <w:rFonts w:ascii="宋体" w:hAnsi="宋体" w:cs="宋体"/>
          <w:color w:val="000000" w:themeColor="text1"/>
          <w:sz w:val="24"/>
          <w:szCs w:val="24"/>
          <w:highlight w:val="none"/>
          <w14:textFill>
            <w14:solidFill>
              <w14:schemeClr w14:val="tx1"/>
            </w14:solidFill>
          </w14:textFill>
        </w:rPr>
      </w:pPr>
      <w:bookmarkStart w:id="31" w:name="bookmark353"/>
      <w:bookmarkStart w:id="32" w:name="bookmark352"/>
      <w:bookmarkStart w:id="33" w:name="bookmark351"/>
    </w:p>
    <w:p w14:paraId="7E0BDF18">
      <w:pPr>
        <w:spacing w:line="500" w:lineRule="exact"/>
        <w:rPr>
          <w:rFonts w:ascii="宋体" w:hAnsi="宋体" w:cs="宋体"/>
          <w:color w:val="000000" w:themeColor="text1"/>
          <w:sz w:val="28"/>
          <w:szCs w:val="28"/>
          <w:highlight w:val="none"/>
          <w14:textFill>
            <w14:solidFill>
              <w14:schemeClr w14:val="tx1"/>
            </w14:solidFill>
          </w14:textFill>
        </w:rPr>
      </w:pPr>
    </w:p>
    <w:p w14:paraId="5A3D9A51">
      <w:pPr>
        <w:spacing w:line="500" w:lineRule="exact"/>
        <w:jc w:val="righ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财政部</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工业和信息化部</w:t>
      </w:r>
      <w:bookmarkEnd w:id="31"/>
      <w:bookmarkEnd w:id="32"/>
      <w:bookmarkEnd w:id="33"/>
    </w:p>
    <w:p w14:paraId="1492B73F">
      <w:pPr>
        <w:spacing w:line="500" w:lineRule="exact"/>
        <w:jc w:val="right"/>
        <w:rPr>
          <w:rFonts w:ascii="宋体" w:hAnsi="宋体" w:cs="宋体"/>
          <w:color w:val="000000" w:themeColor="text1"/>
          <w:sz w:val="24"/>
          <w:szCs w:val="24"/>
          <w:highlight w:val="none"/>
          <w14:textFill>
            <w14:solidFill>
              <w14:schemeClr w14:val="tx1"/>
            </w14:solidFill>
          </w14:textFill>
        </w:rPr>
      </w:pPr>
    </w:p>
    <w:p w14:paraId="4DB5F441">
      <w:pPr>
        <w:spacing w:line="500" w:lineRule="exact"/>
        <w:ind w:firstLine="480" w:firstLineChars="200"/>
        <w:jc w:val="right"/>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2020年12月18日</w:t>
      </w:r>
    </w:p>
    <w:p w14:paraId="0A4041F3">
      <w:pPr>
        <w:jc w:val="center"/>
        <w:rPr>
          <w:rFonts w:ascii="宋体" w:hAnsi="宋体" w:cs="宋体"/>
          <w:b/>
          <w:bCs/>
          <w:color w:val="000000" w:themeColor="text1"/>
          <w:sz w:val="44"/>
          <w:szCs w:val="44"/>
          <w:highlight w:val="none"/>
          <w14:textFill>
            <w14:solidFill>
              <w14:schemeClr w14:val="tx1"/>
            </w14:solidFill>
          </w14:textFill>
        </w:rPr>
      </w:pPr>
    </w:p>
    <w:p w14:paraId="128C1A4F">
      <w:pPr>
        <w:jc w:val="center"/>
        <w:rPr>
          <w:rFonts w:ascii="宋体" w:hAnsi="宋体" w:cs="宋体"/>
          <w:b/>
          <w:bCs/>
          <w:color w:val="000000" w:themeColor="text1"/>
          <w:sz w:val="44"/>
          <w:szCs w:val="44"/>
          <w:highlight w:val="none"/>
          <w14:textFill>
            <w14:solidFill>
              <w14:schemeClr w14:val="tx1"/>
            </w14:solidFill>
          </w14:textFill>
        </w:rPr>
      </w:pPr>
    </w:p>
    <w:p w14:paraId="61499EB7">
      <w:pPr>
        <w:jc w:val="center"/>
        <w:rPr>
          <w:rFonts w:ascii="宋体" w:hAnsi="宋体" w:cs="宋体"/>
          <w:b/>
          <w:bCs/>
          <w:color w:val="000000" w:themeColor="text1"/>
          <w:sz w:val="44"/>
          <w:szCs w:val="44"/>
          <w:highlight w:val="none"/>
          <w14:textFill>
            <w14:solidFill>
              <w14:schemeClr w14:val="tx1"/>
            </w14:solidFill>
          </w14:textFill>
        </w:rPr>
      </w:pPr>
    </w:p>
    <w:p w14:paraId="61069B8A">
      <w:pPr>
        <w:jc w:val="center"/>
        <w:rPr>
          <w:rFonts w:ascii="宋体" w:hAnsi="宋体" w:cs="宋体"/>
          <w:b/>
          <w:bCs/>
          <w:color w:val="000000" w:themeColor="text1"/>
          <w:sz w:val="44"/>
          <w:szCs w:val="44"/>
          <w:highlight w:val="none"/>
          <w14:textFill>
            <w14:solidFill>
              <w14:schemeClr w14:val="tx1"/>
            </w14:solidFill>
          </w14:textFill>
        </w:rPr>
      </w:pPr>
    </w:p>
    <w:p w14:paraId="4E4FCC6E">
      <w:pPr>
        <w:jc w:val="center"/>
        <w:rPr>
          <w:rFonts w:ascii="宋体" w:hAnsi="宋体" w:cs="宋体"/>
          <w:b/>
          <w:bCs/>
          <w:color w:val="000000" w:themeColor="text1"/>
          <w:sz w:val="44"/>
          <w:szCs w:val="44"/>
          <w:highlight w:val="none"/>
          <w14:textFill>
            <w14:solidFill>
              <w14:schemeClr w14:val="tx1"/>
            </w14:solidFill>
          </w14:textFill>
        </w:rPr>
      </w:pPr>
    </w:p>
    <w:p w14:paraId="4D6A689A">
      <w:pPr>
        <w:pStyle w:val="2"/>
        <w:ind w:left="1303" w:hanging="883"/>
        <w:rPr>
          <w:rFonts w:ascii="宋体" w:hAnsi="宋体" w:cs="宋体"/>
          <w:b/>
          <w:bCs/>
          <w:color w:val="000000" w:themeColor="text1"/>
          <w:sz w:val="44"/>
          <w:szCs w:val="44"/>
          <w:highlight w:val="none"/>
          <w14:textFill>
            <w14:solidFill>
              <w14:schemeClr w14:val="tx1"/>
            </w14:solidFill>
          </w14:textFill>
        </w:rPr>
      </w:pPr>
    </w:p>
    <w:p w14:paraId="369541E7">
      <w:pPr>
        <w:rPr>
          <w:rFonts w:hint="eastAsia" w:ascii="宋体" w:hAnsi="宋体" w:cs="宋体"/>
          <w:b/>
          <w:bCs/>
          <w:sz w:val="28"/>
          <w:szCs w:val="36"/>
          <w:highlight w:val="none"/>
        </w:rPr>
      </w:pPr>
    </w:p>
    <w:p w14:paraId="1FD350FB">
      <w:pPr>
        <w:rPr>
          <w:rFonts w:hint="eastAsia"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br w:type="page"/>
      </w:r>
    </w:p>
    <w:p w14:paraId="657A21F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t>关于进一步加大政府采购支持中小企业力度的通知</w:t>
      </w:r>
    </w:p>
    <w:p w14:paraId="2F64C22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t>财库〔2022〕19号</w:t>
      </w:r>
    </w:p>
    <w:p w14:paraId="7D31647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各中央预算单位，各省、自治区、直辖市、计划单列市财政厅（局），新疆生产建设兵团财政局：</w:t>
      </w:r>
    </w:p>
    <w:p w14:paraId="4003C0C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4BC7FE1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014C888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4BD1E9A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20C74E5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四、认真做好组织实施。各地区、各部门应当加强组织领导，明确工作责任，细化执行要求，强化监督检查，确保国务院部署落实到位，对通知执行中出现的问题要及时向财政部报告。</w:t>
      </w:r>
    </w:p>
    <w:p w14:paraId="3FB15ED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sz w:val="24"/>
          <w:szCs w:val="32"/>
          <w:highlight w:val="none"/>
        </w:rPr>
      </w:pPr>
      <w:r>
        <w:rPr>
          <w:rFonts w:hint="eastAsia" w:asciiTheme="minorEastAsia" w:hAnsiTheme="minorEastAsia" w:eastAsiaTheme="minorEastAsia" w:cstheme="minorEastAsia"/>
          <w:sz w:val="24"/>
          <w:szCs w:val="32"/>
          <w:highlight w:val="none"/>
        </w:rPr>
        <w:t>本通知自2022年7月1日起执行。</w:t>
      </w:r>
    </w:p>
    <w:p w14:paraId="200586F1">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cs="宋体"/>
          <w:highlight w:val="none"/>
        </w:rPr>
      </w:pPr>
      <w:r>
        <w:rPr>
          <w:rFonts w:hint="eastAsia" w:ascii="宋体" w:hAnsi="宋体" w:cs="宋体"/>
          <w:highlight w:val="none"/>
        </w:rPr>
        <w:t> </w:t>
      </w:r>
    </w:p>
    <w:p w14:paraId="166720A3">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财  政  部</w:t>
      </w:r>
    </w:p>
    <w:p w14:paraId="50E17D47">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2022年5月30日</w:t>
      </w:r>
    </w:p>
    <w:p w14:paraId="5FE3A49B">
      <w:pPr>
        <w:rPr>
          <w:rFonts w:hint="eastAsia" w:ascii="宋体" w:hAnsi="宋体" w:cs="宋体"/>
          <w:b/>
          <w:bCs/>
          <w:sz w:val="28"/>
          <w:szCs w:val="36"/>
          <w:highlight w:val="none"/>
        </w:rPr>
      </w:pPr>
      <w:r>
        <w:rPr>
          <w:rFonts w:hint="eastAsia" w:ascii="宋体" w:hAnsi="宋体" w:cs="宋体"/>
          <w:b/>
          <w:bCs/>
          <w:sz w:val="28"/>
          <w:szCs w:val="36"/>
          <w:highlight w:val="none"/>
        </w:rPr>
        <w:br w:type="page"/>
      </w:r>
    </w:p>
    <w:p w14:paraId="34FF961D">
      <w:pPr>
        <w:pStyle w:val="14"/>
        <w:rPr>
          <w:rFonts w:hint="eastAsia"/>
        </w:rPr>
      </w:pPr>
    </w:p>
    <w:p w14:paraId="19FB637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heme="majorEastAsia" w:hAnsiTheme="majorEastAsia" w:eastAsiaTheme="majorEastAsia" w:cstheme="majorEastAsia"/>
          <w:b/>
          <w:bCs/>
          <w:sz w:val="30"/>
          <w:szCs w:val="30"/>
          <w:highlight w:val="none"/>
        </w:rPr>
      </w:pPr>
      <w:r>
        <w:rPr>
          <w:rFonts w:hint="eastAsia" w:asciiTheme="majorEastAsia" w:hAnsiTheme="majorEastAsia" w:eastAsiaTheme="majorEastAsia" w:cstheme="majorEastAsia"/>
          <w:b/>
          <w:bCs/>
          <w:sz w:val="30"/>
          <w:szCs w:val="30"/>
          <w:highlight w:val="none"/>
        </w:rPr>
        <w:t>关于印发《吉林省强化政府采购政策支持中小企业发展落实举措》的通知</w:t>
      </w:r>
    </w:p>
    <w:p w14:paraId="4A20C7E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heme="majorEastAsia" w:hAnsiTheme="majorEastAsia" w:eastAsiaTheme="majorEastAsia" w:cstheme="majorEastAsia"/>
          <w:b/>
          <w:bCs/>
          <w:sz w:val="30"/>
          <w:szCs w:val="30"/>
          <w:highlight w:val="none"/>
        </w:rPr>
      </w:pPr>
      <w:r>
        <w:rPr>
          <w:rFonts w:hint="eastAsia" w:asciiTheme="majorEastAsia" w:hAnsiTheme="majorEastAsia" w:eastAsiaTheme="majorEastAsia" w:cstheme="majorEastAsia"/>
          <w:b/>
          <w:bCs/>
          <w:sz w:val="30"/>
          <w:szCs w:val="30"/>
          <w:highlight w:val="none"/>
        </w:rPr>
        <w:t>吉财采购〔2022〕478号</w:t>
      </w:r>
    </w:p>
    <w:p w14:paraId="0B8A67F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各省级主管预算单位，各市（州）、县（市、区）财政局，长白山管委会、长春新区、中韩（长春）国际合作示范区管委会财政局，各政府采购代理机构：</w:t>
      </w:r>
    </w:p>
    <w:p w14:paraId="7A89FFB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现将《吉林省强化政府采购政策支持中小企业发展落实举措》印发给你们，请遵照执行。</w:t>
      </w:r>
    </w:p>
    <w:p w14:paraId="513ADCB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附件：吉林省强化政府采购政策支持中小企业发展落实举措</w:t>
      </w:r>
    </w:p>
    <w:p w14:paraId="20AF09F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w:t>
      </w:r>
    </w:p>
    <w:p w14:paraId="2A252A19">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吉林省财政厅</w:t>
      </w:r>
    </w:p>
    <w:p w14:paraId="2DE8C773">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2022年6月6日</w:t>
      </w:r>
    </w:p>
    <w:p w14:paraId="14C45DB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8"/>
          <w:szCs w:val="28"/>
          <w:highlight w:val="none"/>
        </w:rPr>
      </w:pPr>
    </w:p>
    <w:p w14:paraId="029D0A4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t>附件：</w:t>
      </w:r>
    </w:p>
    <w:p w14:paraId="6386DC3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 </w:t>
      </w:r>
    </w:p>
    <w:p w14:paraId="01617D0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t>吉林省强化政府采购政策支持中小企业发展落实举措</w:t>
      </w:r>
    </w:p>
    <w:p w14:paraId="2A60F81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 </w:t>
      </w:r>
    </w:p>
    <w:p w14:paraId="4AF2B59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为贯彻落实《国务院关于印发扎实稳住经济一揽子政策措施的通知》（国发〔2022〕12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号）规定，提出如下落实措施：</w:t>
      </w:r>
    </w:p>
    <w:p w14:paraId="67F7CEC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一、强化政策落实支持中小企业发展</w:t>
      </w:r>
    </w:p>
    <w:p w14:paraId="40DDDF3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各级预算单位要认真落实《政府采购促进中小企业发展管理办法》（财库〔2020〕46号，以下简称《办法》）的规定，加强采购需求管理，规范资格条件设置，降低中小企业参加政府采购活动门槛 。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w:t>
      </w:r>
    </w:p>
    <w:p w14:paraId="5B08D17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w:t>
      </w:r>
    </w:p>
    <w:p w14:paraId="7588EA5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二、提高政府采购项目价格评审优惠幅度</w:t>
      </w:r>
    </w:p>
    <w:p w14:paraId="564445D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自2022年7月1日起发布采购公告或者发出采购邀请，未预留份额专门面向中小企业采购的货物、服务项目，给予小微企业的价格扣除优惠由《办法》规定的6%-10%提高至10%-20%；大中型企业与小微企业组成联合体或者大中型企业向小微企业分包的，评审优惠幅度由2%—3%提高至4%—6%。政府采购工程的价格评审优惠按照《办法》的规定执行。</w:t>
      </w:r>
    </w:p>
    <w:p w14:paraId="78CD33E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三、提高政府采购工程项目预留份额比例</w:t>
      </w:r>
    </w:p>
    <w:p w14:paraId="71F64A4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400万元以下的工程采购项目适宜由中小企业提供的，采购人应当专门面向中小企业采购。达到或超过400万元的工程采购项目中适宜由中小企业提供的，在坚持公开、公正、公平竞争和统一质量标准的前提下，2022年下半年面向中小企业的预留份额由30%以上提高至40%以上。省财政厅将协调发改、工信、住建、交通、水利、商务等部门，按照国家相关工程招投标行政监督部门对工程招投标领域落实政府采购支持中小企业的政策要求，及时调整完善工程招投标领域有关标准文本、评标制度等，支持督促各预算单位严格落实政府采购政策。</w:t>
      </w:r>
    </w:p>
    <w:p w14:paraId="3B05694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四、降低经营成本提高履约能力</w:t>
      </w:r>
    </w:p>
    <w:p w14:paraId="5093F2E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2022年5月前实施完成的政府采购项目投标（响应）或履约保证金进行核查清理，对符合法定或合同约定退还条件的应及时退还，切实减轻中小企业资金压力。采购人在编制采购文件时可结合项目实际，明确中小企业获得合同后可采取分期付款的方式，最大限度的确定首期预付款比例，并尽量缩短资金支付期限。</w:t>
      </w:r>
    </w:p>
    <w:p w14:paraId="2A3BAC6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五、优化政府采购程序推进全流程电子化</w:t>
      </w:r>
    </w:p>
    <w:p w14:paraId="5FE3F09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中小企业参加政府采购活动，对于出具《中小企业声明函》的，任何单位和个人不得另行要求提供《中小企业声明函》之外的中小企业身份证明文件。对于法人代表已经出具委托书的，不得要求法人代表亲自领购采购文件或者到场参加开标、谈判等。加快推进全省政府采购全流程电子化建设，实现在线发布采购公告、提供采购文件、提交投标（响应）文件，实行电子开标、电子评审，提升中小企业参与政府采购活动的便利度。</w:t>
      </w:r>
    </w:p>
    <w:p w14:paraId="5CE2E9C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六、加强项目执行管理提升政府采购透明度</w:t>
      </w:r>
    </w:p>
    <w:p w14:paraId="0BFD7E6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采购人、采购代理机构对投标（响应）文件的格式、形式要求应当简化明确，不得因非实质性的格式、形式问题限制和影响中小企业投标（响应）。实现电子化采购的，采购人、采购代理机构应当免费提供电子采购文件；暂未实现电子化采购的，鼓励采购人、采购代理机构向中小企业免费提供纸质采购文件。各级预算单位在公开政府采购意向时，必须标明是否专门面向中小企业采购，便于中小企业提前做好参与政府采购活动的各项准备工作。未按照规定进行政府采购意向公开的采购项目，原则上不得开展采购活动。</w:t>
      </w:r>
    </w:p>
    <w:p w14:paraId="489E49D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Theme="minorEastAsia" w:hAnsiTheme="minorEastAsia" w:eastAsiaTheme="minorEastAsia" w:cstheme="minorEastAsia"/>
          <w:b w:val="0"/>
          <w:bCs w:val="0"/>
          <w:sz w:val="24"/>
          <w:szCs w:val="24"/>
          <w:highlight w:val="none"/>
        </w:rPr>
        <w:t>各级主管预算单位要加强对本部门、本系统政府采购项目的统筹把握，明确工作责任，周密安排部署，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w:t>
      </w:r>
    </w:p>
    <w:p w14:paraId="6E2BEC5C">
      <w:pPr>
        <w:pStyle w:val="35"/>
        <w:rPr>
          <w:rFonts w:hint="eastAsia" w:ascii="宋体" w:hAnsi="宋体" w:eastAsia="宋体" w:cs="宋体"/>
        </w:rPr>
      </w:pPr>
    </w:p>
    <w:p w14:paraId="54E5E95C">
      <w:pPr>
        <w:rPr>
          <w:rFonts w:hint="eastAsia" w:ascii="宋体" w:hAnsi="宋体" w:eastAsia="宋体" w:cs="宋体"/>
          <w:b/>
          <w:bCs/>
          <w:color w:val="000000" w:themeColor="text1"/>
          <w:sz w:val="36"/>
          <w:szCs w:val="36"/>
          <w:highlight w:val="none"/>
          <w:lang w:val="en-US" w:eastAsia="zh-CN"/>
          <w14:textFill>
            <w14:solidFill>
              <w14:schemeClr w14:val="tx1"/>
            </w14:solidFill>
          </w14:textFill>
        </w:rPr>
      </w:pPr>
      <w:bookmarkStart w:id="34" w:name="_Toc27947"/>
      <w:bookmarkStart w:id="35" w:name="_Toc19205"/>
      <w:bookmarkStart w:id="36" w:name="_Toc7193"/>
      <w:r>
        <w:rPr>
          <w:rFonts w:hint="eastAsia" w:ascii="宋体" w:hAnsi="宋体" w:eastAsia="宋体" w:cs="宋体"/>
          <w:b/>
          <w:bCs/>
          <w:color w:val="000000" w:themeColor="text1"/>
          <w:sz w:val="36"/>
          <w:szCs w:val="36"/>
          <w:highlight w:val="none"/>
          <w:lang w:val="en-US" w:eastAsia="zh-CN"/>
          <w14:textFill>
            <w14:solidFill>
              <w14:schemeClr w14:val="tx1"/>
            </w14:solidFill>
          </w14:textFill>
        </w:rPr>
        <w:br w:type="page"/>
      </w:r>
    </w:p>
    <w:p w14:paraId="4CD8166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hint="eastAsia" w:ascii="宋体" w:hAnsi="宋体" w:eastAsia="宋体" w:cs="宋体"/>
          <w:b/>
          <w:bCs/>
          <w:color w:val="000000" w:themeColor="text1"/>
          <w:sz w:val="44"/>
          <w:szCs w:val="44"/>
          <w:highlight w:val="none"/>
          <w:lang w:val="en-US" w:eastAsia="zh-CN"/>
          <w14:textFill>
            <w14:solidFill>
              <w14:schemeClr w14:val="tx1"/>
            </w14:solidFill>
          </w14:textFill>
        </w:rPr>
      </w:pPr>
      <w:r>
        <w:rPr>
          <w:rFonts w:hint="eastAsia" w:ascii="宋体" w:hAnsi="宋体" w:eastAsia="宋体" w:cs="宋体"/>
          <w:b/>
          <w:bCs/>
          <w:color w:val="000000" w:themeColor="text1"/>
          <w:sz w:val="36"/>
          <w:szCs w:val="36"/>
          <w:highlight w:val="none"/>
          <w:lang w:val="en-US" w:eastAsia="zh-CN"/>
          <w14:textFill>
            <w14:solidFill>
              <w14:schemeClr w14:val="tx1"/>
            </w14:solidFill>
          </w14:textFill>
        </w:rPr>
        <w:t>第四章 政府采购合同书格式及条款</w:t>
      </w:r>
      <w:bookmarkEnd w:id="34"/>
      <w:bookmarkEnd w:id="35"/>
    </w:p>
    <w:p w14:paraId="1FFCAA01">
      <w:pPr>
        <w:pageBreakBefore w:val="0"/>
        <w:kinsoku/>
        <w:wordWrap/>
        <w:overflowPunct/>
        <w:topLinePunct w:val="0"/>
        <w:bidi w:val="0"/>
        <w:spacing w:line="500" w:lineRule="exact"/>
        <w:ind w:left="0" w:leftChars="0" w:firstLine="0" w:firstLineChars="0"/>
        <w:jc w:val="center"/>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eastAsia="宋体" w:cs="宋体"/>
          <w:b/>
          <w:color w:val="000000" w:themeColor="text1"/>
          <w:sz w:val="32"/>
          <w:szCs w:val="32"/>
          <w:highlight w:val="none"/>
          <w:lang w:eastAsia="zh-CN"/>
          <w14:textFill>
            <w14:solidFill>
              <w14:schemeClr w14:val="tx1"/>
            </w14:solidFill>
          </w14:textFill>
        </w:rPr>
        <w:t>(</w:t>
      </w:r>
      <w:r>
        <w:rPr>
          <w:rFonts w:hint="eastAsia" w:ascii="宋体" w:hAnsi="宋体" w:eastAsia="宋体" w:cs="宋体"/>
          <w:b/>
          <w:color w:val="000000" w:themeColor="text1"/>
          <w:sz w:val="32"/>
          <w:szCs w:val="32"/>
          <w:highlight w:val="none"/>
          <w14:textFill>
            <w14:solidFill>
              <w14:schemeClr w14:val="tx1"/>
            </w14:solidFill>
          </w14:textFill>
        </w:rPr>
        <w:t>以双方签订实际合同</w:t>
      </w:r>
      <w:r>
        <w:rPr>
          <w:rFonts w:hint="eastAsia" w:ascii="宋体" w:hAnsi="宋体" w:eastAsia="宋体" w:cs="宋体"/>
          <w:b/>
          <w:color w:val="000000" w:themeColor="text1"/>
          <w:sz w:val="32"/>
          <w:szCs w:val="32"/>
          <w:highlight w:val="none"/>
          <w:lang w:val="en-US" w:eastAsia="zh-CN"/>
          <w14:textFill>
            <w14:solidFill>
              <w14:schemeClr w14:val="tx1"/>
            </w14:solidFill>
          </w14:textFill>
        </w:rPr>
        <w:t>书</w:t>
      </w:r>
      <w:r>
        <w:rPr>
          <w:rFonts w:hint="eastAsia" w:ascii="宋体" w:hAnsi="宋体" w:eastAsia="宋体" w:cs="宋体"/>
          <w:b/>
          <w:color w:val="000000" w:themeColor="text1"/>
          <w:sz w:val="32"/>
          <w:szCs w:val="32"/>
          <w:highlight w:val="none"/>
          <w:lang w:eastAsia="zh-CN"/>
          <w14:textFill>
            <w14:solidFill>
              <w14:schemeClr w14:val="tx1"/>
            </w14:solidFill>
          </w14:textFill>
        </w:rPr>
        <w:t>、</w:t>
      </w:r>
      <w:r>
        <w:rPr>
          <w:rFonts w:hint="eastAsia" w:ascii="宋体" w:hAnsi="宋体" w:eastAsia="宋体" w:cs="宋体"/>
          <w:b/>
          <w:color w:val="000000" w:themeColor="text1"/>
          <w:sz w:val="32"/>
          <w:szCs w:val="32"/>
          <w:highlight w:val="none"/>
          <w:lang w:val="en-US" w:eastAsia="zh-CN"/>
          <w14:textFill>
            <w14:solidFill>
              <w14:schemeClr w14:val="tx1"/>
            </w14:solidFill>
          </w14:textFill>
        </w:rPr>
        <w:t>条款</w:t>
      </w:r>
      <w:r>
        <w:rPr>
          <w:rFonts w:hint="eastAsia" w:ascii="宋体" w:hAnsi="宋体" w:eastAsia="宋体" w:cs="宋体"/>
          <w:b/>
          <w:color w:val="000000" w:themeColor="text1"/>
          <w:sz w:val="32"/>
          <w:szCs w:val="32"/>
          <w:highlight w:val="none"/>
          <w14:textFill>
            <w14:solidFill>
              <w14:schemeClr w14:val="tx1"/>
            </w14:solidFill>
          </w14:textFill>
        </w:rPr>
        <w:t>为准</w:t>
      </w:r>
      <w:r>
        <w:rPr>
          <w:rFonts w:hint="eastAsia" w:ascii="宋体" w:hAnsi="宋体" w:eastAsia="宋体" w:cs="宋体"/>
          <w:b/>
          <w:color w:val="000000" w:themeColor="text1"/>
          <w:sz w:val="32"/>
          <w:szCs w:val="32"/>
          <w:highlight w:val="none"/>
          <w:lang w:eastAsia="zh-CN"/>
          <w14:textFill>
            <w14:solidFill>
              <w14:schemeClr w14:val="tx1"/>
            </w14:solidFill>
          </w14:textFill>
        </w:rPr>
        <w:t>)</w:t>
      </w:r>
    </w:p>
    <w:p w14:paraId="600E4D6E">
      <w:pPr>
        <w:bidi w:val="0"/>
        <w:rPr>
          <w:rFonts w:hint="eastAsia" w:ascii="宋体" w:hAnsi="宋体" w:eastAsia="宋体" w:cs="宋体"/>
          <w:color w:val="000000" w:themeColor="text1"/>
          <w:highlight w:val="none"/>
          <w:lang w:val="en-US" w:eastAsia="zh-CN"/>
          <w14:textFill>
            <w14:solidFill>
              <w14:schemeClr w14:val="tx1"/>
            </w14:solidFill>
          </w14:textFill>
        </w:rPr>
      </w:pPr>
      <w:bookmarkStart w:id="37" w:name="_Toc2767"/>
      <w:bookmarkStart w:id="38" w:name="_Toc6759"/>
    </w:p>
    <w:p w14:paraId="2B2B3ED4">
      <w:pPr>
        <w:pStyle w:val="88"/>
        <w:keepNext w:val="0"/>
        <w:keepLines w:val="0"/>
        <w:pageBreakBefore w:val="0"/>
        <w:widowControl w:val="0"/>
        <w:kinsoku/>
        <w:wordWrap/>
        <w:overflowPunct/>
        <w:topLinePunct w:val="0"/>
        <w:autoSpaceDE/>
        <w:autoSpaceDN/>
        <w:bidi w:val="0"/>
        <w:adjustRightInd/>
        <w:snapToGrid/>
        <w:ind w:left="102" w:right="102"/>
        <w:jc w:val="center"/>
        <w:textAlignment w:val="auto"/>
        <w:outlineLvl w:val="1"/>
        <w:rPr>
          <w:rFonts w:hint="eastAsia" w:ascii="宋体" w:hAnsi="宋体" w:eastAsia="宋体" w:cs="宋体"/>
          <w:color w:val="000000" w:themeColor="text1"/>
          <w:szCs w:val="36"/>
          <w:highlight w:val="none"/>
          <w:lang w:val="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 xml:space="preserve">第一节 </w:t>
      </w:r>
      <w:r>
        <w:rPr>
          <w:rFonts w:hint="eastAsia" w:ascii="宋体" w:hAnsi="宋体" w:eastAsia="宋体" w:cs="宋体"/>
          <w:color w:val="000000" w:themeColor="text1"/>
          <w:highlight w:val="none"/>
          <w:lang w:val="zh-CN"/>
          <w14:textFill>
            <w14:solidFill>
              <w14:schemeClr w14:val="tx1"/>
            </w14:solidFill>
          </w14:textFill>
        </w:rPr>
        <w:t>政府采购合同书格式</w:t>
      </w:r>
      <w:bookmarkEnd w:id="37"/>
      <w:bookmarkEnd w:id="38"/>
    </w:p>
    <w:p w14:paraId="6BB214BB">
      <w:pPr>
        <w:keepNext w:val="0"/>
        <w:keepLines w:val="0"/>
        <w:pageBreakBefore w:val="0"/>
        <w:widowControl w:val="0"/>
        <w:kinsoku/>
        <w:wordWrap/>
        <w:overflowPunct/>
        <w:topLinePunct w:val="0"/>
        <w:autoSpaceDE w:val="0"/>
        <w:autoSpaceDN w:val="0"/>
        <w:bidi w:val="0"/>
        <w:adjustRightInd w:val="0"/>
        <w:snapToGrid/>
        <w:spacing w:line="500" w:lineRule="exact"/>
        <w:ind w:firstLine="1205" w:firstLineChars="500"/>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合同编号：</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0CD5BC1A">
      <w:pPr>
        <w:keepNext w:val="0"/>
        <w:keepLines w:val="0"/>
        <w:pageBreakBefore w:val="0"/>
        <w:widowControl w:val="0"/>
        <w:kinsoku/>
        <w:wordWrap/>
        <w:overflowPunct/>
        <w:topLinePunct w:val="0"/>
        <w:autoSpaceDE w:val="0"/>
        <w:autoSpaceDN w:val="0"/>
        <w:bidi w:val="0"/>
        <w:adjustRightInd w:val="0"/>
        <w:snapToGrid/>
        <w:spacing w:line="500" w:lineRule="exact"/>
        <w:ind w:firstLine="1205" w:firstLineChars="500"/>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签订地点：</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4792ABD4">
      <w:pPr>
        <w:keepNext w:val="0"/>
        <w:keepLines w:val="0"/>
        <w:pageBreakBefore w:val="0"/>
        <w:widowControl w:val="0"/>
        <w:kinsoku/>
        <w:wordWrap/>
        <w:overflowPunct/>
        <w:topLinePunct w:val="0"/>
        <w:autoSpaceDE w:val="0"/>
        <w:autoSpaceDN w:val="0"/>
        <w:bidi w:val="0"/>
        <w:adjustRightInd w:val="0"/>
        <w:snapToGrid/>
        <w:spacing w:line="500" w:lineRule="exact"/>
        <w:ind w:firstLine="1205" w:firstLineChars="5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签订日期：</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 xml:space="preserve">日 </w:t>
      </w:r>
    </w:p>
    <w:p w14:paraId="4B267347">
      <w:pPr>
        <w:keepNext w:val="0"/>
        <w:keepLines w:val="0"/>
        <w:pageBreakBefore w:val="0"/>
        <w:widowControl w:val="0"/>
        <w:kinsoku/>
        <w:wordWrap/>
        <w:overflowPunct/>
        <w:topLinePunct w:val="0"/>
        <w:autoSpaceDE/>
        <w:autoSpaceDN/>
        <w:bidi w:val="0"/>
        <w:adjustRightInd/>
        <w:snapToGrid/>
        <w:spacing w:line="500" w:lineRule="exact"/>
        <w:ind w:firstLine="1205" w:firstLineChars="500"/>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采购任务通知书编号：</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 xml:space="preserve">                          </w:t>
      </w:r>
    </w:p>
    <w:p w14:paraId="0DB0FE5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p w14:paraId="7C316CA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（需方）需求的</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（货物名称）经招标公司以编号为</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的招标文件在国内公开招标，评标委员会评定       （供方）为中标供应商。供需双方按照《中华人民共和国民法典》和有关法律法规，遵循平等、自愿、公平和诚实信用原则，同意按照下面的条款和条件订立本合同，共同信守。</w:t>
      </w:r>
    </w:p>
    <w:p w14:paraId="1BCDE6AD">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zh-CN"/>
          <w14:textFill>
            <w14:solidFill>
              <w14:schemeClr w14:val="tx1"/>
            </w14:solidFill>
          </w14:textFill>
        </w:rPr>
        <w:t xml:space="preserve">合同标的： </w:t>
      </w:r>
    </w:p>
    <w:tbl>
      <w:tblPr>
        <w:tblStyle w:val="36"/>
        <w:tblW w:w="8783" w:type="dxa"/>
        <w:jc w:val="center"/>
        <w:tblLayout w:type="fixed"/>
        <w:tblCellMar>
          <w:top w:w="0" w:type="dxa"/>
          <w:left w:w="10" w:type="dxa"/>
          <w:bottom w:w="0" w:type="dxa"/>
          <w:right w:w="10" w:type="dxa"/>
        </w:tblCellMar>
      </w:tblPr>
      <w:tblGrid>
        <w:gridCol w:w="2102"/>
        <w:gridCol w:w="2708"/>
        <w:gridCol w:w="2117"/>
        <w:gridCol w:w="1856"/>
      </w:tblGrid>
      <w:tr w14:paraId="411B1EA1">
        <w:tblPrEx>
          <w:tblCellMar>
            <w:top w:w="0" w:type="dxa"/>
            <w:left w:w="10" w:type="dxa"/>
            <w:bottom w:w="0" w:type="dxa"/>
            <w:right w:w="10" w:type="dxa"/>
          </w:tblCellMar>
        </w:tblPrEx>
        <w:trPr>
          <w:trHeight w:val="510" w:hRule="atLeast"/>
          <w:jc w:val="center"/>
        </w:trPr>
        <w:tc>
          <w:tcPr>
            <w:tcW w:w="2102" w:type="dxa"/>
            <w:tcBorders>
              <w:top w:val="single" w:color="000000" w:sz="6" w:space="0"/>
              <w:left w:val="single" w:color="000000" w:sz="6" w:space="0"/>
              <w:bottom w:val="single" w:color="000000" w:sz="6" w:space="0"/>
              <w:right w:val="single" w:color="000000" w:sz="6" w:space="0"/>
            </w:tcBorders>
            <w:noWrap w:val="0"/>
            <w:vAlign w:val="center"/>
          </w:tcPr>
          <w:p w14:paraId="3F5028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采购项目名称</w:t>
            </w:r>
          </w:p>
        </w:tc>
        <w:tc>
          <w:tcPr>
            <w:tcW w:w="2708" w:type="dxa"/>
            <w:tcBorders>
              <w:top w:val="single" w:color="000000" w:sz="6" w:space="0"/>
              <w:left w:val="single" w:color="000000" w:sz="6" w:space="0"/>
              <w:bottom w:val="single" w:color="000000" w:sz="6" w:space="0"/>
              <w:right w:val="single" w:color="000000" w:sz="6" w:space="0"/>
            </w:tcBorders>
            <w:noWrap w:val="0"/>
            <w:vAlign w:val="center"/>
          </w:tcPr>
          <w:p w14:paraId="536451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服务内容</w:t>
            </w:r>
          </w:p>
        </w:tc>
        <w:tc>
          <w:tcPr>
            <w:tcW w:w="2117" w:type="dxa"/>
            <w:tcBorders>
              <w:top w:val="single" w:color="000000" w:sz="6" w:space="0"/>
              <w:left w:val="single" w:color="000000" w:sz="6" w:space="0"/>
              <w:bottom w:val="single" w:color="000000" w:sz="6" w:space="0"/>
              <w:right w:val="single" w:color="000000" w:sz="6" w:space="0"/>
            </w:tcBorders>
            <w:noWrap w:val="0"/>
            <w:vAlign w:val="center"/>
          </w:tcPr>
          <w:p w14:paraId="2313FD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服务范围</w:t>
            </w:r>
          </w:p>
        </w:tc>
        <w:tc>
          <w:tcPr>
            <w:tcW w:w="1856" w:type="dxa"/>
            <w:tcBorders>
              <w:top w:val="single" w:color="000000" w:sz="6" w:space="0"/>
              <w:left w:val="single" w:color="000000" w:sz="6" w:space="0"/>
              <w:bottom w:val="single" w:color="000000" w:sz="6" w:space="0"/>
              <w:right w:val="single" w:color="000000" w:sz="6" w:space="0"/>
            </w:tcBorders>
            <w:noWrap w:val="0"/>
            <w:vAlign w:val="center"/>
          </w:tcPr>
          <w:p w14:paraId="49CEDE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金额</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元</w:t>
            </w:r>
            <w:r>
              <w:rPr>
                <w:rFonts w:hint="eastAsia" w:ascii="宋体" w:hAnsi="宋体" w:eastAsia="宋体" w:cs="宋体"/>
                <w:color w:val="000000" w:themeColor="text1"/>
                <w:sz w:val="24"/>
                <w:szCs w:val="24"/>
                <w:highlight w:val="none"/>
                <w14:textFill>
                  <w14:solidFill>
                    <w14:schemeClr w14:val="tx1"/>
                  </w14:solidFill>
                </w14:textFill>
              </w:rPr>
              <w:t>)</w:t>
            </w:r>
          </w:p>
        </w:tc>
      </w:tr>
      <w:tr w14:paraId="3DA81573">
        <w:tblPrEx>
          <w:tblCellMar>
            <w:top w:w="0" w:type="dxa"/>
            <w:left w:w="10" w:type="dxa"/>
            <w:bottom w:w="0" w:type="dxa"/>
            <w:right w:w="10" w:type="dxa"/>
          </w:tblCellMar>
        </w:tblPrEx>
        <w:trPr>
          <w:trHeight w:val="510" w:hRule="atLeast"/>
          <w:jc w:val="center"/>
        </w:trPr>
        <w:tc>
          <w:tcPr>
            <w:tcW w:w="2102" w:type="dxa"/>
            <w:tcBorders>
              <w:top w:val="single" w:color="000000" w:sz="6" w:space="0"/>
              <w:left w:val="single" w:color="000000" w:sz="6" w:space="0"/>
              <w:bottom w:val="single" w:color="000000" w:sz="6" w:space="0"/>
              <w:right w:val="single" w:color="000000" w:sz="6" w:space="0"/>
            </w:tcBorders>
            <w:noWrap w:val="0"/>
            <w:vAlign w:val="center"/>
          </w:tcPr>
          <w:p w14:paraId="660B54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2708" w:type="dxa"/>
            <w:tcBorders>
              <w:top w:val="single" w:color="000000" w:sz="6" w:space="0"/>
              <w:left w:val="single" w:color="000000" w:sz="6" w:space="0"/>
              <w:bottom w:val="single" w:color="000000" w:sz="6" w:space="0"/>
              <w:right w:val="single" w:color="000000" w:sz="6" w:space="0"/>
            </w:tcBorders>
            <w:noWrap w:val="0"/>
            <w:vAlign w:val="center"/>
          </w:tcPr>
          <w:p w14:paraId="091AAB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2117" w:type="dxa"/>
            <w:tcBorders>
              <w:top w:val="single" w:color="000000" w:sz="6" w:space="0"/>
              <w:left w:val="single" w:color="000000" w:sz="6" w:space="0"/>
              <w:bottom w:val="single" w:color="000000" w:sz="6" w:space="0"/>
              <w:right w:val="single" w:color="000000" w:sz="6" w:space="0"/>
            </w:tcBorders>
            <w:noWrap w:val="0"/>
            <w:vAlign w:val="center"/>
          </w:tcPr>
          <w:p w14:paraId="332988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tc>
        <w:tc>
          <w:tcPr>
            <w:tcW w:w="1856" w:type="dxa"/>
            <w:tcBorders>
              <w:top w:val="single" w:color="000000" w:sz="6" w:space="0"/>
              <w:left w:val="single" w:color="000000" w:sz="6" w:space="0"/>
              <w:bottom w:val="single" w:color="000000" w:sz="6" w:space="0"/>
              <w:right w:val="single" w:color="000000" w:sz="6" w:space="0"/>
            </w:tcBorders>
            <w:noWrap w:val="0"/>
            <w:vAlign w:val="center"/>
          </w:tcPr>
          <w:p w14:paraId="079779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tc>
      </w:tr>
      <w:tr w14:paraId="1580AF1D">
        <w:tblPrEx>
          <w:tblCellMar>
            <w:top w:w="0" w:type="dxa"/>
            <w:left w:w="10" w:type="dxa"/>
            <w:bottom w:w="0" w:type="dxa"/>
            <w:right w:w="10" w:type="dxa"/>
          </w:tblCellMar>
        </w:tblPrEx>
        <w:trPr>
          <w:trHeight w:val="510" w:hRule="atLeast"/>
          <w:jc w:val="center"/>
        </w:trPr>
        <w:tc>
          <w:tcPr>
            <w:tcW w:w="2102" w:type="dxa"/>
            <w:tcBorders>
              <w:top w:val="single" w:color="000000" w:sz="6" w:space="0"/>
              <w:left w:val="single" w:color="000000" w:sz="6" w:space="0"/>
              <w:bottom w:val="single" w:color="000000" w:sz="6" w:space="0"/>
              <w:right w:val="single" w:color="000000" w:sz="6" w:space="0"/>
            </w:tcBorders>
            <w:noWrap w:val="0"/>
            <w:vAlign w:val="center"/>
          </w:tcPr>
          <w:p w14:paraId="0B9149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708" w:type="dxa"/>
            <w:tcBorders>
              <w:top w:val="single" w:color="000000" w:sz="6" w:space="0"/>
              <w:left w:val="single" w:color="000000" w:sz="6" w:space="0"/>
              <w:bottom w:val="single" w:color="000000" w:sz="6" w:space="0"/>
              <w:right w:val="single" w:color="000000" w:sz="6" w:space="0"/>
            </w:tcBorders>
            <w:noWrap w:val="0"/>
            <w:vAlign w:val="center"/>
          </w:tcPr>
          <w:p w14:paraId="279410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117" w:type="dxa"/>
            <w:tcBorders>
              <w:top w:val="single" w:color="000000" w:sz="6" w:space="0"/>
              <w:left w:val="single" w:color="000000" w:sz="6" w:space="0"/>
              <w:bottom w:val="single" w:color="000000" w:sz="6" w:space="0"/>
              <w:right w:val="single" w:color="000000" w:sz="6" w:space="0"/>
            </w:tcBorders>
            <w:noWrap w:val="0"/>
            <w:vAlign w:val="center"/>
          </w:tcPr>
          <w:p w14:paraId="2131CC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856" w:type="dxa"/>
            <w:tcBorders>
              <w:top w:val="single" w:color="000000" w:sz="6" w:space="0"/>
              <w:left w:val="single" w:color="000000" w:sz="6" w:space="0"/>
              <w:bottom w:val="single" w:color="000000" w:sz="6" w:space="0"/>
              <w:right w:val="single" w:color="000000" w:sz="6" w:space="0"/>
            </w:tcBorders>
            <w:noWrap w:val="0"/>
            <w:vAlign w:val="center"/>
          </w:tcPr>
          <w:p w14:paraId="318782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p>
        </w:tc>
      </w:tr>
    </w:tbl>
    <w:p w14:paraId="14A443A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p>
    <w:p w14:paraId="52184B7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2. 合同价格：人民币（大写）</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元，（小写）￥:</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元。</w:t>
      </w:r>
    </w:p>
    <w:p w14:paraId="1B9BDBB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 服务时间、地点、方式</w:t>
      </w:r>
    </w:p>
    <w:p w14:paraId="6CC8F7B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3.1服务时间：</w:t>
      </w:r>
    </w:p>
    <w:p w14:paraId="3667E33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3.2服务地点：</w:t>
      </w:r>
    </w:p>
    <w:p w14:paraId="267347C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3.3服务方式：供方负责将货物安全完好运抵交货地点、安装调试并保证验收合格。</w:t>
      </w:r>
    </w:p>
    <w:p w14:paraId="67446C5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zh-CN"/>
          <w14:textFill>
            <w14:solidFill>
              <w14:schemeClr w14:val="tx1"/>
            </w14:solidFill>
          </w14:textFill>
        </w:rPr>
        <w:t>付款方式 ：</w:t>
      </w:r>
    </w:p>
    <w:p w14:paraId="0C1B6BB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w:t>
      </w:r>
      <w:r>
        <w:rPr>
          <w:rFonts w:hint="eastAsia" w:ascii="宋体" w:hAnsi="宋体" w:eastAsia="宋体" w:cs="宋体"/>
          <w:color w:val="000000" w:themeColor="text1"/>
          <w:sz w:val="24"/>
          <w:szCs w:val="24"/>
          <w:highlight w:val="none"/>
          <w14:textFill>
            <w14:solidFill>
              <w14:schemeClr w14:val="tx1"/>
            </w14:solidFill>
          </w14:textFill>
        </w:rPr>
        <w:t>合同签订后七个工作日内，采购人向中标人支付合同总价款的40%，作为项目启动资金；</w:t>
      </w:r>
    </w:p>
    <w:p w14:paraId="4BF562C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w:t>
      </w:r>
      <w:r>
        <w:rPr>
          <w:rFonts w:hint="eastAsia" w:ascii="宋体" w:hAnsi="宋体" w:eastAsia="宋体" w:cs="宋体"/>
          <w:color w:val="000000" w:themeColor="text1"/>
          <w:sz w:val="24"/>
          <w:szCs w:val="24"/>
          <w:highlight w:val="none"/>
          <w14:textFill>
            <w14:solidFill>
              <w14:schemeClr w14:val="tx1"/>
            </w14:solidFill>
          </w14:textFill>
        </w:rPr>
        <w:t>系统开发完成并完成部署、培训、上线后七个工作日内，采购人向中标人支付合同总价款的20%；</w:t>
      </w:r>
    </w:p>
    <w:p w14:paraId="74E7B4A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w:t>
      </w:r>
      <w:r>
        <w:rPr>
          <w:rFonts w:hint="eastAsia" w:ascii="宋体" w:hAnsi="宋体" w:eastAsia="宋体" w:cs="宋体"/>
          <w:color w:val="000000" w:themeColor="text1"/>
          <w:sz w:val="24"/>
          <w:szCs w:val="24"/>
          <w:highlight w:val="none"/>
          <w14:textFill>
            <w14:solidFill>
              <w14:schemeClr w14:val="tx1"/>
            </w14:solidFill>
          </w14:textFill>
        </w:rPr>
        <w:t>项目通过验收后七个工作日内，采购人向中标人支付合同总价款的35%；</w:t>
      </w:r>
    </w:p>
    <w:p w14:paraId="0010F77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4.4</w:t>
      </w:r>
      <w:r>
        <w:rPr>
          <w:rFonts w:hint="eastAsia" w:ascii="宋体" w:hAnsi="宋体" w:eastAsia="宋体" w:cs="宋体"/>
          <w:color w:val="000000" w:themeColor="text1"/>
          <w:sz w:val="24"/>
          <w:szCs w:val="24"/>
          <w:highlight w:val="none"/>
          <w14:textFill>
            <w14:solidFill>
              <w14:schemeClr w14:val="tx1"/>
            </w14:solidFill>
          </w14:textFill>
        </w:rPr>
        <w:t>剩余价款（合同总价款的5%）作为质保金，在项目质保期（自本项目验收合格之日起满一年）结束后由采购人一次性结清。</w:t>
      </w:r>
    </w:p>
    <w:p w14:paraId="681711F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5．履约保证金</w:t>
      </w:r>
    </w:p>
    <w:p w14:paraId="2F82C78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5.1 合同价款的   %（全部货物安装并验收合格后自动转为质量保证金）。</w:t>
      </w:r>
    </w:p>
    <w:p w14:paraId="5BA1D98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5.1 在签署本合同之前，供方应向需方提交合同总价  %的履约保证金（人民币，取整数位到百元）。履约保证金可以采用银行转帐或者现金的方式提交。</w:t>
      </w:r>
    </w:p>
    <w:p w14:paraId="1579642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5.2 履约保证金的有效期到供方提交的货物经需方验收合格并交付给需方之日止，以银行转帐方式返还，不计利息。</w:t>
      </w:r>
    </w:p>
    <w:p w14:paraId="3D079CE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5.3 履约保证金由需方在货物验收合格交付后  个工作日内返还。</w:t>
      </w:r>
    </w:p>
    <w:p w14:paraId="2DDD7C2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6.质量保证金</w:t>
      </w:r>
    </w:p>
    <w:p w14:paraId="1D73BB2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6.1合同价款的5%作为质量保证金，在质保期满一年后一次性返还（不计利息）。</w:t>
      </w:r>
    </w:p>
    <w:p w14:paraId="29A925D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6.2质量保证金从需方应向供方支付的合同价款中预留。</w:t>
      </w:r>
    </w:p>
    <w:p w14:paraId="091CB08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6.2（备选条款）供方提交的履约保证金到期后转作质量保证金。</w:t>
      </w:r>
    </w:p>
    <w:p w14:paraId="05C6A08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6.3质量保证金的有效期到合同规定的质量保证期期满之日止，扣除供方承担质量保证责任的费用后，剩余部分在质量保证期期满后  个工作日内返还，不计利息。</w:t>
      </w:r>
    </w:p>
    <w:p w14:paraId="497C451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7.合同补充条款：</w:t>
      </w:r>
    </w:p>
    <w:p w14:paraId="47ACE36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8.争议解决方式：供需双方达成仲裁协议，向桦甸市仲裁委员会申请仲裁（向合同签定地人民法院提起诉讼）。</w:t>
      </w:r>
    </w:p>
    <w:p w14:paraId="4E3133A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9．合同构成：下列文件构成本合同不可分割的组成部分，与本合同具有同等法律效力：</w:t>
      </w:r>
    </w:p>
    <w:p w14:paraId="35466B5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9.1本合同书；</w:t>
      </w:r>
    </w:p>
    <w:p w14:paraId="72583AA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9.2中标通知书；</w:t>
      </w:r>
    </w:p>
    <w:p w14:paraId="64FCF32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9.3招标文件及澄清、修改、补遗文件；</w:t>
      </w:r>
    </w:p>
    <w:p w14:paraId="7490187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9.4供方的投标文件及书面澄清、说明、补正文件；</w:t>
      </w:r>
    </w:p>
    <w:p w14:paraId="5800B6D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9.5产品样本、样品（样机）、说明书、图纸等有关资料；</w:t>
      </w:r>
    </w:p>
    <w:p w14:paraId="46AE919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9.6采购验收报告单；</w:t>
      </w:r>
    </w:p>
    <w:p w14:paraId="7F363E3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9.7合同的其它附件。</w:t>
      </w:r>
    </w:p>
    <w:p w14:paraId="159B789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上述组成合同的文件如有不一致之处，以日期在后的为准。</w:t>
      </w:r>
    </w:p>
    <w:p w14:paraId="417A1B5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10.合同份数：本合同一式三份，供需双方各执一份，另一份作为需方向</w:t>
      </w:r>
      <w:r>
        <w:rPr>
          <w:rFonts w:hint="eastAsia" w:ascii="宋体" w:hAnsi="宋体" w:eastAsia="宋体" w:cs="宋体"/>
          <w:color w:val="000000" w:themeColor="text1"/>
          <w:sz w:val="24"/>
          <w:szCs w:val="24"/>
          <w:highlight w:val="none"/>
          <w:lang w:val="en-US" w:eastAsia="zh-CN"/>
          <w14:textFill>
            <w14:solidFill>
              <w14:schemeClr w14:val="tx1"/>
            </w14:solidFill>
          </w14:textFill>
        </w:rPr>
        <w:t>延吉市</w:t>
      </w:r>
      <w:r>
        <w:rPr>
          <w:rFonts w:hint="eastAsia" w:ascii="宋体" w:hAnsi="宋体" w:eastAsia="宋体" w:cs="宋体"/>
          <w:color w:val="000000" w:themeColor="text1"/>
          <w:sz w:val="24"/>
          <w:szCs w:val="24"/>
          <w:highlight w:val="none"/>
          <w:lang w:val="zh-CN"/>
          <w14:textFill>
            <w14:solidFill>
              <w14:schemeClr w14:val="tx1"/>
            </w14:solidFill>
          </w14:textFill>
        </w:rPr>
        <w:t xml:space="preserve">政府采购监督管理部门提请付款的凭证。 </w:t>
      </w:r>
    </w:p>
    <w:p w14:paraId="29AD54F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11.合同生效：本合同在供需双方法定代表人或其授权代理人签字、加盖双方公章或者合同专用章，并且需方收到供方提交的履约保证金后生效。</w:t>
      </w:r>
    </w:p>
    <w:p w14:paraId="1562DFA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12.合同修改：除供需双方签署书面修改、补充协议外，本合同条件不得有任何变化或修改。</w:t>
      </w:r>
    </w:p>
    <w:p w14:paraId="043D240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需方</w:t>
      </w: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lang w:val="zh-CN"/>
          <w14:textFill>
            <w14:solidFill>
              <w14:schemeClr w14:val="tx1"/>
            </w14:solidFill>
          </w14:textFill>
        </w:rPr>
        <w:t>供方</w:t>
      </w:r>
      <w:r>
        <w:rPr>
          <w:rFonts w:hint="eastAsia" w:ascii="宋体" w:hAnsi="宋体" w:eastAsia="宋体" w:cs="宋体"/>
          <w:color w:val="000000" w:themeColor="text1"/>
          <w:sz w:val="24"/>
          <w:szCs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31C98832">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 xml:space="preserve">（加盖公章或合同专用章）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（加盖公章或合同专用章）</w:t>
      </w:r>
    </w:p>
    <w:p w14:paraId="7D8B034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地址：</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地址：</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4774738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 xml:space="preserve">法定代表人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 xml:space="preserve">法定代表人               </w:t>
      </w:r>
    </w:p>
    <w:p w14:paraId="1085D5F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或授权代理人签字：</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或授权代理人签字：</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3F960E9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签字日期：</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签字日期：</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2423246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邮政编码：</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 xml:space="preserve">      邮政编码：</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2DBDD45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2A00979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传真：</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传真：</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3AD5D59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联系人</w:t>
      </w:r>
      <w:r>
        <w:rPr>
          <w:rFonts w:hint="eastAsia" w:ascii="宋体" w:hAnsi="宋体" w:eastAsia="宋体" w:cs="宋体"/>
          <w:color w:val="000000" w:themeColor="text1"/>
          <w:sz w:val="24"/>
          <w:szCs w:val="24"/>
          <w:highlight w:val="none"/>
          <w:u w:val="none"/>
          <w:lang w:val="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联系人：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45C91DA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614DF25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帐户名称：</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帐户名称：</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617AFC3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帐号：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14:textFill>
            <w14:solidFill>
              <w14:schemeClr w14:val="tx1"/>
            </w14:solidFill>
          </w14:textFill>
        </w:rPr>
        <w:t>帐号：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6C95E053">
      <w:pPr>
        <w:bidi w:val="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ab/>
      </w:r>
    </w:p>
    <w:p w14:paraId="5842D5D3">
      <w:pPr>
        <w:pStyle w:val="35"/>
        <w:rPr>
          <w:rFonts w:hint="eastAsia" w:ascii="宋体" w:hAnsi="宋体" w:eastAsia="宋体" w:cs="宋体"/>
          <w:lang w:val="en-US" w:eastAsia="zh-CN"/>
        </w:rPr>
      </w:pPr>
    </w:p>
    <w:p w14:paraId="4DE1DD75">
      <w:pPr>
        <w:rPr>
          <w:rFonts w:hint="eastAsia" w:ascii="宋体" w:hAnsi="宋体" w:eastAsia="宋体" w:cs="宋体"/>
          <w:lang w:val="en-US" w:eastAsia="zh-CN"/>
        </w:rPr>
      </w:pPr>
    </w:p>
    <w:p w14:paraId="3E43CF0A">
      <w:pPr>
        <w:pStyle w:val="44"/>
        <w:rPr>
          <w:rFonts w:hint="eastAsia" w:ascii="宋体" w:hAnsi="宋体" w:eastAsia="宋体" w:cs="宋体"/>
          <w:lang w:val="en-US" w:eastAsia="zh-CN"/>
        </w:rPr>
      </w:pPr>
    </w:p>
    <w:p w14:paraId="1F2BA994">
      <w:pPr>
        <w:pStyle w:val="88"/>
        <w:keepNext w:val="0"/>
        <w:keepLines w:val="0"/>
        <w:pageBreakBefore w:val="0"/>
        <w:widowControl w:val="0"/>
        <w:kinsoku/>
        <w:wordWrap/>
        <w:overflowPunct/>
        <w:topLinePunct w:val="0"/>
        <w:autoSpaceDE/>
        <w:autoSpaceDN/>
        <w:bidi w:val="0"/>
        <w:adjustRightInd/>
        <w:snapToGrid/>
        <w:ind w:left="102" w:right="102"/>
        <w:jc w:val="center"/>
        <w:textAlignment w:val="auto"/>
        <w:outlineLvl w:val="1"/>
        <w:rPr>
          <w:rFonts w:hint="eastAsia" w:ascii="宋体" w:hAnsi="宋体" w:eastAsia="宋体" w:cs="宋体"/>
          <w:color w:val="000000" w:themeColor="text1"/>
          <w:szCs w:val="24"/>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 xml:space="preserve">第二节 </w:t>
      </w:r>
      <w:r>
        <w:rPr>
          <w:rFonts w:hint="eastAsia" w:ascii="宋体" w:hAnsi="宋体" w:eastAsia="宋体" w:cs="宋体"/>
          <w:color w:val="000000" w:themeColor="text1"/>
          <w:highlight w:val="none"/>
          <w:lang w:eastAsia="zh-CN"/>
          <w14:textFill>
            <w14:solidFill>
              <w14:schemeClr w14:val="tx1"/>
            </w14:solidFill>
          </w14:textFill>
        </w:rPr>
        <w:t>通用合同条款</w:t>
      </w:r>
    </w:p>
    <w:p w14:paraId="7B5B8523">
      <w:pPr>
        <w:pStyle w:val="88"/>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bookmarkStart w:id="39" w:name="_bookmark105"/>
      <w:bookmarkEnd w:id="39"/>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一般约定</w:t>
      </w:r>
      <w:bookmarkStart w:id="40" w:name="_bookmark106"/>
      <w:bookmarkEnd w:id="40"/>
    </w:p>
    <w:p w14:paraId="00431A9A">
      <w:pPr>
        <w:pStyle w:val="88"/>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480" w:firstLineChars="200"/>
        <w:textAlignment w:val="auto"/>
        <w:outlineLvl w:val="3"/>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 词语定义</w:t>
      </w:r>
    </w:p>
    <w:p w14:paraId="22CCCC3D">
      <w:pPr>
        <w:pStyle w:val="88"/>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480" w:firstLineChars="200"/>
        <w:textAlignment w:val="auto"/>
        <w:outlineLvl w:val="9"/>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除专用合同条款另有约定外，合同中的下列词语应具有本款所赋予的含义。</w:t>
      </w:r>
    </w:p>
    <w:p w14:paraId="4B7ED1BE">
      <w:pPr>
        <w:pStyle w:val="91"/>
        <w:keepNext w:val="0"/>
        <w:keepLines w:val="0"/>
        <w:pageBreakBefore w:val="0"/>
        <w:widowControl w:val="0"/>
        <w:numPr>
          <w:ilvl w:val="2"/>
          <w:numId w:val="2"/>
        </w:numPr>
        <w:kinsoku/>
        <w:wordWrap/>
        <w:overflowPunct/>
        <w:topLinePunct w:val="0"/>
        <w:autoSpaceDE/>
        <w:autoSpaceDN/>
        <w:bidi w:val="0"/>
        <w:adjustRightInd/>
        <w:snapToGrid/>
        <w:spacing w:line="500" w:lineRule="exact"/>
        <w:ind w:left="0" w:leftChars="0" w:right="0" w:firstLine="480" w:firstLineChars="200"/>
        <w:textAlignment w:val="auto"/>
        <w:outlineLvl w:val="9"/>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 合同</w:t>
      </w:r>
    </w:p>
    <w:p w14:paraId="2C5723FE">
      <w:pPr>
        <w:pStyle w:val="91"/>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480" w:firstLineChars="200"/>
        <w:textAlignment w:val="auto"/>
        <w:outlineLvl w:val="9"/>
        <w:rPr>
          <w:rFonts w:hint="eastAsia" w:ascii="宋体" w:hAnsi="宋体" w:eastAsia="宋体" w:cs="宋体"/>
          <w:b w:val="0"/>
          <w:bCs w:val="0"/>
          <w:color w:val="000000" w:themeColor="text1"/>
          <w:spacing w:val="-106"/>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1.1.1.1  </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合</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同</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文</w:t>
      </w:r>
      <w:r>
        <w:rPr>
          <w:rFonts w:hint="eastAsia" w:ascii="宋体" w:hAnsi="宋体" w:eastAsia="宋体" w:cs="宋体"/>
          <w:b w:val="0"/>
          <w:bCs w:val="0"/>
          <w:color w:val="000000" w:themeColor="text1"/>
          <w:spacing w:val="-27"/>
          <w:sz w:val="24"/>
          <w:szCs w:val="24"/>
          <w:highlight w:val="none"/>
          <w:lang w:eastAsia="zh-CN"/>
          <w14:textFill>
            <w14:solidFill>
              <w14:schemeClr w14:val="tx1"/>
            </w14:solidFill>
          </w14:textFill>
        </w:rPr>
        <w:t>件</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或</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称</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合</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同</w:t>
      </w:r>
      <w:r>
        <w:rPr>
          <w:rFonts w:hint="eastAsia" w:ascii="宋体" w:hAnsi="宋体" w:eastAsia="宋体" w:cs="宋体"/>
          <w:b w:val="0"/>
          <w:bCs w:val="0"/>
          <w:color w:val="000000" w:themeColor="text1"/>
          <w:spacing w:val="-106"/>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pacing w:val="-106"/>
          <w:sz w:val="24"/>
          <w:szCs w:val="24"/>
          <w:highlight w:val="none"/>
          <w:lang w:val="en-US" w:eastAsia="zh-CN"/>
          <w14:textFill>
            <w14:solidFill>
              <w14:schemeClr w14:val="tx1"/>
            </w14:solidFill>
          </w14:textFill>
        </w:rPr>
        <w:t xml:space="preserve">  </w:t>
      </w:r>
    </w:p>
    <w:p w14:paraId="2BCD7CB2">
      <w:pPr>
        <w:pStyle w:val="91"/>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468" w:firstLineChars="200"/>
        <w:textAlignment w:val="auto"/>
        <w:outlineLvl w:val="9"/>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指</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合</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同</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协</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议</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书</w:t>
      </w:r>
      <w:r>
        <w:rPr>
          <w:rFonts w:hint="eastAsia" w:ascii="宋体" w:hAnsi="宋体" w:eastAsia="宋体" w:cs="宋体"/>
          <w:b w:val="0"/>
          <w:bCs w:val="0"/>
          <w:color w:val="000000" w:themeColor="text1"/>
          <w:spacing w:val="-27"/>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中标</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通知</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书</w:t>
      </w:r>
      <w:r>
        <w:rPr>
          <w:rFonts w:hint="eastAsia" w:ascii="宋体" w:hAnsi="宋体" w:eastAsia="宋体" w:cs="宋体"/>
          <w:b w:val="0"/>
          <w:bCs w:val="0"/>
          <w:color w:val="000000" w:themeColor="text1"/>
          <w:spacing w:val="-27"/>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投</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标函</w:t>
      </w:r>
      <w:r>
        <w:rPr>
          <w:rFonts w:hint="eastAsia" w:ascii="宋体" w:hAnsi="宋体" w:eastAsia="宋体" w:cs="宋体"/>
          <w:b w:val="0"/>
          <w:bCs w:val="0"/>
          <w:color w:val="000000" w:themeColor="text1"/>
          <w:spacing w:val="-29"/>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商</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务和</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技术</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偏</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差</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表</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专用合同条款、通用合同条款、供货要求、分项报价表、中标设备技术性能指标的详细描述、</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技术服务和质保期服务计划，以及其他构成合同组成部分的文件。</w:t>
      </w:r>
    </w:p>
    <w:p w14:paraId="29F5BABE">
      <w:pPr>
        <w:pStyle w:val="14"/>
        <w:keepNext w:val="0"/>
        <w:keepLines w:val="0"/>
        <w:pageBreakBefore w:val="0"/>
        <w:widowControl w:val="0"/>
        <w:kinsoku/>
        <w:wordWrap/>
        <w:overflowPunct/>
        <w:topLinePunct w:val="0"/>
        <w:autoSpaceDE/>
        <w:autoSpaceDN/>
        <w:bidi w:val="0"/>
        <w:adjustRightInd/>
        <w:snapToGrid/>
        <w:spacing w:line="500" w:lineRule="exact"/>
        <w:ind w:left="0" w:leftChars="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1.1.1.2 合同协议书：指买方和卖方共同签署的合同协议书。</w:t>
      </w:r>
    </w:p>
    <w:p w14:paraId="53CB22EF">
      <w:pPr>
        <w:pStyle w:val="14"/>
        <w:keepNext w:val="0"/>
        <w:keepLines w:val="0"/>
        <w:pageBreakBefore w:val="0"/>
        <w:widowControl w:val="0"/>
        <w:kinsoku/>
        <w:wordWrap/>
        <w:overflowPunct/>
        <w:topLinePunct w:val="0"/>
        <w:autoSpaceDE/>
        <w:autoSpaceDN/>
        <w:bidi w:val="0"/>
        <w:adjustRightInd/>
        <w:snapToGrid/>
        <w:spacing w:line="500" w:lineRule="exact"/>
        <w:ind w:left="0" w:leftChars="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1.1.1.3 中标通知书：指买方通知卖方中标的函件。</w:t>
      </w:r>
    </w:p>
    <w:p w14:paraId="1821358A">
      <w:pPr>
        <w:pStyle w:val="14"/>
        <w:keepNext w:val="0"/>
        <w:keepLines w:val="0"/>
        <w:pageBreakBefore w:val="0"/>
        <w:widowControl w:val="0"/>
        <w:kinsoku/>
        <w:wordWrap/>
        <w:overflowPunct/>
        <w:topLinePunct w:val="0"/>
        <w:autoSpaceDE/>
        <w:autoSpaceDN/>
        <w:bidi w:val="0"/>
        <w:adjustRightInd/>
        <w:snapToGrid/>
        <w:spacing w:line="500" w:lineRule="exact"/>
        <w:ind w:left="0" w:leftChars="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1.1.1.4 投标函：指由卖方填写并签署的，名为“投标函”的函件。</w:t>
      </w:r>
    </w:p>
    <w:p w14:paraId="63C11CBD">
      <w:pPr>
        <w:pStyle w:val="14"/>
        <w:keepNext w:val="0"/>
        <w:keepLines w:val="0"/>
        <w:pageBreakBefore w:val="0"/>
        <w:widowControl w:val="0"/>
        <w:kinsoku/>
        <w:wordWrap/>
        <w:overflowPunct/>
        <w:topLinePunct w:val="0"/>
        <w:autoSpaceDE/>
        <w:autoSpaceDN/>
        <w:bidi w:val="0"/>
        <w:adjustRightInd/>
        <w:snapToGrid/>
        <w:spacing w:line="500" w:lineRule="exact"/>
        <w:ind w:left="0" w:leftChars="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1.1.1.5 商务和技术偏差表：指卖方投标文件中的商务和技术偏差表。</w:t>
      </w:r>
    </w:p>
    <w:p w14:paraId="2571AC13">
      <w:pPr>
        <w:pStyle w:val="14"/>
        <w:keepNext w:val="0"/>
        <w:keepLines w:val="0"/>
        <w:pageBreakBefore w:val="0"/>
        <w:widowControl w:val="0"/>
        <w:kinsoku/>
        <w:wordWrap/>
        <w:overflowPunct/>
        <w:topLinePunct w:val="0"/>
        <w:autoSpaceDE/>
        <w:autoSpaceDN/>
        <w:bidi w:val="0"/>
        <w:adjustRightInd/>
        <w:snapToGrid/>
        <w:spacing w:line="500" w:lineRule="exact"/>
        <w:ind w:left="0" w:leftChars="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1.1.1.6 供货要求：指合同文件中名为“供货要求”的文件。</w:t>
      </w:r>
    </w:p>
    <w:p w14:paraId="34300025">
      <w:pPr>
        <w:pStyle w:val="14"/>
        <w:keepNext w:val="0"/>
        <w:keepLines w:val="0"/>
        <w:pageBreakBefore w:val="0"/>
        <w:widowControl w:val="0"/>
        <w:kinsoku/>
        <w:wordWrap/>
        <w:overflowPunct/>
        <w:topLinePunct w:val="0"/>
        <w:autoSpaceDE/>
        <w:autoSpaceDN/>
        <w:bidi w:val="0"/>
        <w:adjustRightInd/>
        <w:snapToGrid/>
        <w:spacing w:line="500" w:lineRule="exact"/>
        <w:ind w:left="0" w:leftChars="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1.1.1.7 中标设备技术性能指标的详细描述：指卖方投标文件中的投标设备技术性能指标的详细描述。</w:t>
      </w:r>
    </w:p>
    <w:p w14:paraId="5F2B7E6D">
      <w:pPr>
        <w:pStyle w:val="14"/>
        <w:keepNext w:val="0"/>
        <w:keepLines w:val="0"/>
        <w:pageBreakBefore w:val="0"/>
        <w:widowControl w:val="0"/>
        <w:kinsoku/>
        <w:wordWrap/>
        <w:overflowPunct/>
        <w:topLinePunct w:val="0"/>
        <w:autoSpaceDE/>
        <w:autoSpaceDN/>
        <w:bidi w:val="0"/>
        <w:adjustRightInd/>
        <w:snapToGrid/>
        <w:spacing w:line="500" w:lineRule="exact"/>
        <w:ind w:left="0" w:leftChars="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1.1.1.8 技术服务和质保期服务计划：指卖方投标文件中的技术服务和质保期服务计划。</w:t>
      </w:r>
    </w:p>
    <w:p w14:paraId="3893F0B5">
      <w:pPr>
        <w:pStyle w:val="14"/>
        <w:keepNext w:val="0"/>
        <w:keepLines w:val="0"/>
        <w:pageBreakBefore w:val="0"/>
        <w:widowControl w:val="0"/>
        <w:kinsoku/>
        <w:wordWrap/>
        <w:overflowPunct/>
        <w:topLinePunct w:val="0"/>
        <w:autoSpaceDE/>
        <w:autoSpaceDN/>
        <w:bidi w:val="0"/>
        <w:adjustRightInd/>
        <w:snapToGrid/>
        <w:spacing w:line="500" w:lineRule="exact"/>
        <w:ind w:left="0" w:leftChars="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1.1.1.9 分项报价表：指卖方投标文件中的分项报价表。</w:t>
      </w:r>
    </w:p>
    <w:p w14:paraId="24124CAD">
      <w:pPr>
        <w:pStyle w:val="14"/>
        <w:keepNext w:val="0"/>
        <w:keepLines w:val="0"/>
        <w:pageBreakBefore w:val="0"/>
        <w:widowControl w:val="0"/>
        <w:kinsoku/>
        <w:wordWrap/>
        <w:overflowPunct/>
        <w:topLinePunct w:val="0"/>
        <w:autoSpaceDE/>
        <w:autoSpaceDN/>
        <w:bidi w:val="0"/>
        <w:adjustRightInd/>
        <w:snapToGrid/>
        <w:spacing w:line="500" w:lineRule="exact"/>
        <w:ind w:left="0" w:leftChars="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1.1.1.10 其他合同文件：指经合同双方当事人确认构成合同文件的其他文件。</w:t>
      </w:r>
    </w:p>
    <w:p w14:paraId="64D9CE78">
      <w:pPr>
        <w:pStyle w:val="14"/>
        <w:keepNext w:val="0"/>
        <w:keepLines w:val="0"/>
        <w:pageBreakBefore w:val="0"/>
        <w:widowControl w:val="0"/>
        <w:kinsoku/>
        <w:wordWrap/>
        <w:overflowPunct/>
        <w:topLinePunct w:val="0"/>
        <w:autoSpaceDE/>
        <w:autoSpaceDN/>
        <w:bidi w:val="0"/>
        <w:adjustRightInd/>
        <w:snapToGrid/>
        <w:spacing w:line="500" w:lineRule="exact"/>
        <w:ind w:left="0" w:leftChars="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1.1.2  合同当事人</w:t>
      </w:r>
    </w:p>
    <w:p w14:paraId="6D97B2A2">
      <w:pPr>
        <w:pStyle w:val="14"/>
        <w:keepNext w:val="0"/>
        <w:keepLines w:val="0"/>
        <w:pageBreakBefore w:val="0"/>
        <w:widowControl w:val="0"/>
        <w:kinsoku/>
        <w:wordWrap/>
        <w:overflowPunct/>
        <w:topLinePunct w:val="0"/>
        <w:autoSpaceDE/>
        <w:autoSpaceDN/>
        <w:bidi w:val="0"/>
        <w:adjustRightInd/>
        <w:snapToGrid/>
        <w:spacing w:line="500" w:lineRule="exact"/>
        <w:ind w:left="0" w:leftChars="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1.1.2.1 合同当事人：指买方和（或）卖方。</w:t>
      </w:r>
    </w:p>
    <w:p w14:paraId="2D3952D3">
      <w:pPr>
        <w:pStyle w:val="14"/>
        <w:keepNext w:val="0"/>
        <w:keepLines w:val="0"/>
        <w:pageBreakBefore w:val="0"/>
        <w:widowControl w:val="0"/>
        <w:kinsoku/>
        <w:wordWrap/>
        <w:overflowPunct/>
        <w:topLinePunct w:val="0"/>
        <w:autoSpaceDE/>
        <w:autoSpaceDN/>
        <w:bidi w:val="0"/>
        <w:adjustRightInd/>
        <w:snapToGrid/>
        <w:spacing w:line="500" w:lineRule="exact"/>
        <w:ind w:left="0" w:leftChars="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1.1.2.2 买方：指与卖方签订合同协议书，购买合同设备和技术服务和质保期服务的当事人，及其合法继承人。</w:t>
      </w:r>
    </w:p>
    <w:p w14:paraId="528DD320">
      <w:pPr>
        <w:pStyle w:val="14"/>
        <w:keepNext w:val="0"/>
        <w:keepLines w:val="0"/>
        <w:pageBreakBefore w:val="0"/>
        <w:widowControl w:val="0"/>
        <w:kinsoku/>
        <w:wordWrap/>
        <w:overflowPunct/>
        <w:topLinePunct w:val="0"/>
        <w:autoSpaceDE/>
        <w:autoSpaceDN/>
        <w:bidi w:val="0"/>
        <w:adjustRightInd/>
        <w:snapToGrid/>
        <w:spacing w:line="500" w:lineRule="exact"/>
        <w:ind w:left="0" w:leftChars="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1.1.2.3 卖方：指与买方签订合同协议书，提供合同设备和技术服务和质保期服务的当事人，及其合法继承人。</w:t>
      </w:r>
    </w:p>
    <w:p w14:paraId="639835EE">
      <w:pPr>
        <w:pStyle w:val="91"/>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textAlignment w:val="auto"/>
        <w:outlineLvl w:val="9"/>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1.1.3  合同价格</w:t>
      </w:r>
    </w:p>
    <w:p w14:paraId="74FD9379">
      <w:pPr>
        <w:pStyle w:val="14"/>
        <w:keepNext w:val="0"/>
        <w:keepLines w:val="0"/>
        <w:pageBreakBefore w:val="0"/>
        <w:widowControl w:val="0"/>
        <w:kinsoku/>
        <w:wordWrap/>
        <w:overflowPunct/>
        <w:topLinePunct w:val="0"/>
        <w:autoSpaceDE/>
        <w:autoSpaceDN/>
        <w:bidi w:val="0"/>
        <w:adjustRightInd/>
        <w:snapToGrid/>
        <w:spacing w:line="500" w:lineRule="exact"/>
        <w:ind w:left="0" w:leftChars="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1.1.3.1 签约合同价：是签订合同时合同协议书中写明的合同总金额。</w:t>
      </w:r>
    </w:p>
    <w:p w14:paraId="624584E0">
      <w:pPr>
        <w:pStyle w:val="14"/>
        <w:keepNext w:val="0"/>
        <w:keepLines w:val="0"/>
        <w:pageBreakBefore w:val="0"/>
        <w:widowControl w:val="0"/>
        <w:kinsoku/>
        <w:wordWrap/>
        <w:overflowPunct/>
        <w:topLinePunct w:val="0"/>
        <w:autoSpaceDE/>
        <w:autoSpaceDN/>
        <w:bidi w:val="0"/>
        <w:adjustRightInd/>
        <w:snapToGrid/>
        <w:spacing w:line="500" w:lineRule="exact"/>
        <w:ind w:left="0" w:leftChars="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1.1.3.2 合同价格：指卖方按合同约定履行了全部合同义务后，买方应付给卖方的金额。</w:t>
      </w:r>
    </w:p>
    <w:p w14:paraId="79B77796">
      <w:pPr>
        <w:pStyle w:val="14"/>
        <w:keepNext w:val="0"/>
        <w:keepLines w:val="0"/>
        <w:pageBreakBefore w:val="0"/>
        <w:widowControl w:val="0"/>
        <w:kinsoku/>
        <w:wordWrap/>
        <w:overflowPunct/>
        <w:topLinePunct w:val="0"/>
        <w:autoSpaceDE/>
        <w:autoSpaceDN/>
        <w:bidi w:val="0"/>
        <w:adjustRightInd/>
        <w:snapToGrid/>
        <w:spacing w:line="500" w:lineRule="exact"/>
        <w:ind w:left="0" w:leftChars="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1.1.4</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9"/>
          <w:sz w:val="24"/>
          <w:szCs w:val="24"/>
          <w:highlight w:val="none"/>
          <w:lang w:eastAsia="zh-CN"/>
          <w14:textFill>
            <w14:solidFill>
              <w14:schemeClr w14:val="tx1"/>
            </w14:solidFill>
          </w14:textFill>
        </w:rPr>
        <w:t>合同设备：指卖方按合同约定应向买方提供的设备、装置、备品、备件、易损易耗件、</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配套使用的软件或其他辅助电子应用程序及技术资料，或其中任何一部分。</w:t>
      </w:r>
    </w:p>
    <w:p w14:paraId="6B9096FB">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1.1.5 技术资料：指各种纸质及电子载体的与合同设备的设计、检验、安装、调试、考核、操作、维修以及保养等有关的技术指标、规格、图纸和说明文件。</w:t>
      </w:r>
    </w:p>
    <w:p w14:paraId="397FAFEE">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1.1.6 </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安装：指对合同设备进行的组装、连接以及根据需要将合同设备固定在施工场地内一</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定的位置上，使其就位并与相关设备、工程实现连接。</w:t>
      </w:r>
    </w:p>
    <w:p w14:paraId="10772473">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1.1.7 调试：指在合同设备安装完成后，对合同设备所进行的调校和测试。</w:t>
      </w:r>
    </w:p>
    <w:p w14:paraId="0FC373E2">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1.1.8 </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考核：指在合同设备调试完成后，对合同设备进行的用于确定其是否达到合同约定的</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技术性能考核指标的考核。</w:t>
      </w:r>
    </w:p>
    <w:p w14:paraId="44945BFD">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1.1.9 </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验收：指合同设备通过考核达到合同约定的技术性能考核指标后，买方作出接受合同</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设备的确认。</w:t>
      </w:r>
    </w:p>
    <w:p w14:paraId="5264A9A6">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1.1.10 </w:t>
      </w:r>
      <w:r>
        <w:rPr>
          <w:rFonts w:hint="eastAsia" w:ascii="宋体" w:hAnsi="宋体" w:eastAsia="宋体" w:cs="宋体"/>
          <w:b w:val="0"/>
          <w:bCs w:val="0"/>
          <w:color w:val="000000" w:themeColor="text1"/>
          <w:spacing w:val="-7"/>
          <w:sz w:val="24"/>
          <w:szCs w:val="24"/>
          <w:highlight w:val="none"/>
          <w:lang w:eastAsia="zh-CN"/>
          <w14:textFill>
            <w14:solidFill>
              <w14:schemeClr w14:val="tx1"/>
            </w14:solidFill>
          </w14:textFill>
        </w:rPr>
        <w:t>技术服务：指卖方按合同约定，在合同设备验收前，向买方提供的安装、调试服务，</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或者在由买方负责的安装、调试、考核中对买方进行的技术指导、协助、监督和培训等。</w:t>
      </w:r>
    </w:p>
    <w:p w14:paraId="05FAA807">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1.1.11 质量保证期：指合同设备验收后，卖方按合同约定保证合同设备适当、稳定运行，并负责消除合同设备故障的期限。</w:t>
      </w:r>
    </w:p>
    <w:p w14:paraId="20F3C628">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1.1.12 </w:t>
      </w:r>
      <w:r>
        <w:rPr>
          <w:rFonts w:hint="eastAsia" w:ascii="宋体" w:hAnsi="宋体" w:eastAsia="宋体" w:cs="宋体"/>
          <w:b w:val="0"/>
          <w:bCs w:val="0"/>
          <w:color w:val="000000" w:themeColor="text1"/>
          <w:spacing w:val="-7"/>
          <w:sz w:val="24"/>
          <w:szCs w:val="24"/>
          <w:highlight w:val="none"/>
          <w:lang w:eastAsia="zh-CN"/>
          <w14:textFill>
            <w14:solidFill>
              <w14:schemeClr w14:val="tx1"/>
            </w14:solidFill>
          </w14:textFill>
        </w:rPr>
        <w:t>质保期服务：指在质量保证期内，卖方向买方提供的合同设备维护服务、咨询服务、</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技术指导、协助以及对出现故障的合同设备进行修理或更换的服务。</w:t>
      </w:r>
    </w:p>
    <w:p w14:paraId="0233F83A">
      <w:pPr>
        <w:pStyle w:val="91"/>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outlineLvl w:val="9"/>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1.1.13  工程</w:t>
      </w:r>
    </w:p>
    <w:p w14:paraId="4ED0EBCB">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1.1.13.1 工程：指在专用合同条款中指明的，安装运行合同设备的工程。</w:t>
      </w:r>
    </w:p>
    <w:p w14:paraId="69B0E6DD">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1.1.13</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2 </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施</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工</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场</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地</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或</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称</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工地</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施</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工</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现</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场</w:t>
      </w:r>
      <w:r>
        <w:rPr>
          <w:rFonts w:hint="eastAsia" w:ascii="宋体" w:hAnsi="宋体" w:eastAsia="宋体" w:cs="宋体"/>
          <w:b w:val="0"/>
          <w:bCs w:val="0"/>
          <w:color w:val="000000" w:themeColor="text1"/>
          <w:spacing w:val="-106"/>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指</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专用</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合同</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条</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款</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中</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指</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明</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的</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工</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程</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所</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在场</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所</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p>
    <w:p w14:paraId="2C953254">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1.1.14 </w:t>
      </w:r>
      <w:r>
        <w:rPr>
          <w:rFonts w:hint="eastAsia" w:ascii="宋体" w:hAnsi="宋体" w:eastAsia="宋体" w:cs="宋体"/>
          <w:b w:val="0"/>
          <w:bCs w:val="0"/>
          <w:color w:val="000000" w:themeColor="text1"/>
          <w:spacing w:val="-58"/>
          <w:sz w:val="24"/>
          <w:szCs w:val="24"/>
          <w:highlight w:val="none"/>
          <w:lang w:eastAsia="zh-CN"/>
          <w14:textFill>
            <w14:solidFill>
              <w14:schemeClr w14:val="tx1"/>
            </w14:solidFill>
          </w14:textFill>
        </w:rPr>
        <w:t>天</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或</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称</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日）：除</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特</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别指</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明</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外</w:t>
      </w:r>
      <w:r>
        <w:rPr>
          <w:rFonts w:hint="eastAsia" w:ascii="宋体" w:hAnsi="宋体" w:eastAsia="宋体" w:cs="宋体"/>
          <w:b w:val="0"/>
          <w:bCs w:val="0"/>
          <w:color w:val="000000" w:themeColor="text1"/>
          <w:spacing w:val="-6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指</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日</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历天</w:t>
      </w:r>
      <w:r>
        <w:rPr>
          <w:rFonts w:hint="eastAsia" w:ascii="宋体" w:hAnsi="宋体" w:eastAsia="宋体" w:cs="宋体"/>
          <w:b w:val="0"/>
          <w:bCs w:val="0"/>
          <w:color w:val="000000" w:themeColor="text1"/>
          <w:spacing w:val="-6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合</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同</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中按</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天</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计</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算</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时</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间</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的</w:t>
      </w:r>
      <w:r>
        <w:rPr>
          <w:rFonts w:hint="eastAsia" w:ascii="宋体" w:hAnsi="宋体" w:eastAsia="宋体" w:cs="宋体"/>
          <w:b w:val="0"/>
          <w:bCs w:val="0"/>
          <w:color w:val="000000" w:themeColor="text1"/>
          <w:spacing w:val="-6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开</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始</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当天</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不</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计</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入</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从次日开始计算。合同约定的期间的最后一天是星期日或者其他法定休假日的，以休假日的次</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日为期间的最后一天。</w:t>
      </w:r>
    </w:p>
    <w:p w14:paraId="261C9A3D">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1.1.15 </w:t>
      </w:r>
      <w:r>
        <w:rPr>
          <w:rFonts w:hint="eastAsia" w:ascii="宋体" w:hAnsi="宋体" w:eastAsia="宋体" w:cs="宋体"/>
          <w:b w:val="0"/>
          <w:bCs w:val="0"/>
          <w:color w:val="000000" w:themeColor="text1"/>
          <w:spacing w:val="-7"/>
          <w:sz w:val="24"/>
          <w:szCs w:val="24"/>
          <w:highlight w:val="none"/>
          <w:lang w:eastAsia="zh-CN"/>
          <w14:textFill>
            <w14:solidFill>
              <w14:schemeClr w14:val="tx1"/>
            </w14:solidFill>
          </w14:textFill>
        </w:rPr>
        <w:t>月：按照公历月计算。合同中按月计算时间的，开始当天不计入，从次日开始计算。</w:t>
      </w: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 xml:space="preserve">合同约定的期间的最后一天是星期日或者其他法定休假日的，以休假日的次日为期间的最后一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天。</w:t>
      </w:r>
    </w:p>
    <w:p w14:paraId="3D2304E0">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1.1.16 书面形式：指合同文件、信件和数据电文（包括电报、电传、传真、电子数据交换和电子邮件）等可以有形地表现所载内容的形式。</w:t>
      </w:r>
      <w:bookmarkStart w:id="41" w:name="_bookmark107"/>
      <w:bookmarkEnd w:id="41"/>
    </w:p>
    <w:p w14:paraId="0FE7A014">
      <w:pPr>
        <w:pStyle w:val="14"/>
        <w:keepNext w:val="0"/>
        <w:keepLines w:val="0"/>
        <w:pageBreakBefore w:val="0"/>
        <w:widowControl w:val="0"/>
        <w:kinsoku/>
        <w:wordWrap/>
        <w:overflowPunct/>
        <w:topLinePunct w:val="0"/>
        <w:autoSpaceDE/>
        <w:autoSpaceDN/>
        <w:bidi w:val="0"/>
        <w:adjustRightInd/>
        <w:snapToGrid/>
        <w:spacing w:line="500" w:lineRule="exact"/>
        <w:ind w:right="0" w:firstLine="496" w:firstLineChars="200"/>
        <w:jc w:val="both"/>
        <w:textAlignment w:val="auto"/>
        <w:outlineLvl w:val="3"/>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1.2 语言文字</w:t>
      </w:r>
    </w:p>
    <w:p w14:paraId="27165BE1">
      <w:pPr>
        <w:pStyle w:val="90"/>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outlineLvl w:val="9"/>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4"/>
          <w:kern w:val="2"/>
          <w:sz w:val="24"/>
          <w:szCs w:val="24"/>
          <w:highlight w:val="none"/>
          <w:lang w:val="en-US" w:eastAsia="zh-CN" w:bidi="ar-SA"/>
          <w14:textFill>
            <w14:solidFill>
              <w14:schemeClr w14:val="tx1"/>
            </w14:solidFill>
          </w14:textFill>
        </w:rPr>
        <w:t>合同使用的语言文字为中文。专用术语使用外文的，应附有中文注释。</w:t>
      </w:r>
      <w:bookmarkStart w:id="42" w:name="_bookmark108"/>
      <w:bookmarkEnd w:id="42"/>
    </w:p>
    <w:p w14:paraId="06D1B763">
      <w:pPr>
        <w:pStyle w:val="90"/>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outlineLvl w:val="3"/>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1.3 合同文件的优先顺序</w:t>
      </w:r>
    </w:p>
    <w:p w14:paraId="783E52E2">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组成合同的各项文件应互相解释，互为说明。除专用合同条款另有约定外，解释合同文件的优先顺序如下：</w:t>
      </w:r>
    </w:p>
    <w:p w14:paraId="204471DB">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（1）合同协议书；</w:t>
      </w:r>
    </w:p>
    <w:p w14:paraId="5346C8E4">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（2）中标通知书；</w:t>
      </w:r>
    </w:p>
    <w:p w14:paraId="42BDAE0D">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（3）投标函；</w:t>
      </w:r>
    </w:p>
    <w:p w14:paraId="065DD5C0">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（4）商务和技术偏差表；</w:t>
      </w:r>
    </w:p>
    <w:p w14:paraId="7F5C4FA0">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（5）专用合同条款；</w:t>
      </w:r>
    </w:p>
    <w:p w14:paraId="26F0830B">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（6）通用合同条款；</w:t>
      </w:r>
    </w:p>
    <w:p w14:paraId="4D1D223E">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（7）供货要求；</w:t>
      </w:r>
    </w:p>
    <w:p w14:paraId="1C6046EA">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（8）分项报价表；</w:t>
      </w:r>
    </w:p>
    <w:p w14:paraId="0B6E46CF">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（9）中标设备技术性能指标的详细描述；</w:t>
      </w:r>
    </w:p>
    <w:p w14:paraId="68C211DB">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（10）技术服务和质保期服务计划；</w:t>
      </w:r>
    </w:p>
    <w:p w14:paraId="597FA8F3">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（11）其他合同文件。</w:t>
      </w:r>
    </w:p>
    <w:p w14:paraId="7E79DEDB">
      <w:pPr>
        <w:keepNext w:val="0"/>
        <w:keepLines w:val="0"/>
        <w:pageBreakBefore w:val="0"/>
        <w:widowControl w:val="0"/>
        <w:kinsoku/>
        <w:wordWrap/>
        <w:overflowPunct/>
        <w:topLinePunct w:val="0"/>
        <w:autoSpaceDE/>
        <w:autoSpaceDN/>
        <w:bidi w:val="0"/>
        <w:adjustRightInd/>
        <w:snapToGrid/>
        <w:spacing w:line="500" w:lineRule="exact"/>
        <w:ind w:right="0" w:firstLine="480" w:firstLineChars="200"/>
        <w:jc w:val="left"/>
        <w:textAlignment w:val="auto"/>
        <w:outlineLvl w:val="3"/>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bookmarkStart w:id="43" w:name="_bookmark109"/>
      <w:bookmarkEnd w:id="43"/>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1.4</w:t>
      </w:r>
      <w:r>
        <w:rPr>
          <w:rFonts w:hint="eastAsia" w:ascii="宋体" w:hAnsi="宋体" w:eastAsia="宋体" w:cs="宋体"/>
          <w:b w:val="0"/>
          <w:bCs w:val="0"/>
          <w:color w:val="000000" w:themeColor="text1"/>
          <w:spacing w:val="68"/>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合同的生效及变更</w:t>
      </w:r>
    </w:p>
    <w:p w14:paraId="64547BF6">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1.4.1 除专用合同条款另有约定外，买方和卖方的法定代表人（单位负责人）或其授权代表在合同协议书上签字并加盖单位章后，合同生效。</w:t>
      </w:r>
    </w:p>
    <w:p w14:paraId="22A1643B">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1.4.2 除专用合同条款另有约定外，在合同履行过程中，如需对合同进行变更，双方应签订书面协议，并经双方法定代表人（单位负责人）或其授权代表签字并加盖单位章后生效。</w:t>
      </w:r>
    </w:p>
    <w:p w14:paraId="06825356">
      <w:pPr>
        <w:pStyle w:val="90"/>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outlineLvl w:val="3"/>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bookmarkStart w:id="44" w:name="_bookmark110"/>
      <w:bookmarkEnd w:id="44"/>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1.5 联络</w:t>
      </w:r>
    </w:p>
    <w:p w14:paraId="410ADEB5">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1.5.1 </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买卖双方应就合同履行中有关的事项及时进行联络，重要事项应通过书面形式进行联</w:t>
      </w: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络或确认。合同履行过程中的任何联络及相关文件的签署，均应通过专用合同条款指定的联系</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人和联系方式进行。合同履行过程中，双方可以书面形式增加或变更指定联系人。</w:t>
      </w:r>
    </w:p>
    <w:p w14:paraId="799D6F1A">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1.5.2 合同履行中或与合同有关的任何联络，送达到第 1.5.1 项指定的联系人即视为送达。</w:t>
      </w:r>
    </w:p>
    <w:p w14:paraId="7F4F452F">
      <w:pPr>
        <w:pStyle w:val="90"/>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outlineLvl w:val="9"/>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1.5.3 </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买方可以安排监理等相关人员作为买方人员，与卖方进行联络或参加合同设备的监造</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（如</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有）、</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交</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货</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前</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检</w:t>
      </w:r>
      <w:r>
        <w:rPr>
          <w:rFonts w:hint="eastAsia" w:ascii="宋体" w:hAnsi="宋体" w:eastAsia="宋体" w:cs="宋体"/>
          <w:b w:val="0"/>
          <w:bCs w:val="0"/>
          <w:color w:val="000000" w:themeColor="text1"/>
          <w:spacing w:val="-10"/>
          <w:sz w:val="24"/>
          <w:szCs w:val="24"/>
          <w:highlight w:val="none"/>
          <w:lang w:eastAsia="zh-CN"/>
          <w14:textFill>
            <w14:solidFill>
              <w14:schemeClr w14:val="tx1"/>
            </w14:solidFill>
          </w14:textFill>
        </w:rPr>
        <w:t>验</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如</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有）、开</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箱</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检</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验</w:t>
      </w:r>
      <w:r>
        <w:rPr>
          <w:rFonts w:hint="eastAsia" w:ascii="宋体" w:hAnsi="宋体" w:eastAsia="宋体" w:cs="宋体"/>
          <w:b w:val="0"/>
          <w:bCs w:val="0"/>
          <w:color w:val="000000" w:themeColor="text1"/>
          <w:spacing w:val="-1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安</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装</w:t>
      </w:r>
      <w:r>
        <w:rPr>
          <w:rFonts w:hint="eastAsia" w:ascii="宋体" w:hAnsi="宋体" w:eastAsia="宋体" w:cs="宋体"/>
          <w:b w:val="0"/>
          <w:bCs w:val="0"/>
          <w:color w:val="000000" w:themeColor="text1"/>
          <w:spacing w:val="-1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调</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试</w:t>
      </w:r>
      <w:r>
        <w:rPr>
          <w:rFonts w:hint="eastAsia" w:ascii="宋体" w:hAnsi="宋体" w:eastAsia="宋体" w:cs="宋体"/>
          <w:b w:val="0"/>
          <w:bCs w:val="0"/>
          <w:color w:val="000000" w:themeColor="text1"/>
          <w:spacing w:val="-1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考</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核</w:t>
      </w:r>
      <w:r>
        <w:rPr>
          <w:rFonts w:hint="eastAsia" w:ascii="宋体" w:hAnsi="宋体" w:eastAsia="宋体" w:cs="宋体"/>
          <w:b w:val="0"/>
          <w:bCs w:val="0"/>
          <w:color w:val="000000" w:themeColor="text1"/>
          <w:spacing w:val="-13"/>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验</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收</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等</w:t>
      </w:r>
      <w:r>
        <w:rPr>
          <w:rFonts w:hint="eastAsia" w:ascii="宋体" w:hAnsi="宋体" w:eastAsia="宋体" w:cs="宋体"/>
          <w:b w:val="0"/>
          <w:bCs w:val="0"/>
          <w:color w:val="000000" w:themeColor="text1"/>
          <w:spacing w:val="-13"/>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但</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应</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按</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照</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第</w:t>
      </w:r>
      <w:r>
        <w:rPr>
          <w:rFonts w:hint="eastAsia" w:ascii="宋体" w:hAnsi="宋体" w:eastAsia="宋体" w:cs="宋体"/>
          <w:b w:val="0"/>
          <w:bCs w:val="0"/>
          <w:color w:val="000000" w:themeColor="text1"/>
          <w:spacing w:val="-53"/>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1.5</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1 </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项的</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约定事先书面通知卖方。</w:t>
      </w:r>
      <w:bookmarkStart w:id="45" w:name="_bookmark111"/>
      <w:bookmarkEnd w:id="45"/>
    </w:p>
    <w:p w14:paraId="5E129BBC">
      <w:pPr>
        <w:pStyle w:val="90"/>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outlineLvl w:val="3"/>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1.6  联合体</w:t>
      </w:r>
    </w:p>
    <w:p w14:paraId="537A905A">
      <w:pPr>
        <w:pStyle w:val="14"/>
        <w:keepNext w:val="0"/>
        <w:keepLines w:val="0"/>
        <w:pageBreakBefore w:val="0"/>
        <w:widowControl w:val="0"/>
        <w:kinsoku/>
        <w:wordWrap/>
        <w:overflowPunct/>
        <w:topLinePunct w:val="0"/>
        <w:autoSpaceDE/>
        <w:autoSpaceDN/>
        <w:bidi w:val="0"/>
        <w:adjustRightInd/>
        <w:snapToGrid/>
        <w:spacing w:line="500" w:lineRule="exact"/>
        <w:ind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1.6.1 </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卖方为联合体的，联合体各方应当共同与买方签订合同，并向买方为履行合同承担连</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带责任。</w:t>
      </w:r>
    </w:p>
    <w:p w14:paraId="01019B62">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1.6.2 </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在合同履行过程中，未经买方同意，不得修改联合体协议。联合体协议中关于联合体</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成员间权利义务的划分，并不影响或减损联合体各方应就履行合同向买方承担的连带责任。</w:t>
      </w:r>
    </w:p>
    <w:p w14:paraId="09743CCE">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1.6.3 </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联合体牵头人代表联合体与买方联系，并接受指示，负责组织联合体各成员全面履行</w:t>
      </w: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合同。除非专用合同条款另有约定，牵头人在履行合同中的所有行为均视为已获得联合体各方的授权。买方可将合同价款全部支付给牵头人并视为其已适当履行了付款义务。如牵头人的行</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为将构成对合同内容的变更，则牵头人须事先获得联合体各方的特别授权。</w:t>
      </w:r>
    </w:p>
    <w:p w14:paraId="48B54C87">
      <w:pPr>
        <w:pStyle w:val="90"/>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outlineLvl w:val="3"/>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bookmarkStart w:id="46" w:name="_bookmark112"/>
      <w:bookmarkEnd w:id="46"/>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1.7</w:t>
      </w:r>
      <w:r>
        <w:rPr>
          <w:rFonts w:hint="eastAsia" w:ascii="宋体" w:hAnsi="宋体" w:eastAsia="宋体" w:cs="宋体"/>
          <w:b w:val="0"/>
          <w:bCs w:val="0"/>
          <w:color w:val="000000" w:themeColor="text1"/>
          <w:spacing w:val="69"/>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转让</w:t>
      </w:r>
    </w:p>
    <w:p w14:paraId="39D955B1">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未经对方当事人书面同意，合同任何一方均不得转让其在合同项下的权利和（或）义务。</w:t>
      </w:r>
    </w:p>
    <w:p w14:paraId="6AD2ABC7">
      <w:pPr>
        <w:pStyle w:val="88"/>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bookmarkStart w:id="47" w:name="_bookmark113"/>
      <w:bookmarkEnd w:id="47"/>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2.  合同范围</w:t>
      </w:r>
    </w:p>
    <w:p w14:paraId="2F2E8828">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卖方应根据供货要求、中标设备技术性能指标的详细描述、技术服务和质保期服务计划等合同文件的约定向买方提供合同设备、技术服务和质保期服务。</w:t>
      </w:r>
    </w:p>
    <w:p w14:paraId="140DF200">
      <w:pPr>
        <w:pStyle w:val="88"/>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bookmarkStart w:id="48" w:name="_bookmark114"/>
      <w:bookmarkEnd w:id="48"/>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3.  合同价格与支付</w:t>
      </w:r>
    </w:p>
    <w:p w14:paraId="38916D93">
      <w:pPr>
        <w:pStyle w:val="90"/>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bookmarkStart w:id="49" w:name="_bookmark115"/>
      <w:bookmarkEnd w:id="49"/>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3.1  合同价格</w:t>
      </w:r>
    </w:p>
    <w:p w14:paraId="2561B3B3">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3.1.1 </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合同协议书中载明的签约合同价包括卖方为完成合同全部义务应承担的一切成本、费</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用和支出以及卖方的合理利润。</w:t>
      </w:r>
    </w:p>
    <w:p w14:paraId="54E12B39">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3.1.2 除专用合同条款另有约定外，签约合同价为固定价格。</w:t>
      </w:r>
    </w:p>
    <w:p w14:paraId="10B33E60">
      <w:pPr>
        <w:pStyle w:val="90"/>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bookmarkStart w:id="50" w:name="_bookmark116"/>
      <w:bookmarkEnd w:id="50"/>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3.2 合同价款的支付</w:t>
      </w:r>
    </w:p>
    <w:p w14:paraId="6E7767B8">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除专用合同条款另有约定外，买方应通过以下方式和比例向卖方支付合同价款：</w:t>
      </w:r>
    </w:p>
    <w:p w14:paraId="7F76078E">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3.2.1 预付款合同生效后，买方在收到卖方开具的注明应付预付款金额的财务收据正本一份并经审核无误后</w:t>
      </w:r>
      <w:r>
        <w:rPr>
          <w:rFonts w:hint="eastAsia" w:ascii="宋体" w:hAnsi="宋体" w:eastAsia="宋体" w:cs="宋体"/>
          <w:b w:val="0"/>
          <w:bCs w:val="0"/>
          <w:color w:val="000000" w:themeColor="text1"/>
          <w:spacing w:val="-55"/>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28日内，向卖方支付签约合同价的</w:t>
      </w:r>
      <w:r>
        <w:rPr>
          <w:rFonts w:hint="eastAsia" w:ascii="宋体" w:hAnsi="宋体" w:eastAsia="宋体" w:cs="宋体"/>
          <w:b w:val="0"/>
          <w:bCs w:val="0"/>
          <w:color w:val="000000" w:themeColor="text1"/>
          <w:spacing w:val="-55"/>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10%作为预付款。</w:t>
      </w:r>
    </w:p>
    <w:p w14:paraId="618C4102">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买方支付预付款后，如卖方未履行合同义务，则买方有权收回预付款；如卖方依约履行了合同义务，则预付款抵作合同价款。</w:t>
      </w:r>
    </w:p>
    <w:p w14:paraId="17FEBBCF">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3.2.2 交货款卖方按合同约定交付全部合同设备后，买方在收到卖方提交的下列全部单据并经审核无误后</w:t>
      </w:r>
      <w:r>
        <w:rPr>
          <w:rFonts w:hint="eastAsia" w:ascii="宋体" w:hAnsi="宋体" w:eastAsia="宋体" w:cs="宋体"/>
          <w:b w:val="0"/>
          <w:bCs w:val="0"/>
          <w:color w:val="000000" w:themeColor="text1"/>
          <w:spacing w:val="-54"/>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28日内，向卖方支付合同价格的</w:t>
      </w:r>
      <w:r>
        <w:rPr>
          <w:rFonts w:hint="eastAsia" w:ascii="宋体" w:hAnsi="宋体" w:eastAsia="宋体" w:cs="宋体"/>
          <w:b w:val="0"/>
          <w:bCs w:val="0"/>
          <w:color w:val="000000" w:themeColor="text1"/>
          <w:spacing w:val="-54"/>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60%：</w:t>
      </w:r>
    </w:p>
    <w:p w14:paraId="30B47429">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（1）卖方出具的交货清单正本一份；</w:t>
      </w:r>
    </w:p>
    <w:p w14:paraId="7FB80DB3">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（2）买方签署的收货清单正本一份；</w:t>
      </w:r>
    </w:p>
    <w:p w14:paraId="7AB3F980">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（3）制造商出具的出厂质量合格证正本一份；</w:t>
      </w:r>
    </w:p>
    <w:p w14:paraId="07FB1638">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（4）合同价格100%金额的增值税发票正本一份。</w:t>
      </w:r>
    </w:p>
    <w:p w14:paraId="54D1CFDB">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3.2.3 验收款买方在收到卖方提交的买卖双方签署的合同设备验收证书或已生效的验收款支付函正本一份并经审核无误后</w:t>
      </w:r>
      <w:r>
        <w:rPr>
          <w:rFonts w:hint="eastAsia" w:ascii="宋体" w:hAnsi="宋体" w:eastAsia="宋体" w:cs="宋体"/>
          <w:b w:val="0"/>
          <w:bCs w:val="0"/>
          <w:color w:val="000000" w:themeColor="text1"/>
          <w:spacing w:val="-55"/>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28日内，向卖方支付合同价格的</w:t>
      </w:r>
      <w:r>
        <w:rPr>
          <w:rFonts w:hint="eastAsia" w:ascii="宋体" w:hAnsi="宋体" w:eastAsia="宋体" w:cs="宋体"/>
          <w:b w:val="0"/>
          <w:bCs w:val="0"/>
          <w:color w:val="000000" w:themeColor="text1"/>
          <w:spacing w:val="-57"/>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25%。</w:t>
      </w:r>
    </w:p>
    <w:p w14:paraId="16EEDAC4">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3.2.4 结清款买方在收到卖方提交的买方签署的质量保证期届满证书或已生效的结清款支付函正本一份并经审核无误后</w:t>
      </w:r>
      <w:r>
        <w:rPr>
          <w:rFonts w:hint="eastAsia" w:ascii="宋体" w:hAnsi="宋体" w:eastAsia="宋体" w:cs="宋体"/>
          <w:b w:val="0"/>
          <w:bCs w:val="0"/>
          <w:color w:val="000000" w:themeColor="text1"/>
          <w:spacing w:val="-54"/>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28日内，向卖方支付合同价格的</w:t>
      </w:r>
      <w:r>
        <w:rPr>
          <w:rFonts w:hint="eastAsia" w:ascii="宋体" w:hAnsi="宋体" w:eastAsia="宋体" w:cs="宋体"/>
          <w:b w:val="0"/>
          <w:bCs w:val="0"/>
          <w:color w:val="000000" w:themeColor="text1"/>
          <w:spacing w:val="-54"/>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5%。</w:t>
      </w:r>
    </w:p>
    <w:p w14:paraId="2E038FC5">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如果依照合同第9.1项，卖方应向买方支付费用的，买方有权从结清款中直接扣除该笔费用。</w:t>
      </w:r>
    </w:p>
    <w:p w14:paraId="309924EA">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7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除专用合同条款另有约定外，在买方向卖方支付验收款的同时或其后的任何时间内，卖方</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可在</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向</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买</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方</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提</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交</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买</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方</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可</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接</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受的</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金</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额</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为</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合</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同价</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格</w:t>
      </w:r>
      <w:r>
        <w:rPr>
          <w:rFonts w:hint="eastAsia" w:ascii="宋体" w:hAnsi="宋体" w:eastAsia="宋体" w:cs="宋体"/>
          <w:b w:val="0"/>
          <w:bCs w:val="0"/>
          <w:color w:val="000000" w:themeColor="text1"/>
          <w:spacing w:val="-53"/>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5</w:t>
      </w: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的</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合同</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结</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清</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款</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保</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函</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的</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前</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提下</w:t>
      </w:r>
      <w:r>
        <w:rPr>
          <w:rFonts w:hint="eastAsia" w:ascii="宋体" w:hAnsi="宋体" w:eastAsia="宋体" w:cs="宋体"/>
          <w:b w:val="0"/>
          <w:bCs w:val="0"/>
          <w:color w:val="000000" w:themeColor="text1"/>
          <w:spacing w:val="-97"/>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要求</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买</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方</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支付</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合同结清款，买方不得拒绝。</w:t>
      </w:r>
    </w:p>
    <w:p w14:paraId="7E4AEA44">
      <w:pPr>
        <w:pStyle w:val="90"/>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bookmarkStart w:id="51" w:name="_bookmark117"/>
      <w:bookmarkEnd w:id="51"/>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3.3  买方扣款的权利</w:t>
      </w:r>
    </w:p>
    <w:p w14:paraId="3282BF3B">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当卖方应向买方支付合同项下的违约金或赔偿金时，买方有权从上述任何一笔应付款中予以直接扣除和（或）兑付履约保证金。</w:t>
      </w:r>
    </w:p>
    <w:p w14:paraId="1F6EB4A8">
      <w:pPr>
        <w:pStyle w:val="88"/>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bookmarkStart w:id="52" w:name="_bookmark118"/>
      <w:bookmarkEnd w:id="52"/>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4.  监造及交货前检验</w:t>
      </w:r>
    </w:p>
    <w:p w14:paraId="6584F670">
      <w:pPr>
        <w:pStyle w:val="90"/>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bookmarkStart w:id="53" w:name="_bookmark119"/>
      <w:bookmarkEnd w:id="53"/>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4.1</w:t>
      </w:r>
      <w:r>
        <w:rPr>
          <w:rFonts w:hint="eastAsia" w:ascii="宋体" w:hAnsi="宋体" w:eastAsia="宋体" w:cs="宋体"/>
          <w:b w:val="0"/>
          <w:bCs w:val="0"/>
          <w:color w:val="000000" w:themeColor="text1"/>
          <w:spacing w:val="69"/>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监造</w:t>
      </w:r>
    </w:p>
    <w:p w14:paraId="4B83B427">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专用合同条款约定买方对合同设备进行监造的，双方应按本款及专用合同条款约定履行。</w:t>
      </w:r>
    </w:p>
    <w:p w14:paraId="430B2CE1">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4.1.1 在合同设备的制造过程中，买方可派出监造人员，对合同设备的生产制造进行监造，监督合同设备制造、检验等情况。监造的范围、方式等应符合专用合同条款和（或）供货要求等合同文件的约定。</w:t>
      </w:r>
    </w:p>
    <w:p w14:paraId="4DE1F0FC">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4.1.2 </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除专用合同条款和（或）供货要求等合同文件另有约定外，买方监造人员可到合同设</w:t>
      </w: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备及其关键部件的生产制造现场进行监造，卖方应予配合。卖方应免费为买方监造人员提供工作条件及便利，包括但不限于必要的办公场所、技术资料、检测工具及出入许可等。除专用合</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同条款另有约定外，买方监造人员的交通、食宿费用由买方承担。</w:t>
      </w:r>
    </w:p>
    <w:p w14:paraId="26040C08">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4.1.3 </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卖方制订生产制造合同设备的进度计划时，应将买方监造纳入计划安排，并提前通知</w:t>
      </w: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买方；买方进行监造不应影响合同设备的正常生产。除专用合同条款和（或）供货要求等合同</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文件另有约定外，卖方应提前 7</w:t>
      </w:r>
      <w:r>
        <w:rPr>
          <w:rFonts w:hint="eastAsia" w:ascii="宋体" w:hAnsi="宋体" w:eastAsia="宋体" w:cs="宋体"/>
          <w:b w:val="0"/>
          <w:bCs w:val="0"/>
          <w:color w:val="000000" w:themeColor="text1"/>
          <w:spacing w:val="-29"/>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日将需要买方监造人员现场监造事项通知买方；如买方监造人员未</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按</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通</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知</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出席</w:t>
      </w:r>
      <w:r>
        <w:rPr>
          <w:rFonts w:hint="eastAsia" w:ascii="宋体" w:hAnsi="宋体" w:eastAsia="宋体" w:cs="宋体"/>
          <w:b w:val="0"/>
          <w:bCs w:val="0"/>
          <w:color w:val="000000" w:themeColor="text1"/>
          <w:spacing w:val="-94"/>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不</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影</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响</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合</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同设</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备</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及</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其</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关</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键</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部</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件</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的</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制</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造或</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检</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验</w:t>
      </w:r>
      <w:r>
        <w:rPr>
          <w:rFonts w:hint="eastAsia" w:ascii="宋体" w:hAnsi="宋体" w:eastAsia="宋体" w:cs="宋体"/>
          <w:b w:val="0"/>
          <w:bCs w:val="0"/>
          <w:color w:val="000000" w:themeColor="text1"/>
          <w:spacing w:val="-92"/>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但</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买</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方</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监</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造</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人</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员</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有权</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事</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后</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了解</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、查阅、复制相关制造或检验记录。</w:t>
      </w:r>
    </w:p>
    <w:p w14:paraId="795F1104">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4.1.4 </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买方监造人员在监造中如发现合同设备及其关键部件不符合合同约定的标准，则有权</w:t>
      </w: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提出意见和建议。卖方应采取必要措施消除合同设备的不符，由此增加的费用和（或）造成的</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延误由卖方负责。</w:t>
      </w:r>
    </w:p>
    <w:p w14:paraId="66D15409">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4.1.5 </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买方监造人员对合同设备的监造，不视为对合同设备质量的确认，不影响卖方交货后</w:t>
      </w: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买方依照合同约定对合同设备提出质量异议和（或）退货的权利，也不免除卖方依照合同约定</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对合同设备所应承担的任何义务或责任。</w:t>
      </w:r>
    </w:p>
    <w:p w14:paraId="4AF1EA3F">
      <w:pPr>
        <w:pStyle w:val="90"/>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bookmarkStart w:id="54" w:name="_bookmark120"/>
      <w:bookmarkEnd w:id="54"/>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4.2  交货前检验</w:t>
      </w:r>
    </w:p>
    <w:p w14:paraId="69F1431A">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专用合同条款约定买方参与交货前检验的，双方应按本款及专用合同条款约定履行。</w:t>
      </w:r>
    </w:p>
    <w:p w14:paraId="5735DF3A">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4.2.1 </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合同设备交货前，卖方应会同买方代表根据合同约定对合同设备进行交货前检验并出</w:t>
      </w: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具交货前检验记录，有关费用由卖方承担。卖方应免费为买方代表提供工作条件及便利，包括但不限于必要的办公场所、技术资料、检测工具及出入许可等。除专用合同条款另有约定外，</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买方代表的交通、食宿费用由买方承担。</w:t>
      </w:r>
    </w:p>
    <w:p w14:paraId="716AD4AF">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4.2.2 </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 xml:space="preserve">除专用合同条款和（或）供货要求等合同文件另有约定外，卖方应提前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7 日将需要买</w:t>
      </w: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方代表检验事项通知买方；如买方代表未按通知出席，不影响合同设备的检验。若卖方未依照合同约定提前通知买方而自行检验，则买方有权要求卖方暂停发货并重新进行检验，由此增加</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的费用和（或）造成的延误由卖方负责。</w:t>
      </w:r>
    </w:p>
    <w:p w14:paraId="48FC325C">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4.2.3 </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买方代表在检验中如发现合同设备不符合合同约定的标准，则有权提出异议。卖方应</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采取必要措施消除合同设备的不符，由此增加的费用和（或）造成的延误由卖方负责。</w:t>
      </w:r>
    </w:p>
    <w:p w14:paraId="42194D38">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4.2.4 </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买方代表参与交货前检验及签署交货前检验记录的行为，不视为对合同设备质量的确</w:t>
      </w: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认，不影响卖方交货后买方依照合同约定对合同设备提出质量异议和（或）退货的权利，也不</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免除卖方依照合同约定对合同设备所应承担的任何义务或责任。</w:t>
      </w:r>
    </w:p>
    <w:p w14:paraId="7076EB6F">
      <w:pPr>
        <w:pStyle w:val="88"/>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bookmarkStart w:id="55" w:name="_bookmark121"/>
      <w:bookmarkEnd w:id="55"/>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5.包装、标记、运输和交付</w:t>
      </w:r>
    </w:p>
    <w:p w14:paraId="3B3EB890">
      <w:pPr>
        <w:pStyle w:val="90"/>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bookmarkStart w:id="56" w:name="_bookmark122"/>
      <w:bookmarkEnd w:id="56"/>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5.1</w:t>
      </w:r>
      <w:r>
        <w:rPr>
          <w:rFonts w:hint="eastAsia" w:ascii="宋体" w:hAnsi="宋体" w:eastAsia="宋体" w:cs="宋体"/>
          <w:b w:val="0"/>
          <w:bCs w:val="0"/>
          <w:color w:val="000000" w:themeColor="text1"/>
          <w:spacing w:val="69"/>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包装</w:t>
      </w:r>
    </w:p>
    <w:p w14:paraId="4F19FD69">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5.1.1 </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卖方应对合同设备进行妥善包装，以满足合同设备运至施工场地及在施工场地保管的</w:t>
      </w: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需要。包装应采取防潮、防晒、防锈、防腐蚀、防震动及防止其它损坏的必要保护措施，从而</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保护合同设备能够经受多次搬运、装卸、长途运输并适宜保管。</w:t>
      </w:r>
    </w:p>
    <w:p w14:paraId="199A6A48">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5.1.2 每个独立包装箱内应附装箱清单、质量合格证、装配图、说明书、操作指南等资料。</w:t>
      </w:r>
    </w:p>
    <w:p w14:paraId="29101E0F">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5.1.3 除专用合同条款另有约定外，买方无需将包装物退还给卖方。</w:t>
      </w:r>
    </w:p>
    <w:p w14:paraId="706E0D1B">
      <w:pPr>
        <w:pStyle w:val="90"/>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bookmarkStart w:id="57" w:name="_bookmark123"/>
      <w:bookmarkEnd w:id="57"/>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5.2</w:t>
      </w:r>
      <w:r>
        <w:rPr>
          <w:rFonts w:hint="eastAsia" w:ascii="宋体" w:hAnsi="宋体" w:eastAsia="宋体" w:cs="宋体"/>
          <w:b w:val="0"/>
          <w:bCs w:val="0"/>
          <w:color w:val="000000" w:themeColor="text1"/>
          <w:spacing w:val="69"/>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标记</w:t>
      </w:r>
    </w:p>
    <w:p w14:paraId="054B10F9">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5.2.1 </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除专用合同条款另有约定外，卖方应在每一包装箱相邻的四个侧面以不可擦除的、明</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显的方式标记必要的装运信息和标记，以满足合同设备运输和保管的需要。</w:t>
      </w:r>
    </w:p>
    <w:p w14:paraId="08A40674">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5.2.2 根据合同设备的特点和运输、保管的不同要求，卖方应在包装箱上清楚地标注</w:t>
      </w:r>
      <w:r>
        <w:rPr>
          <w:rFonts w:hint="eastAsia" w:ascii="宋体" w:hAnsi="宋体" w:eastAsia="宋体" w:cs="宋体"/>
          <w:b w:val="0"/>
          <w:bCs w:val="0"/>
          <w:i/>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小心轻放”、“此端朝上，请勿倒置”、“保持干燥”等字样和其他适当标记。对于专用合同条款约定的超大超重件，卖方应在包装箱两侧标注“重心”和“起吊点”以便装卸和搬运。如果发运合同设备中含有易燃易爆物品、腐蚀物品、放射性物质等危险品，则应在包装箱上标明危险品标志。</w:t>
      </w:r>
    </w:p>
    <w:p w14:paraId="0319EF17">
      <w:pPr>
        <w:pStyle w:val="90"/>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bookmarkStart w:id="58" w:name="_bookmark124"/>
      <w:bookmarkEnd w:id="58"/>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5.3 运输</w:t>
      </w:r>
    </w:p>
    <w:p w14:paraId="64B299F5">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5.3.1 卖方应自行选择适宜的运输工具及线路安排合同设备运输。</w:t>
      </w:r>
    </w:p>
    <w:p w14:paraId="204BFC4F">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5.3.2 </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除专用合同条款另有约定外，每件能够独立运行的设备应整套装运。该设备安装、调</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试、考核和运行所使用的备品、备件、易损易耗件等应随相关的主机一齐装运。</w:t>
      </w:r>
    </w:p>
    <w:p w14:paraId="435CA6DA">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5.3.3 除专用合同条款另有约定外，卖方应在合同设备预计启运 7 日前，将合同设备名称、数量</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箱</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数</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总</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毛重</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、总</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体积</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用 </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m</w:t>
      </w:r>
      <w:r>
        <w:rPr>
          <w:rFonts w:hint="eastAsia" w:ascii="宋体" w:hAnsi="宋体" w:eastAsia="宋体" w:cs="宋体"/>
          <w:b w:val="0"/>
          <w:bCs w:val="0"/>
          <w:color w:val="000000" w:themeColor="text1"/>
          <w:position w:val="6"/>
          <w:sz w:val="24"/>
          <w:szCs w:val="24"/>
          <w:highlight w:val="none"/>
          <w:lang w:eastAsia="zh-CN"/>
          <w14:textFill>
            <w14:solidFill>
              <w14:schemeClr w14:val="tx1"/>
            </w14:solidFill>
          </w14:textFill>
        </w:rPr>
        <w:t xml:space="preserve">3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表示）、</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每箱</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尺寸</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pacing w:val="2"/>
          <w:sz w:val="24"/>
          <w:szCs w:val="24"/>
          <w:highlight w:val="none"/>
          <w:lang w:eastAsia="zh-CN"/>
          <w14:textFill>
            <w14:solidFill>
              <w14:schemeClr w14:val="tx1"/>
            </w14:solidFill>
          </w14:textFill>
        </w:rPr>
        <w:t>长</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pacing w:val="2"/>
          <w:sz w:val="24"/>
          <w:szCs w:val="24"/>
          <w:highlight w:val="none"/>
          <w:lang w:eastAsia="zh-CN"/>
          <w14:textFill>
            <w14:solidFill>
              <w14:schemeClr w14:val="tx1"/>
            </w14:solidFill>
          </w14:textFill>
        </w:rPr>
        <w:t>宽</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高），装</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运合</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同设</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备</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总</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金</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额、运输方式、预计交付日期和合同设备在运输、装卸、保管中的注意事项等预通知买方，并在合 同设备启运后</w:t>
      </w:r>
      <w:r>
        <w:rPr>
          <w:rFonts w:hint="eastAsia" w:ascii="宋体" w:hAnsi="宋体" w:eastAsia="宋体" w:cs="宋体"/>
          <w:b w:val="0"/>
          <w:bCs w:val="0"/>
          <w:color w:val="000000" w:themeColor="text1"/>
          <w:spacing w:val="-56"/>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24 小时之内正式通知买方。</w:t>
      </w:r>
    </w:p>
    <w:p w14:paraId="1AA37395">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5.3.4 卖方在根据第 5.3.3 项进行通知时，如果发运合同设备中包括专用合同条款约定的超大超重包装，则卖方应将超大和（或）超重的每个包装箱的重量和尺寸通知买方；如果发运合同设备中包括易燃易爆物品、腐蚀物品、放射性物质等危险品，则危险品的品名、性质、在运输、装卸、保管方面的特殊要求、注意事项和处理意外情况的方法等，也应一并通知买方。</w:t>
      </w:r>
    </w:p>
    <w:p w14:paraId="59DEF2B7">
      <w:pPr>
        <w:pStyle w:val="90"/>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bookmarkStart w:id="59" w:name="_bookmark125"/>
      <w:bookmarkEnd w:id="59"/>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5.4</w:t>
      </w:r>
      <w:r>
        <w:rPr>
          <w:rFonts w:hint="eastAsia" w:ascii="宋体" w:hAnsi="宋体" w:eastAsia="宋体" w:cs="宋体"/>
          <w:b w:val="0"/>
          <w:bCs w:val="0"/>
          <w:color w:val="000000" w:themeColor="text1"/>
          <w:spacing w:val="69"/>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交付</w:t>
      </w:r>
    </w:p>
    <w:p w14:paraId="03D8B318">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5.4.1 </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除专用合同条款另有约定外，卖方应根据合同约定的交付时间和批次在施工场地车面</w:t>
      </w: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上将合同设备交付给买方。买方对卖方交付的包装的合同设备的外观及件数进行清点核验后应 签发收货清单，并自负风险和费用进行卸货。买方签发收货清单不代表对合同设备的接受，双</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方还应按合同约定进行后续的检验和验收。</w:t>
      </w:r>
    </w:p>
    <w:p w14:paraId="0AF10D7B">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5.4.2 </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合同设备的所有权和风险自交付时起由卖方转移至买方，合同设备交付给买方之前包</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括运输在内的所有风险均由卖方承担。</w:t>
      </w:r>
    </w:p>
    <w:p w14:paraId="014EE790">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5.4.3 除专用合同条款另有约定外，买方如果发现技术资料存在短缺和（或）损坏，卖方应在收到买方的通知后 7 日内免费补齐短缺和（或）损坏的部分。如果买方发现卖方提供的技术资料</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有</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误</w:t>
      </w:r>
      <w:r>
        <w:rPr>
          <w:rFonts w:hint="eastAsia" w:ascii="宋体" w:hAnsi="宋体" w:eastAsia="宋体" w:cs="宋体"/>
          <w:b w:val="0"/>
          <w:bCs w:val="0"/>
          <w:color w:val="000000" w:themeColor="text1"/>
          <w:spacing w:val="-99"/>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卖</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方</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应</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在</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收</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到买</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方通</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知</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后</w:t>
      </w:r>
      <w:r>
        <w:rPr>
          <w:rFonts w:hint="eastAsia" w:ascii="宋体" w:hAnsi="宋体" w:eastAsia="宋体" w:cs="宋体"/>
          <w:b w:val="0"/>
          <w:bCs w:val="0"/>
          <w:color w:val="000000" w:themeColor="text1"/>
          <w:spacing w:val="-53"/>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7</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日</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内</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免</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费</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替</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换</w:t>
      </w:r>
      <w:r>
        <w:rPr>
          <w:rFonts w:hint="eastAsia" w:ascii="宋体" w:hAnsi="宋体" w:eastAsia="宋体" w:cs="宋体"/>
          <w:b w:val="0"/>
          <w:bCs w:val="0"/>
          <w:color w:val="000000" w:themeColor="text1"/>
          <w:spacing w:val="-99"/>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如由</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于</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买</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方</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原</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因</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导</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致</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技</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术</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资料</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丢</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失和</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(或）</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损坏，卖方应在收到买方的通知后 7 日内补齐丢失和（或）损坏的部分，但买方应向卖方支付合理的复制、邮寄费用。</w:t>
      </w:r>
      <w:bookmarkStart w:id="60" w:name="_bookmark126"/>
      <w:bookmarkEnd w:id="60"/>
    </w:p>
    <w:p w14:paraId="00AFAACB">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outlineLvl w:val="2"/>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6. 开箱检验、安装、调试、考核、验收</w:t>
      </w:r>
      <w:bookmarkStart w:id="61" w:name="_bookmark127"/>
      <w:bookmarkEnd w:id="61"/>
    </w:p>
    <w:p w14:paraId="299FAAFA">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outlineLvl w:val="3"/>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6.1 开箱检验</w:t>
      </w:r>
    </w:p>
    <w:p w14:paraId="14DE5C43">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6.1.1 </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合同设备交付后应进行开箱检验，即合同设备数量及外观检验。开箱检验在专用合同</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条款约定的下列任一种时间进行：</w:t>
      </w:r>
    </w:p>
    <w:p w14:paraId="1A70DC84">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（1）合同设备交付时；</w:t>
      </w:r>
    </w:p>
    <w:p w14:paraId="0EF4A1E6">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（2）合同设备交付后的一定期限内。如开箱检验不在合同设备交付时进行，买方应在开箱检验3日前将开箱检验的时间和地点通知卖方。</w:t>
      </w:r>
    </w:p>
    <w:p w14:paraId="237F28E5">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6.1.2 除专用合同条款另有约定外，合同设备的开箱检验应在施工场地进行。</w:t>
      </w:r>
    </w:p>
    <w:p w14:paraId="224FBB4F">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6.1.3 开箱检验由买卖双方共同进行，卖方应自负费用派遣代表到场参加开箱检验。</w:t>
      </w:r>
    </w:p>
    <w:p w14:paraId="2E8859EB">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6.1.4 在开箱检验中，买方和卖方应共同签署数量、外观检验报告，报告应列明检验结果，包括检验合格或发现的任何短缺、损坏或其它与合同约定不符的情形。</w:t>
      </w:r>
    </w:p>
    <w:p w14:paraId="3E3DC404">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6.1.5 </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 xml:space="preserve">如果卖方代表未能依约或按买方通知到场参加开箱检验，买方有权在卖方代表未在场 </w:t>
      </w: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 xml:space="preserve">的情况下进行开箱检验，并签署数量、外观检验报告，对于该检验报告和检验结果，视为卖方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已接受，但卖方确有合理理由且事先与买方协商推迟开箱检验时间的除外。</w:t>
      </w:r>
    </w:p>
    <w:p w14:paraId="4AC0DA00">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6.1.6 如开箱检验不在合同设备交付时进行，则合同设备交付以后到开箱检验之前，应由买方负责按交货时外包装原样对合同设备进行妥善保管。除专用合同条款另有约定外，在开箱检验时如果合同设备外包装与交货时一致，则开箱检验中发现的合同设备的短缺、损坏或其它与合同约定不符的情形，由卖方负责，卖方应补齐、更换及采取其他补救措施。如果在开箱检验时合同设备外包装不是交货时的包装或虽是交货时的包装但与交货时不一致且出现很可能导致合同设备短缺或损坏的包装破损，则开箱检验中发现合同设备短缺、损坏或其它与合同约定不符的情形的风险，由买方承担，但买方能够证明是由于卖方原因或合同设备交付前非买方原因导致的除外。</w:t>
      </w:r>
    </w:p>
    <w:p w14:paraId="7E1468BC">
      <w:pPr>
        <w:pStyle w:val="14"/>
        <w:keepNext w:val="0"/>
        <w:keepLines w:val="0"/>
        <w:pageBreakBefore w:val="0"/>
        <w:widowControl w:val="0"/>
        <w:kinsoku/>
        <w:wordWrap/>
        <w:overflowPunct/>
        <w:topLinePunct w:val="0"/>
        <w:autoSpaceDE/>
        <w:autoSpaceDN/>
        <w:bidi w:val="0"/>
        <w:adjustRightInd/>
        <w:snapToGrid/>
        <w:spacing w:before="33" w:line="500" w:lineRule="exact"/>
        <w:ind w:left="100" w:right="111" w:firstLine="419"/>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6.1.7 </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如双方在专用合同条款和（或）供货要求等合同文件中约定由第三方检测机构对合同</w:t>
      </w: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设备进行开箱检验或在开箱检验过程中另行约定由第三方检验的，则第三方检测机构的检验结</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果对双方均具有约束力。</w:t>
      </w:r>
    </w:p>
    <w:p w14:paraId="5796D225">
      <w:pPr>
        <w:pStyle w:val="14"/>
        <w:keepNext w:val="0"/>
        <w:keepLines w:val="0"/>
        <w:pageBreakBefore w:val="0"/>
        <w:widowControl w:val="0"/>
        <w:kinsoku/>
        <w:wordWrap/>
        <w:overflowPunct/>
        <w:topLinePunct w:val="0"/>
        <w:autoSpaceDE/>
        <w:autoSpaceDN/>
        <w:bidi w:val="0"/>
        <w:adjustRightInd/>
        <w:snapToGrid/>
        <w:spacing w:before="40" w:line="500" w:lineRule="exact"/>
        <w:ind w:left="100" w:right="111" w:firstLine="419"/>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6.1.8 </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开箱检验的检验结果不能对抗在合同设备的安装、调试、考核、验收中及质量保证期</w:t>
      </w: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内发现的合同设备质量问题，也不能免除或影响卖方依照合同约定对买方负有的包括合同设备</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质量在内的任何义务或责任。</w:t>
      </w:r>
      <w:bookmarkStart w:id="62" w:name="_bookmark128"/>
      <w:bookmarkEnd w:id="62"/>
    </w:p>
    <w:p w14:paraId="297DFC7A">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20"/>
        <w:jc w:val="both"/>
        <w:textAlignment w:val="auto"/>
        <w:outlineLvl w:val="3"/>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6.2 安装、调试</w:t>
      </w:r>
    </w:p>
    <w:p w14:paraId="75853EDA">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2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6.2.1 </w:t>
      </w:r>
      <w:r>
        <w:rPr>
          <w:rFonts w:hint="eastAsia" w:ascii="宋体" w:hAnsi="宋体" w:eastAsia="宋体" w:cs="宋体"/>
          <w:b w:val="0"/>
          <w:bCs w:val="0"/>
          <w:color w:val="000000" w:themeColor="text1"/>
          <w:spacing w:val="-9"/>
          <w:sz w:val="24"/>
          <w:szCs w:val="24"/>
          <w:highlight w:val="none"/>
          <w:lang w:eastAsia="zh-CN"/>
          <w14:textFill>
            <w14:solidFill>
              <w14:schemeClr w14:val="tx1"/>
            </w14:solidFill>
          </w14:textFill>
        </w:rPr>
        <w:t>开箱检验完成后，双方应对合同设备进行安装、调试，以使其具备考核的状态。安装、</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调试应按照专用合同条款约定的下列任一种方式进行：</w:t>
      </w:r>
    </w:p>
    <w:p w14:paraId="22238E19">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2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（1）卖方按照合同约定完成合同设备的安装、调试工作；</w:t>
      </w:r>
    </w:p>
    <w:p w14:paraId="6485BA24">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2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2）买方或买方安排第三方负责合同设备的安装、调试工作，卖方提供技术服务。除专用合同条款另有约定外，在安装、调试过程中，如由于买方或买方安排的第三方未按照卖方现场服务人员的指导导致安装、调试不成功和（或）出现合同设备损坏，买方应自行承担责任。如在买方或买方安排的第三方按照卖方现场服务人员的指导进行安装、调试的情况下出现安装、调试不成功和（或）造成合同设备损坏的情况，卖方应承担责任。</w:t>
      </w:r>
    </w:p>
    <w:p w14:paraId="1344EF8D">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2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6.2.2 </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除专用合同条款另有约定外，安装、调试中合同设备运行需要的用水、用电、</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其他动力和原材料（如需要）等均由买方承担。</w:t>
      </w:r>
    </w:p>
    <w:p w14:paraId="2E81065F">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2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6.2.3 双方应对合同设备的安装、调试情况共同及时进行记录。</w:t>
      </w:r>
    </w:p>
    <w:p w14:paraId="3E54FFC9">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20"/>
        <w:jc w:val="both"/>
        <w:textAlignment w:val="auto"/>
        <w:outlineLvl w:val="3"/>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bookmarkStart w:id="63" w:name="_bookmark129"/>
      <w:bookmarkEnd w:id="63"/>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6.3 考核</w:t>
      </w:r>
    </w:p>
    <w:p w14:paraId="15029D66">
      <w:pPr>
        <w:pStyle w:val="14"/>
        <w:keepNext w:val="0"/>
        <w:keepLines w:val="0"/>
        <w:pageBreakBefore w:val="0"/>
        <w:widowControl w:val="0"/>
        <w:kinsoku/>
        <w:wordWrap/>
        <w:overflowPunct/>
        <w:topLinePunct w:val="0"/>
        <w:autoSpaceDE/>
        <w:autoSpaceDN/>
        <w:bidi w:val="0"/>
        <w:adjustRightInd/>
        <w:snapToGrid/>
        <w:spacing w:before="6" w:line="500" w:lineRule="exact"/>
        <w:ind w:left="100" w:right="211" w:firstLine="419"/>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6.3.1 安装、调试完成后，双方应对合同设备进行考核，以确定合同设备是否达到合同约定的技术性能考核指标。除专用合同条款另有约定外，考核中合同设备运行需要的用水、用电、其他动力和原材料（如需要）等均由买方承担。</w:t>
      </w:r>
    </w:p>
    <w:p w14:paraId="5A530A3F">
      <w:pPr>
        <w:pStyle w:val="14"/>
        <w:keepNext w:val="0"/>
        <w:keepLines w:val="0"/>
        <w:pageBreakBefore w:val="0"/>
        <w:widowControl w:val="0"/>
        <w:kinsoku/>
        <w:wordWrap/>
        <w:overflowPunct/>
        <w:topLinePunct w:val="0"/>
        <w:autoSpaceDE/>
        <w:autoSpaceDN/>
        <w:bidi w:val="0"/>
        <w:adjustRightInd/>
        <w:snapToGrid/>
        <w:spacing w:before="6" w:line="500" w:lineRule="exact"/>
        <w:ind w:left="100" w:right="211" w:firstLine="419"/>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6.3.2 </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如由于卖方原因合同设备在考核中未能达到合同约定的技术性能考核指标，则卖方应</w:t>
      </w: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在双方同意的期限内采取措施消除合同设备中存在的缺陷，并在缺陷消除以后，尽快进行再次</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考核。</w:t>
      </w:r>
    </w:p>
    <w:p w14:paraId="194FA232">
      <w:pPr>
        <w:pStyle w:val="14"/>
        <w:keepNext w:val="0"/>
        <w:keepLines w:val="0"/>
        <w:pageBreakBefore w:val="0"/>
        <w:widowControl w:val="0"/>
        <w:kinsoku/>
        <w:wordWrap/>
        <w:overflowPunct/>
        <w:topLinePunct w:val="0"/>
        <w:autoSpaceDE/>
        <w:autoSpaceDN/>
        <w:bidi w:val="0"/>
        <w:adjustRightInd/>
        <w:snapToGrid/>
        <w:spacing w:before="43" w:line="500" w:lineRule="exact"/>
        <w:ind w:left="100" w:right="213" w:firstLine="419"/>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6.3.3 </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由于卖方原因未能达到技术性能考核指标时，为卖方进行考核的机会不超过三次。如</w:t>
      </w: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果由于卖方原因，三次考核均未能达到合同约定的技术性能考核指标，则买卖双方应就合同的后续履行进行协商，协商不成的，买方有权解除合同。但如合同中约定了或双方在考核中另行达成了合同设备的最低技术性能考核指标，且合同设备达到了最低技术性能考核指标的，视为合同设备已达到技术性能考核指标，买方无权解除合同，且应接受合同设备，但卖方应按专用</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合同条款的约定进行减价或向买方支付补偿金。</w:t>
      </w:r>
    </w:p>
    <w:p w14:paraId="726C27AE">
      <w:pPr>
        <w:pStyle w:val="14"/>
        <w:keepNext w:val="0"/>
        <w:keepLines w:val="0"/>
        <w:pageBreakBefore w:val="0"/>
        <w:widowControl w:val="0"/>
        <w:kinsoku/>
        <w:wordWrap/>
        <w:overflowPunct/>
        <w:topLinePunct w:val="0"/>
        <w:autoSpaceDE/>
        <w:autoSpaceDN/>
        <w:bidi w:val="0"/>
        <w:adjustRightInd/>
        <w:snapToGrid/>
        <w:spacing w:before="34" w:line="500" w:lineRule="exact"/>
        <w:ind w:left="100" w:right="211" w:firstLine="419"/>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6.3.4 </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如由于买方原因合同设备在考核中未能达到合同约定的技术性能考核指标，则卖方应</w:t>
      </w: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协助买方安排再次考核。由于买方原因未能达到技术性能考核指标时，为买方进行考核的机会</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不超过三次。</w:t>
      </w:r>
    </w:p>
    <w:p w14:paraId="16105D53">
      <w:pPr>
        <w:pStyle w:val="14"/>
        <w:keepNext w:val="0"/>
        <w:keepLines w:val="0"/>
        <w:pageBreakBefore w:val="0"/>
        <w:widowControl w:val="0"/>
        <w:kinsoku/>
        <w:wordWrap/>
        <w:overflowPunct/>
        <w:topLinePunct w:val="0"/>
        <w:autoSpaceDE/>
        <w:autoSpaceDN/>
        <w:bidi w:val="0"/>
        <w:adjustRightInd/>
        <w:snapToGrid/>
        <w:spacing w:before="43" w:line="500" w:lineRule="exact"/>
        <w:ind w:left="100" w:right="21" w:firstLine="419"/>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6.3.5 考核期间，双方应及时共同记录合同设备的用水、用电、其他动力和原材料（如有）的使用及设备考核情况。对于未达到技术性能考核指标的，应如实记录设备表现、可能原因及处理情况等。</w:t>
      </w:r>
    </w:p>
    <w:p w14:paraId="5584A80F">
      <w:pPr>
        <w:pStyle w:val="90"/>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bookmarkStart w:id="64" w:name="_bookmark130"/>
      <w:bookmarkEnd w:id="64"/>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6.4</w:t>
      </w:r>
      <w:r>
        <w:rPr>
          <w:rFonts w:hint="eastAsia" w:ascii="宋体" w:hAnsi="宋体" w:eastAsia="宋体" w:cs="宋体"/>
          <w:b w:val="0"/>
          <w:bCs w:val="0"/>
          <w:color w:val="000000" w:themeColor="text1"/>
          <w:spacing w:val="69"/>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验收</w:t>
      </w:r>
    </w:p>
    <w:p w14:paraId="455BFB0A">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6.4.1 如合同设备在考核中达到或视为达到技术性能考核指标，则买卖双方应在考核完成后7 日内或专用合同条款另行约定的时间内签署合同设备验收证书一式二份，双方各持一份。验收日期应为合同设备达到或视为达到技术性能考核指标的日期。</w:t>
      </w:r>
    </w:p>
    <w:p w14:paraId="0C585B69">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6.4.2 如由于买方原因合同设备在三次考核中均未能达到技术性能考核指标，买卖双方应在考核结束后</w:t>
      </w:r>
      <w:r>
        <w:rPr>
          <w:rFonts w:hint="eastAsia" w:ascii="宋体" w:hAnsi="宋体" w:eastAsia="宋体" w:cs="宋体"/>
          <w:b w:val="0"/>
          <w:bCs w:val="0"/>
          <w:color w:val="000000" w:themeColor="text1"/>
          <w:spacing w:val="-57"/>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7 日内或专用合同条款另行约定的时间内签署验收款支付函。</w:t>
      </w:r>
    </w:p>
    <w:p w14:paraId="2AD2C0D3">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6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5"/>
          <w:sz w:val="24"/>
          <w:szCs w:val="24"/>
          <w:highlight w:val="none"/>
          <w:lang w:eastAsia="zh-CN"/>
          <w14:textFill>
            <w14:solidFill>
              <w14:schemeClr w14:val="tx1"/>
            </w14:solidFill>
          </w14:textFill>
        </w:rPr>
        <w:t>除专用合同条款另有约定外，卖方有义务在验收款支付函签署后</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12个月内应买方要求提供</w:t>
      </w: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相关技术服务，协助买方采取一切必要措施使合同设备达到技术性能考核指标。买方应承担卖</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方因此产生的全部费用。</w:t>
      </w:r>
    </w:p>
    <w:p w14:paraId="52C72D8C">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在上述 12 个月的期限内，如合同设备经过考核达到或视为达到技术性能考核指标，则买卖双方应按照第</w:t>
      </w:r>
      <w:r>
        <w:rPr>
          <w:rFonts w:hint="eastAsia" w:ascii="宋体" w:hAnsi="宋体" w:eastAsia="宋体" w:cs="宋体"/>
          <w:b w:val="0"/>
          <w:bCs w:val="0"/>
          <w:color w:val="000000" w:themeColor="text1"/>
          <w:spacing w:val="-59"/>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6.4.1 项的约定签署合同设备验收证书。</w:t>
      </w:r>
    </w:p>
    <w:p w14:paraId="1EB0FD52">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6.4.3 除专用合同条款另有约定外，如由于买方原因在最后一批合同设备交货后 6 个月内未能开始考核，则买卖双方应在上述期限届满后 7 日内或专用合同条款另行约定的时间内签署验收款支付函。</w:t>
      </w:r>
    </w:p>
    <w:p w14:paraId="18BDD831">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除专用合同条款另有约定外，卖方有义务在验收款支付函签署后 6 个月内应买方要求提供不超出合同范围的技术服务，协助买方采取一切必要措施使合同设备达到技术性能考核指标，且买方无需因此向卖方支付费用。</w:t>
      </w:r>
    </w:p>
    <w:p w14:paraId="144964AF">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在上述 6 个月的期限内，如合同设备经过考核达到或视为达到技术性能考核指标，则买卖双方应按照第</w:t>
      </w:r>
      <w:r>
        <w:rPr>
          <w:rFonts w:hint="eastAsia" w:ascii="宋体" w:hAnsi="宋体" w:eastAsia="宋体" w:cs="宋体"/>
          <w:b w:val="0"/>
          <w:bCs w:val="0"/>
          <w:color w:val="000000" w:themeColor="text1"/>
          <w:spacing w:val="-59"/>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6.4.1 项的约定签署合同设备验收证书。</w:t>
      </w:r>
    </w:p>
    <w:p w14:paraId="7FC87A33">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6.4.4 在第 6.4.2 项和第</w:t>
      </w:r>
      <w:r>
        <w:rPr>
          <w:rFonts w:hint="eastAsia" w:ascii="宋体" w:hAnsi="宋体" w:eastAsia="宋体" w:cs="宋体"/>
          <w:b w:val="0"/>
          <w:bCs w:val="0"/>
          <w:color w:val="000000" w:themeColor="text1"/>
          <w:spacing w:val="-54"/>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6.4.3 </w:t>
      </w:r>
      <w:r>
        <w:rPr>
          <w:rFonts w:hint="eastAsia" w:ascii="宋体" w:hAnsi="宋体" w:eastAsia="宋体" w:cs="宋体"/>
          <w:b w:val="0"/>
          <w:bCs w:val="0"/>
          <w:color w:val="000000" w:themeColor="text1"/>
          <w:spacing w:val="-5"/>
          <w:sz w:val="24"/>
          <w:szCs w:val="24"/>
          <w:highlight w:val="none"/>
          <w:lang w:eastAsia="zh-CN"/>
          <w14:textFill>
            <w14:solidFill>
              <w14:schemeClr w14:val="tx1"/>
            </w14:solidFill>
          </w14:textFill>
        </w:rPr>
        <w:t>项情形下，卖方也可单方签署验收款支付函提交买方，如果买</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方在收到卖方签署的验收款支付函后 14 </w:t>
      </w:r>
      <w:r>
        <w:rPr>
          <w:rFonts w:hint="eastAsia" w:ascii="宋体" w:hAnsi="宋体" w:eastAsia="宋体" w:cs="宋体"/>
          <w:b w:val="0"/>
          <w:bCs w:val="0"/>
          <w:color w:val="000000" w:themeColor="text1"/>
          <w:spacing w:val="-5"/>
          <w:sz w:val="24"/>
          <w:szCs w:val="24"/>
          <w:highlight w:val="none"/>
          <w:lang w:eastAsia="zh-CN"/>
          <w14:textFill>
            <w14:solidFill>
              <w14:schemeClr w14:val="tx1"/>
            </w14:solidFill>
          </w14:textFill>
        </w:rPr>
        <w:t xml:space="preserve">日内未向卖方提出书面异议，则验收款支付函自签署之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日起生效。</w:t>
      </w:r>
    </w:p>
    <w:p w14:paraId="254A2855">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6.4.5 合同设备验收证书的签署不能免除卖方在质量保证期内对合同设备应承担的保证责任。</w:t>
      </w:r>
    </w:p>
    <w:p w14:paraId="410391FA">
      <w:pPr>
        <w:pStyle w:val="88"/>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bookmarkStart w:id="65" w:name="_bookmark131"/>
      <w:bookmarkEnd w:id="65"/>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7.  技术服务</w:t>
      </w:r>
    </w:p>
    <w:p w14:paraId="217DE40B">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7.1 卖方应派遣技术熟练、称职的技术人员到施工场地为买方提供技术服务。卖方的技术服务应符合合同的约定。</w:t>
      </w:r>
    </w:p>
    <w:p w14:paraId="1CE7C3DC">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7.2 买方应免费为卖方技术人员提供工作条件及便利，包括但不限于必要的办公场所、技术资料及出入许可等。除专用合同条款另有约定外，卖方技术人员的交通、食宿费用由卖方承担。</w:t>
      </w:r>
    </w:p>
    <w:p w14:paraId="2F15E15F">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7.3 卖方技术人员应遵守买方施工现场的各项规章制度和安全操作规程，并服从买方的现场管理。</w:t>
      </w:r>
    </w:p>
    <w:p w14:paraId="4CF70149">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7.4 如果任何技术人员不合格，买方有权要求卖方撤换，因撤换而产生的费用应由卖方承担。在不影响技术服务并且征得买方同意的条件下，卖方也可自负费用更换其技术人员。</w:t>
      </w:r>
    </w:p>
    <w:p w14:paraId="4B92ECDD">
      <w:pPr>
        <w:pStyle w:val="88"/>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bookmarkStart w:id="66" w:name="_bookmark132"/>
      <w:bookmarkEnd w:id="66"/>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8.  质量保证期</w:t>
      </w:r>
    </w:p>
    <w:p w14:paraId="098591ED">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8.1 除专用合同条款和（或）供货要求等合同文件另有约定外，合同设备整体质量保证期为验收之日起 12 个月。如对合同设备中关键部件的质量保证期有特殊要求的，买卖双方可在专用合同条款中约定。在合同第 6.4.2 项情形下，无论合同设备何时验收，其质量保证期最长为签署验收款支付函后 12 个月。在合同第</w:t>
      </w:r>
      <w:r>
        <w:rPr>
          <w:rFonts w:hint="eastAsia" w:ascii="宋体" w:hAnsi="宋体" w:eastAsia="宋体" w:cs="宋体"/>
          <w:b w:val="0"/>
          <w:bCs w:val="0"/>
          <w:color w:val="000000" w:themeColor="text1"/>
          <w:spacing w:val="-82"/>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6.4.3 项情形下，无论合同设备何时验收，其质量保证期最长为签署验收款支付函后</w:t>
      </w:r>
      <w:r>
        <w:rPr>
          <w:rFonts w:hint="eastAsia" w:ascii="宋体" w:hAnsi="宋体" w:eastAsia="宋体" w:cs="宋体"/>
          <w:b w:val="0"/>
          <w:bCs w:val="0"/>
          <w:color w:val="000000" w:themeColor="text1"/>
          <w:spacing w:val="-52"/>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6个月。</w:t>
      </w:r>
    </w:p>
    <w:p w14:paraId="605C54BB">
      <w:pPr>
        <w:pStyle w:val="14"/>
        <w:keepNext w:val="0"/>
        <w:keepLines w:val="0"/>
        <w:pageBreakBefore w:val="0"/>
        <w:widowControl w:val="0"/>
        <w:kinsoku/>
        <w:wordWrap/>
        <w:overflowPunct/>
        <w:topLinePunct w:val="0"/>
        <w:autoSpaceDE/>
        <w:autoSpaceDN/>
        <w:bidi w:val="0"/>
        <w:adjustRightInd/>
        <w:snapToGrid/>
        <w:spacing w:before="6" w:line="500" w:lineRule="exact"/>
        <w:ind w:left="100" w:right="102" w:firstLine="419"/>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8.2 在质量保证期内如果合同设备出现故障，卖方应自负费用提供质保期服务，对相关合同设备进行修理或更换以消除故障。更换的合同设备和（或）关键部件的质量保证期应重新计算。但如果合同设备的故障是由于买方原因造成的，则对合同设备进行修理和更换的费用应由买方承担。</w:t>
      </w:r>
    </w:p>
    <w:p w14:paraId="30B4D0A5">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8.3 质量保证期届满后，买方应在 7 日内或专用合同条款另行约定的时间内向卖方出具合同设备的质量保证期届满证书。</w:t>
      </w:r>
    </w:p>
    <w:p w14:paraId="53DA217A">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8.4 在合同第 6.4.2 项情形下，如在验收款支付函签署后 12 个月内由于买方原因合同设备</w:t>
      </w:r>
      <w:r>
        <w:rPr>
          <w:rFonts w:hint="eastAsia" w:ascii="宋体" w:hAnsi="宋体" w:eastAsia="宋体" w:cs="宋体"/>
          <w:b w:val="0"/>
          <w:bCs w:val="0"/>
          <w:color w:val="000000" w:themeColor="text1"/>
          <w:spacing w:val="-5"/>
          <w:sz w:val="24"/>
          <w:szCs w:val="24"/>
          <w:highlight w:val="none"/>
          <w:lang w:eastAsia="zh-CN"/>
          <w14:textFill>
            <w14:solidFill>
              <w14:schemeClr w14:val="tx1"/>
            </w14:solidFill>
          </w14:textFill>
        </w:rPr>
        <w:t xml:space="preserve">仍未能达到技术性能考核指标，则买卖双方应在该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12 个月届满后</w:t>
      </w:r>
      <w:r>
        <w:rPr>
          <w:rFonts w:hint="eastAsia" w:ascii="宋体" w:hAnsi="宋体" w:eastAsia="宋体" w:cs="宋体"/>
          <w:b w:val="0"/>
          <w:bCs w:val="0"/>
          <w:color w:val="000000" w:themeColor="text1"/>
          <w:spacing w:val="-76"/>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7 日内或专用合同条款另行约定的时间内签署结清款支付函。</w:t>
      </w:r>
    </w:p>
    <w:p w14:paraId="40E75D9C">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8.5 在合同第</w:t>
      </w:r>
      <w:r>
        <w:rPr>
          <w:rFonts w:hint="eastAsia" w:ascii="宋体" w:hAnsi="宋体" w:eastAsia="宋体" w:cs="宋体"/>
          <w:b w:val="0"/>
          <w:bCs w:val="0"/>
          <w:color w:val="000000" w:themeColor="text1"/>
          <w:spacing w:val="-50"/>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6.4.3 </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 xml:space="preserve">项情形下，如在验收款支付函签署后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6 个月内由于买方原因合同设备仍未进行考核或仍未达到技术性能考核指标，则买卖双方应在该 6 个月届满后</w:t>
      </w:r>
      <w:r>
        <w:rPr>
          <w:rFonts w:hint="eastAsia" w:ascii="宋体" w:hAnsi="宋体" w:eastAsia="宋体" w:cs="宋体"/>
          <w:b w:val="0"/>
          <w:bCs w:val="0"/>
          <w:color w:val="000000" w:themeColor="text1"/>
          <w:spacing w:val="-82"/>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7 日内或专用合同条款另行约定的时间内签署结清款支付函。</w:t>
      </w:r>
    </w:p>
    <w:p w14:paraId="23A44B95">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8.6 在第 8.4 款和第</w:t>
      </w:r>
      <w:r>
        <w:rPr>
          <w:rFonts w:hint="eastAsia" w:ascii="宋体" w:hAnsi="宋体" w:eastAsia="宋体" w:cs="宋体"/>
          <w:b w:val="0"/>
          <w:bCs w:val="0"/>
          <w:color w:val="000000" w:themeColor="text1"/>
          <w:spacing w:val="-53"/>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8.5 </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款情形下，卖方也可单方签署结清款支付函提交买方，如果买方在</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收到卖方签署的结清款支付函后 14 </w:t>
      </w:r>
      <w:r>
        <w:rPr>
          <w:rFonts w:hint="eastAsia" w:ascii="宋体" w:hAnsi="宋体" w:eastAsia="宋体" w:cs="宋体"/>
          <w:b w:val="0"/>
          <w:bCs w:val="0"/>
          <w:color w:val="000000" w:themeColor="text1"/>
          <w:spacing w:val="-5"/>
          <w:sz w:val="24"/>
          <w:szCs w:val="24"/>
          <w:highlight w:val="none"/>
          <w:lang w:eastAsia="zh-CN"/>
          <w14:textFill>
            <w14:solidFill>
              <w14:schemeClr w14:val="tx1"/>
            </w14:solidFill>
          </w14:textFill>
        </w:rPr>
        <w:t>日内未向卖方提出书面异议，则结清款支付函自签署之日起</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生效。</w:t>
      </w:r>
      <w:bookmarkStart w:id="67" w:name="_bookmark133"/>
      <w:bookmarkEnd w:id="67"/>
    </w:p>
    <w:p w14:paraId="193FB251">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outlineLvl w:val="2"/>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9.  质保期服务</w:t>
      </w:r>
    </w:p>
    <w:p w14:paraId="789E8928">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9.1 卖方应为质保期服务配备充足的技术人员、工具和备件并保证提供的联系方式畅通。</w:t>
      </w:r>
    </w:p>
    <w:p w14:paraId="61F230F1">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64"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 xml:space="preserve">除专用合同条款和（或）供货要求等合同文件另有约定外，卖方应在收到买方通知后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24 小时内</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 xml:space="preserve">做出响应，如需卖方到合同设备现场，卖方应在收到买方通知后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48 </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 xml:space="preserve">小时内到达，并在到达后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7 日内</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解</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决</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合</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同</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设</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备</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的</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故</w:t>
      </w:r>
      <w:r>
        <w:rPr>
          <w:rFonts w:hint="eastAsia" w:ascii="宋体" w:hAnsi="宋体" w:eastAsia="宋体" w:cs="宋体"/>
          <w:b w:val="0"/>
          <w:bCs w:val="0"/>
          <w:color w:val="000000" w:themeColor="text1"/>
          <w:spacing w:val="-27"/>
          <w:sz w:val="24"/>
          <w:szCs w:val="24"/>
          <w:highlight w:val="none"/>
          <w:lang w:eastAsia="zh-CN"/>
          <w14:textFill>
            <w14:solidFill>
              <w14:schemeClr w14:val="tx1"/>
            </w14:solidFill>
          </w14:textFill>
        </w:rPr>
        <w:t>障</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重</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大</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故</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障</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除</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外</w:t>
      </w:r>
      <w:r>
        <w:rPr>
          <w:rFonts w:hint="eastAsia" w:ascii="宋体" w:hAnsi="宋体" w:eastAsia="宋体" w:cs="宋体"/>
          <w:b w:val="0"/>
          <w:bCs w:val="0"/>
          <w:color w:val="000000" w:themeColor="text1"/>
          <w:spacing w:val="-108"/>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pacing w:val="-27"/>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如</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果卖</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方未</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在</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上</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述</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时</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间</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内</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作</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出</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响</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应</w:t>
      </w:r>
      <w:r>
        <w:rPr>
          <w:rFonts w:hint="eastAsia" w:ascii="宋体" w:hAnsi="宋体" w:eastAsia="宋体" w:cs="宋体"/>
          <w:b w:val="0"/>
          <w:bCs w:val="0"/>
          <w:color w:val="000000" w:themeColor="text1"/>
          <w:spacing w:val="-27"/>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则</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买</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方</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有</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权自</w:t>
      </w:r>
      <w:r>
        <w:rPr>
          <w:rFonts w:hint="eastAsia" w:ascii="宋体" w:hAnsi="宋体" w:eastAsia="宋体" w:cs="宋体"/>
          <w:b w:val="0"/>
          <w:bCs w:val="0"/>
          <w:color w:val="000000" w:themeColor="text1"/>
          <w:spacing w:val="-2"/>
          <w:sz w:val="24"/>
          <w:szCs w:val="24"/>
          <w:highlight w:val="none"/>
          <w:lang w:eastAsia="zh-CN"/>
          <w14:textFill>
            <w14:solidFill>
              <w14:schemeClr w14:val="tx1"/>
            </w14:solidFill>
          </w14:textFill>
        </w:rPr>
        <w:t xml:space="preserve">行或委托他人解决相关问题或查找和解决合同设备的故障，卖方应承担由此发生的全部费用。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9.2 如卖方技术人员需到合同设备现场进行质保期服务，则买方应免费为卖方技术人员提</w:t>
      </w: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供工作条件及便利，包括但不限于必要的办公场所、技术资料及出入许可等。除专用合同条款另有约定外，卖方技术人员的交通、食宿费用由卖方承担。卖方技术人员应遵守买方施工现场</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的各项规章制度和安全操作规程，并服从买方的现场管理。</w:t>
      </w:r>
    </w:p>
    <w:p w14:paraId="2128E0F2">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9.3 如果任何技术人员不合格，买方有权要求卖方撤换，因撤换而产生的费用应由卖方承担。在不影响质保期服务并且征得买方同意的条件下，卖方也可自负费用更换其技术人员。</w:t>
      </w:r>
    </w:p>
    <w:p w14:paraId="4FBBD77C">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9.4 除专用合同条款另有约定外，卖方应就在施工现场进行质保期服务的情况进行记录，记载合同设备故障发生的时间、原因及解决情况等，由买方签字确认，并在质量保证期结束后提交给买方。</w:t>
      </w:r>
    </w:p>
    <w:p w14:paraId="523B3B28">
      <w:pPr>
        <w:pStyle w:val="88"/>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bookmarkStart w:id="68" w:name="_bookmark134"/>
      <w:bookmarkEnd w:id="68"/>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10. 履约保证金</w:t>
      </w:r>
    </w:p>
    <w:p w14:paraId="07FBA352">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除专用合同条款另有约定外，履约保证金自合同生效之日起生效，在合同设备验收证书或验收款支付函签署之日起 28 </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日后失效。如果卖方不履行合同约定的义务或其履行不符合合同的</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约定，买方有权扣划相应金额的履约保证金。</w:t>
      </w:r>
    </w:p>
    <w:p w14:paraId="786DF335">
      <w:pPr>
        <w:pStyle w:val="88"/>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bookmarkStart w:id="69" w:name="_bookmark135"/>
      <w:bookmarkEnd w:id="69"/>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  保证</w:t>
      </w:r>
    </w:p>
    <w:p w14:paraId="1DFFC66B">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11.1 卖方保证其具有完全的能力履行本合同项下的全部义务。</w:t>
      </w:r>
    </w:p>
    <w:p w14:paraId="2FAACB84">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11.2 卖方保证其所提供的合同设备及对合同的履行符合所有应适用的法律、行政法规、地方性法规、自治条例和单行条例、规章及其他规范性文件的强制性规定。</w:t>
      </w:r>
    </w:p>
    <w:p w14:paraId="4A2754BC">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11.3 卖方保证其对合同设备的销售不损害任何第三方的合法权益和社会公众利益。任何第三方不会因卖方原因而基于所有权、抵押权、留置权或其他任何权利或事由对合同设备主张权利。</w:t>
      </w:r>
    </w:p>
    <w:p w14:paraId="7531533B">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11.4 卖方保证合同设备符合合同约定的规格、标准、技术性能考核指标等，能够安全和稳定地运行，且合同设备（包括全部部件）全新、完整、未使用过，除非专用合同条款和（或）供货要求等合同文件另有约定。</w:t>
      </w:r>
    </w:p>
    <w:p w14:paraId="24E400F7">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11.5 卖方保证，卖方所提供的技术资料完整、清晰、准确，符合合同约定并且能够满足合同设备的安装、调试、考核、操作以及维修和保养的需要。</w:t>
      </w:r>
    </w:p>
    <w:p w14:paraId="409D3329">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11.6 卖方保证合同范围内提供的备品备件能够满足合同设备在质量保证期结束前正常运行及维修的需要，如在质量保证期结束前因卖方原因出现备品备件短缺影响合同设备正常运行的，卖方应免费提供。</w:t>
      </w:r>
    </w:p>
    <w:p w14:paraId="618CB952">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11.7 除专用合同条款和（或）供货要求等合同文件另有约定外，如果在合同设备设计使用寿命期内发生合同项下备品备件停止生产的情况，卖方应事先将拟停止生产的计划通知买方，使买方有足够的时间考虑备品备件的需求量。根据买方要求，卖方应：</w:t>
      </w:r>
    </w:p>
    <w:p w14:paraId="64673326">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64"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（1）以不高于同期市场价格或其向任何第三方销售同类产品的价格提供合同设备正常运行</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所需的全部备品备件。或</w:t>
      </w:r>
    </w:p>
    <w:p w14:paraId="091786DA">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64"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（2）免费提供可供买方或第三方制造停产备品备件所需的全部技术资料，以便买方持续获</w:t>
      </w: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得上述备品备件以满足合同设备在寿命期内正常运行的需要。卖方保证买方或买方委托的第三</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方制造及买方使用这些备品备件不侵犯任何人的知识产权。</w:t>
      </w:r>
    </w:p>
    <w:p w14:paraId="070C491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11.8</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卖方保证，在合同设备设计使用寿命期内，如果卖方发现合同设备由于设计、制造、标识等原因存在足以危及人身、财产安全的缺陷，卖方将及时通知买方并及时采取修正或者补充标识、修理、更换等措施消除缺陷。</w:t>
      </w:r>
      <w:bookmarkStart w:id="70" w:name="_bookmark136"/>
      <w:bookmarkEnd w:id="70"/>
    </w:p>
    <w:p w14:paraId="28CD1FA6">
      <w:pPr>
        <w:pStyle w:val="88"/>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12.  知识产权</w:t>
      </w:r>
    </w:p>
    <w:p w14:paraId="2AF61943">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12.1 买方在履行合同过程中提供给卖方的全部图纸、文件和其他含有数据和信息的资料，其知识产权属于买方。</w:t>
      </w:r>
    </w:p>
    <w:p w14:paraId="56966D76">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left"/>
        <w:textAlignment w:val="auto"/>
        <w:rPr>
          <w:rFonts w:hint="eastAsia" w:ascii="宋体" w:hAnsi="宋体" w:eastAsia="宋体" w:cs="宋体"/>
          <w:b w:val="0"/>
          <w:bCs w:val="0"/>
          <w:color w:val="000000" w:themeColor="text1"/>
          <w:spacing w:val="-6"/>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12.2 </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除专用合同条款另有约定外，买方不因签署和履行合同而享有卖方在履行合同过程中</w:t>
      </w:r>
      <w:r>
        <w:rPr>
          <w:rFonts w:hint="eastAsia" w:ascii="宋体" w:hAnsi="宋体" w:eastAsia="宋体" w:cs="宋体"/>
          <w:b w:val="0"/>
          <w:bCs w:val="0"/>
          <w:color w:val="000000" w:themeColor="text1"/>
          <w:spacing w:val="-6"/>
          <w:sz w:val="24"/>
          <w:szCs w:val="24"/>
          <w:highlight w:val="none"/>
          <w:lang w:eastAsia="zh-CN"/>
          <w14:textFill>
            <w14:solidFill>
              <w14:schemeClr w14:val="tx1"/>
            </w14:solidFill>
          </w14:textFill>
        </w:rPr>
        <w:t xml:space="preserve">提供给买方的图纸、文件、配套软件、电子辅助程序和其他含有数据和信息的资料的知识产权。 </w:t>
      </w:r>
    </w:p>
    <w:p w14:paraId="01FE226C">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left"/>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12.3 </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如合同设备涉及知识产权，则卖方保证买方在使用合同设备过程中免于受到第三方提</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出的有关知识产权侵权的主张、索赔或诉讼的伤害。</w:t>
      </w:r>
    </w:p>
    <w:p w14:paraId="2A2A1124">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12.4 如果买方收到任何第三方有关知识产权的主张、索赔或诉讼，卖方在收到买方通知后，应以买方名义并在买方的协助下，自负费用处理与第三方的索赔或诉讼，并赔偿买方因此发生的费用和遭受的损失。除专用合同条款另有约定外，如果卖方拒绝处理前述索赔或诉讼或在收到买方通知后 28 日内未作表示，买方可以自己的名义进行这些索赔或诉讼，因此发生的费用和遭受的损失均应由卖方承担。</w:t>
      </w:r>
    </w:p>
    <w:p w14:paraId="7C3930A1">
      <w:pPr>
        <w:pStyle w:val="88"/>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bookmarkStart w:id="71" w:name="_bookmark137"/>
      <w:bookmarkEnd w:id="71"/>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13. 保密</w:t>
      </w:r>
    </w:p>
    <w:p w14:paraId="2C101362">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合同双方应对因履行合同而取得的另一方当事人的信息、资料等予以保密。未经另一方当事人书面同意，任何一方均不得为与履行合同无关的目的使用或向第三方披露另一方当事人提供的信息、资料。</w:t>
      </w:r>
    </w:p>
    <w:p w14:paraId="4D859310">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合同当事人的保密义务不适用于下列信息：</w:t>
      </w:r>
    </w:p>
    <w:p w14:paraId="684CAE29">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（1）非因接受信息一方的过失现在或以后进入公共领域的信息；</w:t>
      </w:r>
    </w:p>
    <w:p w14:paraId="14E9AD6A">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（2）接受信息一方当事人合法地从第三方获得并且据其善意了解第三方也不对此承担保密义务的信息；</w:t>
      </w:r>
    </w:p>
    <w:p w14:paraId="5BAD2BEB">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（3）法律或法律的执行要求披露的信息。</w:t>
      </w:r>
    </w:p>
    <w:p w14:paraId="61AD2922">
      <w:pPr>
        <w:pStyle w:val="88"/>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bookmarkStart w:id="72" w:name="_bookmark138"/>
      <w:bookmarkEnd w:id="72"/>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14. 违约责任</w:t>
      </w:r>
    </w:p>
    <w:p w14:paraId="39F996E1">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14.1 合同一方不履行合同义务、履行合同义务不符合约定或者违反合同项下所作保证的，应向对方承担继续履行、采取修理、更换、退货等补救措施或者赔偿损失等违约责任。</w:t>
      </w:r>
    </w:p>
    <w:p w14:paraId="68840217">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14.2 </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卖方未能按时交付合同设备（包括仅迟延交付技术资料但足以导致合同设备安装、调</w:t>
      </w:r>
      <w:r>
        <w:rPr>
          <w:rFonts w:hint="eastAsia" w:ascii="宋体" w:hAnsi="宋体" w:eastAsia="宋体" w:cs="宋体"/>
          <w:b w:val="0"/>
          <w:bCs w:val="0"/>
          <w:color w:val="000000" w:themeColor="text1"/>
          <w:spacing w:val="-6"/>
          <w:sz w:val="24"/>
          <w:szCs w:val="24"/>
          <w:highlight w:val="none"/>
          <w:lang w:eastAsia="zh-CN"/>
          <w14:textFill>
            <w14:solidFill>
              <w14:schemeClr w14:val="tx1"/>
            </w14:solidFill>
          </w14:textFill>
        </w:rPr>
        <w:t>试、考核、验收工作推迟的）的，应向买方支付迟延交付违约金。除专用合同条款另有约定外，</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迟延交付违约金的计算方法如下：</w:t>
      </w:r>
    </w:p>
    <w:p w14:paraId="1D30EBAF">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（1）从迟交的第一周到第四周，每周迟延交付违约金为迟交合同设备价格的 0.5%；</w:t>
      </w:r>
    </w:p>
    <w:p w14:paraId="2A71B14D">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（2）从迟交的第五周到第八周，每周迟延交付违约金为迟交合同设备价格的 1%；</w:t>
      </w:r>
    </w:p>
    <w:p w14:paraId="6BB7953B">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（3）从迟交第九周起，每周迟延交付违约金为迟交合同设备价格的 1.5%。在计算迟延交付违约金时，迟交不足一周的按一周计算。迟延交付违约金的总额不得超过合同价格的 10%。迟延交付违约金的支付不能免除卖方继续交付相关合同设备的义务，但如迟延交付必然导致合同设备安装、调试、考核、验收工作推迟的，相关工作应相应顺延。</w:t>
      </w:r>
    </w:p>
    <w:p w14:paraId="1115C1F4">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14.3 买方未能按合同约定支付合同价款的，应向卖方支付延迟付款违约金。除专用合同条款另有约定外，迟延付款违约金的计算方法如下：</w:t>
      </w:r>
    </w:p>
    <w:p w14:paraId="5BE5F8A3">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（1）从迟付的第一周到第四周，每周迟延付款违约金为迟延付款金额的 0.5%；</w:t>
      </w:r>
    </w:p>
    <w:p w14:paraId="7E99D12C">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（2）从迟付的第五周到第八周，每周迟延付款违约金为迟延付款金额的 1%；</w:t>
      </w:r>
    </w:p>
    <w:p w14:paraId="44AEF756">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（3）从迟付第九周起，每周迟延付款违约金为迟延付款金额的 1.5%。在计算迟延付款违约金时，迟付不足一周的按一周计算。迟延付款违约金的总额不得超过</w:t>
      </w:r>
    </w:p>
    <w:p w14:paraId="1B95DF63">
      <w:pPr>
        <w:pStyle w:val="14"/>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合同价格的</w:t>
      </w:r>
      <w:r>
        <w:rPr>
          <w:rFonts w:hint="eastAsia" w:ascii="宋体" w:hAnsi="宋体" w:eastAsia="宋体" w:cs="宋体"/>
          <w:b w:val="0"/>
          <w:bCs w:val="0"/>
          <w:color w:val="000000" w:themeColor="text1"/>
          <w:spacing w:val="-54"/>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10%。</w:t>
      </w:r>
    </w:p>
    <w:p w14:paraId="14FC6736">
      <w:pPr>
        <w:pStyle w:val="88"/>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bookmarkStart w:id="73" w:name="_bookmark139"/>
      <w:bookmarkEnd w:id="73"/>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15. 合同的解除</w:t>
      </w:r>
    </w:p>
    <w:p w14:paraId="00AD157B">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除专用合同条款另有约定外，有下述情形之一，当事人可发出书面通知全部或部分地解除合同，合同自通知到达对方时全部或部分地解除：</w:t>
      </w:r>
    </w:p>
    <w:p w14:paraId="543B91E9">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（1）卖方迟延交付合同设备超过</w:t>
      </w:r>
      <w:r>
        <w:rPr>
          <w:rFonts w:hint="eastAsia" w:ascii="宋体" w:hAnsi="宋体" w:eastAsia="宋体" w:cs="宋体"/>
          <w:b w:val="0"/>
          <w:bCs w:val="0"/>
          <w:color w:val="000000" w:themeColor="text1"/>
          <w:spacing w:val="-56"/>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3 个月；</w:t>
      </w:r>
    </w:p>
    <w:p w14:paraId="11030A25">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64"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（2）合同设备由于卖方原因三次考核均未能达到技术性能考核指标或在合同约定了或双方</w:t>
      </w: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在考核中另行达成了最低技术性能考核指标时均未能达到最低技术性能考核指标，且买卖双方</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未就合同的后续履行协商达成一致；</w:t>
      </w:r>
    </w:p>
    <w:p w14:paraId="53F939AD">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（3）买方迟延付款超过</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54"/>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3 个月；</w:t>
      </w:r>
    </w:p>
    <w:p w14:paraId="47954404">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（4）合同一方当事</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人</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未</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能</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履行合同项下任</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何</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其它</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义</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务（细微义务除</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外</w:t>
      </w:r>
      <w:r>
        <w:rPr>
          <w:rFonts w:hint="eastAsia" w:ascii="宋体" w:hAnsi="宋体" w:eastAsia="宋体" w:cs="宋体"/>
          <w:b w:val="0"/>
          <w:bCs w:val="0"/>
          <w:color w:val="000000" w:themeColor="text1"/>
          <w:spacing w:val="-104"/>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或</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在</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未事先征得</w:t>
      </w: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另一方当事人同意的情况下，从事任何可能在实质上不利影响其履行合同能力的活动，经另一</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方当事人书面通知后</w:t>
      </w:r>
      <w:r>
        <w:rPr>
          <w:rFonts w:hint="eastAsia" w:ascii="宋体" w:hAnsi="宋体" w:eastAsia="宋体" w:cs="宋体"/>
          <w:b w:val="0"/>
          <w:bCs w:val="0"/>
          <w:color w:val="000000" w:themeColor="text1"/>
          <w:spacing w:val="-60"/>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14 日内或在专用合同条款约定的其他期限内未能对其行为作出补救；</w:t>
      </w:r>
    </w:p>
    <w:p w14:paraId="37F3CC6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（5）合同一方当事人出现破产、清算、资不抵债、成为失信被执行人等可能丧失履约能力的情形，且未能提供令对方满意的履约保证金。</w:t>
      </w:r>
      <w:bookmarkStart w:id="74" w:name="_bookmark140"/>
      <w:bookmarkEnd w:id="74"/>
    </w:p>
    <w:p w14:paraId="3E54EBEE">
      <w:pPr>
        <w:pStyle w:val="88"/>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16.  不可抗力</w:t>
      </w:r>
    </w:p>
    <w:p w14:paraId="3E07CBCC">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16.1 </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如果任何一方当事人受到不能预见、不能避免且不能克服的不可抗力事件的影响，例</w:t>
      </w: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如战争、严重的火灾、台风、地震、洪水和专用合同条款约定的其他情形，而无法履行合同项下的任何义务，则受影响的一方当事人应立即将此类事件的发生通知另一方当事人，并应在不</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可抗力事件发生后</w:t>
      </w:r>
      <w:r>
        <w:rPr>
          <w:rFonts w:hint="eastAsia" w:ascii="宋体" w:hAnsi="宋体" w:eastAsia="宋体" w:cs="宋体"/>
          <w:b w:val="0"/>
          <w:bCs w:val="0"/>
          <w:color w:val="000000" w:themeColor="text1"/>
          <w:spacing w:val="-58"/>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28 日内将有关当局或机构出具的证明文件提交给另一方当事人。</w:t>
      </w:r>
    </w:p>
    <w:p w14:paraId="31911915">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16.2 受不可抗力事件影响的一方当事人对于不可抗力事件导致的任何合同义务的迟延履行或不能履行不承担违约责任。但该方当事人应尽快将不可抗力事件结束或消除的情况通知另一方当事人。</w:t>
      </w:r>
    </w:p>
    <w:p w14:paraId="08B17FB7">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16.3  双方当事人应在不可抗力事件结束或其影响消除后立即继续履行其合同义务，合同期限也应相应顺延。除专用合同条款另有约定外，如果不可抗力事件的影响持续超过140日，则任何一方当事人均有权以书面通知解除合同。</w:t>
      </w:r>
    </w:p>
    <w:p w14:paraId="373BCAAE">
      <w:pPr>
        <w:pStyle w:val="88"/>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bookmarkStart w:id="75" w:name="_bookmark141"/>
      <w:bookmarkEnd w:id="75"/>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17.  争议的解决</w:t>
      </w:r>
    </w:p>
    <w:p w14:paraId="6B9282C7">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72" w:firstLineChars="200"/>
        <w:jc w:val="both"/>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2"/>
          <w:sz w:val="24"/>
          <w:szCs w:val="24"/>
          <w:highlight w:val="none"/>
          <w:lang w:eastAsia="zh-CN"/>
          <w14:textFill>
            <w14:solidFill>
              <w14:schemeClr w14:val="tx1"/>
            </w14:solidFill>
          </w14:textFill>
        </w:rPr>
        <w:t>因本合同引起的或与本合同有关的任何争议,双方可通过友好协商解决。友好协商解决不成</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的，可在专用合同条款中约定下列一种方式解决：</w:t>
      </w:r>
    </w:p>
    <w:p w14:paraId="6542D70A">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（1）向约定的仲裁委员会申请仲裁；</w:t>
      </w:r>
    </w:p>
    <w:p w14:paraId="1114AC4B">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（2）向有管辖权的人民法院提起诉讼。</w:t>
      </w:r>
    </w:p>
    <w:p w14:paraId="3B28198F">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p>
    <w:p w14:paraId="556A3E3A">
      <w:pPr>
        <w:pStyle w:val="14"/>
        <w:rPr>
          <w:rFonts w:hint="eastAsia" w:ascii="宋体" w:hAnsi="宋体" w:eastAsia="宋体" w:cs="宋体"/>
          <w:color w:val="000000" w:themeColor="text1"/>
          <w:sz w:val="24"/>
          <w:szCs w:val="24"/>
          <w:highlight w:val="none"/>
          <w:lang w:eastAsia="zh-CN"/>
          <w14:textFill>
            <w14:solidFill>
              <w14:schemeClr w14:val="tx1"/>
            </w14:solidFill>
          </w14:textFill>
        </w:rPr>
        <w:sectPr>
          <w:footerReference r:id="rId11" w:type="default"/>
          <w:pgSz w:w="11906" w:h="16838"/>
          <w:pgMar w:top="1440" w:right="1800" w:bottom="1440" w:left="1800" w:header="1140" w:footer="720" w:gutter="0"/>
          <w:pgNumType w:fmt="decimal"/>
          <w:cols w:space="0" w:num="1"/>
          <w:rtlGutter w:val="0"/>
          <w:docGrid w:linePitch="0" w:charSpace="0"/>
        </w:sectPr>
      </w:pPr>
    </w:p>
    <w:p w14:paraId="04111A50">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000000" w:themeColor="text1"/>
          <w:sz w:val="44"/>
          <w:szCs w:val="44"/>
          <w:highlight w:val="none"/>
          <w:lang w:val="en-US" w:eastAsia="zh-CN"/>
          <w14:textFill>
            <w14:solidFill>
              <w14:schemeClr w14:val="tx1"/>
            </w14:solidFill>
          </w14:textFill>
        </w:rPr>
      </w:pPr>
      <w:r>
        <w:rPr>
          <w:rFonts w:hint="eastAsia" w:ascii="宋体" w:hAnsi="宋体" w:eastAsia="宋体" w:cs="宋体"/>
          <w:b/>
          <w:bCs/>
          <w:color w:val="000000" w:themeColor="text1"/>
          <w:sz w:val="36"/>
          <w:szCs w:val="36"/>
          <w:highlight w:val="none"/>
          <w:lang w:val="en-US" w:eastAsia="zh-CN"/>
          <w14:textFill>
            <w14:solidFill>
              <w14:schemeClr w14:val="tx1"/>
            </w14:solidFill>
          </w14:textFill>
        </w:rPr>
        <w:t xml:space="preserve"> </w:t>
      </w:r>
      <w:bookmarkStart w:id="76" w:name="_Toc22303"/>
      <w:r>
        <w:rPr>
          <w:rFonts w:hint="eastAsia" w:ascii="宋体" w:hAnsi="宋体" w:eastAsia="宋体" w:cs="宋体"/>
          <w:b/>
          <w:bCs/>
          <w:color w:val="000000" w:themeColor="text1"/>
          <w:sz w:val="36"/>
          <w:szCs w:val="36"/>
          <w:highlight w:val="none"/>
          <w:lang w:val="en-US" w:eastAsia="zh-CN"/>
          <w14:textFill>
            <w14:solidFill>
              <w14:schemeClr w14:val="tx1"/>
            </w14:solidFill>
          </w14:textFill>
        </w:rPr>
        <w:t>服务内容及要求</w:t>
      </w:r>
      <w:bookmarkEnd w:id="76"/>
    </w:p>
    <w:p w14:paraId="7554451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w:t>
      </w:r>
      <w:r>
        <w:rPr>
          <w:rFonts w:hint="eastAsia" w:ascii="宋体" w:hAnsi="宋体" w:eastAsia="宋体" w:cs="宋体"/>
          <w:b/>
          <w:bCs/>
          <w:color w:val="auto"/>
          <w:sz w:val="24"/>
          <w:szCs w:val="24"/>
          <w:highlight w:val="none"/>
          <w:lang w:eastAsia="zh-CN"/>
        </w:rPr>
        <w:t>项目</w:t>
      </w:r>
      <w:r>
        <w:rPr>
          <w:rFonts w:hint="eastAsia" w:ascii="宋体" w:hAnsi="宋体" w:eastAsia="宋体" w:cs="宋体"/>
          <w:b/>
          <w:bCs/>
          <w:color w:val="auto"/>
          <w:sz w:val="24"/>
          <w:szCs w:val="24"/>
          <w:highlight w:val="none"/>
        </w:rPr>
        <w:t>名称：</w:t>
      </w:r>
      <w:r>
        <w:rPr>
          <w:rFonts w:hint="eastAsia" w:ascii="宋体" w:hAnsi="宋体" w:cs="宋体"/>
          <w:b w:val="0"/>
          <w:bCs/>
          <w:i w:val="0"/>
          <w:iCs w:val="0"/>
          <w:color w:val="000000" w:themeColor="text1"/>
          <w:sz w:val="24"/>
          <w:szCs w:val="24"/>
          <w:highlight w:val="none"/>
          <w:u w:val="none"/>
          <w:lang w:val="en-US" w:eastAsia="zh-CN"/>
          <w14:textFill>
            <w14:solidFill>
              <w14:schemeClr w14:val="tx1"/>
            </w14:solidFill>
          </w14:textFill>
        </w:rPr>
        <w:t>延吉市专项债券项目服务采购项目</w:t>
      </w:r>
    </w:p>
    <w:p w14:paraId="4F397FD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二、</w:t>
      </w:r>
      <w:r>
        <w:rPr>
          <w:rFonts w:hint="eastAsia" w:ascii="宋体" w:hAnsi="宋体" w:eastAsia="宋体" w:cs="宋体"/>
          <w:b/>
          <w:bCs/>
          <w:color w:val="auto"/>
          <w:sz w:val="24"/>
          <w:szCs w:val="24"/>
          <w:highlight w:val="none"/>
          <w:lang w:eastAsia="zh-CN"/>
        </w:rPr>
        <w:t>项目</w:t>
      </w:r>
      <w:r>
        <w:rPr>
          <w:rFonts w:hint="eastAsia" w:ascii="宋体" w:hAnsi="宋体" w:eastAsia="宋体" w:cs="宋体"/>
          <w:b/>
          <w:bCs/>
          <w:color w:val="auto"/>
          <w:sz w:val="24"/>
          <w:szCs w:val="24"/>
          <w:highlight w:val="none"/>
        </w:rPr>
        <w:t>地点：</w:t>
      </w:r>
      <w:r>
        <w:rPr>
          <w:rFonts w:hint="eastAsia" w:ascii="宋体" w:hAnsi="宋体" w:eastAsia="宋体" w:cs="宋体"/>
          <w:b w:val="0"/>
          <w:bCs w:val="0"/>
          <w:color w:val="auto"/>
          <w:sz w:val="24"/>
          <w:szCs w:val="24"/>
          <w:highlight w:val="none"/>
          <w:lang w:eastAsia="zh-CN"/>
        </w:rPr>
        <w:t>采购人指定地点。</w:t>
      </w:r>
    </w:p>
    <w:p w14:paraId="4728A7E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三、</w:t>
      </w:r>
      <w:r>
        <w:rPr>
          <w:rFonts w:hint="eastAsia" w:ascii="宋体" w:hAnsi="宋体" w:eastAsia="宋体" w:cs="宋体"/>
          <w:b/>
          <w:bCs/>
          <w:color w:val="auto"/>
          <w:sz w:val="24"/>
          <w:szCs w:val="24"/>
          <w:highlight w:val="none"/>
          <w:lang w:eastAsia="zh-CN"/>
        </w:rPr>
        <w:t>合同履行期限</w:t>
      </w:r>
      <w:r>
        <w:rPr>
          <w:rFonts w:hint="eastAsia" w:ascii="宋体" w:hAnsi="宋体" w:eastAsia="宋体" w:cs="宋体"/>
          <w:b/>
          <w:bCs/>
          <w:color w:val="auto"/>
          <w:sz w:val="24"/>
          <w:szCs w:val="24"/>
          <w:highlight w:val="none"/>
        </w:rPr>
        <w:t>：</w:t>
      </w:r>
      <w:r>
        <w:rPr>
          <w:rFonts w:hint="eastAsia" w:ascii="宋体" w:hAnsi="宋体" w:eastAsia="宋体" w:cs="宋体"/>
          <w:color w:val="000000" w:themeColor="text1"/>
          <w:sz w:val="24"/>
          <w:szCs w:val="24"/>
          <w:highlight w:val="none"/>
          <w:lang w:val="zh-CN"/>
          <w14:textFill>
            <w14:solidFill>
              <w14:schemeClr w14:val="tx1"/>
            </w14:solidFill>
          </w14:textFill>
        </w:rPr>
        <w:t>自合同签订之日起至</w:t>
      </w:r>
      <w:r>
        <w:rPr>
          <w:rFonts w:hint="eastAsia" w:ascii="宋体" w:hAnsi="宋体" w:eastAsia="宋体" w:cs="宋体"/>
          <w:color w:val="000000" w:themeColor="text1"/>
          <w:sz w:val="24"/>
          <w:szCs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1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年</w:t>
      </w:r>
      <w:r>
        <w:rPr>
          <w:rFonts w:hint="eastAsia" w:ascii="宋体" w:hAnsi="宋体" w:eastAsia="宋体" w:cs="宋体"/>
          <w:color w:val="000000" w:themeColor="text1"/>
          <w:sz w:val="24"/>
          <w:szCs w:val="24"/>
          <w:highlight w:val="none"/>
          <w:lang w:val="zh-CN"/>
          <w14:textFill>
            <w14:solidFill>
              <w14:schemeClr w14:val="tx1"/>
            </w14:solidFill>
          </w14:textFill>
        </w:rPr>
        <w:t>内完成</w:t>
      </w:r>
      <w:r>
        <w:rPr>
          <w:rFonts w:hint="eastAsia" w:ascii="宋体" w:hAnsi="宋体" w:eastAsia="宋体" w:cs="宋体"/>
          <w:color w:val="000000" w:themeColor="text1"/>
          <w:sz w:val="24"/>
          <w:szCs w:val="24"/>
          <w:highlight w:val="none"/>
          <w14:textFill>
            <w14:solidFill>
              <w14:schemeClr w14:val="tx1"/>
            </w14:solidFill>
          </w14:textFill>
        </w:rPr>
        <w:t>。</w:t>
      </w:r>
    </w:p>
    <w:p w14:paraId="17A31A49">
      <w:pPr>
        <w:keepNext w:val="0"/>
        <w:keepLines w:val="0"/>
        <w:pageBreakBefore w:val="0"/>
        <w:widowControl w:val="0"/>
        <w:suppressLineNumbers w:val="0"/>
        <w:tabs>
          <w:tab w:val="left" w:pos="-3675"/>
        </w:tabs>
        <w:kinsoku/>
        <w:wordWrap/>
        <w:overflowPunct/>
        <w:topLinePunct w:val="0"/>
        <w:autoSpaceDE w:val="0"/>
        <w:autoSpaceDN w:val="0"/>
        <w:bidi w:val="0"/>
        <w:adjustRightInd w:val="0"/>
        <w:snapToGrid/>
        <w:spacing w:before="0" w:beforeAutospacing="0" w:after="0" w:afterAutospacing="0" w:line="500" w:lineRule="exact"/>
        <w:ind w:left="0" w:right="97" w:rightChars="46"/>
        <w:jc w:val="left"/>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sz w:val="24"/>
          <w:szCs w:val="24"/>
          <w:highlight w:val="none"/>
        </w:rPr>
        <w:t>、</w:t>
      </w: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预算金额：</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人民币</w:t>
      </w:r>
      <w:r>
        <w:rPr>
          <w:rFonts w:hint="eastAsia" w:ascii="宋体" w:hAnsi="宋体" w:cs="宋体"/>
          <w:color w:val="000000" w:themeColor="text1"/>
          <w:sz w:val="24"/>
          <w:szCs w:val="24"/>
          <w:highlight w:val="none"/>
          <w:u w:val="none"/>
          <w:lang w:val="en-US" w:eastAsia="zh-CN"/>
          <w14:textFill>
            <w14:solidFill>
              <w14:schemeClr w14:val="tx1"/>
            </w14:solidFill>
          </w14:textFill>
        </w:rPr>
        <w:t>6,850,000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元</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以实际结算为准</w:t>
      </w:r>
      <w:r>
        <w:rPr>
          <w:rFonts w:hint="eastAsia" w:ascii="宋体" w:hAnsi="宋体" w:eastAsia="宋体" w:cs="宋体"/>
          <w:color w:val="auto"/>
          <w:sz w:val="24"/>
          <w:szCs w:val="24"/>
          <w:highlight w:val="none"/>
          <w:u w:val="none"/>
          <w:lang w:val="en-US" w:eastAsia="zh-CN"/>
        </w:rPr>
        <w:t>）</w:t>
      </w:r>
    </w:p>
    <w:p w14:paraId="41821CB6">
      <w:pPr>
        <w:pStyle w:val="2"/>
        <w:keepNext w:val="0"/>
        <w:keepLines w:val="0"/>
        <w:pageBreakBefore w:val="0"/>
        <w:widowControl w:val="0"/>
        <w:kinsoku/>
        <w:wordWrap/>
        <w:overflowPunct/>
        <w:topLinePunct w:val="0"/>
        <w:bidi w:val="0"/>
        <w:snapToGrid/>
        <w:spacing w:line="500" w:lineRule="exact"/>
        <w:ind w:left="0" w:lef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000000" w:themeColor="text1"/>
          <w:sz w:val="24"/>
          <w:szCs w:val="24"/>
          <w:highlight w:val="none"/>
          <w:u w:val="none"/>
          <w:lang w:val="en-US" w:eastAsia="zh-CN"/>
          <w14:textFill>
            <w14:solidFill>
              <w14:schemeClr w14:val="tx1"/>
            </w14:solidFill>
          </w14:textFill>
        </w:rPr>
        <w:t>最高投标限价</w:t>
      </w:r>
      <w:r>
        <w:rPr>
          <w:rFonts w:hint="eastAsia" w:ascii="宋体" w:hAnsi="宋体" w:eastAsia="宋体" w:cs="宋体"/>
          <w:b/>
          <w:bCs/>
          <w:color w:val="000000" w:themeColor="text1"/>
          <w:sz w:val="24"/>
          <w:szCs w:val="24"/>
          <w:highlight w:val="none"/>
          <w:u w:val="none"/>
          <w:lang w:val="zh-CN"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zh-CN" w:eastAsia="zh-CN"/>
          <w14:textFill>
            <w14:solidFill>
              <w14:schemeClr w14:val="tx1"/>
            </w14:solidFill>
          </w14:textFill>
        </w:rPr>
        <w:t>折扣系数1.0</w:t>
      </w:r>
      <w:r>
        <w:rPr>
          <w:rFonts w:hint="eastAsia" w:ascii="宋体" w:hAnsi="宋体" w:eastAsia="宋体" w:cs="宋体"/>
          <w:sz w:val="24"/>
          <w:szCs w:val="24"/>
          <w:highlight w:val="none"/>
          <w:lang w:val="en-US" w:eastAsia="zh-CN"/>
        </w:rPr>
        <w:t>。</w:t>
      </w:r>
    </w:p>
    <w:p w14:paraId="363F6DE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五</w:t>
      </w:r>
      <w:r>
        <w:rPr>
          <w:rFonts w:hint="eastAsia" w:ascii="宋体" w:hAnsi="宋体" w:eastAsia="宋体" w:cs="宋体"/>
          <w:b/>
          <w:bCs/>
          <w:color w:val="auto"/>
          <w:sz w:val="24"/>
          <w:szCs w:val="24"/>
          <w:highlight w:val="none"/>
        </w:rPr>
        <w:t>、综合服务要求：</w:t>
      </w:r>
    </w:p>
    <w:p w14:paraId="041BA59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（一）第一标段-法律服务</w:t>
      </w:r>
    </w:p>
    <w:p w14:paraId="348BAA0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对本项目涉及的审批文件进行审查，包括但不限于本项目纳入财政预算的批复、发改部门对本项目作出的批复、本项目的可研立项及批复，本项目涉及的所有</w:t>
      </w:r>
      <w:r>
        <w:rPr>
          <w:rFonts w:hint="eastAsia" w:ascii="宋体" w:hAnsi="宋体" w:eastAsia="宋体" w:cs="宋体"/>
          <w:sz w:val="24"/>
          <w:szCs w:val="24"/>
          <w:highlight w:val="none"/>
          <w:lang w:eastAsia="zh-Hans"/>
        </w:rPr>
        <w:t>前期审批</w:t>
      </w:r>
      <w:r>
        <w:rPr>
          <w:rFonts w:hint="eastAsia" w:ascii="宋体" w:hAnsi="宋体" w:eastAsia="宋体" w:cs="宋体"/>
          <w:sz w:val="24"/>
          <w:szCs w:val="24"/>
          <w:highlight w:val="none"/>
        </w:rPr>
        <w:t>文件等；</w:t>
      </w:r>
    </w:p>
    <w:p w14:paraId="5C9986C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对本项目实施主体资格进行审查；</w:t>
      </w:r>
    </w:p>
    <w:p w14:paraId="1DEF84A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对募集资金的使用安排进行审查；</w:t>
      </w:r>
    </w:p>
    <w:p w14:paraId="363AD5A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对本项目收益和融资自求平衡进行审查；</w:t>
      </w:r>
    </w:p>
    <w:p w14:paraId="09AF5E4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对</w:t>
      </w:r>
      <w:r>
        <w:rPr>
          <w:rFonts w:hint="eastAsia" w:ascii="宋体" w:hAnsi="宋体" w:eastAsia="宋体" w:cs="宋体"/>
          <w:sz w:val="24"/>
          <w:szCs w:val="24"/>
          <w:highlight w:val="none"/>
          <w:lang w:eastAsia="zh-CN"/>
        </w:rPr>
        <w:t>本</w:t>
      </w:r>
      <w:r>
        <w:rPr>
          <w:rFonts w:hint="eastAsia" w:ascii="宋体" w:hAnsi="宋体" w:eastAsia="宋体" w:cs="宋体"/>
          <w:sz w:val="24"/>
          <w:szCs w:val="24"/>
          <w:highlight w:val="none"/>
        </w:rPr>
        <w:t>项目财务评价方案进行论证；</w:t>
      </w:r>
    </w:p>
    <w:p w14:paraId="052B5CC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对本项目出具法律意见书。</w:t>
      </w:r>
    </w:p>
    <w:p w14:paraId="597C3B2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（二）第二标段-财务审核服务</w:t>
      </w:r>
    </w:p>
    <w:p w14:paraId="6ACF40A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中标方</w:t>
      </w:r>
      <w:r>
        <w:rPr>
          <w:rFonts w:hint="eastAsia" w:ascii="宋体" w:hAnsi="宋体" w:eastAsia="宋体" w:cs="宋体"/>
          <w:sz w:val="24"/>
          <w:szCs w:val="24"/>
          <w:highlight w:val="none"/>
        </w:rPr>
        <w:t>接受</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委托，对</w:t>
      </w:r>
      <w:r>
        <w:rPr>
          <w:rFonts w:hint="eastAsia" w:ascii="宋体" w:hAnsi="宋体" w:eastAsia="宋体" w:cs="宋体"/>
          <w:sz w:val="24"/>
          <w:szCs w:val="24"/>
          <w:highlight w:val="none"/>
          <w:lang w:eastAsia="zh-CN"/>
        </w:rPr>
        <w:t>采购人指定</w:t>
      </w:r>
      <w:r>
        <w:rPr>
          <w:rFonts w:hint="eastAsia" w:ascii="宋体" w:hAnsi="宋体" w:eastAsia="宋体" w:cs="宋体"/>
          <w:sz w:val="24"/>
          <w:szCs w:val="24"/>
          <w:highlight w:val="none"/>
        </w:rPr>
        <w:t>项目收益与融资自求平衡情况（以下统称预测性财务信息）进行审核，包括但不限于对</w:t>
      </w:r>
      <w:r>
        <w:rPr>
          <w:rFonts w:hint="eastAsia" w:ascii="宋体" w:hAnsi="宋体" w:eastAsia="宋体" w:cs="宋体"/>
          <w:sz w:val="24"/>
          <w:szCs w:val="24"/>
          <w:highlight w:val="none"/>
          <w:lang w:eastAsia="zh-CN"/>
        </w:rPr>
        <w:t>采购人指定</w:t>
      </w:r>
      <w:r>
        <w:rPr>
          <w:rFonts w:hint="eastAsia" w:ascii="宋体" w:hAnsi="宋体" w:eastAsia="宋体" w:cs="宋体"/>
          <w:sz w:val="24"/>
          <w:szCs w:val="24"/>
          <w:highlight w:val="none"/>
        </w:rPr>
        <w:t>项目未来现金净流入的预测，融资本息测算，项目收益与融资自求平衡预测。</w:t>
      </w:r>
    </w:p>
    <w:p w14:paraId="72DA8601">
      <w:pPr>
        <w:pStyle w:val="44"/>
        <w:keepNext w:val="0"/>
        <w:keepLines w:val="0"/>
        <w:pageBreakBefore w:val="0"/>
        <w:widowControl/>
        <w:kinsoku/>
        <w:wordWrap/>
        <w:overflowPunct/>
        <w:topLinePunct/>
        <w:autoSpaceDE/>
        <w:autoSpaceDN/>
        <w:bidi w:val="0"/>
        <w:adjustRightInd/>
        <w:snapToGrid/>
        <w:spacing w:line="50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中标方</w:t>
      </w:r>
      <w:r>
        <w:rPr>
          <w:rFonts w:hint="eastAsia" w:ascii="宋体" w:hAnsi="宋体" w:eastAsia="宋体" w:cs="宋体"/>
          <w:sz w:val="24"/>
          <w:szCs w:val="24"/>
          <w:highlight w:val="none"/>
        </w:rPr>
        <w:t>通过执行审核工作，对预测性财务信息的下列方面提出审核结论：</w:t>
      </w:r>
    </w:p>
    <w:p w14:paraId="349B59E0">
      <w:pPr>
        <w:pStyle w:val="44"/>
        <w:keepNext w:val="0"/>
        <w:keepLines w:val="0"/>
        <w:pageBreakBefore w:val="0"/>
        <w:widowControl/>
        <w:kinsoku/>
        <w:wordWrap/>
        <w:overflowPunct/>
        <w:topLinePunct/>
        <w:autoSpaceDE/>
        <w:autoSpaceDN/>
        <w:bidi w:val="0"/>
        <w:adjustRightInd/>
        <w:snapToGrid/>
        <w:spacing w:line="50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（1）根据对支持假设的证据的检查，是否注意到任何事项，导致</w:t>
      </w:r>
      <w:r>
        <w:rPr>
          <w:rFonts w:hint="eastAsia" w:ascii="宋体" w:hAnsi="宋体" w:eastAsia="宋体" w:cs="宋体"/>
          <w:sz w:val="24"/>
          <w:szCs w:val="24"/>
          <w:highlight w:val="none"/>
          <w:lang w:eastAsia="zh-CN"/>
        </w:rPr>
        <w:t>中标方</w:t>
      </w:r>
      <w:r>
        <w:rPr>
          <w:rFonts w:hint="eastAsia" w:ascii="宋体" w:hAnsi="宋体" w:eastAsia="宋体" w:cs="宋体"/>
          <w:sz w:val="24"/>
          <w:szCs w:val="24"/>
          <w:highlight w:val="none"/>
        </w:rPr>
        <w:t>认为这些假设不能为预测性财务信息提供合理基础；</w:t>
      </w:r>
    </w:p>
    <w:p w14:paraId="664B8C18">
      <w:pPr>
        <w:pStyle w:val="44"/>
        <w:keepNext w:val="0"/>
        <w:keepLines w:val="0"/>
        <w:pageBreakBefore w:val="0"/>
        <w:kinsoku/>
        <w:wordWrap/>
        <w:overflowPunct/>
        <w:autoSpaceDE/>
        <w:autoSpaceDN/>
        <w:bidi w:val="0"/>
        <w:adjustRightInd/>
        <w:snapToGrid/>
        <w:spacing w:line="500" w:lineRule="exact"/>
        <w:ind w:left="0" w:leftChars="0" w:firstLine="480" w:firstLineChars="200"/>
        <w:textAlignment w:val="auto"/>
        <w:rPr>
          <w:rFonts w:hint="eastAsia" w:ascii="宋体" w:hAnsi="宋体" w:eastAsia="宋体" w:cs="宋体"/>
          <w:highlight w:val="none"/>
          <w:lang w:val="en-US" w:eastAsia="zh-CN"/>
        </w:rPr>
      </w:pPr>
      <w:r>
        <w:rPr>
          <w:rFonts w:hint="eastAsia" w:ascii="宋体" w:hAnsi="宋体" w:eastAsia="宋体" w:cs="宋体"/>
          <w:sz w:val="24"/>
          <w:szCs w:val="24"/>
          <w:highlight w:val="none"/>
        </w:rPr>
        <w:t>（2）预测性财务信息是否依据这些假设恰当编制，并按照规定进行列报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出具财务评价报告</w:t>
      </w:r>
      <w:r>
        <w:rPr>
          <w:rFonts w:hint="eastAsia" w:ascii="宋体" w:hAnsi="宋体" w:eastAsia="宋体" w:cs="宋体"/>
          <w:sz w:val="24"/>
          <w:szCs w:val="24"/>
          <w:highlight w:val="none"/>
          <w:lang w:eastAsia="zh-CN"/>
        </w:rPr>
        <w:t>。</w:t>
      </w:r>
    </w:p>
    <w:p w14:paraId="127E28DE">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（三）第三标段-可行性研究报告编制服务</w:t>
      </w:r>
    </w:p>
    <w:p w14:paraId="368C1A3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中标方</w:t>
      </w:r>
      <w:r>
        <w:rPr>
          <w:rFonts w:hint="eastAsia" w:ascii="宋体" w:hAnsi="宋体" w:eastAsia="宋体" w:cs="宋体"/>
          <w:sz w:val="24"/>
          <w:szCs w:val="24"/>
          <w:highlight w:val="none"/>
        </w:rPr>
        <w:t>应在甲方要求的时间内按照工作内容制定</w:t>
      </w:r>
      <w:r>
        <w:rPr>
          <w:rFonts w:hint="eastAsia" w:ascii="宋体" w:hAnsi="宋体" w:eastAsia="宋体" w:cs="宋体"/>
          <w:b w:val="0"/>
          <w:bCs/>
          <w:i w:val="0"/>
          <w:iCs w:val="0"/>
          <w:color w:val="000000" w:themeColor="text1"/>
          <w:sz w:val="24"/>
          <w:szCs w:val="24"/>
          <w:highlight w:val="none"/>
          <w:u w:val="none"/>
          <w:lang w:val="en-US" w:eastAsia="zh-CN"/>
          <w14:textFill>
            <w14:solidFill>
              <w14:schemeClr w14:val="tx1"/>
            </w14:solidFill>
          </w14:textFill>
        </w:rPr>
        <w:t>可行性研究报告编制</w:t>
      </w:r>
      <w:r>
        <w:rPr>
          <w:rFonts w:hint="eastAsia" w:ascii="宋体" w:hAnsi="宋体" w:eastAsia="宋体" w:cs="宋体"/>
          <w:sz w:val="24"/>
          <w:szCs w:val="24"/>
          <w:highlight w:val="none"/>
        </w:rPr>
        <w:t>方案，包括</w:t>
      </w:r>
      <w:r>
        <w:rPr>
          <w:rFonts w:hint="eastAsia" w:ascii="宋体" w:hAnsi="宋体" w:eastAsia="宋体" w:cs="宋体"/>
          <w:sz w:val="24"/>
          <w:szCs w:val="24"/>
          <w:highlight w:val="none"/>
          <w:lang w:val="en-US" w:eastAsia="zh-CN"/>
        </w:rPr>
        <w:t>项目概述、现状及发展、交通分析及预测、主要技术标准及采用的规范、建设方案与规模、环境影响分析与节能评价、投资估算与资金筹措、经济评价、实施方案、社会评价、研究结论与建议</w:t>
      </w:r>
      <w:r>
        <w:rPr>
          <w:rFonts w:hint="eastAsia" w:ascii="宋体" w:hAnsi="宋体" w:eastAsia="宋体" w:cs="宋体"/>
          <w:sz w:val="24"/>
          <w:szCs w:val="24"/>
          <w:highlight w:val="none"/>
        </w:rPr>
        <w:t>等内容</w:t>
      </w:r>
      <w:r>
        <w:rPr>
          <w:rFonts w:hint="eastAsia" w:ascii="宋体" w:hAnsi="宋体" w:eastAsia="宋体" w:cs="宋体"/>
          <w:sz w:val="24"/>
          <w:szCs w:val="24"/>
          <w:highlight w:val="none"/>
          <w:lang w:eastAsia="zh-CN"/>
        </w:rPr>
        <w:t>。</w:t>
      </w:r>
    </w:p>
    <w:p w14:paraId="57E17B7E">
      <w:pPr>
        <w:pStyle w:val="44"/>
        <w:keepNext w:val="0"/>
        <w:keepLines w:val="0"/>
        <w:pageBreakBefore w:val="0"/>
        <w:numPr>
          <w:ilvl w:val="0"/>
          <w:numId w:val="0"/>
        </w:numPr>
        <w:kinsoku/>
        <w:wordWrap/>
        <w:overflowPunct/>
        <w:autoSpaceDE/>
        <w:autoSpaceDN/>
        <w:bidi w:val="0"/>
        <w:adjustRightInd/>
        <w:snapToGrid/>
        <w:spacing w:line="500" w:lineRule="exact"/>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2.咨询成果归属于招标人，不得向第三方提供。未经同意不得擅自对外发表或出版</w:t>
      </w:r>
      <w:r>
        <w:rPr>
          <w:rFonts w:hint="eastAsia" w:ascii="宋体" w:hAnsi="宋体" w:eastAsia="宋体" w:cs="宋体"/>
          <w:sz w:val="24"/>
          <w:szCs w:val="24"/>
          <w:highlight w:val="none"/>
          <w:lang w:eastAsia="zh-CN"/>
        </w:rPr>
        <w:t>。</w:t>
      </w:r>
    </w:p>
    <w:p w14:paraId="07D4ED31">
      <w:pPr>
        <w:pStyle w:val="44"/>
        <w:keepNext w:val="0"/>
        <w:keepLines w:val="0"/>
        <w:pageBreakBefore w:val="0"/>
        <w:numPr>
          <w:ilvl w:val="0"/>
          <w:numId w:val="0"/>
        </w:numPr>
        <w:kinsoku/>
        <w:wordWrap/>
        <w:overflowPunct/>
        <w:autoSpaceDE/>
        <w:autoSpaceDN/>
        <w:bidi w:val="0"/>
        <w:adjustRightInd/>
        <w:snapToGrid/>
        <w:spacing w:line="500" w:lineRule="exact"/>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（四）第四标段-绩效评价咨询服务</w:t>
      </w:r>
    </w:p>
    <w:p w14:paraId="709C694A">
      <w:pPr>
        <w:pStyle w:val="44"/>
        <w:keepNext w:val="0"/>
        <w:keepLines w:val="0"/>
        <w:pageBreakBefore w:val="0"/>
        <w:numPr>
          <w:ilvl w:val="0"/>
          <w:numId w:val="0"/>
        </w:numPr>
        <w:kinsoku/>
        <w:wordWrap/>
        <w:overflowPunct/>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中标方应在甲方要求的时间内按照工作内容制定绩效评价工作方案，包括项目概况、评价思路、评价依据、评价目的、评价对象和范围、指标体系设计的总体思路与指标体系、社会调查方案、评价人员及分工、评价时间及主要工作进程安排、内部控制制度等内容。</w:t>
      </w:r>
    </w:p>
    <w:p w14:paraId="357E7236">
      <w:pPr>
        <w:pStyle w:val="44"/>
        <w:keepNext w:val="0"/>
        <w:keepLines w:val="0"/>
        <w:pageBreakBefore w:val="0"/>
        <w:numPr>
          <w:ilvl w:val="0"/>
          <w:numId w:val="0"/>
        </w:numPr>
        <w:kinsoku/>
        <w:wordWrap/>
        <w:overflowPunct/>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中标方在工作方案中确定完成本合同约定任务的人员应满足评价工作需要，项目评价工作组人员不少于3人。项目评价工作组成员中，至少有2名主评人，至少2人应具有2020年至今相关执业经历（同时具有中级职称和注册资格或中级职称和硕士以上学位），其余人员应具有注册资格证书。</w:t>
      </w:r>
    </w:p>
    <w:p w14:paraId="6352F9C2">
      <w:pPr>
        <w:pStyle w:val="44"/>
        <w:keepNext w:val="0"/>
        <w:keepLines w:val="0"/>
        <w:pageBreakBefore w:val="0"/>
        <w:numPr>
          <w:ilvl w:val="0"/>
          <w:numId w:val="0"/>
        </w:numPr>
        <w:kinsoku/>
        <w:wordWrap/>
        <w:overflowPunct/>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3.中标方按合同规定完成工作后，应按合同规定的时间进度撰写绩效评价报告，绩效评价报告编写遵循采购人要求，咨询成果归属于招标人，不得向第三方提供。未经同意不得擅自对外发表或出版。</w:t>
      </w:r>
    </w:p>
    <w:p w14:paraId="7696F9A2">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（五）第五标段-收益与融资自求平衡专项债券咨询服务</w:t>
      </w:r>
    </w:p>
    <w:p w14:paraId="66D86AE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1.对项目资料进行分析整理，协调统筹项目运行，得出</w:t>
      </w:r>
      <w:r>
        <w:rPr>
          <w:rFonts w:hint="eastAsia" w:ascii="宋体" w:hAnsi="宋体" w:eastAsia="宋体" w:cs="宋体"/>
          <w:sz w:val="24"/>
          <w:szCs w:val="24"/>
          <w:highlight w:val="none"/>
          <w:lang w:eastAsia="zh-CN"/>
        </w:rPr>
        <w:t>咨询成果</w:t>
      </w:r>
      <w:r>
        <w:rPr>
          <w:rFonts w:hint="eastAsia" w:ascii="宋体" w:hAnsi="宋体" w:eastAsia="宋体" w:cs="宋体"/>
          <w:sz w:val="24"/>
          <w:szCs w:val="24"/>
          <w:highlight w:val="none"/>
        </w:rPr>
        <w:t>，保证内容及深度达到政府相关职能部门要求，保证通过专家审核，保证如期完成相关工作</w:t>
      </w:r>
      <w:r>
        <w:rPr>
          <w:rFonts w:hint="eastAsia" w:ascii="宋体" w:hAnsi="宋体" w:eastAsia="宋体" w:cs="宋体"/>
          <w:sz w:val="24"/>
          <w:szCs w:val="24"/>
          <w:highlight w:val="none"/>
          <w:lang w:eastAsia="zh-CN"/>
        </w:rPr>
        <w:t>。</w:t>
      </w:r>
    </w:p>
    <w:p w14:paraId="1B0042E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2.服务期满或完成服务成果后，采购人应对服务的成果进行详细而全面的检验。招标人有权限根据检验结果要求中标方立即调整或者提出索赔要求。检验合格后，由招标人组成的验收小组签署验收报告。</w:t>
      </w:r>
    </w:p>
    <w:p w14:paraId="0F15D3CA">
      <w:pPr>
        <w:pStyle w:val="44"/>
        <w:keepNext w:val="0"/>
        <w:keepLines w:val="0"/>
        <w:pageBreakBefore w:val="0"/>
        <w:numPr>
          <w:ilvl w:val="0"/>
          <w:numId w:val="0"/>
        </w:numPr>
        <w:kinsoku/>
        <w:wordWrap/>
        <w:overflowPunct/>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3.咨询成果归属于招标人，不得向第三方提供。未经同意不得擅自对外发表或出版</w:t>
      </w:r>
      <w:r>
        <w:rPr>
          <w:rFonts w:hint="eastAsia" w:ascii="宋体" w:hAnsi="宋体" w:eastAsia="宋体" w:cs="宋体"/>
          <w:sz w:val="24"/>
          <w:szCs w:val="24"/>
          <w:highlight w:val="none"/>
          <w:lang w:eastAsia="zh-CN"/>
        </w:rPr>
        <w:t>。</w:t>
      </w:r>
    </w:p>
    <w:p w14:paraId="104F0B62">
      <w:pPr>
        <w:pStyle w:val="44"/>
        <w:keepNext w:val="0"/>
        <w:keepLines w:val="0"/>
        <w:pageBreakBefore w:val="0"/>
        <w:numPr>
          <w:ilvl w:val="0"/>
          <w:numId w:val="0"/>
        </w:numPr>
        <w:kinsoku/>
        <w:wordWrap/>
        <w:overflowPunct/>
        <w:autoSpaceDE/>
        <w:autoSpaceDN/>
        <w:bidi w:val="0"/>
        <w:adjustRightInd/>
        <w:snapToGrid/>
        <w:spacing w:line="500" w:lineRule="exact"/>
        <w:ind w:firstLine="420" w:firstLineChars="200"/>
        <w:textAlignment w:val="auto"/>
        <w:rPr>
          <w:rFonts w:hint="eastAsia" w:ascii="宋体" w:hAnsi="宋体" w:eastAsia="宋体" w:cs="宋体"/>
          <w:highlight w:val="none"/>
          <w:lang w:val="en-US" w:eastAsia="zh-CN"/>
        </w:rPr>
      </w:pPr>
    </w:p>
    <w:p w14:paraId="5561A5DA">
      <w:pPr>
        <w:pStyle w:val="44"/>
        <w:rPr>
          <w:rFonts w:hint="eastAsia" w:ascii="宋体" w:hAnsi="宋体" w:eastAsia="宋体" w:cs="宋体"/>
          <w:highlight w:val="none"/>
          <w:lang w:val="en-US" w:eastAsia="zh-CN"/>
        </w:rPr>
      </w:pPr>
    </w:p>
    <w:p w14:paraId="08DCECA3">
      <w:pPr>
        <w:pStyle w:val="44"/>
        <w:rPr>
          <w:rFonts w:hint="eastAsia" w:ascii="宋体" w:hAnsi="宋体" w:eastAsia="宋体" w:cs="宋体"/>
          <w:highlight w:val="none"/>
          <w:lang w:val="en-US" w:eastAsia="zh-CN"/>
        </w:rPr>
      </w:pPr>
    </w:p>
    <w:p w14:paraId="1EAF315C">
      <w:pPr>
        <w:pStyle w:val="45"/>
        <w:rPr>
          <w:rFonts w:hint="eastAsia" w:ascii="宋体" w:hAnsi="宋体" w:eastAsia="宋体" w:cs="宋体"/>
          <w:color w:val="000000" w:themeColor="text1"/>
          <w:highlight w:val="none"/>
          <w:lang w:val="en-US" w:eastAsia="zh-CN"/>
          <w14:textFill>
            <w14:solidFill>
              <w14:schemeClr w14:val="tx1"/>
            </w14:solidFill>
          </w14:textFill>
        </w:rPr>
      </w:pPr>
    </w:p>
    <w:p w14:paraId="4438672D">
      <w:pPr>
        <w:pStyle w:val="45"/>
        <w:rPr>
          <w:rFonts w:hint="eastAsia" w:ascii="宋体" w:hAnsi="宋体" w:eastAsia="宋体" w:cs="宋体"/>
          <w:color w:val="000000" w:themeColor="text1"/>
          <w:highlight w:val="none"/>
          <w:lang w:val="en-US" w:eastAsia="zh-CN"/>
          <w14:textFill>
            <w14:solidFill>
              <w14:schemeClr w14:val="tx1"/>
            </w14:solidFill>
          </w14:textFill>
        </w:rPr>
      </w:pPr>
    </w:p>
    <w:p w14:paraId="5E3AB1DD">
      <w:pPr>
        <w:pStyle w:val="45"/>
        <w:rPr>
          <w:rFonts w:hint="eastAsia" w:ascii="宋体" w:hAnsi="宋体" w:eastAsia="宋体" w:cs="宋体"/>
          <w:color w:val="000000" w:themeColor="text1"/>
          <w:highlight w:val="none"/>
          <w:lang w:val="en-US" w:eastAsia="zh-CN"/>
          <w14:textFill>
            <w14:solidFill>
              <w14:schemeClr w14:val="tx1"/>
            </w14:solidFill>
          </w14:textFill>
        </w:rPr>
      </w:pPr>
    </w:p>
    <w:p w14:paraId="3BA278B1">
      <w:pPr>
        <w:pStyle w:val="45"/>
        <w:rPr>
          <w:rFonts w:hint="eastAsia" w:ascii="宋体" w:hAnsi="宋体" w:eastAsia="宋体" w:cs="宋体"/>
          <w:color w:val="000000" w:themeColor="text1"/>
          <w:highlight w:val="none"/>
          <w:lang w:val="en-US" w:eastAsia="zh-CN"/>
          <w14:textFill>
            <w14:solidFill>
              <w14:schemeClr w14:val="tx1"/>
            </w14:solidFill>
          </w14:textFill>
        </w:rPr>
      </w:pPr>
    </w:p>
    <w:p w14:paraId="09ADECCD">
      <w:pPr>
        <w:pStyle w:val="45"/>
        <w:rPr>
          <w:rFonts w:hint="eastAsia" w:ascii="宋体" w:hAnsi="宋体" w:eastAsia="宋体" w:cs="宋体"/>
          <w:color w:val="000000" w:themeColor="text1"/>
          <w:highlight w:val="none"/>
          <w:lang w:val="en-US" w:eastAsia="zh-CN"/>
          <w14:textFill>
            <w14:solidFill>
              <w14:schemeClr w14:val="tx1"/>
            </w14:solidFill>
          </w14:textFill>
        </w:rPr>
      </w:pPr>
    </w:p>
    <w:p w14:paraId="3BFA8426">
      <w:pPr>
        <w:pStyle w:val="45"/>
        <w:rPr>
          <w:rFonts w:hint="eastAsia" w:ascii="宋体" w:hAnsi="宋体" w:eastAsia="宋体" w:cs="宋体"/>
          <w:color w:val="000000" w:themeColor="text1"/>
          <w:highlight w:val="none"/>
          <w:lang w:val="en-US" w:eastAsia="zh-CN"/>
          <w14:textFill>
            <w14:solidFill>
              <w14:schemeClr w14:val="tx1"/>
            </w14:solidFill>
          </w14:textFill>
        </w:rPr>
      </w:pPr>
    </w:p>
    <w:p w14:paraId="21A0CB21">
      <w:pPr>
        <w:bidi w:val="0"/>
        <w:rPr>
          <w:rFonts w:hint="eastAsia" w:ascii="宋体" w:hAnsi="宋体" w:eastAsia="宋体" w:cs="宋体"/>
          <w:color w:val="000000" w:themeColor="text1"/>
          <w:highlight w:val="none"/>
          <w:lang w:val="en-US" w:eastAsia="zh-CN"/>
          <w14:textFill>
            <w14:solidFill>
              <w14:schemeClr w14:val="tx1"/>
            </w14:solidFill>
          </w14:textFill>
        </w:rPr>
      </w:pPr>
    </w:p>
    <w:p w14:paraId="68C8EDB5">
      <w:pPr>
        <w:pStyle w:val="14"/>
        <w:rPr>
          <w:rFonts w:hint="eastAsia" w:ascii="宋体" w:hAnsi="宋体" w:eastAsia="宋体" w:cs="宋体"/>
          <w:color w:val="000000" w:themeColor="text1"/>
          <w:highlight w:val="none"/>
          <w:lang w:val="en-US" w:eastAsia="zh-CN"/>
          <w14:textFill>
            <w14:solidFill>
              <w14:schemeClr w14:val="tx1"/>
            </w14:solidFill>
          </w14:textFill>
        </w:rPr>
      </w:pPr>
    </w:p>
    <w:p w14:paraId="3E54E7AD">
      <w:pPr>
        <w:pStyle w:val="14"/>
        <w:rPr>
          <w:rFonts w:hint="eastAsia" w:ascii="宋体" w:hAnsi="宋体" w:eastAsia="宋体" w:cs="宋体"/>
          <w:color w:val="000000" w:themeColor="text1"/>
          <w:highlight w:val="none"/>
          <w:lang w:val="en-US" w:eastAsia="zh-CN"/>
          <w14:textFill>
            <w14:solidFill>
              <w14:schemeClr w14:val="tx1"/>
            </w14:solidFill>
          </w14:textFill>
        </w:rPr>
      </w:pPr>
    </w:p>
    <w:p w14:paraId="4B8E4CAC">
      <w:pPr>
        <w:bidi w:val="0"/>
        <w:rPr>
          <w:rFonts w:hint="eastAsia" w:ascii="宋体" w:hAnsi="宋体" w:eastAsia="宋体" w:cs="宋体"/>
          <w:color w:val="000000" w:themeColor="text1"/>
          <w:highlight w:val="none"/>
          <w:lang w:val="en-US" w:eastAsia="zh-CN"/>
          <w14:textFill>
            <w14:solidFill>
              <w14:schemeClr w14:val="tx1"/>
            </w14:solidFill>
          </w14:textFill>
        </w:rPr>
      </w:pPr>
    </w:p>
    <w:p w14:paraId="6972085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000000" w:themeColor="text1"/>
          <w:sz w:val="32"/>
          <w:szCs w:val="32"/>
          <w:highlight w:val="none"/>
          <w:u w:val="single"/>
          <w:lang w:eastAsia="zh-CN"/>
          <w14:textFill>
            <w14:solidFill>
              <w14:schemeClr w14:val="tx1"/>
            </w14:solidFill>
          </w14:textFill>
        </w:rPr>
      </w:pPr>
      <w:bookmarkStart w:id="77" w:name="_Toc1676"/>
      <w:r>
        <w:rPr>
          <w:rFonts w:hint="eastAsia" w:ascii="宋体" w:hAnsi="宋体" w:eastAsia="宋体" w:cs="宋体"/>
          <w:b/>
          <w:bCs/>
          <w:color w:val="000000" w:themeColor="text1"/>
          <w:sz w:val="36"/>
          <w:szCs w:val="36"/>
          <w:highlight w:val="none"/>
          <w:lang w:val="en-US" w:eastAsia="zh-CN"/>
          <w14:textFill>
            <w14:solidFill>
              <w14:schemeClr w14:val="tx1"/>
            </w14:solidFill>
          </w14:textFill>
        </w:rPr>
        <w:t>第六章 投标文件格式</w:t>
      </w:r>
      <w:bookmarkEnd w:id="36"/>
      <w:bookmarkEnd w:id="77"/>
    </w:p>
    <w:p w14:paraId="22DE583F">
      <w:pPr>
        <w:keepNext w:val="0"/>
        <w:keepLines w:val="0"/>
        <w:pageBreakBefore w:val="0"/>
        <w:widowControl w:val="0"/>
        <w:kinsoku/>
        <w:wordWrap/>
        <w:overflowPunct/>
        <w:topLinePunct w:val="0"/>
        <w:bidi w:val="0"/>
        <w:snapToGrid/>
        <w:spacing w:line="360" w:lineRule="auto"/>
        <w:ind w:firstLine="1440" w:firstLineChars="450"/>
        <w:jc w:val="right"/>
        <w:textAlignment w:val="auto"/>
        <w:rPr>
          <w:rFonts w:hint="eastAsia" w:ascii="宋体" w:hAnsi="宋体" w:eastAsia="宋体" w:cs="宋体"/>
          <w:color w:val="000000" w:themeColor="text1"/>
          <w:sz w:val="32"/>
          <w:szCs w:val="32"/>
          <w:highlight w:val="none"/>
          <w14:textFill>
            <w14:solidFill>
              <w14:schemeClr w14:val="tx1"/>
            </w14:solidFill>
          </w14:textFill>
        </w:rPr>
      </w:pPr>
      <w:bookmarkStart w:id="78" w:name="_bookmark146"/>
      <w:bookmarkEnd w:id="78"/>
    </w:p>
    <w:p w14:paraId="4FE969B7">
      <w:pPr>
        <w:keepNext w:val="0"/>
        <w:keepLines w:val="0"/>
        <w:pageBreakBefore w:val="0"/>
        <w:widowControl w:val="0"/>
        <w:kinsoku/>
        <w:wordWrap/>
        <w:overflowPunct/>
        <w:topLinePunct w:val="0"/>
        <w:bidi w:val="0"/>
        <w:snapToGrid/>
        <w:spacing w:line="360" w:lineRule="auto"/>
        <w:ind w:firstLine="1440" w:firstLineChars="450"/>
        <w:jc w:val="right"/>
        <w:textAlignment w:val="auto"/>
        <w:rPr>
          <w:rFonts w:hint="eastAsia" w:ascii="宋体" w:hAnsi="宋体" w:eastAsia="宋体" w:cs="宋体"/>
          <w:color w:val="000000" w:themeColor="text1"/>
          <w:sz w:val="32"/>
          <w:szCs w:val="32"/>
          <w:highlight w:val="none"/>
          <w14:textFill>
            <w14:solidFill>
              <w14:schemeClr w14:val="tx1"/>
            </w14:solidFill>
          </w14:textFill>
        </w:rPr>
      </w:pPr>
    </w:p>
    <w:p w14:paraId="2CCB6288">
      <w:pPr>
        <w:keepNext w:val="0"/>
        <w:keepLines w:val="0"/>
        <w:pageBreakBefore w:val="0"/>
        <w:widowControl w:val="0"/>
        <w:kinsoku/>
        <w:wordWrap/>
        <w:overflowPunct/>
        <w:topLinePunct w:val="0"/>
        <w:bidi w:val="0"/>
        <w:snapToGrid/>
        <w:spacing w:line="360" w:lineRule="auto"/>
        <w:ind w:firstLine="1440" w:firstLineChars="450"/>
        <w:jc w:val="right"/>
        <w:textAlignment w:val="auto"/>
        <w:rPr>
          <w:rFonts w:hint="eastAsia" w:ascii="宋体" w:hAnsi="宋体" w:eastAsia="宋体" w:cs="宋体"/>
          <w:color w:val="000000" w:themeColor="text1"/>
          <w:sz w:val="32"/>
          <w:szCs w:val="32"/>
          <w:highlight w:val="none"/>
          <w14:textFill>
            <w14:solidFill>
              <w14:schemeClr w14:val="tx1"/>
            </w14:solidFill>
          </w14:textFill>
        </w:rPr>
      </w:pPr>
    </w:p>
    <w:p w14:paraId="525EBFD1">
      <w:pPr>
        <w:keepNext w:val="0"/>
        <w:keepLines w:val="0"/>
        <w:pageBreakBefore w:val="0"/>
        <w:widowControl w:val="0"/>
        <w:kinsoku/>
        <w:wordWrap/>
        <w:overflowPunct/>
        <w:topLinePunct w:val="0"/>
        <w:bidi w:val="0"/>
        <w:snapToGrid/>
        <w:spacing w:line="360" w:lineRule="auto"/>
        <w:ind w:firstLine="1440" w:firstLineChars="450"/>
        <w:jc w:val="right"/>
        <w:textAlignment w:val="auto"/>
        <w:rPr>
          <w:rFonts w:hint="eastAsia" w:ascii="宋体" w:hAnsi="宋体" w:eastAsia="宋体" w:cs="宋体"/>
          <w:color w:val="000000" w:themeColor="text1"/>
          <w:sz w:val="32"/>
          <w:szCs w:val="32"/>
          <w:highlight w:val="none"/>
          <w14:textFill>
            <w14:solidFill>
              <w14:schemeClr w14:val="tx1"/>
            </w14:solidFill>
          </w14:textFill>
        </w:rPr>
      </w:pPr>
    </w:p>
    <w:p w14:paraId="16D8587D">
      <w:pPr>
        <w:keepNext w:val="0"/>
        <w:keepLines w:val="0"/>
        <w:pageBreakBefore w:val="0"/>
        <w:widowControl w:val="0"/>
        <w:kinsoku/>
        <w:wordWrap/>
        <w:overflowPunct/>
        <w:topLinePunct w:val="0"/>
        <w:bidi w:val="0"/>
        <w:snapToGrid/>
        <w:spacing w:line="360" w:lineRule="auto"/>
        <w:ind w:firstLine="1440" w:firstLineChars="450"/>
        <w:jc w:val="right"/>
        <w:textAlignment w:val="auto"/>
        <w:rPr>
          <w:rFonts w:hint="eastAsia" w:ascii="宋体" w:hAnsi="宋体" w:eastAsia="宋体" w:cs="宋体"/>
          <w:color w:val="000000" w:themeColor="text1"/>
          <w:sz w:val="32"/>
          <w:szCs w:val="32"/>
          <w:highlight w:val="none"/>
          <w14:textFill>
            <w14:solidFill>
              <w14:schemeClr w14:val="tx1"/>
            </w14:solidFill>
          </w14:textFill>
        </w:rPr>
      </w:pPr>
    </w:p>
    <w:p w14:paraId="014AB528">
      <w:pPr>
        <w:pStyle w:val="2"/>
        <w:rPr>
          <w:rFonts w:hint="eastAsia" w:ascii="宋体" w:hAnsi="宋体" w:eastAsia="宋体" w:cs="宋体"/>
          <w:color w:val="000000" w:themeColor="text1"/>
          <w:sz w:val="32"/>
          <w:szCs w:val="32"/>
          <w:highlight w:val="none"/>
          <w14:textFill>
            <w14:solidFill>
              <w14:schemeClr w14:val="tx1"/>
            </w14:solidFill>
          </w14:textFill>
        </w:rPr>
      </w:pPr>
    </w:p>
    <w:p w14:paraId="3027179B">
      <w:pPr>
        <w:rPr>
          <w:rFonts w:hint="eastAsia" w:ascii="宋体" w:hAnsi="宋体" w:eastAsia="宋体" w:cs="宋体"/>
          <w:color w:val="000000" w:themeColor="text1"/>
          <w:sz w:val="32"/>
          <w:szCs w:val="32"/>
          <w:highlight w:val="none"/>
          <w14:textFill>
            <w14:solidFill>
              <w14:schemeClr w14:val="tx1"/>
            </w14:solidFill>
          </w14:textFill>
        </w:rPr>
      </w:pPr>
    </w:p>
    <w:p w14:paraId="13BD39A6">
      <w:pPr>
        <w:pStyle w:val="2"/>
        <w:rPr>
          <w:rFonts w:hint="eastAsia" w:ascii="宋体" w:hAnsi="宋体" w:eastAsia="宋体" w:cs="宋体"/>
          <w:highlight w:val="none"/>
        </w:rPr>
      </w:pPr>
    </w:p>
    <w:p w14:paraId="1F4DEC53">
      <w:pPr>
        <w:rPr>
          <w:rFonts w:hint="eastAsia" w:ascii="宋体" w:hAnsi="宋体" w:eastAsia="宋体" w:cs="宋体"/>
          <w:highlight w:val="none"/>
        </w:rPr>
      </w:pPr>
    </w:p>
    <w:p w14:paraId="0D1BF56B">
      <w:pPr>
        <w:pStyle w:val="35"/>
        <w:rPr>
          <w:rFonts w:hint="eastAsia" w:ascii="宋体" w:hAnsi="宋体" w:eastAsia="宋体" w:cs="宋体"/>
          <w:highlight w:val="none"/>
        </w:rPr>
      </w:pPr>
    </w:p>
    <w:p w14:paraId="06CD64FA">
      <w:pPr>
        <w:rPr>
          <w:rFonts w:hint="eastAsia" w:ascii="宋体" w:hAnsi="宋体" w:eastAsia="宋体" w:cs="宋体"/>
          <w:highlight w:val="none"/>
        </w:rPr>
      </w:pPr>
    </w:p>
    <w:p w14:paraId="1F2FA181">
      <w:pPr>
        <w:keepNext w:val="0"/>
        <w:keepLines w:val="0"/>
        <w:pageBreakBefore w:val="0"/>
        <w:widowControl w:val="0"/>
        <w:kinsoku/>
        <w:wordWrap/>
        <w:overflowPunct/>
        <w:topLinePunct w:val="0"/>
        <w:bidi w:val="0"/>
        <w:snapToGrid/>
        <w:spacing w:line="360" w:lineRule="auto"/>
        <w:ind w:firstLine="1440" w:firstLineChars="450"/>
        <w:jc w:val="right"/>
        <w:textAlignment w:val="auto"/>
        <w:rPr>
          <w:rFonts w:hint="eastAsia" w:ascii="宋体" w:hAnsi="宋体" w:eastAsia="宋体" w:cs="宋体"/>
          <w:color w:val="000000" w:themeColor="text1"/>
          <w:sz w:val="32"/>
          <w:szCs w:val="32"/>
          <w:highlight w:val="none"/>
          <w14:textFill>
            <w14:solidFill>
              <w14:schemeClr w14:val="tx1"/>
            </w14:solidFill>
          </w14:textFill>
        </w:rPr>
      </w:pPr>
    </w:p>
    <w:p w14:paraId="14E0B2D4">
      <w:pPr>
        <w:keepNext w:val="0"/>
        <w:keepLines w:val="0"/>
        <w:pageBreakBefore w:val="0"/>
        <w:widowControl w:val="0"/>
        <w:kinsoku/>
        <w:wordWrap/>
        <w:overflowPunct/>
        <w:topLinePunct w:val="0"/>
        <w:bidi w:val="0"/>
        <w:snapToGrid/>
        <w:spacing w:line="360" w:lineRule="auto"/>
        <w:ind w:firstLine="1440" w:firstLineChars="450"/>
        <w:jc w:val="right"/>
        <w:textAlignment w:val="auto"/>
        <w:rPr>
          <w:rFonts w:hint="eastAsia" w:ascii="宋体" w:hAnsi="宋体" w:eastAsia="宋体" w:cs="宋体"/>
          <w:color w:val="000000" w:themeColor="text1"/>
          <w:sz w:val="32"/>
          <w:szCs w:val="32"/>
          <w:highlight w:val="none"/>
          <w14:textFill>
            <w14:solidFill>
              <w14:schemeClr w14:val="tx1"/>
            </w14:solidFill>
          </w14:textFill>
        </w:rPr>
      </w:pPr>
    </w:p>
    <w:p w14:paraId="66045B84">
      <w:pPr>
        <w:keepNext w:val="0"/>
        <w:keepLines w:val="0"/>
        <w:pageBreakBefore w:val="0"/>
        <w:widowControl w:val="0"/>
        <w:kinsoku/>
        <w:wordWrap/>
        <w:overflowPunct/>
        <w:topLinePunct w:val="0"/>
        <w:bidi w:val="0"/>
        <w:snapToGrid/>
        <w:spacing w:line="360" w:lineRule="auto"/>
        <w:ind w:firstLine="1440" w:firstLineChars="450"/>
        <w:jc w:val="right"/>
        <w:textAlignment w:val="auto"/>
        <w:rPr>
          <w:rFonts w:hint="eastAsia" w:ascii="宋体" w:hAnsi="宋体" w:eastAsia="宋体" w:cs="宋体"/>
          <w:color w:val="000000" w:themeColor="text1"/>
          <w:sz w:val="32"/>
          <w:szCs w:val="32"/>
          <w:highlight w:val="none"/>
          <w14:textFill>
            <w14:solidFill>
              <w14:schemeClr w14:val="tx1"/>
            </w14:solidFill>
          </w14:textFill>
        </w:rPr>
      </w:pPr>
    </w:p>
    <w:p w14:paraId="77E598DC">
      <w:pP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br w:type="page"/>
      </w:r>
    </w:p>
    <w:p w14:paraId="1651296C">
      <w:pPr>
        <w:keepNext w:val="0"/>
        <w:keepLines w:val="0"/>
        <w:pageBreakBefore w:val="0"/>
        <w:widowControl w:val="0"/>
        <w:kinsoku/>
        <w:wordWrap/>
        <w:overflowPunct/>
        <w:topLinePunct w:val="0"/>
        <w:bidi w:val="0"/>
        <w:snapToGrid/>
        <w:spacing w:line="360" w:lineRule="auto"/>
        <w:jc w:val="right"/>
        <w:textAlignment w:val="auto"/>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正本或副本</w:t>
      </w:r>
    </w:p>
    <w:p w14:paraId="3455BF98">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color w:val="000000" w:themeColor="text1"/>
          <w:sz w:val="32"/>
          <w:szCs w:val="32"/>
          <w:highlight w:val="none"/>
          <w:u w:val="single"/>
          <w14:textFill>
            <w14:solidFill>
              <w14:schemeClr w14:val="tx1"/>
            </w14:solidFill>
          </w14:textFill>
        </w:rPr>
      </w:pPr>
    </w:p>
    <w:p w14:paraId="70399354">
      <w:pPr>
        <w:keepNext w:val="0"/>
        <w:keepLines w:val="0"/>
        <w:pageBreakBefore w:val="0"/>
        <w:widowControl w:val="0"/>
        <w:kinsoku/>
        <w:wordWrap/>
        <w:overflowPunct/>
        <w:topLinePunct w:val="0"/>
        <w:bidi w:val="0"/>
        <w:snapToGrid/>
        <w:spacing w:line="360" w:lineRule="auto"/>
        <w:ind w:firstLine="1606" w:firstLineChars="500"/>
        <w:textAlignment w:val="auto"/>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eastAsia="宋体" w:cs="宋体"/>
          <w:b/>
          <w:color w:val="000000" w:themeColor="text1"/>
          <w:sz w:val="32"/>
          <w:szCs w:val="32"/>
          <w:highlight w:val="none"/>
          <w:u w:val="single"/>
          <w14:textFill>
            <w14:solidFill>
              <w14:schemeClr w14:val="tx1"/>
            </w14:solidFill>
          </w14:textFill>
        </w:rPr>
        <w:t xml:space="preserve">               </w:t>
      </w:r>
      <w:r>
        <w:rPr>
          <w:rFonts w:hint="eastAsia" w:ascii="宋体" w:hAnsi="宋体" w:eastAsia="宋体" w:cs="宋体"/>
          <w:b/>
          <w:color w:val="000000" w:themeColor="text1"/>
          <w:sz w:val="32"/>
          <w:szCs w:val="32"/>
          <w:highlight w:val="none"/>
          <w:u w:val="single"/>
          <w:lang w:val="en-US" w:eastAsia="zh-CN"/>
          <w14:textFill>
            <w14:solidFill>
              <w14:schemeClr w14:val="tx1"/>
            </w14:solidFill>
          </w14:textFill>
        </w:rPr>
        <w:t xml:space="preserve"> </w:t>
      </w:r>
      <w:r>
        <w:rPr>
          <w:rFonts w:hint="eastAsia" w:ascii="宋体" w:hAnsi="宋体" w:eastAsia="宋体" w:cs="宋体"/>
          <w:b/>
          <w:color w:val="000000" w:themeColor="text1"/>
          <w:sz w:val="32"/>
          <w:szCs w:val="32"/>
          <w:highlight w:val="none"/>
          <w:lang w:eastAsia="zh-CN"/>
          <w14:textFill>
            <w14:solidFill>
              <w14:schemeClr w14:val="tx1"/>
            </w14:solidFill>
          </w14:textFill>
        </w:rPr>
        <w:t>(</w:t>
      </w:r>
      <w:r>
        <w:rPr>
          <w:rFonts w:hint="eastAsia" w:ascii="宋体" w:hAnsi="宋体" w:eastAsia="宋体" w:cs="宋体"/>
          <w:b/>
          <w:color w:val="000000" w:themeColor="text1"/>
          <w:sz w:val="32"/>
          <w:szCs w:val="32"/>
          <w:highlight w:val="none"/>
          <w14:textFill>
            <w14:solidFill>
              <w14:schemeClr w14:val="tx1"/>
            </w14:solidFill>
          </w14:textFill>
        </w:rPr>
        <w:t>项目名称</w:t>
      </w:r>
      <w:r>
        <w:rPr>
          <w:rFonts w:hint="eastAsia" w:ascii="宋体" w:hAnsi="宋体" w:eastAsia="宋体" w:cs="宋体"/>
          <w:b/>
          <w:color w:val="000000" w:themeColor="text1"/>
          <w:sz w:val="32"/>
          <w:szCs w:val="32"/>
          <w:highlight w:val="none"/>
          <w:lang w:eastAsia="zh-CN"/>
          <w14:textFill>
            <w14:solidFill>
              <w14:schemeClr w14:val="tx1"/>
            </w14:solidFill>
          </w14:textFill>
        </w:rPr>
        <w:t>)</w:t>
      </w:r>
    </w:p>
    <w:p w14:paraId="2D1B8BAC">
      <w:pPr>
        <w:pStyle w:val="45"/>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000000" w:themeColor="text1"/>
          <w:sz w:val="32"/>
          <w:szCs w:val="32"/>
          <w:highlight w:val="none"/>
          <w:u w:val="none"/>
          <w:lang w:val="en-US" w:eastAsia="zh-CN"/>
          <w14:textFill>
            <w14:solidFill>
              <w14:schemeClr w14:val="tx1"/>
            </w14:solidFill>
          </w14:textFill>
        </w:rPr>
      </w:pPr>
      <w:r>
        <w:rPr>
          <w:rFonts w:hint="eastAsia" w:ascii="宋体" w:hAnsi="宋体" w:eastAsia="宋体" w:cs="宋体"/>
          <w:b/>
          <w:color w:val="000000" w:themeColor="text1"/>
          <w:sz w:val="32"/>
          <w:szCs w:val="32"/>
          <w:highlight w:val="none"/>
          <w:u w:val="none"/>
          <w:lang w:val="en-US" w:eastAsia="zh-CN"/>
          <w14:textFill>
            <w14:solidFill>
              <w14:schemeClr w14:val="tx1"/>
            </w14:solidFill>
          </w14:textFill>
        </w:rPr>
        <w:t xml:space="preserve">    </w:t>
      </w:r>
    </w:p>
    <w:p w14:paraId="2864D3EB">
      <w:pPr>
        <w:pStyle w:val="45"/>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000000" w:themeColor="text1"/>
          <w:sz w:val="32"/>
          <w:szCs w:val="32"/>
          <w:highlight w:val="none"/>
          <w:u w:val="none"/>
          <w:lang w:val="en-US" w:eastAsia="zh-CN"/>
          <w14:textFill>
            <w14:solidFill>
              <w14:schemeClr w14:val="tx1"/>
            </w14:solidFill>
          </w14:textFill>
        </w:rPr>
      </w:pPr>
    </w:p>
    <w:p w14:paraId="4808B92C">
      <w:pPr>
        <w:pStyle w:val="45"/>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000000" w:themeColor="text1"/>
          <w:sz w:val="32"/>
          <w:szCs w:val="32"/>
          <w:highlight w:val="none"/>
          <w:u w:val="none"/>
          <w:lang w:val="en-US" w:eastAsia="zh-CN"/>
          <w14:textFill>
            <w14:solidFill>
              <w14:schemeClr w14:val="tx1"/>
            </w14:solidFill>
          </w14:textFill>
        </w:rPr>
      </w:pPr>
    </w:p>
    <w:p w14:paraId="113DDF8F">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14:paraId="6E31DD60">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b/>
          <w:color w:val="000000" w:themeColor="text1"/>
          <w:sz w:val="72"/>
          <w:szCs w:val="72"/>
          <w:highlight w:val="none"/>
          <w:lang w:val="en-US" w:eastAsia="zh-CN"/>
          <w14:textFill>
            <w14:solidFill>
              <w14:schemeClr w14:val="tx1"/>
            </w14:solidFill>
          </w14:textFill>
        </w:rPr>
      </w:pPr>
      <w:r>
        <w:rPr>
          <w:rFonts w:hint="eastAsia" w:ascii="宋体" w:hAnsi="宋体" w:eastAsia="宋体" w:cs="宋体"/>
          <w:b/>
          <w:color w:val="000000" w:themeColor="text1"/>
          <w:sz w:val="72"/>
          <w:szCs w:val="72"/>
          <w:highlight w:val="none"/>
          <w:lang w:val="en-US" w:eastAsia="zh-CN"/>
          <w14:textFill>
            <w14:solidFill>
              <w14:schemeClr w14:val="tx1"/>
            </w14:solidFill>
          </w14:textFill>
        </w:rPr>
        <w:t>投标文件</w:t>
      </w:r>
    </w:p>
    <w:p w14:paraId="08A2C17A">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8"/>
          <w:szCs w:val="28"/>
          <w:highlight w:val="none"/>
          <w:lang w:val="zh-CN"/>
          <w14:textFill>
            <w14:solidFill>
              <w14:schemeClr w14:val="tx1"/>
            </w14:solidFill>
          </w14:textFill>
        </w:rPr>
      </w:pPr>
      <w:bookmarkStart w:id="79" w:name="_Toc20780_WPSOffice_Level1"/>
      <w:bookmarkStart w:id="80" w:name="_Toc459_WPSOffice_Level1"/>
    </w:p>
    <w:p w14:paraId="0F741D8D">
      <w:pPr>
        <w:pStyle w:val="45"/>
        <w:rPr>
          <w:rFonts w:hint="eastAsia" w:ascii="宋体" w:hAnsi="宋体" w:eastAsia="宋体" w:cs="宋体"/>
          <w:color w:val="000000" w:themeColor="text1"/>
          <w:highlight w:val="none"/>
          <w:lang w:val="zh-CN"/>
          <w14:textFill>
            <w14:solidFill>
              <w14:schemeClr w14:val="tx1"/>
            </w14:solidFill>
          </w14:textFill>
        </w:rPr>
      </w:pPr>
    </w:p>
    <w:p w14:paraId="1CF60735">
      <w:pPr>
        <w:keepNext w:val="0"/>
        <w:keepLines w:val="0"/>
        <w:pageBreakBefore w:val="0"/>
        <w:widowControl w:val="0"/>
        <w:kinsoku/>
        <w:wordWrap/>
        <w:overflowPunct/>
        <w:topLinePunct w:val="0"/>
        <w:bidi w:val="0"/>
        <w:snapToGrid/>
        <w:spacing w:line="360" w:lineRule="auto"/>
        <w:ind w:firstLine="2170" w:firstLineChars="775"/>
        <w:textAlignment w:val="auto"/>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color w:val="000000" w:themeColor="text1"/>
          <w:sz w:val="28"/>
          <w:szCs w:val="28"/>
          <w:highlight w:val="none"/>
          <w:lang w:val="zh-CN"/>
          <w14:textFill>
            <w14:solidFill>
              <w14:schemeClr w14:val="tx1"/>
            </w14:solidFill>
          </w14:textFill>
        </w:rPr>
        <w:t>项目编号：</w:t>
      </w:r>
      <w:bookmarkEnd w:id="79"/>
      <w:bookmarkEnd w:id="80"/>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64239B5D">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p>
    <w:p w14:paraId="3A057A93">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p>
    <w:p w14:paraId="101F0AEA">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14:paraId="49DB7DDF">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p>
    <w:p w14:paraId="34B12ECD">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14:paraId="6ACD8121">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14:paraId="5DFACCDA">
      <w:pPr>
        <w:pStyle w:val="45"/>
        <w:rPr>
          <w:rFonts w:hint="eastAsia" w:ascii="宋体" w:hAnsi="宋体" w:eastAsia="宋体" w:cs="宋体"/>
          <w:color w:val="000000" w:themeColor="text1"/>
          <w:highlight w:val="none"/>
          <w14:textFill>
            <w14:solidFill>
              <w14:schemeClr w14:val="tx1"/>
            </w14:solidFill>
          </w14:textFill>
        </w:rPr>
      </w:pPr>
    </w:p>
    <w:p w14:paraId="56ED5AA5">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14:paraId="3EAB6935">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p>
    <w:p w14:paraId="6EDE1400">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供应商：</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盖单位章</w:t>
      </w:r>
      <w:r>
        <w:rPr>
          <w:rFonts w:hint="eastAsia" w:ascii="宋体" w:hAnsi="宋体" w:eastAsia="宋体" w:cs="宋体"/>
          <w:color w:val="000000" w:themeColor="text1"/>
          <w:sz w:val="28"/>
          <w:szCs w:val="28"/>
          <w:highlight w:val="none"/>
          <w:lang w:eastAsia="zh-CN"/>
          <w14:textFill>
            <w14:solidFill>
              <w14:schemeClr w14:val="tx1"/>
            </w14:solidFill>
          </w14:textFill>
        </w:rPr>
        <w:t>)</w:t>
      </w:r>
    </w:p>
    <w:p w14:paraId="20311749">
      <w:pPr>
        <w:keepNext w:val="0"/>
        <w:keepLines w:val="0"/>
        <w:pageBreakBefore w:val="0"/>
        <w:widowControl w:val="0"/>
        <w:kinsoku/>
        <w:wordWrap/>
        <w:overflowPunct/>
        <w:topLinePunct w:val="0"/>
        <w:bidi w:val="0"/>
        <w:snapToGrid/>
        <w:spacing w:line="360" w:lineRule="auto"/>
        <w:ind w:firstLine="560" w:firstLineChars="200"/>
        <w:jc w:val="center"/>
        <w:textAlignment w:val="auto"/>
        <w:rPr>
          <w:rFonts w:hint="eastAsia" w:ascii="宋体" w:hAnsi="宋体" w:eastAsia="宋体" w:cs="宋体"/>
          <w:color w:val="000000" w:themeColor="text1"/>
          <w:sz w:val="28"/>
          <w:szCs w:val="28"/>
          <w:highlight w:val="none"/>
          <w14:textFill>
            <w14:solidFill>
              <w14:schemeClr w14:val="tx1"/>
            </w14:solidFill>
          </w14:textFill>
        </w:rPr>
      </w:pPr>
    </w:p>
    <w:p w14:paraId="7C9E7826">
      <w:pPr>
        <w:keepNext w:val="0"/>
        <w:keepLines w:val="0"/>
        <w:pageBreakBefore w:val="0"/>
        <w:widowControl w:val="0"/>
        <w:kinsoku/>
        <w:wordWrap/>
        <w:overflowPunct/>
        <w:topLinePunct w:val="0"/>
        <w:bidi w:val="0"/>
        <w:snapToGrid/>
        <w:spacing w:line="360" w:lineRule="auto"/>
        <w:ind w:firstLine="1540" w:firstLineChars="550"/>
        <w:jc w:val="both"/>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法定代表人</w:t>
      </w:r>
      <w:r>
        <w:rPr>
          <w:rFonts w:hint="eastAsia" w:ascii="宋体" w:hAnsi="宋体" w:eastAsia="宋体" w:cs="宋体"/>
          <w:color w:val="000000" w:themeColor="text1"/>
          <w:sz w:val="28"/>
          <w:szCs w:val="28"/>
          <w:highlight w:val="none"/>
          <w14:textFill>
            <w14:solidFill>
              <w14:schemeClr w14:val="tx1"/>
            </w14:solidFill>
          </w14:textFill>
        </w:rPr>
        <w:t>或其委托代理人：</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签</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字</w:t>
      </w:r>
      <w:r>
        <w:rPr>
          <w:rFonts w:hint="eastAsia" w:ascii="宋体" w:hAnsi="宋体" w:eastAsia="宋体" w:cs="宋体"/>
          <w:color w:val="000000" w:themeColor="text1"/>
          <w:sz w:val="28"/>
          <w:szCs w:val="28"/>
          <w:highlight w:val="none"/>
          <w:lang w:eastAsia="zh-CN"/>
          <w14:textFill>
            <w14:solidFill>
              <w14:schemeClr w14:val="tx1"/>
            </w14:solidFill>
          </w14:textFill>
        </w:rPr>
        <w:t>)</w:t>
      </w:r>
    </w:p>
    <w:p w14:paraId="3048C518">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000000" w:themeColor="text1"/>
          <w:highlight w:val="none"/>
          <w:u w:val="single"/>
          <w14:textFill>
            <w14:solidFill>
              <w14:schemeClr w14:val="tx1"/>
            </w14:solidFill>
          </w14:textFill>
        </w:rPr>
      </w:pPr>
    </w:p>
    <w:p w14:paraId="1DF0C5A9">
      <w:pPr>
        <w:pStyle w:val="45"/>
        <w:rPr>
          <w:rFonts w:hint="eastAsia" w:ascii="宋体" w:hAnsi="宋体" w:eastAsia="宋体" w:cs="宋体"/>
          <w:color w:val="000000" w:themeColor="text1"/>
          <w:highlight w:val="none"/>
          <w14:textFill>
            <w14:solidFill>
              <w14:schemeClr w14:val="tx1"/>
            </w14:solidFill>
          </w14:textFill>
        </w:rPr>
      </w:pPr>
    </w:p>
    <w:p w14:paraId="4FF29FF0">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000000" w:themeColor="text1"/>
          <w:highlight w:val="none"/>
          <w14:textFill>
            <w14:solidFill>
              <w14:schemeClr w14:val="tx1"/>
            </w14:solidFill>
          </w14:textFill>
        </w:rPr>
        <w:sectPr>
          <w:footerReference r:id="rId12" w:type="default"/>
          <w:pgSz w:w="11906" w:h="16838"/>
          <w:pgMar w:top="1440" w:right="1800" w:bottom="1440" w:left="1800" w:header="1140" w:footer="720" w:gutter="0"/>
          <w:pgNumType w:fmt="decimal"/>
          <w:cols w:space="720" w:num="1"/>
          <w:rtlGutter w:val="0"/>
          <w:docGrid w:linePitch="312" w:charSpace="0"/>
        </w:sectPr>
      </w:pP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年</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月</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日</w:t>
      </w:r>
    </w:p>
    <w:p w14:paraId="38F0862E">
      <w:pPr>
        <w:pStyle w:val="88"/>
        <w:keepNext w:val="0"/>
        <w:keepLines w:val="0"/>
        <w:pageBreakBefore w:val="0"/>
        <w:widowControl w:val="0"/>
        <w:kinsoku/>
        <w:wordWrap/>
        <w:overflowPunct/>
        <w:topLinePunct w:val="0"/>
        <w:autoSpaceDE/>
        <w:autoSpaceDN/>
        <w:bidi w:val="0"/>
        <w:adjustRightInd/>
        <w:snapToGrid/>
        <w:spacing w:line="500" w:lineRule="exact"/>
        <w:ind w:left="442" w:right="425"/>
        <w:jc w:val="center"/>
        <w:textAlignment w:val="auto"/>
        <w:outlineLvl w:val="9"/>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目</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录</w:t>
      </w:r>
    </w:p>
    <w:p w14:paraId="1CF17096">
      <w:pPr>
        <w:pStyle w:val="14"/>
        <w:pageBreakBefore w:val="0"/>
        <w:kinsoku/>
        <w:wordWrap/>
        <w:overflowPunct/>
        <w:topLinePunct w:val="0"/>
        <w:bidi w:val="0"/>
        <w:spacing w:line="500" w:lineRule="exact"/>
        <w:rPr>
          <w:rFonts w:hint="eastAsia" w:ascii="宋体" w:hAnsi="宋体" w:eastAsia="宋体" w:cs="宋体"/>
          <w:b/>
          <w:color w:val="000000" w:themeColor="text1"/>
          <w:sz w:val="20"/>
          <w:highlight w:val="none"/>
          <w:lang w:eastAsia="zh-CN"/>
          <w14:textFill>
            <w14:solidFill>
              <w14:schemeClr w14:val="tx1"/>
            </w14:solidFill>
          </w14:textFill>
        </w:rPr>
      </w:pPr>
    </w:p>
    <w:p w14:paraId="0B45D8B7">
      <w:pPr>
        <w:pStyle w:val="14"/>
        <w:pageBreakBefore w:val="0"/>
        <w:kinsoku/>
        <w:wordWrap/>
        <w:overflowPunct/>
        <w:topLinePunct w:val="0"/>
        <w:bidi w:val="0"/>
        <w:spacing w:before="6" w:line="500" w:lineRule="exact"/>
        <w:rPr>
          <w:rFonts w:hint="eastAsia" w:ascii="宋体" w:hAnsi="宋体" w:eastAsia="宋体" w:cs="宋体"/>
          <w:b/>
          <w:color w:val="000000" w:themeColor="text1"/>
          <w:sz w:val="12"/>
          <w:highlight w:val="none"/>
          <w:lang w:eastAsia="zh-CN"/>
          <w14:textFill>
            <w14:solidFill>
              <w14:schemeClr w14:val="tx1"/>
            </w14:solidFill>
          </w14:textFill>
        </w:rPr>
      </w:pPr>
    </w:p>
    <w:p w14:paraId="22B7F1BC">
      <w:pPr>
        <w:pStyle w:val="14"/>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right="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投标函 </w:t>
      </w:r>
    </w:p>
    <w:p w14:paraId="296ED3F7">
      <w:pPr>
        <w:pStyle w:val="14"/>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right="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开标一览表</w:t>
      </w:r>
    </w:p>
    <w:p w14:paraId="71EAFE1A">
      <w:pPr>
        <w:pStyle w:val="14"/>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right="0" w:firstLine="0" w:firstLineChars="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法定代表人</w:t>
      </w:r>
      <w:r>
        <w:rPr>
          <w:rFonts w:hint="eastAsia" w:ascii="宋体" w:hAnsi="宋体" w:eastAsia="宋体" w:cs="宋体"/>
          <w:b w:val="0"/>
          <w:bCs w:val="0"/>
          <w:color w:val="000000" w:themeColor="text1"/>
          <w:sz w:val="24"/>
          <w:szCs w:val="24"/>
          <w:highlight w:val="none"/>
          <w14:textFill>
            <w14:solidFill>
              <w14:schemeClr w14:val="tx1"/>
            </w14:solidFill>
          </w14:textFill>
        </w:rPr>
        <w:t>身份证明及授权委托书</w:t>
      </w:r>
    </w:p>
    <w:p w14:paraId="0742DC7B">
      <w:pPr>
        <w:pStyle w:val="14"/>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right="0" w:firstLine="0" w:firstLineChars="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投标保证金 </w:t>
      </w:r>
    </w:p>
    <w:p w14:paraId="1AAEDE0F">
      <w:pPr>
        <w:pStyle w:val="14"/>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right="0" w:firstLine="0" w:firstLineChars="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商务和技术偏差表 </w:t>
      </w:r>
    </w:p>
    <w:p w14:paraId="78A31086">
      <w:pPr>
        <w:pStyle w:val="14"/>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right="0" w:rightChars="0" w:firstLine="0" w:firstLineChars="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资格审查资料</w:t>
      </w:r>
    </w:p>
    <w:p w14:paraId="23404155">
      <w:pPr>
        <w:pStyle w:val="14"/>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right="0" w:rightChars="0" w:firstLine="0" w:firstLineChars="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 xml:space="preserve">技术服务方案 </w:t>
      </w:r>
    </w:p>
    <w:p w14:paraId="766A4092">
      <w:pPr>
        <w:pStyle w:val="14"/>
        <w:keepNext w:val="0"/>
        <w:keepLines w:val="0"/>
        <w:pageBreakBefore w:val="0"/>
        <w:widowControl w:val="0"/>
        <w:numPr>
          <w:ilvl w:val="0"/>
          <w:numId w:val="4"/>
        </w:numPr>
        <w:kinsoku/>
        <w:wordWrap/>
        <w:overflowPunct/>
        <w:topLinePunct w:val="0"/>
        <w:autoSpaceDE/>
        <w:autoSpaceDN/>
        <w:bidi w:val="0"/>
        <w:adjustRightInd/>
        <w:snapToGrid/>
        <w:spacing w:line="500" w:lineRule="exact"/>
        <w:ind w:left="0" w:leftChars="0" w:right="0" w:rightChars="0" w:firstLine="0" w:firstLineChars="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其他资料</w:t>
      </w:r>
    </w:p>
    <w:p w14:paraId="2C6DCD53">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p>
    <w:p w14:paraId="1A8FF397">
      <w:pPr>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备注：</w:t>
      </w:r>
      <w:r>
        <w:rPr>
          <w:rFonts w:hint="eastAsia" w:ascii="宋体" w:hAnsi="宋体" w:eastAsia="宋体" w:cs="宋体"/>
          <w:b/>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b/>
          <w:color w:val="000000" w:themeColor="text1"/>
          <w:sz w:val="24"/>
          <w:szCs w:val="24"/>
          <w:highlight w:val="none"/>
          <w14:textFill>
            <w14:solidFill>
              <w14:schemeClr w14:val="tx1"/>
            </w14:solidFill>
          </w14:textFill>
        </w:rPr>
        <w:t>文件及目录必须编制页码。</w:t>
      </w:r>
    </w:p>
    <w:p w14:paraId="14CB8C91">
      <w:pPr>
        <w:pStyle w:val="3"/>
        <w:pageBreakBefore w:val="0"/>
        <w:kinsoku/>
        <w:wordWrap/>
        <w:overflowPunct/>
        <w:topLinePunct w:val="0"/>
        <w:bidi w:val="0"/>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sectPr>
          <w:pgSz w:w="11906" w:h="16838"/>
          <w:pgMar w:top="1440" w:right="1800" w:bottom="1440" w:left="1800" w:header="1140" w:footer="720" w:gutter="0"/>
          <w:pgNumType w:fmt="decimal"/>
          <w:cols w:space="720" w:num="1"/>
          <w:rtlGutter w:val="0"/>
        </w:sectPr>
      </w:pPr>
    </w:p>
    <w:p w14:paraId="40CD019E">
      <w:pPr>
        <w:pStyle w:val="88"/>
        <w:pageBreakBefore w:val="0"/>
        <w:kinsoku/>
        <w:wordWrap/>
        <w:overflowPunct/>
        <w:topLinePunct w:val="0"/>
        <w:bidi w:val="0"/>
        <w:spacing w:line="500" w:lineRule="exact"/>
        <w:ind w:left="0" w:right="17"/>
        <w:jc w:val="center"/>
        <w:outlineLvl w:val="1"/>
        <w:rPr>
          <w:rFonts w:hint="eastAsia" w:ascii="宋体" w:hAnsi="宋体" w:eastAsia="宋体" w:cs="宋体"/>
          <w:color w:val="000000" w:themeColor="text1"/>
          <w:highlight w:val="none"/>
          <w:lang w:eastAsia="zh-CN"/>
          <w14:textFill>
            <w14:solidFill>
              <w14:schemeClr w14:val="tx1"/>
            </w14:solidFill>
          </w14:textFill>
        </w:rPr>
      </w:pPr>
      <w:bookmarkStart w:id="81" w:name="_bookmark147"/>
      <w:bookmarkEnd w:id="81"/>
      <w:r>
        <w:rPr>
          <w:rFonts w:hint="eastAsia" w:ascii="宋体" w:hAnsi="宋体" w:eastAsia="宋体" w:cs="宋体"/>
          <w:color w:val="000000" w:themeColor="text1"/>
          <w:highlight w:val="none"/>
          <w:lang w:eastAsia="zh-CN"/>
          <w14:textFill>
            <w14:solidFill>
              <w14:schemeClr w14:val="tx1"/>
            </w14:solidFill>
          </w14:textFill>
        </w:rPr>
        <w:t>一、投标函</w:t>
      </w:r>
    </w:p>
    <w:p w14:paraId="7884BFAD">
      <w:pPr>
        <w:pStyle w:val="14"/>
        <w:keepNext w:val="0"/>
        <w:keepLines w:val="0"/>
        <w:pageBreakBefore w:val="0"/>
        <w:widowControl w:val="0"/>
        <w:tabs>
          <w:tab w:val="left" w:pos="1991"/>
        </w:tabs>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u w:val="single"/>
          <w:lang w:eastAsia="zh-CN"/>
          <w14:textFill>
            <w14:solidFill>
              <w14:schemeClr w14:val="tx1"/>
            </w14:solidFill>
          </w14:textFill>
        </w:rPr>
      </w:pPr>
    </w:p>
    <w:p w14:paraId="13816606">
      <w:pPr>
        <w:pStyle w:val="14"/>
        <w:keepNext w:val="0"/>
        <w:keepLines w:val="0"/>
        <w:pageBreakBefore w:val="0"/>
        <w:widowControl w:val="0"/>
        <w:tabs>
          <w:tab w:val="left" w:pos="1991"/>
        </w:tabs>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ab/>
      </w:r>
      <w:r>
        <w:rPr>
          <w:rFonts w:hint="eastAsia" w:ascii="宋体" w:hAnsi="宋体" w:eastAsia="宋体" w:cs="宋体"/>
          <w:b w:val="0"/>
          <w:bCs w:val="0"/>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u w:val="single"/>
          <w:lang w:eastAsia="zh-CN"/>
          <w14:textFill>
            <w14:solidFill>
              <w14:schemeClr w14:val="tx1"/>
            </w14:solidFill>
          </w14:textFill>
        </w:rPr>
        <w:tab/>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招</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标人</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名</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称)：</w:t>
      </w:r>
    </w:p>
    <w:p w14:paraId="41991EA9">
      <w:pPr>
        <w:pStyle w:val="14"/>
        <w:keepNext w:val="0"/>
        <w:keepLines w:val="0"/>
        <w:pageBreakBefore w:val="0"/>
        <w:widowControl w:val="0"/>
        <w:tabs>
          <w:tab w:val="left" w:pos="4358"/>
          <w:tab w:val="left" w:pos="6254"/>
        </w:tabs>
        <w:kinsoku/>
        <w:wordWrap/>
        <w:overflowPunct/>
        <w:topLinePunct w:val="0"/>
        <w:autoSpaceDE/>
        <w:autoSpaceDN/>
        <w:bidi w:val="0"/>
        <w:adjustRightInd/>
        <w:snapToGrid/>
        <w:spacing w:line="500" w:lineRule="exact"/>
        <w:ind w:left="0" w:right="0" w:firstLine="464"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1．我方已仔细研究了</w:t>
      </w:r>
      <w:r>
        <w:rPr>
          <w:rFonts w:hint="eastAsia" w:ascii="宋体" w:hAnsi="宋体" w:eastAsia="宋体" w:cs="宋体"/>
          <w:b w:val="0"/>
          <w:bCs w:val="0"/>
          <w:color w:val="000000" w:themeColor="text1"/>
          <w:spacing w:val="-4"/>
          <w:sz w:val="24"/>
          <w:szCs w:val="24"/>
          <w:highlight w:val="none"/>
          <w:u w:val="single"/>
          <w:lang w:eastAsia="zh-CN"/>
          <w14:textFill>
            <w14:solidFill>
              <w14:schemeClr w14:val="tx1"/>
            </w14:solidFill>
          </w14:textFill>
        </w:rPr>
        <w:t xml:space="preserve"> </w:t>
      </w:r>
      <w:r>
        <w:rPr>
          <w:rFonts w:hint="eastAsia" w:ascii="宋体" w:hAnsi="宋体" w:eastAsia="宋体" w:cs="宋体"/>
          <w:b w:val="0"/>
          <w:bCs w:val="0"/>
          <w:color w:val="000000" w:themeColor="text1"/>
          <w:spacing w:val="-4"/>
          <w:sz w:val="24"/>
          <w:szCs w:val="24"/>
          <w:highlight w:val="none"/>
          <w:u w:val="single"/>
          <w:lang w:eastAsia="zh-CN"/>
          <w14:textFill>
            <w14:solidFill>
              <w14:schemeClr w14:val="tx1"/>
            </w14:solidFill>
          </w14:textFill>
        </w:rPr>
        <w:tab/>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(项目名称)采购招标项目招标文件(</w:t>
      </w:r>
      <w:r>
        <w:rPr>
          <w:rFonts w:hint="eastAsia" w:ascii="宋体" w:hAnsi="宋体" w:eastAsia="宋体" w:cs="宋体"/>
          <w:b w:val="0"/>
          <w:bCs w:val="0"/>
          <w:color w:val="000000" w:themeColor="text1"/>
          <w:spacing w:val="-3"/>
          <w:sz w:val="24"/>
          <w:szCs w:val="24"/>
          <w:highlight w:val="none"/>
          <w:lang w:val="en-US" w:eastAsia="zh-CN"/>
          <w14:textFill>
            <w14:solidFill>
              <w14:schemeClr w14:val="tx1"/>
            </w14:solidFill>
          </w14:textFill>
        </w:rPr>
        <w:t>项目编号：</w:t>
      </w:r>
      <w:r>
        <w:rPr>
          <w:rFonts w:hint="eastAsia" w:ascii="宋体" w:hAnsi="宋体" w:eastAsia="宋体" w:cs="宋体"/>
          <w:b w:val="0"/>
          <w:bCs w:val="0"/>
          <w:color w:val="000000" w:themeColor="text1"/>
          <w:spacing w:val="-3"/>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)的全部</w:t>
      </w: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内容，愿意以（折扣系数）</w:t>
      </w:r>
      <w:r>
        <w:rPr>
          <w:rFonts w:hint="eastAsia" w:ascii="宋体" w:hAnsi="宋体" w:eastAsia="宋体" w:cs="宋体"/>
          <w:b w:val="0"/>
          <w:bCs w:val="0"/>
          <w:color w:val="000000" w:themeColor="text1"/>
          <w:spacing w:val="-4"/>
          <w:sz w:val="24"/>
          <w:szCs w:val="24"/>
          <w:highlight w:val="none"/>
          <w:u w:val="single"/>
          <w:lang w:eastAsia="zh-CN"/>
          <w14:textFill>
            <w14:solidFill>
              <w14:schemeClr w14:val="tx1"/>
            </w14:solidFill>
          </w14:textFill>
        </w:rPr>
        <w:t xml:space="preserve"> </w:t>
      </w:r>
      <w:r>
        <w:rPr>
          <w:rFonts w:hint="eastAsia" w:ascii="宋体" w:hAnsi="宋体" w:eastAsia="宋体" w:cs="宋体"/>
          <w:b w:val="0"/>
          <w:bCs w:val="0"/>
          <w:color w:val="000000" w:themeColor="text1"/>
          <w:spacing w:val="-4"/>
          <w:sz w:val="24"/>
          <w:szCs w:val="24"/>
          <w:highlight w:val="none"/>
          <w:u w:val="single"/>
          <w:lang w:eastAsia="zh-CN"/>
          <w14:textFill>
            <w14:solidFill>
              <w14:schemeClr w14:val="tx1"/>
            </w14:solidFill>
          </w14:textFill>
        </w:rPr>
        <w:tab/>
      </w:r>
      <w:r>
        <w:rPr>
          <w:rFonts w:hint="eastAsia" w:ascii="宋体" w:hAnsi="宋体" w:eastAsia="宋体" w:cs="宋体"/>
          <w:b w:val="0"/>
          <w:bCs w:val="0"/>
          <w:color w:val="000000" w:themeColor="text1"/>
          <w:spacing w:val="-4"/>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5"/>
          <w:sz w:val="24"/>
          <w:szCs w:val="24"/>
          <w:highlight w:val="none"/>
          <w:lang w:eastAsia="zh-CN"/>
          <w14:textFill>
            <w14:solidFill>
              <w14:schemeClr w14:val="tx1"/>
            </w14:solidFill>
          </w14:textFill>
        </w:rPr>
        <w:t>的投标报价</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提</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供</w:t>
      </w:r>
      <w:r>
        <w:rPr>
          <w:rFonts w:hint="eastAsia" w:ascii="宋体" w:hAnsi="宋体" w:eastAsia="宋体" w:cs="宋体"/>
          <w:b w:val="0"/>
          <w:bCs w:val="0"/>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u w:val="single"/>
          <w:lang w:eastAsia="zh-CN"/>
          <w14:textFill>
            <w14:solidFill>
              <w14:schemeClr w14:val="tx1"/>
            </w14:solidFill>
          </w14:textFill>
        </w:rPr>
        <w:tab/>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(材</w:t>
      </w:r>
      <w:r>
        <w:rPr>
          <w:rFonts w:hint="eastAsia" w:ascii="宋体" w:hAnsi="宋体" w:eastAsia="宋体" w:cs="宋体"/>
          <w:b w:val="0"/>
          <w:bCs w:val="0"/>
          <w:color w:val="000000" w:themeColor="text1"/>
          <w:spacing w:val="-2"/>
          <w:sz w:val="24"/>
          <w:szCs w:val="24"/>
          <w:highlight w:val="none"/>
          <w:lang w:eastAsia="zh-CN"/>
          <w14:textFill>
            <w14:solidFill>
              <w14:schemeClr w14:val="tx1"/>
            </w14:solidFill>
          </w14:textFill>
        </w:rPr>
        <w:t>料</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名</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称</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及</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相</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关</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服</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务</w:t>
      </w:r>
      <w:r>
        <w:rPr>
          <w:rFonts w:hint="eastAsia" w:ascii="宋体" w:hAnsi="宋体" w:eastAsia="宋体" w:cs="宋体"/>
          <w:b w:val="0"/>
          <w:bCs w:val="0"/>
          <w:color w:val="000000" w:themeColor="text1"/>
          <w:spacing w:val="-106"/>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pacing w:val="-5"/>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并按</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合</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同</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约</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定履行义务。</w:t>
      </w:r>
    </w:p>
    <w:p w14:paraId="310FF4DE">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2. 我方的投标文件包括下列内容：</w:t>
      </w:r>
    </w:p>
    <w:p w14:paraId="72A31638">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(1)投标函；</w:t>
      </w:r>
    </w:p>
    <w:p w14:paraId="3AE7778D">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(2)开标一览表；</w:t>
      </w:r>
    </w:p>
    <w:p w14:paraId="27BB8123">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(3</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法定代表人(单位负责人)身份证明或授权委托书</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w:t>
      </w:r>
    </w:p>
    <w:p w14:paraId="4DB0A3F4">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(4</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投</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标</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保</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证</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金；</w:t>
      </w:r>
    </w:p>
    <w:p w14:paraId="44B25667">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(5)商务和技术偏差表；</w:t>
      </w:r>
    </w:p>
    <w:p w14:paraId="36FA894A">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(6)资格审查资料；</w:t>
      </w:r>
    </w:p>
    <w:p w14:paraId="4BB1EBA7">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(7)技术服务方案；</w:t>
      </w:r>
    </w:p>
    <w:p w14:paraId="34656BA5">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)其他资料；</w:t>
      </w:r>
    </w:p>
    <w:p w14:paraId="7E6AD367">
      <w:pPr>
        <w:keepNext w:val="0"/>
        <w:keepLines w:val="0"/>
        <w:pageBreakBefore w:val="0"/>
        <w:widowControl w:val="0"/>
        <w:kinsoku/>
        <w:wordWrap/>
        <w:overflowPunct/>
        <w:topLinePunct w:val="0"/>
        <w:autoSpaceDE/>
        <w:autoSpaceDN/>
        <w:bidi w:val="0"/>
        <w:adjustRightInd/>
        <w:snapToGrid/>
        <w:spacing w:line="500" w:lineRule="exact"/>
        <w:ind w:left="0" w:right="0" w:firstLine="552" w:firstLineChars="200"/>
        <w:textAlignment w:val="auto"/>
        <w:rPr>
          <w:rFonts w:hint="eastAsia" w:ascii="宋体" w:hAnsi="宋体" w:eastAsia="宋体" w:cs="宋体"/>
          <w:b w:val="0"/>
          <w:bCs w:val="0"/>
          <w:i/>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i/>
          <w:color w:val="000000" w:themeColor="text1"/>
          <w:w w:val="115"/>
          <w:sz w:val="24"/>
          <w:szCs w:val="24"/>
          <w:highlight w:val="none"/>
          <w:lang w:eastAsia="zh-CN"/>
          <w14:textFill>
            <w14:solidFill>
              <w14:schemeClr w14:val="tx1"/>
            </w14:solidFill>
          </w14:textFill>
        </w:rPr>
        <w:t>……</w:t>
      </w:r>
    </w:p>
    <w:p w14:paraId="1C3CFAD1">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投标文件的上述组成部分如存在内容不一致的，以投标函为准。</w:t>
      </w:r>
    </w:p>
    <w:p w14:paraId="5A7009A9">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3．我方承诺除商务和技术偏差表列出的偏差外，我方响应招标文件的全部要求。</w:t>
      </w:r>
    </w:p>
    <w:p w14:paraId="4734CDD2">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4．</w:t>
      </w:r>
      <w:r>
        <w:rPr>
          <w:rFonts w:hint="eastAsia" w:ascii="宋体" w:hAnsi="宋体" w:eastAsia="宋体" w:cs="宋体"/>
          <w:b w:val="0"/>
          <w:bCs w:val="0"/>
          <w:color w:val="auto"/>
          <w:sz w:val="24"/>
          <w:szCs w:val="24"/>
          <w:highlight w:val="none"/>
        </w:rPr>
        <w:t>我方承诺</w:t>
      </w:r>
      <w:r>
        <w:rPr>
          <w:rFonts w:hint="eastAsia" w:ascii="宋体" w:hAnsi="宋体" w:eastAsia="宋体" w:cs="宋体"/>
          <w:b w:val="0"/>
          <w:bCs w:val="0"/>
          <w:color w:val="auto"/>
          <w:sz w:val="24"/>
          <w:szCs w:val="24"/>
          <w:highlight w:val="none"/>
          <w:lang w:eastAsia="zh-CN"/>
        </w:rPr>
        <w:t>投标</w:t>
      </w:r>
      <w:r>
        <w:rPr>
          <w:rFonts w:hint="eastAsia" w:ascii="宋体" w:hAnsi="宋体" w:eastAsia="宋体" w:cs="宋体"/>
          <w:b w:val="0"/>
          <w:bCs w:val="0"/>
          <w:color w:val="auto"/>
          <w:sz w:val="24"/>
          <w:szCs w:val="24"/>
          <w:highlight w:val="none"/>
        </w:rPr>
        <w:t>有效期为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日历天</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eastAsia="zh-CN"/>
        </w:rPr>
        <w:t>在招标文件规定的投标有效期内不撤销投标文件。</w:t>
      </w:r>
    </w:p>
    <w:p w14:paraId="18EEBD02">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5．如我方中标，我方承诺：</w:t>
      </w:r>
    </w:p>
    <w:p w14:paraId="6B883659">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(1)在收到中标通知书后，在中标通知书规定的期限内与你方签订合同；</w:t>
      </w:r>
    </w:p>
    <w:p w14:paraId="2A9CCE4D">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(2)在签订合同时不向你方提出附加条件；</w:t>
      </w:r>
    </w:p>
    <w:p w14:paraId="6CE201EC">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(3)按照招标文件要求提交履约保证金；</w:t>
      </w:r>
    </w:p>
    <w:p w14:paraId="6DBD2726">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(4)在合同约定的期限内完成合同规定的全部义务。</w:t>
      </w:r>
    </w:p>
    <w:p w14:paraId="1739AA86">
      <w:pPr>
        <w:pStyle w:val="14"/>
        <w:keepNext w:val="0"/>
        <w:keepLines w:val="0"/>
        <w:pageBreakBefore w:val="0"/>
        <w:widowControl w:val="0"/>
        <w:kinsoku/>
        <w:wordWrap/>
        <w:overflowPunct/>
        <w:topLinePunct w:val="0"/>
        <w:autoSpaceDE/>
        <w:autoSpaceDN/>
        <w:bidi w:val="0"/>
        <w:adjustRightInd/>
        <w:snapToGrid/>
        <w:spacing w:line="500" w:lineRule="exact"/>
        <w:ind w:left="0" w:right="0" w:firstLine="464"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4"/>
          <w:sz w:val="24"/>
          <w:szCs w:val="24"/>
          <w:highlight w:val="none"/>
          <w:lang w:eastAsia="zh-CN"/>
          <w14:textFill>
            <w14:solidFill>
              <w14:schemeClr w14:val="tx1"/>
            </w14:solidFill>
          </w14:textFill>
        </w:rPr>
        <w:t>6．我方在此声明，所递交的投标文件及有关资料内容完整、真实和准确；</w:t>
      </w:r>
    </w:p>
    <w:p w14:paraId="70CE924B">
      <w:pPr>
        <w:pStyle w:val="14"/>
        <w:keepNext w:val="0"/>
        <w:keepLines w:val="0"/>
        <w:pageBreakBefore w:val="0"/>
        <w:widowControl w:val="0"/>
        <w:tabs>
          <w:tab w:val="left" w:pos="3880"/>
        </w:tabs>
        <w:kinsoku/>
        <w:wordWrap/>
        <w:overflowPunct/>
        <w:topLinePunct w:val="0"/>
        <w:autoSpaceDE/>
        <w:autoSpaceDN/>
        <w:bidi w:val="0"/>
        <w:adjustRightInd/>
        <w:snapToGrid/>
        <w:spacing w:line="500" w:lineRule="exact"/>
        <w:ind w:left="0" w:right="0" w:firstLine="496" w:firstLineChars="200"/>
        <w:textAlignment w:val="auto"/>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7．</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ab/>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其</w:t>
      </w:r>
      <w:r>
        <w:rPr>
          <w:rFonts w:hint="eastAsia" w:ascii="宋体" w:hAnsi="宋体" w:eastAsia="宋体" w:cs="宋体"/>
          <w:b w:val="0"/>
          <w:bCs w:val="0"/>
          <w:color w:val="000000" w:themeColor="text1"/>
          <w:spacing w:val="-3"/>
          <w:sz w:val="24"/>
          <w:szCs w:val="24"/>
          <w:highlight w:val="none"/>
          <w14:textFill>
            <w14:solidFill>
              <w14:schemeClr w14:val="tx1"/>
            </w14:solidFill>
          </w14:textFill>
        </w:rPr>
        <w:t>他</w:t>
      </w:r>
      <w:r>
        <w:rPr>
          <w:rFonts w:hint="eastAsia" w:ascii="宋体" w:hAnsi="宋体" w:eastAsia="宋体" w:cs="宋体"/>
          <w:b w:val="0"/>
          <w:bCs w:val="0"/>
          <w:color w:val="000000" w:themeColor="text1"/>
          <w:sz w:val="24"/>
          <w:szCs w:val="24"/>
          <w:highlight w:val="none"/>
          <w14:textFill>
            <w14:solidFill>
              <w14:schemeClr w14:val="tx1"/>
            </w14:solidFill>
          </w14:textFill>
        </w:rPr>
        <w:t>补</w:t>
      </w:r>
      <w:r>
        <w:rPr>
          <w:rFonts w:hint="eastAsia" w:ascii="宋体" w:hAnsi="宋体" w:eastAsia="宋体" w:cs="宋体"/>
          <w:b w:val="0"/>
          <w:bCs w:val="0"/>
          <w:color w:val="000000" w:themeColor="text1"/>
          <w:spacing w:val="-3"/>
          <w:sz w:val="24"/>
          <w:szCs w:val="24"/>
          <w:highlight w:val="none"/>
          <w14:textFill>
            <w14:solidFill>
              <w14:schemeClr w14:val="tx1"/>
            </w14:solidFill>
          </w14:textFill>
        </w:rPr>
        <w:t>充</w:t>
      </w:r>
      <w:r>
        <w:rPr>
          <w:rFonts w:hint="eastAsia" w:ascii="宋体" w:hAnsi="宋体" w:eastAsia="宋体" w:cs="宋体"/>
          <w:b w:val="0"/>
          <w:bCs w:val="0"/>
          <w:color w:val="000000" w:themeColor="text1"/>
          <w:sz w:val="24"/>
          <w:szCs w:val="24"/>
          <w:highlight w:val="none"/>
          <w14:textFill>
            <w14:solidFill>
              <w14:schemeClr w14:val="tx1"/>
            </w14:solidFill>
          </w14:textFill>
        </w:rPr>
        <w:t>说</w:t>
      </w:r>
      <w:r>
        <w:rPr>
          <w:rFonts w:hint="eastAsia" w:ascii="宋体" w:hAnsi="宋体" w:eastAsia="宋体" w:cs="宋体"/>
          <w:b w:val="0"/>
          <w:bCs w:val="0"/>
          <w:color w:val="000000" w:themeColor="text1"/>
          <w:spacing w:val="-3"/>
          <w:sz w:val="24"/>
          <w:szCs w:val="24"/>
          <w:highlight w:val="none"/>
          <w14:textFill>
            <w14:solidFill>
              <w14:schemeClr w14:val="tx1"/>
            </w14:solidFill>
          </w14:textFill>
        </w:rPr>
        <w:t>明</w:t>
      </w:r>
      <w:r>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t>)；</w:t>
      </w:r>
    </w:p>
    <w:p w14:paraId="226C7463">
      <w:pPr>
        <w:pStyle w:val="14"/>
        <w:keepNext w:val="0"/>
        <w:keepLines w:val="0"/>
        <w:pageBreakBefore w:val="0"/>
        <w:widowControl w:val="0"/>
        <w:tabs>
          <w:tab w:val="left" w:pos="3880"/>
        </w:tabs>
        <w:kinsoku/>
        <w:wordWrap/>
        <w:overflowPunct/>
        <w:topLinePunct w:val="0"/>
        <w:autoSpaceDE/>
        <w:autoSpaceDN/>
        <w:bidi w:val="0"/>
        <w:adjustRightInd/>
        <w:snapToGrid/>
        <w:spacing w:line="500" w:lineRule="exact"/>
        <w:ind w:left="0" w:right="0" w:firstLine="468" w:firstLineChars="200"/>
        <w:textAlignment w:val="auto"/>
        <w:rPr>
          <w:rFonts w:hint="eastAsia" w:ascii="宋体" w:hAnsi="宋体" w:eastAsia="宋体" w:cs="宋体"/>
          <w:b w:val="0"/>
          <w:bCs w:val="0"/>
          <w:color w:val="000000" w:themeColor="text1"/>
          <w:spacing w:val="-3"/>
          <w:sz w:val="24"/>
          <w:szCs w:val="24"/>
          <w:highlight w:val="none"/>
          <w:lang w:eastAsia="zh-CN"/>
          <w14:textFill>
            <w14:solidFill>
              <w14:schemeClr w14:val="tx1"/>
            </w14:solidFill>
          </w14:textFill>
        </w:rPr>
      </w:pPr>
    </w:p>
    <w:p w14:paraId="72168620">
      <w:pPr>
        <w:pStyle w:val="14"/>
        <w:keepNext w:val="0"/>
        <w:keepLines w:val="0"/>
        <w:pageBreakBefore w:val="0"/>
        <w:widowControl w:val="0"/>
        <w:tabs>
          <w:tab w:val="left" w:pos="3880"/>
        </w:tabs>
        <w:kinsoku/>
        <w:wordWrap/>
        <w:overflowPunct/>
        <w:topLinePunct w:val="0"/>
        <w:autoSpaceDE/>
        <w:autoSpaceDN/>
        <w:bidi w:val="0"/>
        <w:adjustRightInd/>
        <w:snapToGrid/>
        <w:spacing w:line="500" w:lineRule="exact"/>
        <w:ind w:left="0" w:right="0" w:firstLine="496" w:firstLineChars="200"/>
        <w:jc w:val="right"/>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投 标</w:t>
      </w:r>
      <w:r>
        <w:rPr>
          <w:rFonts w:hint="eastAsia" w:ascii="宋体" w:hAnsi="宋体" w:eastAsia="宋体" w:cs="宋体"/>
          <w:b w:val="0"/>
          <w:bCs w:val="0"/>
          <w:color w:val="000000" w:themeColor="text1"/>
          <w:spacing w:val="-2"/>
          <w:sz w:val="24"/>
          <w:szCs w:val="24"/>
          <w:highlight w:val="non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人：</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(盖单位章)</w:t>
      </w:r>
    </w:p>
    <w:p w14:paraId="1092C398">
      <w:pPr>
        <w:pStyle w:val="14"/>
        <w:keepNext w:val="0"/>
        <w:keepLines w:val="0"/>
        <w:pageBreakBefore w:val="0"/>
        <w:widowControl w:val="0"/>
        <w:tabs>
          <w:tab w:val="left" w:pos="7641"/>
        </w:tabs>
        <w:kinsoku/>
        <w:wordWrap/>
        <w:overflowPunct/>
        <w:topLinePunct w:val="0"/>
        <w:autoSpaceDE/>
        <w:autoSpaceDN/>
        <w:bidi w:val="0"/>
        <w:adjustRightInd/>
        <w:snapToGrid/>
        <w:spacing w:line="500" w:lineRule="exact"/>
        <w:ind w:left="0" w:right="0" w:firstLine="496" w:firstLineChars="200"/>
        <w:jc w:val="right"/>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法定代表人(单位负责人)或其委托代理人：</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(签字)</w:t>
      </w:r>
    </w:p>
    <w:p w14:paraId="39537EAA">
      <w:pPr>
        <w:pStyle w:val="14"/>
        <w:keepNext w:val="0"/>
        <w:keepLines w:val="0"/>
        <w:pageBreakBefore w:val="0"/>
        <w:widowControl w:val="0"/>
        <w:tabs>
          <w:tab w:val="left" w:pos="3232"/>
          <w:tab w:val="left" w:pos="8529"/>
        </w:tabs>
        <w:kinsoku/>
        <w:wordWrap w:val="0"/>
        <w:overflowPunct/>
        <w:topLinePunct w:val="0"/>
        <w:autoSpaceDE/>
        <w:autoSpaceDN/>
        <w:bidi w:val="0"/>
        <w:adjustRightInd/>
        <w:snapToGrid/>
        <w:spacing w:line="500" w:lineRule="exact"/>
        <w:ind w:left="0" w:right="0" w:firstLine="496" w:firstLineChars="200"/>
        <w:jc w:val="righ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地</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址：</w:t>
      </w:r>
      <w:r>
        <w:rPr>
          <w:rFonts w:hint="eastAsia" w:ascii="宋体" w:hAnsi="宋体" w:eastAsia="宋体" w:cs="宋体"/>
          <w:b w:val="0"/>
          <w:bCs w:val="0"/>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u w:val="single"/>
          <w:lang w:eastAsia="zh-CN"/>
          <w14:textFill>
            <w14:solidFill>
              <w14:schemeClr w14:val="tx1"/>
            </w14:solidFill>
          </w14:textFill>
        </w:rPr>
        <w:tab/>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 xml:space="preserve">                               </w:t>
      </w:r>
    </w:p>
    <w:p w14:paraId="4AAF7115">
      <w:pPr>
        <w:pStyle w:val="14"/>
        <w:keepNext w:val="0"/>
        <w:keepLines w:val="0"/>
        <w:pageBreakBefore w:val="0"/>
        <w:widowControl w:val="0"/>
        <w:tabs>
          <w:tab w:val="left" w:pos="3232"/>
          <w:tab w:val="left" w:pos="8529"/>
        </w:tabs>
        <w:kinsoku/>
        <w:wordWrap w:val="0"/>
        <w:overflowPunct/>
        <w:topLinePunct w:val="0"/>
        <w:autoSpaceDE/>
        <w:autoSpaceDN/>
        <w:bidi w:val="0"/>
        <w:adjustRightInd/>
        <w:snapToGrid/>
        <w:spacing w:line="500" w:lineRule="exact"/>
        <w:ind w:left="0" w:right="0" w:firstLine="496" w:firstLineChars="200"/>
        <w:jc w:val="righ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网</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址：</w:t>
      </w:r>
      <w:r>
        <w:rPr>
          <w:rFonts w:hint="eastAsia" w:ascii="宋体" w:hAnsi="宋体" w:eastAsia="宋体" w:cs="宋体"/>
          <w:b w:val="0"/>
          <w:bCs w:val="0"/>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u w:val="single"/>
          <w:lang w:eastAsia="zh-CN"/>
          <w14:textFill>
            <w14:solidFill>
              <w14:schemeClr w14:val="tx1"/>
            </w14:solidFill>
          </w14:textFill>
        </w:rPr>
        <w:tab/>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 xml:space="preserve">                               </w:t>
      </w:r>
    </w:p>
    <w:p w14:paraId="0BE46C59">
      <w:pPr>
        <w:pStyle w:val="14"/>
        <w:keepNext w:val="0"/>
        <w:keepLines w:val="0"/>
        <w:pageBreakBefore w:val="0"/>
        <w:widowControl w:val="0"/>
        <w:tabs>
          <w:tab w:val="left" w:pos="3232"/>
          <w:tab w:val="left" w:pos="8529"/>
        </w:tabs>
        <w:kinsoku/>
        <w:wordWrap w:val="0"/>
        <w:overflowPunct/>
        <w:topLinePunct w:val="0"/>
        <w:autoSpaceDE/>
        <w:autoSpaceDN/>
        <w:bidi w:val="0"/>
        <w:adjustRightInd/>
        <w:snapToGrid/>
        <w:spacing w:line="500" w:lineRule="exact"/>
        <w:ind w:left="0" w:right="0" w:firstLine="496" w:firstLineChars="200"/>
        <w:jc w:val="righ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电</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话：</w:t>
      </w:r>
      <w:r>
        <w:rPr>
          <w:rFonts w:hint="eastAsia" w:ascii="宋体" w:hAnsi="宋体" w:eastAsia="宋体" w:cs="宋体"/>
          <w:b w:val="0"/>
          <w:bCs w:val="0"/>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u w:val="single"/>
          <w:lang w:eastAsia="zh-CN"/>
          <w14:textFill>
            <w14:solidFill>
              <w14:schemeClr w14:val="tx1"/>
            </w14:solidFill>
          </w14:textFill>
        </w:rPr>
        <w:tab/>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 xml:space="preserve">                               </w:t>
      </w:r>
    </w:p>
    <w:p w14:paraId="608E05C2">
      <w:pPr>
        <w:pStyle w:val="14"/>
        <w:keepNext w:val="0"/>
        <w:keepLines w:val="0"/>
        <w:pageBreakBefore w:val="0"/>
        <w:widowControl w:val="0"/>
        <w:tabs>
          <w:tab w:val="left" w:pos="3232"/>
          <w:tab w:val="left" w:pos="8529"/>
        </w:tabs>
        <w:kinsoku/>
        <w:wordWrap w:val="0"/>
        <w:overflowPunct/>
        <w:topLinePunct w:val="0"/>
        <w:autoSpaceDE/>
        <w:autoSpaceDN/>
        <w:bidi w:val="0"/>
        <w:adjustRightInd/>
        <w:snapToGrid/>
        <w:spacing w:line="500" w:lineRule="exact"/>
        <w:ind w:left="0" w:right="0" w:firstLine="496" w:firstLineChars="200"/>
        <w:jc w:val="righ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传</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真：</w:t>
      </w:r>
      <w:r>
        <w:rPr>
          <w:rFonts w:hint="eastAsia" w:ascii="宋体" w:hAnsi="宋体" w:eastAsia="宋体" w:cs="宋体"/>
          <w:b w:val="0"/>
          <w:bCs w:val="0"/>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u w:val="single"/>
          <w:lang w:eastAsia="zh-CN"/>
          <w14:textFill>
            <w14:solidFill>
              <w14:schemeClr w14:val="tx1"/>
            </w14:solidFill>
          </w14:textFill>
        </w:rPr>
        <w:tab/>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 xml:space="preserve">                               </w:t>
      </w:r>
    </w:p>
    <w:p w14:paraId="13369854">
      <w:pPr>
        <w:pStyle w:val="14"/>
        <w:keepNext w:val="0"/>
        <w:keepLines w:val="0"/>
        <w:pageBreakBefore w:val="0"/>
        <w:widowControl w:val="0"/>
        <w:tabs>
          <w:tab w:val="left" w:pos="8529"/>
        </w:tabs>
        <w:kinsoku/>
        <w:wordWrap w:val="0"/>
        <w:overflowPunct/>
        <w:topLinePunct w:val="0"/>
        <w:autoSpaceDE/>
        <w:autoSpaceDN/>
        <w:bidi w:val="0"/>
        <w:adjustRightInd/>
        <w:snapToGrid/>
        <w:spacing w:line="500" w:lineRule="exact"/>
        <w:ind w:left="0" w:right="0" w:firstLine="496" w:firstLineChars="200"/>
        <w:jc w:val="right"/>
        <w:textAlignment w:val="auto"/>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邮政编码：</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 xml:space="preserve">                                          </w:t>
      </w:r>
    </w:p>
    <w:p w14:paraId="33835994">
      <w:pPr>
        <w:pStyle w:val="14"/>
        <w:keepNext w:val="0"/>
        <w:keepLines w:val="0"/>
        <w:pageBreakBefore w:val="0"/>
        <w:widowControl w:val="0"/>
        <w:tabs>
          <w:tab w:val="left" w:pos="631"/>
          <w:tab w:val="left" w:pos="1471"/>
          <w:tab w:val="left" w:pos="2311"/>
        </w:tabs>
        <w:kinsoku/>
        <w:wordWrap/>
        <w:overflowPunct/>
        <w:topLinePunct w:val="0"/>
        <w:autoSpaceDE/>
        <w:autoSpaceDN/>
        <w:bidi w:val="0"/>
        <w:adjustRightInd/>
        <w:snapToGrid/>
        <w:spacing w:line="500" w:lineRule="exact"/>
        <w:ind w:left="0" w:right="0" w:firstLine="496" w:firstLineChars="200"/>
        <w:jc w:val="right"/>
        <w:textAlignment w:val="auto"/>
        <w:rPr>
          <w:rFonts w:hint="eastAsia" w:ascii="宋体" w:hAnsi="宋体" w:eastAsia="宋体" w:cs="宋体"/>
          <w:b w:val="0"/>
          <w:bCs w:val="0"/>
          <w:color w:val="000000" w:themeColor="text1"/>
          <w:sz w:val="24"/>
          <w:szCs w:val="24"/>
          <w:highlight w:val="none"/>
          <w:u w:val="single"/>
          <w:lang w:eastAsia="zh-CN"/>
          <w14:textFill>
            <w14:solidFill>
              <w14:schemeClr w14:val="tx1"/>
            </w14:solidFill>
          </w14:textFill>
        </w:rPr>
      </w:pPr>
    </w:p>
    <w:p w14:paraId="1EDA3399">
      <w:pPr>
        <w:pStyle w:val="14"/>
        <w:keepNext w:val="0"/>
        <w:keepLines w:val="0"/>
        <w:pageBreakBefore w:val="0"/>
        <w:widowControl w:val="0"/>
        <w:tabs>
          <w:tab w:val="left" w:pos="631"/>
          <w:tab w:val="left" w:pos="1471"/>
          <w:tab w:val="left" w:pos="2311"/>
        </w:tabs>
        <w:kinsoku/>
        <w:wordWrap/>
        <w:overflowPunct/>
        <w:topLinePunct w:val="0"/>
        <w:autoSpaceDE/>
        <w:autoSpaceDN/>
        <w:bidi w:val="0"/>
        <w:adjustRightInd/>
        <w:snapToGrid/>
        <w:spacing w:line="500" w:lineRule="exact"/>
        <w:ind w:left="0" w:right="0" w:firstLine="496" w:firstLineChars="200"/>
        <w:jc w:val="righ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sectPr>
          <w:pgSz w:w="11906" w:h="16838"/>
          <w:pgMar w:top="1440" w:right="1800" w:bottom="1440" w:left="1800" w:header="1140" w:footer="720" w:gutter="0"/>
          <w:pgNumType w:fmt="decimal"/>
          <w:cols w:space="720" w:num="1"/>
          <w:rtlGutter w:val="0"/>
        </w:sectPr>
      </w:pPr>
      <w:r>
        <w:rPr>
          <w:rFonts w:hint="eastAsia" w:ascii="宋体" w:hAnsi="宋体" w:eastAsia="宋体" w:cs="宋体"/>
          <w:b w:val="0"/>
          <w:bCs w:val="0"/>
          <w:color w:val="000000" w:themeColor="text1"/>
          <w:sz w:val="24"/>
          <w:szCs w:val="24"/>
          <w:highlight w:val="none"/>
          <w14:textFill>
            <w14:solidFill>
              <w14:schemeClr w14:val="tx1"/>
            </w14:solidFill>
          </w14:textFill>
        </w:rPr>
        <w:t>日  期：</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年</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月</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1"/>
          <w:sz w:val="24"/>
          <w:szCs w:val="24"/>
          <w:highlight w:val="none"/>
          <w:lang w:eastAsia="zh-CN"/>
          <w14:textFill>
            <w14:solidFill>
              <w14:schemeClr w14:val="tx1"/>
            </w14:solidFill>
          </w14:textFill>
        </w:rPr>
        <w:t>日</w:t>
      </w:r>
    </w:p>
    <w:p w14:paraId="6C455BEE">
      <w:pPr>
        <w:pageBreakBefore w:val="0"/>
        <w:kinsoku/>
        <w:wordWrap/>
        <w:overflowPunct/>
        <w:topLinePunct w:val="0"/>
        <w:bidi w:val="0"/>
        <w:adjustRightInd w:val="0"/>
        <w:snapToGrid w:val="0"/>
        <w:spacing w:before="319" w:beforeLines="100" w:after="319" w:afterLines="100" w:line="500" w:lineRule="exact"/>
        <w:ind w:right="105" w:rightChars="50"/>
        <w:jc w:val="center"/>
        <w:outlineLvl w:val="1"/>
        <w:rPr>
          <w:rFonts w:hint="eastAsia" w:ascii="宋体" w:hAnsi="宋体" w:eastAsia="宋体" w:cs="宋体"/>
          <w:b/>
          <w:bCs/>
          <w:color w:val="000000" w:themeColor="text1"/>
          <w:sz w:val="32"/>
          <w:szCs w:val="32"/>
          <w:highlight w:val="none"/>
          <w14:textFill>
            <w14:solidFill>
              <w14:schemeClr w14:val="tx1"/>
            </w14:solidFill>
          </w14:textFill>
        </w:rPr>
      </w:pPr>
      <w:bookmarkStart w:id="82" w:name="_bookmark148"/>
      <w:bookmarkEnd w:id="82"/>
      <w:bookmarkStart w:id="83" w:name="_Toc2673_WPSOffice_Level2"/>
      <w:bookmarkStart w:id="84" w:name="_Toc11267_WPSOffice_Level2"/>
      <w:r>
        <w:rPr>
          <w:rFonts w:hint="eastAsia" w:ascii="宋体" w:hAnsi="宋体" w:eastAsia="宋体" w:cs="宋体"/>
          <w:b/>
          <w:bCs/>
          <w:color w:val="000000" w:themeColor="text1"/>
          <w:sz w:val="32"/>
          <w:szCs w:val="32"/>
          <w:highlight w:val="none"/>
          <w:lang w:val="en-US" w:eastAsia="zh-CN"/>
          <w14:textFill>
            <w14:solidFill>
              <w14:schemeClr w14:val="tx1"/>
            </w14:solidFill>
          </w14:textFill>
        </w:rPr>
        <w:t>二、</w:t>
      </w:r>
      <w:r>
        <w:rPr>
          <w:rFonts w:hint="eastAsia" w:ascii="宋体" w:hAnsi="宋体" w:eastAsia="宋体" w:cs="宋体"/>
          <w:b/>
          <w:bCs/>
          <w:color w:val="000000" w:themeColor="text1"/>
          <w:sz w:val="32"/>
          <w:szCs w:val="32"/>
          <w:highlight w:val="none"/>
          <w14:textFill>
            <w14:solidFill>
              <w14:schemeClr w14:val="tx1"/>
            </w14:solidFill>
          </w14:textFill>
        </w:rPr>
        <w:t>开标一览表</w:t>
      </w:r>
      <w:bookmarkEnd w:id="83"/>
      <w:bookmarkEnd w:id="84"/>
    </w:p>
    <w:p w14:paraId="633452A3">
      <w:pPr>
        <w:pageBreakBefore w:val="0"/>
        <w:kinsoku/>
        <w:wordWrap/>
        <w:overflowPunct/>
        <w:topLinePunct w:val="0"/>
        <w:bidi w:val="0"/>
        <w:adjustRightInd w:val="0"/>
        <w:snapToGrid w:val="0"/>
        <w:spacing w:line="500" w:lineRule="exact"/>
        <w:ind w:right="105" w:rightChars="50"/>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项目编号</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 xml:space="preserve">                                                      </w:t>
      </w:r>
    </w:p>
    <w:p w14:paraId="25B7B470">
      <w:pPr>
        <w:pageBreakBefore w:val="0"/>
        <w:kinsoku/>
        <w:wordWrap/>
        <w:overflowPunct/>
        <w:topLinePunct w:val="0"/>
        <w:bidi w:val="0"/>
        <w:adjustRightInd w:val="0"/>
        <w:snapToGrid w:val="0"/>
        <w:spacing w:line="500" w:lineRule="exact"/>
        <w:ind w:right="105" w:rightChars="50"/>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项目名称</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tbl>
      <w:tblPr>
        <w:tblStyle w:val="36"/>
        <w:tblW w:w="84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280"/>
        <w:gridCol w:w="1158"/>
        <w:gridCol w:w="1347"/>
        <w:gridCol w:w="855"/>
        <w:gridCol w:w="915"/>
        <w:gridCol w:w="946"/>
      </w:tblGrid>
      <w:tr w14:paraId="6889A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27" w:type="dxa"/>
            <w:noWrap w:val="0"/>
            <w:vAlign w:val="center"/>
          </w:tcPr>
          <w:p w14:paraId="181B317C">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报价单位</w:t>
            </w:r>
          </w:p>
        </w:tc>
        <w:tc>
          <w:tcPr>
            <w:tcW w:w="2280" w:type="dxa"/>
            <w:noWrap w:val="0"/>
            <w:vAlign w:val="center"/>
          </w:tcPr>
          <w:p w14:paraId="772CA3E7">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w:t>
            </w:r>
            <w:r>
              <w:rPr>
                <w:rFonts w:hint="eastAsia" w:ascii="宋体" w:hAnsi="宋体" w:eastAsia="宋体" w:cs="宋体"/>
                <w:color w:val="000000" w:themeColor="text1"/>
                <w:sz w:val="24"/>
                <w:szCs w:val="24"/>
                <w:highlight w:val="none"/>
                <w:lang w:val="en-US" w:eastAsia="zh-CN"/>
                <w14:textFill>
                  <w14:solidFill>
                    <w14:schemeClr w14:val="tx1"/>
                  </w14:solidFill>
                </w14:textFill>
              </w:rPr>
              <w:t>报</w:t>
            </w:r>
            <w:r>
              <w:rPr>
                <w:rFonts w:hint="eastAsia" w:ascii="宋体" w:hAnsi="宋体" w:eastAsia="宋体" w:cs="宋体"/>
                <w:color w:val="000000" w:themeColor="text1"/>
                <w:sz w:val="24"/>
                <w:szCs w:val="24"/>
                <w:highlight w:val="none"/>
                <w14:textFill>
                  <w14:solidFill>
                    <w14:schemeClr w14:val="tx1"/>
                  </w14:solidFill>
                </w14:textFill>
              </w:rPr>
              <w:t>价</w:t>
            </w:r>
          </w:p>
          <w:p w14:paraId="1CB9CF0E">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折扣系数</w:t>
            </w:r>
            <w:r>
              <w:rPr>
                <w:rFonts w:hint="eastAsia" w:ascii="宋体" w:hAnsi="宋体" w:eastAsia="宋体" w:cs="宋体"/>
                <w:color w:val="000000" w:themeColor="text1"/>
                <w:sz w:val="21"/>
                <w:szCs w:val="21"/>
                <w:highlight w:val="none"/>
                <w14:textFill>
                  <w14:solidFill>
                    <w14:schemeClr w14:val="tx1"/>
                  </w14:solidFill>
                </w14:textFill>
              </w:rPr>
              <w:t>）</w:t>
            </w:r>
          </w:p>
        </w:tc>
        <w:tc>
          <w:tcPr>
            <w:tcW w:w="1158" w:type="dxa"/>
            <w:noWrap w:val="0"/>
            <w:vAlign w:val="center"/>
          </w:tcPr>
          <w:p w14:paraId="55B1E974">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投标保证金</w:t>
            </w:r>
          </w:p>
          <w:p w14:paraId="599B79E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18"/>
                <w:szCs w:val="18"/>
                <w:highlight w:val="none"/>
                <w:lang w:eastAsia="zh-CN"/>
                <w14:textFill>
                  <w14:solidFill>
                    <w14:schemeClr w14:val="tx1"/>
                  </w14:solidFill>
                </w14:textFill>
              </w:rPr>
              <w:t>（有</w:t>
            </w:r>
            <w:r>
              <w:rPr>
                <w:rFonts w:hint="eastAsia" w:ascii="宋体" w:hAnsi="宋体" w:eastAsia="宋体" w:cs="宋体"/>
                <w:color w:val="000000" w:themeColor="text1"/>
                <w:sz w:val="18"/>
                <w:szCs w:val="18"/>
                <w:highlight w:val="none"/>
                <w:lang w:val="en-US" w:eastAsia="zh-CN"/>
                <w14:textFill>
                  <w14:solidFill>
                    <w14:schemeClr w14:val="tx1"/>
                  </w14:solidFill>
                </w14:textFill>
              </w:rPr>
              <w:t>/无</w:t>
            </w:r>
            <w:r>
              <w:rPr>
                <w:rFonts w:hint="eastAsia" w:ascii="宋体" w:hAnsi="宋体" w:eastAsia="宋体" w:cs="宋体"/>
                <w:color w:val="000000" w:themeColor="text1"/>
                <w:sz w:val="18"/>
                <w:szCs w:val="18"/>
                <w:highlight w:val="none"/>
                <w:lang w:eastAsia="zh-CN"/>
                <w14:textFill>
                  <w14:solidFill>
                    <w14:schemeClr w14:val="tx1"/>
                  </w14:solidFill>
                </w14:textFill>
              </w:rPr>
              <w:t>）</w:t>
            </w:r>
          </w:p>
        </w:tc>
        <w:tc>
          <w:tcPr>
            <w:tcW w:w="1347" w:type="dxa"/>
            <w:noWrap w:val="0"/>
            <w:vAlign w:val="center"/>
          </w:tcPr>
          <w:p w14:paraId="154461FF">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合同履行期限</w:t>
            </w:r>
          </w:p>
        </w:tc>
        <w:tc>
          <w:tcPr>
            <w:tcW w:w="855" w:type="dxa"/>
            <w:noWrap w:val="0"/>
            <w:vAlign w:val="center"/>
          </w:tcPr>
          <w:p w14:paraId="4FFC634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项目</w:t>
            </w:r>
            <w:r>
              <w:rPr>
                <w:rFonts w:hint="eastAsia" w:ascii="宋体" w:hAnsi="宋体" w:eastAsia="宋体" w:cs="宋体"/>
                <w:color w:val="000000" w:themeColor="text1"/>
                <w:sz w:val="24"/>
                <w:szCs w:val="24"/>
                <w:highlight w:val="none"/>
                <w14:textFill>
                  <w14:solidFill>
                    <w14:schemeClr w14:val="tx1"/>
                  </w14:solidFill>
                </w14:textFill>
              </w:rPr>
              <w:t>地点</w:t>
            </w:r>
          </w:p>
        </w:tc>
        <w:tc>
          <w:tcPr>
            <w:tcW w:w="915" w:type="dxa"/>
            <w:noWrap w:val="0"/>
            <w:vAlign w:val="center"/>
          </w:tcPr>
          <w:p w14:paraId="1C44A125">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服务要求</w:t>
            </w:r>
          </w:p>
        </w:tc>
        <w:tc>
          <w:tcPr>
            <w:tcW w:w="946" w:type="dxa"/>
            <w:noWrap w:val="0"/>
            <w:vAlign w:val="center"/>
          </w:tcPr>
          <w:p w14:paraId="3136E2DC">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14:paraId="6C624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927" w:type="dxa"/>
            <w:noWrap w:val="0"/>
            <w:vAlign w:val="center"/>
          </w:tcPr>
          <w:p w14:paraId="0F3F2EAB">
            <w:pPr>
              <w:keepNext w:val="0"/>
              <w:keepLines w:val="0"/>
              <w:pageBreakBefore w:val="0"/>
              <w:suppressLineNumbers w:val="0"/>
              <w:kinsoku/>
              <w:wordWrap/>
              <w:overflowPunct/>
              <w:topLinePunct w:val="0"/>
              <w:bidi w:val="0"/>
              <w:adjustRightInd w:val="0"/>
              <w:snapToGrid w:val="0"/>
              <w:spacing w:before="0" w:beforeAutospacing="0" w:after="0" w:afterAutospacing="0" w:line="500" w:lineRule="exact"/>
              <w:ind w:left="-55" w:leftChars="-26" w:right="-46" w:rightChars="-22"/>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280" w:type="dxa"/>
            <w:noWrap w:val="0"/>
            <w:vAlign w:val="center"/>
          </w:tcPr>
          <w:p w14:paraId="5BDBF00B">
            <w:pPr>
              <w:keepNext w:val="0"/>
              <w:keepLines w:val="0"/>
              <w:pageBreakBefore w:val="0"/>
              <w:suppressLineNumbers w:val="0"/>
              <w:kinsoku/>
              <w:wordWrap/>
              <w:overflowPunct/>
              <w:topLinePunct w:val="0"/>
              <w:bidi w:val="0"/>
              <w:adjustRightInd w:val="0"/>
              <w:snapToGrid w:val="0"/>
              <w:spacing w:before="0" w:beforeAutospacing="0" w:after="0" w:afterAutospacing="0" w:line="500" w:lineRule="exact"/>
              <w:ind w:left="-55" w:leftChars="-26" w:right="-46" w:rightChars="-22"/>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158" w:type="dxa"/>
            <w:noWrap w:val="0"/>
            <w:vAlign w:val="center"/>
          </w:tcPr>
          <w:p w14:paraId="718E9AE2">
            <w:pPr>
              <w:keepNext w:val="0"/>
              <w:keepLines w:val="0"/>
              <w:pageBreakBefore w:val="0"/>
              <w:suppressLineNumbers w:val="0"/>
              <w:kinsoku/>
              <w:wordWrap/>
              <w:overflowPunct/>
              <w:topLinePunct w:val="0"/>
              <w:bidi w:val="0"/>
              <w:adjustRightInd w:val="0"/>
              <w:snapToGrid w:val="0"/>
              <w:spacing w:before="0" w:beforeAutospacing="0" w:after="0" w:afterAutospacing="0" w:line="500" w:lineRule="exact"/>
              <w:ind w:left="-55" w:leftChars="-26" w:right="-46" w:rightChars="-22"/>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47" w:type="dxa"/>
            <w:noWrap w:val="0"/>
            <w:vAlign w:val="center"/>
          </w:tcPr>
          <w:p w14:paraId="56D5C6AE">
            <w:pPr>
              <w:keepNext w:val="0"/>
              <w:keepLines w:val="0"/>
              <w:pageBreakBefore w:val="0"/>
              <w:suppressLineNumbers w:val="0"/>
              <w:kinsoku/>
              <w:wordWrap/>
              <w:overflowPunct/>
              <w:topLinePunct w:val="0"/>
              <w:bidi w:val="0"/>
              <w:adjustRightInd w:val="0"/>
              <w:snapToGrid w:val="0"/>
              <w:spacing w:before="0" w:beforeAutospacing="0" w:after="0" w:afterAutospacing="0" w:line="500" w:lineRule="exact"/>
              <w:ind w:left="-55" w:leftChars="-26" w:right="-46" w:rightChars="-22"/>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55" w:type="dxa"/>
            <w:noWrap w:val="0"/>
            <w:vAlign w:val="center"/>
          </w:tcPr>
          <w:p w14:paraId="605278F0">
            <w:pPr>
              <w:keepNext w:val="0"/>
              <w:keepLines w:val="0"/>
              <w:pageBreakBefore w:val="0"/>
              <w:suppressLineNumbers w:val="0"/>
              <w:kinsoku/>
              <w:wordWrap/>
              <w:overflowPunct/>
              <w:topLinePunct w:val="0"/>
              <w:bidi w:val="0"/>
              <w:adjustRightInd w:val="0"/>
              <w:snapToGrid w:val="0"/>
              <w:spacing w:before="0" w:beforeAutospacing="0" w:after="0" w:afterAutospacing="0" w:line="500" w:lineRule="exact"/>
              <w:ind w:left="-55" w:leftChars="-26" w:right="-46" w:rightChars="-22"/>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15" w:type="dxa"/>
            <w:noWrap w:val="0"/>
            <w:vAlign w:val="center"/>
          </w:tcPr>
          <w:p w14:paraId="31FBCB2B">
            <w:pPr>
              <w:keepNext w:val="0"/>
              <w:keepLines w:val="0"/>
              <w:pageBreakBefore w:val="0"/>
              <w:suppressLineNumbers w:val="0"/>
              <w:kinsoku/>
              <w:wordWrap/>
              <w:overflowPunct/>
              <w:topLinePunct w:val="0"/>
              <w:bidi w:val="0"/>
              <w:adjustRightInd w:val="0"/>
              <w:snapToGrid w:val="0"/>
              <w:spacing w:before="0" w:beforeAutospacing="0" w:after="0" w:afterAutospacing="0" w:line="500" w:lineRule="exact"/>
              <w:ind w:left="-55" w:leftChars="-26" w:right="-46" w:rightChars="-22"/>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46" w:type="dxa"/>
            <w:noWrap w:val="0"/>
            <w:vAlign w:val="center"/>
          </w:tcPr>
          <w:p w14:paraId="2C61C740">
            <w:pPr>
              <w:keepNext w:val="0"/>
              <w:keepLines w:val="0"/>
              <w:pageBreakBefore w:val="0"/>
              <w:suppressLineNumbers w:val="0"/>
              <w:kinsoku/>
              <w:wordWrap/>
              <w:overflowPunct/>
              <w:topLinePunct w:val="0"/>
              <w:bidi w:val="0"/>
              <w:adjustRightInd w:val="0"/>
              <w:snapToGrid w:val="0"/>
              <w:spacing w:before="0" w:beforeAutospacing="0" w:after="0" w:afterAutospacing="0" w:line="500" w:lineRule="exact"/>
              <w:ind w:left="-55" w:leftChars="-26" w:right="-46" w:rightChars="-22"/>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23C0C13F">
      <w:pPr>
        <w:pageBreakBefore w:val="0"/>
        <w:kinsoku/>
        <w:wordWrap/>
        <w:overflowPunct/>
        <w:topLinePunct w:val="0"/>
        <w:bidi w:val="0"/>
        <w:adjustRightInd w:val="0"/>
        <w:snapToGrid w:val="0"/>
        <w:spacing w:line="500" w:lineRule="exact"/>
        <w:ind w:right="105" w:rightChars="5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14:paraId="7C4C19B7">
      <w:pPr>
        <w:bidi w:val="0"/>
        <w:rPr>
          <w:rFonts w:hint="eastAsia" w:ascii="宋体" w:hAnsi="宋体" w:eastAsia="宋体" w:cs="宋体"/>
          <w:sz w:val="22"/>
          <w:szCs w:val="22"/>
        </w:rPr>
      </w:pPr>
      <w:r>
        <w:rPr>
          <w:rFonts w:hint="eastAsia" w:ascii="宋体" w:hAnsi="宋体" w:eastAsia="宋体" w:cs="宋体"/>
          <w:sz w:val="22"/>
          <w:szCs w:val="22"/>
        </w:rPr>
        <w:t>说明：</w:t>
      </w:r>
    </w:p>
    <w:p w14:paraId="66E542D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1.本“开标一览表”仅用于开标时唱标使用, 应单独密封和标记，与投标文件同时递交。</w:t>
      </w:r>
    </w:p>
    <w:p w14:paraId="1CB8F33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2.“开标一览表”是投标文件的组成部分，必须按要求签署和加盖公章，否则为无效投</w:t>
      </w:r>
      <w:r>
        <w:rPr>
          <w:rFonts w:hint="eastAsia" w:ascii="宋体" w:hAnsi="宋体" w:eastAsia="宋体" w:cs="宋体"/>
          <w:sz w:val="24"/>
          <w:szCs w:val="24"/>
          <w:lang w:eastAsia="zh-CN"/>
        </w:rPr>
        <w:t>标</w:t>
      </w:r>
      <w:r>
        <w:rPr>
          <w:rFonts w:hint="eastAsia" w:ascii="宋体" w:hAnsi="宋体" w:eastAsia="宋体" w:cs="宋体"/>
          <w:sz w:val="24"/>
          <w:szCs w:val="24"/>
        </w:rPr>
        <w:t>。</w:t>
      </w:r>
    </w:p>
    <w:p w14:paraId="1AB69A1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“开标一览表”中各个栏目都必须完整、准确填写，开标时，“开标一览表”的所有内容都不允许补充。</w:t>
      </w:r>
    </w:p>
    <w:p w14:paraId="3074DA88">
      <w:pPr>
        <w:pageBreakBefore w:val="0"/>
        <w:kinsoku/>
        <w:wordWrap/>
        <w:overflowPunct/>
        <w:topLinePunct w:val="0"/>
        <w:bidi w:val="0"/>
        <w:adjustRightInd w:val="0"/>
        <w:snapToGrid w:val="0"/>
        <w:spacing w:line="500" w:lineRule="exact"/>
        <w:ind w:right="105" w:rightChars="50" w:firstLine="544" w:firstLineChars="227"/>
        <w:jc w:val="left"/>
        <w:rPr>
          <w:rFonts w:hint="eastAsia" w:ascii="宋体" w:hAnsi="宋体" w:eastAsia="宋体" w:cs="宋体"/>
          <w:color w:val="000000" w:themeColor="text1"/>
          <w:szCs w:val="21"/>
          <w:highlight w:val="none"/>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说明：以“政采云”平台系统格式为准</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本项目报价为折扣率，如供应商在报价中填写折扣率90%表示，即表示例如原价100元的商品，最终价格是90元。</w:t>
      </w:r>
    </w:p>
    <w:p w14:paraId="5D04282A">
      <w:pPr>
        <w:pageBreakBefore w:val="0"/>
        <w:kinsoku/>
        <w:wordWrap/>
        <w:overflowPunct/>
        <w:topLinePunct w:val="0"/>
        <w:bidi w:val="0"/>
        <w:adjustRightInd w:val="0"/>
        <w:snapToGrid w:val="0"/>
        <w:spacing w:line="500" w:lineRule="exact"/>
        <w:ind w:right="105" w:rightChars="50" w:firstLine="476" w:firstLineChars="227"/>
        <w:jc w:val="left"/>
        <w:rPr>
          <w:rFonts w:hint="eastAsia" w:ascii="宋体" w:hAnsi="宋体" w:eastAsia="宋体" w:cs="宋体"/>
          <w:color w:val="000000" w:themeColor="text1"/>
          <w:szCs w:val="21"/>
          <w:highlight w:val="none"/>
          <w14:textFill>
            <w14:solidFill>
              <w14:schemeClr w14:val="tx1"/>
            </w14:solidFill>
          </w14:textFill>
        </w:rPr>
      </w:pPr>
    </w:p>
    <w:p w14:paraId="04BC1FA4">
      <w:pPr>
        <w:pageBreakBefore w:val="0"/>
        <w:kinsoku/>
        <w:wordWrap/>
        <w:overflowPunct/>
        <w:topLinePunct w:val="0"/>
        <w:bidi w:val="0"/>
        <w:adjustRightInd w:val="0"/>
        <w:snapToGrid w:val="0"/>
        <w:spacing w:line="500" w:lineRule="exact"/>
        <w:ind w:right="105" w:rightChars="50" w:firstLine="476" w:firstLineChars="227"/>
        <w:jc w:val="left"/>
        <w:rPr>
          <w:rFonts w:hint="eastAsia" w:ascii="宋体" w:hAnsi="宋体" w:eastAsia="宋体" w:cs="宋体"/>
          <w:color w:val="000000" w:themeColor="text1"/>
          <w:szCs w:val="21"/>
          <w:highlight w:val="none"/>
          <w14:textFill>
            <w14:solidFill>
              <w14:schemeClr w14:val="tx1"/>
            </w14:solidFill>
          </w14:textFill>
        </w:rPr>
      </w:pPr>
    </w:p>
    <w:p w14:paraId="4CC792C1">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3866B1F9">
      <w:pPr>
        <w:keepNext w:val="0"/>
        <w:keepLines w:val="0"/>
        <w:pageBreakBefore w:val="0"/>
        <w:widowControl w:val="0"/>
        <w:kinsoku/>
        <w:wordWrap w:val="0"/>
        <w:overflowPunct/>
        <w:topLinePunct w:val="0"/>
        <w:autoSpaceDE/>
        <w:autoSpaceDN/>
        <w:bidi w:val="0"/>
        <w:spacing w:line="360" w:lineRule="auto"/>
        <w:ind w:right="0" w:rightChars="0" w:firstLine="480" w:firstLineChars="200"/>
        <w:jc w:val="righ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投标人名称</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加盖单位公章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778813AF">
      <w:pPr>
        <w:pStyle w:val="45"/>
        <w:wordWrap/>
        <w:rPr>
          <w:rFonts w:hint="eastAsia" w:ascii="宋体" w:hAnsi="宋体" w:eastAsia="宋体" w:cs="宋体"/>
          <w:color w:val="000000" w:themeColor="text1"/>
          <w:highlight w:val="none"/>
          <w:lang w:val="en-US" w:eastAsia="zh-CN"/>
          <w14:textFill>
            <w14:solidFill>
              <w14:schemeClr w14:val="tx1"/>
            </w14:solidFill>
          </w14:textFill>
        </w:rPr>
      </w:pPr>
    </w:p>
    <w:p w14:paraId="16B30B64">
      <w:pPr>
        <w:keepNext w:val="0"/>
        <w:keepLines w:val="0"/>
        <w:pageBreakBefore w:val="0"/>
        <w:widowControl w:val="0"/>
        <w:kinsoku/>
        <w:wordWrap w:val="0"/>
        <w:overflowPunct/>
        <w:topLinePunct w:val="0"/>
        <w:autoSpaceDE/>
        <w:autoSpaceDN/>
        <w:bidi w:val="0"/>
        <w:spacing w:line="360" w:lineRule="auto"/>
        <w:ind w:right="0" w:rightChars="0" w:firstLine="480" w:firstLineChars="200"/>
        <w:jc w:val="righ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法定代表人或其授权委托人(签字或盖章)：</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14:paraId="631B3E5F">
      <w:pPr>
        <w:keepNext w:val="0"/>
        <w:keepLines w:val="0"/>
        <w:pageBreakBefore w:val="0"/>
        <w:widowControl w:val="0"/>
        <w:kinsoku/>
        <w:wordWrap w:val="0"/>
        <w:overflowPunct/>
        <w:topLinePunct w:val="0"/>
        <w:autoSpaceDE/>
        <w:autoSpaceDN/>
        <w:bidi w:val="0"/>
        <w:spacing w:line="360" w:lineRule="auto"/>
        <w:ind w:right="0" w:rightChars="0" w:firstLine="480" w:firstLineChars="200"/>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11C0EFC5">
      <w:pPr>
        <w:keepNext w:val="0"/>
        <w:keepLines w:val="0"/>
        <w:pageBreakBefore w:val="0"/>
        <w:widowControl w:val="0"/>
        <w:kinsoku/>
        <w:wordWrap w:val="0"/>
        <w:overflowPunct/>
        <w:topLinePunct w:val="0"/>
        <w:autoSpaceDE/>
        <w:autoSpaceDN/>
        <w:bidi w:val="0"/>
        <w:spacing w:line="360" w:lineRule="auto"/>
        <w:ind w:right="0" w:rightChars="0" w:firstLine="480" w:firstLineChars="200"/>
        <w:jc w:val="righ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w:t>
      </w:r>
    </w:p>
    <w:p w14:paraId="076667C8">
      <w:pPr>
        <w:keepNext w:val="0"/>
        <w:keepLines w:val="0"/>
        <w:pageBreakBefore w:val="0"/>
        <w:widowControl w:val="0"/>
        <w:kinsoku/>
        <w:wordWrap w:val="0"/>
        <w:overflowPunct/>
        <w:topLinePunct w:val="0"/>
        <w:autoSpaceDE/>
        <w:autoSpaceDN/>
        <w:bidi w:val="0"/>
        <w:spacing w:line="360" w:lineRule="auto"/>
        <w:ind w:right="0" w:rightChars="0" w:firstLine="480" w:firstLineChars="200"/>
        <w:jc w:val="righ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3EDECFCD">
      <w:pPr>
        <w:pStyle w:val="88"/>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jc w:val="center"/>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color w:val="000000" w:themeColor="text1"/>
          <w:szCs w:val="21"/>
          <w:highlight w:val="none"/>
          <w14:textFill>
            <w14:solidFill>
              <w14:schemeClr w14:val="tx1"/>
            </w14:solidFill>
          </w14:textFill>
        </w:rPr>
        <w:br w:type="page"/>
      </w:r>
      <w:bookmarkStart w:id="85" w:name="_Toc8598"/>
      <w:bookmarkStart w:id="86" w:name="_Toc9189"/>
      <w:bookmarkStart w:id="87" w:name="_Toc28373"/>
      <w:r>
        <w:rPr>
          <w:rFonts w:hint="eastAsia" w:ascii="宋体" w:hAnsi="宋体" w:eastAsia="宋体" w:cs="宋体"/>
          <w:color w:val="auto"/>
          <w:szCs w:val="21"/>
          <w:highlight w:val="none"/>
          <w:lang w:eastAsia="zh-CN"/>
        </w:rPr>
        <w:t>三、</w:t>
      </w:r>
      <w:r>
        <w:rPr>
          <w:rFonts w:hint="eastAsia" w:ascii="宋体" w:hAnsi="宋体" w:eastAsia="宋体" w:cs="宋体"/>
          <w:b/>
          <w:bCs/>
          <w:color w:val="auto"/>
          <w:sz w:val="32"/>
          <w:szCs w:val="32"/>
          <w:highlight w:val="none"/>
          <w:lang w:eastAsia="zh-CN"/>
        </w:rPr>
        <w:t>法定代表人</w:t>
      </w:r>
      <w:r>
        <w:rPr>
          <w:rFonts w:hint="eastAsia" w:ascii="宋体" w:hAnsi="宋体" w:eastAsia="宋体" w:cs="宋体"/>
          <w:b/>
          <w:bCs/>
          <w:color w:val="auto"/>
          <w:sz w:val="32"/>
          <w:szCs w:val="32"/>
          <w:highlight w:val="none"/>
        </w:rPr>
        <w:t>身份证明及授权委托书</w:t>
      </w:r>
      <w:bookmarkEnd w:id="85"/>
      <w:bookmarkEnd w:id="86"/>
      <w:bookmarkEnd w:id="87"/>
    </w:p>
    <w:p w14:paraId="674C489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color w:val="auto"/>
          <w:highlight w:val="none"/>
        </w:rPr>
      </w:pPr>
      <w:r>
        <w:rPr>
          <w:rFonts w:hint="eastAsia" w:ascii="宋体" w:hAnsi="宋体" w:eastAsia="宋体" w:cs="宋体"/>
          <w:b/>
          <w:bCs/>
          <w:color w:val="auto"/>
          <w:sz w:val="32"/>
          <w:szCs w:val="32"/>
          <w:highlight w:val="none"/>
        </w:rPr>
        <w:t>（一）法定代表人身份证明</w:t>
      </w:r>
    </w:p>
    <w:p w14:paraId="7A16532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A420BC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BEC950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567CE1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12E015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DA9290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61015C7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（供应商名称）的法定代表人（负责人）。</w:t>
      </w:r>
    </w:p>
    <w:p w14:paraId="0360AFE3">
      <w:pPr>
        <w:spacing w:line="360" w:lineRule="auto"/>
        <w:ind w:firstLine="960" w:firstLineChars="400"/>
        <w:rPr>
          <w:rFonts w:hint="eastAsia" w:ascii="宋体" w:hAnsi="宋体" w:eastAsia="宋体" w:cs="宋体"/>
          <w:color w:val="auto"/>
          <w:highlight w:val="none"/>
        </w:rPr>
      </w:pPr>
      <w:r>
        <w:rPr>
          <w:rFonts w:hint="eastAsia" w:ascii="宋体" w:hAnsi="宋体" w:eastAsia="宋体" w:cs="宋体"/>
          <w:color w:val="auto"/>
          <w:sz w:val="24"/>
          <w:szCs w:val="24"/>
          <w:highlight w:val="none"/>
        </w:rPr>
        <w:t>特此证明。</w:t>
      </w:r>
    </w:p>
    <w:tbl>
      <w:tblPr>
        <w:tblStyle w:val="37"/>
        <w:tblpPr w:leftFromText="180" w:rightFromText="180" w:vertAnchor="text" w:horzAnchor="page" w:tblpX="3178" w:tblpY="3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0"/>
      </w:tblGrid>
      <w:tr w14:paraId="51367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5800" w:type="dxa"/>
            <w:vAlign w:val="center"/>
          </w:tcPr>
          <w:p w14:paraId="2CC48E8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vertAlign w:val="baseline"/>
              </w:rPr>
            </w:pPr>
            <w:r>
              <w:rPr>
                <w:rFonts w:hint="eastAsia" w:ascii="宋体" w:hAnsi="宋体" w:eastAsia="宋体" w:cs="宋体"/>
                <w:color w:val="auto"/>
                <w:sz w:val="24"/>
                <w:szCs w:val="24"/>
                <w:highlight w:val="none"/>
              </w:rPr>
              <w:t>法定代表人（负责人）身份证</w:t>
            </w:r>
            <w:r>
              <w:rPr>
                <w:rFonts w:hint="eastAsia" w:ascii="宋体" w:hAnsi="宋体" w:eastAsia="宋体" w:cs="宋体"/>
                <w:color w:val="auto"/>
                <w:sz w:val="24"/>
                <w:szCs w:val="24"/>
                <w:highlight w:val="none"/>
                <w:lang w:eastAsia="zh-CN"/>
              </w:rPr>
              <w:t>正、反</w:t>
            </w:r>
            <w:r>
              <w:rPr>
                <w:rFonts w:hint="eastAsia" w:ascii="宋体" w:hAnsi="宋体" w:eastAsia="宋体" w:cs="宋体"/>
                <w:color w:val="auto"/>
                <w:sz w:val="24"/>
                <w:szCs w:val="24"/>
                <w:highlight w:val="none"/>
              </w:rPr>
              <w:t>复印件</w:t>
            </w:r>
          </w:p>
        </w:tc>
      </w:tr>
    </w:tbl>
    <w:p w14:paraId="557BF9C8">
      <w:pPr>
        <w:spacing w:line="360" w:lineRule="auto"/>
        <w:ind w:firstLine="420" w:firstLineChars="200"/>
        <w:rPr>
          <w:rFonts w:hint="eastAsia" w:ascii="宋体" w:hAnsi="宋体" w:eastAsia="宋体" w:cs="宋体"/>
          <w:color w:val="auto"/>
          <w:highlight w:val="none"/>
        </w:rPr>
      </w:pPr>
    </w:p>
    <w:p w14:paraId="7A7F0720">
      <w:pPr>
        <w:spacing w:line="360" w:lineRule="auto"/>
        <w:ind w:firstLine="420" w:firstLineChars="200"/>
        <w:rPr>
          <w:rFonts w:hint="eastAsia" w:ascii="宋体" w:hAnsi="宋体" w:eastAsia="宋体" w:cs="宋体"/>
          <w:color w:val="auto"/>
          <w:highlight w:val="none"/>
        </w:rPr>
      </w:pPr>
    </w:p>
    <w:p w14:paraId="363451B2">
      <w:pPr>
        <w:spacing w:line="360" w:lineRule="auto"/>
        <w:rPr>
          <w:rFonts w:hint="eastAsia" w:ascii="宋体" w:hAnsi="宋体" w:eastAsia="宋体" w:cs="宋体"/>
          <w:color w:val="auto"/>
          <w:highlight w:val="none"/>
        </w:rPr>
      </w:pPr>
    </w:p>
    <w:p w14:paraId="2FF97E44">
      <w:pPr>
        <w:pStyle w:val="35"/>
        <w:rPr>
          <w:rFonts w:hint="eastAsia" w:ascii="宋体" w:hAnsi="宋体" w:eastAsia="宋体" w:cs="宋体"/>
          <w:color w:val="auto"/>
          <w:highlight w:val="none"/>
        </w:rPr>
      </w:pPr>
    </w:p>
    <w:p w14:paraId="66EC2B15">
      <w:pPr>
        <w:spacing w:line="360" w:lineRule="auto"/>
        <w:jc w:val="right"/>
        <w:rPr>
          <w:rFonts w:hint="eastAsia" w:ascii="宋体" w:hAnsi="宋体" w:eastAsia="宋体" w:cs="宋体"/>
          <w:color w:val="auto"/>
          <w:sz w:val="24"/>
          <w:szCs w:val="24"/>
          <w:highlight w:val="none"/>
        </w:rPr>
      </w:pPr>
    </w:p>
    <w:p w14:paraId="324431ED">
      <w:pPr>
        <w:spacing w:line="360" w:lineRule="auto"/>
        <w:jc w:val="right"/>
        <w:rPr>
          <w:rFonts w:hint="eastAsia" w:ascii="宋体" w:hAnsi="宋体" w:eastAsia="宋体" w:cs="宋体"/>
          <w:color w:val="auto"/>
          <w:sz w:val="24"/>
          <w:szCs w:val="24"/>
          <w:highlight w:val="none"/>
        </w:rPr>
      </w:pPr>
    </w:p>
    <w:p w14:paraId="1F5376EA">
      <w:pPr>
        <w:spacing w:line="360" w:lineRule="auto"/>
        <w:jc w:val="right"/>
        <w:rPr>
          <w:rFonts w:hint="eastAsia" w:ascii="宋体" w:hAnsi="宋体" w:eastAsia="宋体" w:cs="宋体"/>
          <w:color w:val="auto"/>
          <w:sz w:val="24"/>
          <w:szCs w:val="24"/>
          <w:highlight w:val="none"/>
        </w:rPr>
      </w:pPr>
    </w:p>
    <w:p w14:paraId="234F976D">
      <w:pPr>
        <w:spacing w:line="360" w:lineRule="auto"/>
        <w:jc w:val="right"/>
        <w:rPr>
          <w:rFonts w:hint="eastAsia" w:ascii="宋体" w:hAnsi="宋体" w:eastAsia="宋体" w:cs="宋体"/>
          <w:color w:val="auto"/>
          <w:sz w:val="24"/>
          <w:szCs w:val="24"/>
          <w:highlight w:val="none"/>
        </w:rPr>
      </w:pPr>
    </w:p>
    <w:p w14:paraId="11C1E8F9">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775EA96F">
      <w:pPr>
        <w:spacing w:line="360" w:lineRule="auto"/>
        <w:ind w:firstLine="5160" w:firstLineChars="2150"/>
        <w:rPr>
          <w:rFonts w:hint="eastAsia" w:ascii="宋体" w:hAnsi="宋体" w:eastAsia="宋体" w:cs="宋体"/>
          <w:color w:val="auto"/>
          <w:sz w:val="24"/>
          <w:szCs w:val="24"/>
          <w:highlight w:val="none"/>
          <w:u w:val="single"/>
        </w:rPr>
      </w:pPr>
    </w:p>
    <w:p w14:paraId="508959ED">
      <w:pPr>
        <w:pStyle w:val="21"/>
        <w:spacing w:line="36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b w:val="0"/>
          <w:bCs w:val="0"/>
          <w:color w:val="000000" w:themeColor="text1"/>
          <w:sz w:val="24"/>
          <w:szCs w:val="24"/>
          <w:highlight w:val="none"/>
          <w14:textFill>
            <w14:solidFill>
              <w14:schemeClr w14:val="tx1"/>
            </w14:solidFill>
          </w14:textFill>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D06FE80">
      <w:pPr>
        <w:pStyle w:val="21"/>
        <w:spacing w:line="360" w:lineRule="auto"/>
        <w:ind w:firstLine="562" w:firstLineChars="200"/>
        <w:jc w:val="center"/>
        <w:rPr>
          <w:rFonts w:hint="eastAsia" w:ascii="宋体" w:hAnsi="宋体" w:eastAsia="宋体" w:cs="宋体"/>
          <w:b/>
          <w:color w:val="auto"/>
          <w:sz w:val="28"/>
          <w:szCs w:val="28"/>
          <w:highlight w:val="none"/>
        </w:rPr>
      </w:pPr>
    </w:p>
    <w:p w14:paraId="35CE6010">
      <w:pPr>
        <w:pStyle w:val="21"/>
        <w:spacing w:line="360" w:lineRule="auto"/>
        <w:ind w:firstLine="562" w:firstLineChars="200"/>
        <w:jc w:val="center"/>
        <w:rPr>
          <w:rFonts w:hint="eastAsia" w:ascii="宋体" w:hAnsi="宋体" w:eastAsia="宋体" w:cs="宋体"/>
          <w:b/>
          <w:color w:val="auto"/>
          <w:sz w:val="28"/>
          <w:szCs w:val="28"/>
          <w:highlight w:val="none"/>
        </w:rPr>
      </w:pPr>
    </w:p>
    <w:p w14:paraId="60480DDC">
      <w:pPr>
        <w:pStyle w:val="21"/>
        <w:spacing w:line="360" w:lineRule="auto"/>
        <w:ind w:firstLine="562" w:firstLineChars="200"/>
        <w:jc w:val="center"/>
        <w:rPr>
          <w:rFonts w:hint="eastAsia" w:ascii="宋体" w:hAnsi="宋体" w:eastAsia="宋体" w:cs="宋体"/>
          <w:b/>
          <w:color w:val="auto"/>
          <w:sz w:val="28"/>
          <w:szCs w:val="28"/>
          <w:highlight w:val="none"/>
        </w:rPr>
      </w:pPr>
    </w:p>
    <w:p w14:paraId="188C4B8F">
      <w:pPr>
        <w:rPr>
          <w:rFonts w:hint="eastAsia" w:ascii="宋体" w:hAnsi="宋体" w:eastAsia="宋体" w:cs="宋体"/>
          <w:b/>
          <w:color w:val="auto"/>
          <w:sz w:val="28"/>
          <w:szCs w:val="28"/>
          <w:highlight w:val="none"/>
        </w:rPr>
      </w:pPr>
    </w:p>
    <w:p w14:paraId="162C49D2">
      <w:pPr>
        <w:pStyle w:val="14"/>
        <w:rPr>
          <w:rFonts w:hint="eastAsia" w:ascii="宋体" w:hAnsi="宋体" w:eastAsia="宋体" w:cs="宋体"/>
          <w:color w:val="auto"/>
          <w:highlight w:val="none"/>
        </w:rPr>
      </w:pPr>
    </w:p>
    <w:p w14:paraId="19282593">
      <w:pPr>
        <w:pStyle w:val="14"/>
        <w:rPr>
          <w:rFonts w:hint="eastAsia" w:ascii="宋体" w:hAnsi="宋体" w:eastAsia="宋体" w:cs="宋体"/>
          <w:color w:val="auto"/>
          <w:highlight w:val="none"/>
        </w:rPr>
      </w:pPr>
    </w:p>
    <w:p w14:paraId="49DED63C">
      <w:pPr>
        <w:pStyle w:val="14"/>
        <w:rPr>
          <w:rFonts w:hint="eastAsia" w:ascii="宋体" w:hAnsi="宋体" w:eastAsia="宋体" w:cs="宋体"/>
          <w:color w:val="auto"/>
          <w:highlight w:val="none"/>
        </w:rPr>
      </w:pPr>
    </w:p>
    <w:p w14:paraId="0EC87E4A">
      <w:pPr>
        <w:pStyle w:val="21"/>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color w:val="auto"/>
          <w:sz w:val="32"/>
          <w:szCs w:val="32"/>
          <w:highlight w:val="none"/>
        </w:rPr>
      </w:pPr>
      <w:r>
        <w:rPr>
          <w:rFonts w:hint="eastAsia" w:ascii="宋体" w:hAnsi="宋体" w:eastAsia="宋体" w:cs="宋体"/>
          <w:b/>
          <w:color w:val="auto"/>
          <w:sz w:val="28"/>
          <w:szCs w:val="28"/>
          <w:highlight w:val="none"/>
        </w:rPr>
        <w:t>（二）</w:t>
      </w:r>
      <w:r>
        <w:rPr>
          <w:rFonts w:hint="eastAsia" w:ascii="宋体" w:hAnsi="宋体" w:eastAsia="宋体" w:cs="宋体"/>
          <w:b/>
          <w:color w:val="auto"/>
          <w:sz w:val="32"/>
          <w:szCs w:val="32"/>
          <w:highlight w:val="none"/>
        </w:rPr>
        <w:t>授权委托书</w:t>
      </w:r>
    </w:p>
    <w:p w14:paraId="25F2EF51">
      <w:pPr>
        <w:spacing w:line="360" w:lineRule="auto"/>
        <w:ind w:firstLine="480" w:firstLineChars="200"/>
        <w:rPr>
          <w:rFonts w:hint="eastAsia" w:ascii="宋体" w:hAnsi="宋体" w:eastAsia="宋体" w:cs="宋体"/>
          <w:color w:val="auto"/>
          <w:sz w:val="24"/>
          <w:szCs w:val="24"/>
          <w:highlight w:val="none"/>
        </w:rPr>
      </w:pPr>
    </w:p>
    <w:p w14:paraId="3D04DAD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（供应商名称）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的法定代表人，现委托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（姓名）为我方代理人。代理人根据授权，以我方名义签署、澄清、说明、补正、递交、撤回、修改</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响应文件、签订合同和处理有关事宜，其法律后果由我方承担。</w:t>
      </w:r>
    </w:p>
    <w:p w14:paraId="64A7CEF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w:t>
      </w:r>
      <w:r>
        <w:rPr>
          <w:rFonts w:hint="eastAsia" w:ascii="宋体" w:hAnsi="宋体" w:eastAsia="宋体" w:cs="宋体"/>
          <w:color w:val="auto"/>
          <w:sz w:val="24"/>
          <w:szCs w:val="24"/>
          <w:highlight w:val="none"/>
          <w:u w:val="single"/>
        </w:rPr>
        <w:t xml:space="preserve">                                </w:t>
      </w:r>
    </w:p>
    <w:p w14:paraId="54D54BA7">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代理人无转委托权。</w:t>
      </w:r>
    </w:p>
    <w:tbl>
      <w:tblPr>
        <w:tblStyle w:val="37"/>
        <w:tblpPr w:leftFromText="180" w:rightFromText="180" w:vertAnchor="text" w:horzAnchor="page" w:tblpX="3166" w:tblpY="8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0"/>
      </w:tblGrid>
      <w:tr w14:paraId="304B1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5800" w:type="dxa"/>
            <w:vAlign w:val="center"/>
          </w:tcPr>
          <w:p w14:paraId="7BA3650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vertAlign w:val="baseline"/>
              </w:rPr>
            </w:pPr>
            <w:r>
              <w:rPr>
                <w:rFonts w:hint="eastAsia" w:ascii="宋体" w:hAnsi="宋体" w:eastAsia="宋体" w:cs="宋体"/>
                <w:color w:val="auto"/>
                <w:sz w:val="24"/>
                <w:szCs w:val="24"/>
                <w:highlight w:val="none"/>
              </w:rPr>
              <w:t>法定代表人（负责人）身份证</w:t>
            </w:r>
            <w:r>
              <w:rPr>
                <w:rFonts w:hint="eastAsia" w:ascii="宋体" w:hAnsi="宋体" w:eastAsia="宋体" w:cs="宋体"/>
                <w:color w:val="auto"/>
                <w:sz w:val="24"/>
                <w:szCs w:val="24"/>
                <w:highlight w:val="none"/>
                <w:lang w:eastAsia="zh-CN"/>
              </w:rPr>
              <w:t>正、反</w:t>
            </w:r>
            <w:r>
              <w:rPr>
                <w:rFonts w:hint="eastAsia" w:ascii="宋体" w:hAnsi="宋体" w:eastAsia="宋体" w:cs="宋体"/>
                <w:color w:val="auto"/>
                <w:sz w:val="24"/>
                <w:szCs w:val="24"/>
                <w:highlight w:val="none"/>
              </w:rPr>
              <w:t>复印件</w:t>
            </w:r>
          </w:p>
        </w:tc>
      </w:tr>
    </w:tbl>
    <w:p w14:paraId="6029525D">
      <w:pPr>
        <w:spacing w:line="360" w:lineRule="auto"/>
        <w:ind w:firstLine="420" w:firstLineChars="200"/>
        <w:rPr>
          <w:rFonts w:hint="eastAsia" w:ascii="宋体" w:hAnsi="宋体" w:eastAsia="宋体" w:cs="宋体"/>
          <w:color w:val="auto"/>
          <w:highlight w:val="none"/>
        </w:rPr>
      </w:pPr>
    </w:p>
    <w:p w14:paraId="7E39B363">
      <w:pPr>
        <w:spacing w:line="360" w:lineRule="auto"/>
        <w:ind w:firstLine="420" w:firstLineChars="200"/>
        <w:rPr>
          <w:rFonts w:hint="eastAsia" w:ascii="宋体" w:hAnsi="宋体" w:eastAsia="宋体" w:cs="宋体"/>
          <w:color w:val="auto"/>
          <w:highlight w:val="none"/>
        </w:rPr>
      </w:pPr>
    </w:p>
    <w:p w14:paraId="346C77E1">
      <w:pPr>
        <w:spacing w:line="360" w:lineRule="auto"/>
        <w:ind w:firstLine="420" w:firstLineChars="200"/>
        <w:rPr>
          <w:rFonts w:hint="eastAsia" w:ascii="宋体" w:hAnsi="宋体" w:eastAsia="宋体" w:cs="宋体"/>
          <w:color w:val="auto"/>
          <w:highlight w:val="none"/>
        </w:rPr>
      </w:pPr>
    </w:p>
    <w:p w14:paraId="7C4AD6A6">
      <w:pPr>
        <w:spacing w:line="360" w:lineRule="auto"/>
        <w:ind w:firstLine="420" w:firstLineChars="200"/>
        <w:rPr>
          <w:rFonts w:hint="eastAsia" w:ascii="宋体" w:hAnsi="宋体" w:eastAsia="宋体" w:cs="宋体"/>
          <w:color w:val="auto"/>
          <w:highlight w:val="none"/>
        </w:rPr>
      </w:pPr>
    </w:p>
    <w:p w14:paraId="758571AD">
      <w:pPr>
        <w:spacing w:line="360" w:lineRule="auto"/>
        <w:ind w:firstLine="420" w:firstLineChars="200"/>
        <w:rPr>
          <w:rFonts w:hint="eastAsia" w:ascii="宋体" w:hAnsi="宋体" w:eastAsia="宋体" w:cs="宋体"/>
          <w:color w:val="auto"/>
          <w:highlight w:val="none"/>
        </w:rPr>
      </w:pPr>
    </w:p>
    <w:p w14:paraId="5920FF4C">
      <w:pPr>
        <w:spacing w:line="360" w:lineRule="auto"/>
        <w:ind w:right="-13" w:rightChars="-6"/>
        <w:jc w:val="right"/>
        <w:rPr>
          <w:rFonts w:hint="eastAsia" w:ascii="宋体" w:hAnsi="宋体" w:eastAsia="宋体" w:cs="宋体"/>
          <w:color w:val="auto"/>
          <w:highlight w:val="none"/>
        </w:rPr>
      </w:pPr>
    </w:p>
    <w:p w14:paraId="3F01B298">
      <w:pPr>
        <w:spacing w:line="360" w:lineRule="auto"/>
        <w:ind w:right="-13" w:rightChars="-6" w:firstLine="2160" w:firstLineChars="9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60B3E525">
      <w:pPr>
        <w:spacing w:line="360" w:lineRule="auto"/>
        <w:ind w:firstLine="3840" w:firstLineChars="1600"/>
        <w:jc w:val="center"/>
        <w:rPr>
          <w:rFonts w:hint="eastAsia" w:ascii="宋体" w:hAnsi="宋体" w:eastAsia="宋体" w:cs="宋体"/>
          <w:color w:val="auto"/>
          <w:sz w:val="24"/>
          <w:szCs w:val="24"/>
          <w:highlight w:val="none"/>
        </w:rPr>
      </w:pPr>
    </w:p>
    <w:p w14:paraId="7526FB3A">
      <w:pPr>
        <w:spacing w:line="360" w:lineRule="auto"/>
        <w:ind w:right="-13" w:rightChars="-6" w:firstLine="2160" w:firstLineChars="9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字）</w:t>
      </w:r>
    </w:p>
    <w:tbl>
      <w:tblPr>
        <w:tblStyle w:val="37"/>
        <w:tblpPr w:leftFromText="180" w:rightFromText="180" w:vertAnchor="text" w:horzAnchor="page" w:tblpX="3178" w:tblpY="1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7"/>
      </w:tblGrid>
      <w:tr w14:paraId="176EB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5767" w:type="dxa"/>
            <w:vAlign w:val="center"/>
          </w:tcPr>
          <w:p w14:paraId="369E6CB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vertAlign w:val="baseline"/>
              </w:rPr>
            </w:pPr>
            <w:r>
              <w:rPr>
                <w:rFonts w:hint="eastAsia" w:ascii="宋体" w:hAnsi="宋体" w:eastAsia="宋体" w:cs="宋体"/>
                <w:color w:val="auto"/>
                <w:sz w:val="24"/>
                <w:szCs w:val="24"/>
                <w:highlight w:val="none"/>
                <w:lang w:eastAsia="zh-CN"/>
              </w:rPr>
              <w:t>委托代理人</w:t>
            </w:r>
            <w:r>
              <w:rPr>
                <w:rFonts w:hint="eastAsia" w:ascii="宋体" w:hAnsi="宋体" w:eastAsia="宋体" w:cs="宋体"/>
                <w:color w:val="auto"/>
                <w:sz w:val="24"/>
                <w:szCs w:val="24"/>
                <w:highlight w:val="none"/>
              </w:rPr>
              <w:t>身份证</w:t>
            </w:r>
            <w:r>
              <w:rPr>
                <w:rFonts w:hint="eastAsia" w:ascii="宋体" w:hAnsi="宋体" w:eastAsia="宋体" w:cs="宋体"/>
                <w:color w:val="auto"/>
                <w:sz w:val="24"/>
                <w:szCs w:val="24"/>
                <w:highlight w:val="none"/>
                <w:lang w:eastAsia="zh-CN"/>
              </w:rPr>
              <w:t>正、反</w:t>
            </w:r>
            <w:r>
              <w:rPr>
                <w:rFonts w:hint="eastAsia" w:ascii="宋体" w:hAnsi="宋体" w:eastAsia="宋体" w:cs="宋体"/>
                <w:color w:val="auto"/>
                <w:sz w:val="24"/>
                <w:szCs w:val="24"/>
                <w:highlight w:val="none"/>
              </w:rPr>
              <w:t>复印件</w:t>
            </w:r>
          </w:p>
        </w:tc>
      </w:tr>
    </w:tbl>
    <w:p w14:paraId="3E51A635">
      <w:pPr>
        <w:spacing w:line="360" w:lineRule="auto"/>
        <w:ind w:firstLine="420" w:firstLineChars="200"/>
        <w:rPr>
          <w:rFonts w:hint="eastAsia" w:ascii="宋体" w:hAnsi="宋体" w:eastAsia="宋体" w:cs="宋体"/>
          <w:color w:val="auto"/>
          <w:highlight w:val="none"/>
        </w:rPr>
      </w:pPr>
    </w:p>
    <w:p w14:paraId="17B52B98">
      <w:pPr>
        <w:spacing w:line="360" w:lineRule="auto"/>
        <w:ind w:firstLine="420" w:firstLineChars="200"/>
        <w:rPr>
          <w:rFonts w:hint="eastAsia" w:ascii="宋体" w:hAnsi="宋体" w:eastAsia="宋体" w:cs="宋体"/>
          <w:color w:val="auto"/>
          <w:highlight w:val="none"/>
        </w:rPr>
      </w:pPr>
    </w:p>
    <w:p w14:paraId="5F24B4F2">
      <w:pPr>
        <w:spacing w:line="360" w:lineRule="auto"/>
        <w:ind w:firstLine="420" w:firstLineChars="200"/>
        <w:rPr>
          <w:rFonts w:hint="eastAsia" w:ascii="宋体" w:hAnsi="宋体" w:eastAsia="宋体" w:cs="宋体"/>
          <w:color w:val="auto"/>
          <w:highlight w:val="none"/>
        </w:rPr>
      </w:pPr>
    </w:p>
    <w:p w14:paraId="7B2DC53A">
      <w:pPr>
        <w:spacing w:line="360" w:lineRule="auto"/>
        <w:ind w:firstLine="420" w:firstLineChars="200"/>
        <w:rPr>
          <w:rFonts w:hint="eastAsia" w:ascii="宋体" w:hAnsi="宋体" w:eastAsia="宋体" w:cs="宋体"/>
          <w:color w:val="auto"/>
          <w:highlight w:val="none"/>
        </w:rPr>
      </w:pPr>
    </w:p>
    <w:p w14:paraId="51512A1C">
      <w:pPr>
        <w:spacing w:line="360" w:lineRule="auto"/>
        <w:ind w:firstLine="420" w:firstLineChars="200"/>
        <w:rPr>
          <w:rFonts w:hint="eastAsia" w:ascii="宋体" w:hAnsi="宋体" w:eastAsia="宋体" w:cs="宋体"/>
          <w:color w:val="auto"/>
          <w:highlight w:val="none"/>
        </w:rPr>
      </w:pPr>
    </w:p>
    <w:p w14:paraId="4D00632C">
      <w:pPr>
        <w:wordWrap w:val="0"/>
        <w:spacing w:line="360" w:lineRule="auto"/>
        <w:ind w:right="-13" w:rightChars="-6"/>
        <w:jc w:val="right"/>
        <w:rPr>
          <w:rFonts w:hint="eastAsia" w:ascii="宋体" w:hAnsi="宋体" w:eastAsia="宋体" w:cs="宋体"/>
          <w:color w:val="auto"/>
          <w:sz w:val="24"/>
          <w:szCs w:val="24"/>
          <w:highlight w:val="none"/>
        </w:rPr>
      </w:pPr>
    </w:p>
    <w:p w14:paraId="1D35564E">
      <w:pPr>
        <w:wordWrap w:val="0"/>
        <w:spacing w:line="360" w:lineRule="auto"/>
        <w:ind w:right="-13" w:rightChars="-6" w:firstLine="2640" w:firstLineChars="1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（签字）性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别：</w:t>
      </w:r>
      <w:r>
        <w:rPr>
          <w:rFonts w:hint="eastAsia" w:ascii="宋体" w:hAnsi="宋体" w:eastAsia="宋体" w:cs="宋体"/>
          <w:color w:val="auto"/>
          <w:sz w:val="24"/>
          <w:szCs w:val="24"/>
          <w:highlight w:val="none"/>
          <w:u w:val="single"/>
        </w:rPr>
        <w:t xml:space="preserve">          </w:t>
      </w:r>
    </w:p>
    <w:p w14:paraId="2F822C1A">
      <w:pPr>
        <w:spacing w:line="360" w:lineRule="auto"/>
        <w:ind w:right="-13" w:rightChars="-6"/>
        <w:jc w:val="right"/>
        <w:rPr>
          <w:rFonts w:hint="eastAsia" w:ascii="宋体" w:hAnsi="宋体" w:eastAsia="宋体" w:cs="宋体"/>
          <w:color w:val="auto"/>
          <w:sz w:val="24"/>
          <w:szCs w:val="24"/>
          <w:highlight w:val="none"/>
        </w:rPr>
      </w:pPr>
    </w:p>
    <w:p w14:paraId="71FF5F45">
      <w:pPr>
        <w:wordWrap w:val="0"/>
        <w:spacing w:line="360" w:lineRule="auto"/>
        <w:ind w:right="-13" w:rightChars="-6" w:firstLine="2640" w:firstLineChars="1100"/>
        <w:jc w:val="both"/>
        <w:rPr>
          <w:rFonts w:hint="eastAsia" w:ascii="宋体" w:hAnsi="宋体" w:eastAsia="宋体" w:cs="宋体"/>
          <w:color w:val="auto"/>
          <w:highlight w:val="none"/>
          <w:u w:val="single"/>
        </w:rPr>
      </w:pP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职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务：</w:t>
      </w:r>
      <w:r>
        <w:rPr>
          <w:rFonts w:hint="eastAsia" w:ascii="宋体" w:hAnsi="宋体" w:eastAsia="宋体" w:cs="宋体"/>
          <w:color w:val="auto"/>
          <w:sz w:val="24"/>
          <w:szCs w:val="24"/>
          <w:highlight w:val="none"/>
          <w:u w:val="single"/>
        </w:rPr>
        <w:t xml:space="preserve">         </w:t>
      </w:r>
    </w:p>
    <w:p w14:paraId="10D6A4D8">
      <w:pPr>
        <w:spacing w:line="360" w:lineRule="auto"/>
        <w:ind w:firstLine="1200" w:firstLineChars="500"/>
        <w:jc w:val="right"/>
        <w:rPr>
          <w:rFonts w:hint="eastAsia" w:ascii="宋体" w:hAnsi="宋体" w:eastAsia="宋体" w:cs="宋体"/>
          <w:color w:val="auto"/>
          <w:sz w:val="24"/>
          <w:szCs w:val="24"/>
          <w:highlight w:val="none"/>
          <w:u w:val="single"/>
        </w:rPr>
      </w:pPr>
    </w:p>
    <w:p w14:paraId="5B60F991">
      <w:pPr>
        <w:pStyle w:val="14"/>
        <w:keepNext w:val="0"/>
        <w:keepLines w:val="0"/>
        <w:pageBreakBefore w:val="0"/>
        <w:widowControl w:val="0"/>
        <w:tabs>
          <w:tab w:val="left" w:pos="5352"/>
          <w:tab w:val="left" w:pos="6192"/>
          <w:tab w:val="left" w:pos="7032"/>
        </w:tabs>
        <w:kinsoku/>
        <w:wordWrap/>
        <w:overflowPunct/>
        <w:topLinePunct w:val="0"/>
        <w:autoSpaceDE/>
        <w:autoSpaceDN/>
        <w:bidi w:val="0"/>
        <w:adjustRightInd/>
        <w:snapToGrid/>
        <w:spacing w:line="500" w:lineRule="exact"/>
        <w:ind w:left="0" w:right="0" w:firstLine="496" w:firstLineChars="200"/>
        <w:jc w:val="righ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000000" w:themeColor="text1"/>
          <w:sz w:val="24"/>
          <w:szCs w:val="24"/>
          <w:highlight w:val="none"/>
          <w14:textFill>
            <w14:solidFill>
              <w14:schemeClr w14:val="tx1"/>
            </w14:solidFill>
          </w14:textFill>
        </w:rPr>
        <w:t>日  期：</w:t>
      </w:r>
      <w:r>
        <w:rPr>
          <w:rFonts w:hint="eastAsia" w:ascii="宋体" w:hAnsi="宋体" w:eastAsia="宋体" w:cs="宋体"/>
          <w:b w:val="0"/>
          <w:bCs w:val="0"/>
          <w:color w:val="auto"/>
          <w:szCs w:val="24"/>
          <w:highlight w:val="none"/>
          <w:u w:val="single"/>
        </w:rPr>
        <w:t xml:space="preserve">      </w:t>
      </w:r>
      <w:r>
        <w:rPr>
          <w:rFonts w:hint="eastAsia" w:ascii="宋体" w:hAnsi="宋体" w:eastAsia="宋体" w:cs="宋体"/>
          <w:b w:val="0"/>
          <w:bCs w:val="0"/>
          <w:color w:val="auto"/>
          <w:szCs w:val="24"/>
          <w:highlight w:val="none"/>
        </w:rPr>
        <w:t>年</w:t>
      </w:r>
      <w:r>
        <w:rPr>
          <w:rFonts w:hint="eastAsia" w:ascii="宋体" w:hAnsi="宋体" w:eastAsia="宋体" w:cs="宋体"/>
          <w:b w:val="0"/>
          <w:bCs w:val="0"/>
          <w:color w:val="auto"/>
          <w:szCs w:val="24"/>
          <w:highlight w:val="none"/>
          <w:u w:val="single"/>
        </w:rPr>
        <w:t xml:space="preserve">    </w:t>
      </w:r>
      <w:r>
        <w:rPr>
          <w:rFonts w:hint="eastAsia" w:ascii="宋体" w:hAnsi="宋体" w:eastAsia="宋体" w:cs="宋体"/>
          <w:b w:val="0"/>
          <w:bCs w:val="0"/>
          <w:color w:val="auto"/>
          <w:szCs w:val="24"/>
          <w:highlight w:val="none"/>
        </w:rPr>
        <w:t>月</w:t>
      </w:r>
      <w:r>
        <w:rPr>
          <w:rFonts w:hint="eastAsia" w:ascii="宋体" w:hAnsi="宋体" w:eastAsia="宋体" w:cs="宋体"/>
          <w:b w:val="0"/>
          <w:bCs w:val="0"/>
          <w:color w:val="auto"/>
          <w:szCs w:val="24"/>
          <w:highlight w:val="none"/>
          <w:u w:val="single"/>
        </w:rPr>
        <w:t xml:space="preserve">     </w:t>
      </w:r>
      <w:r>
        <w:rPr>
          <w:rFonts w:hint="eastAsia" w:ascii="宋体" w:hAnsi="宋体" w:eastAsia="宋体" w:cs="宋体"/>
          <w:b w:val="0"/>
          <w:bCs w:val="0"/>
          <w:color w:val="auto"/>
          <w:szCs w:val="24"/>
          <w:highlight w:val="none"/>
        </w:rPr>
        <w:t>日</w:t>
      </w:r>
    </w:p>
    <w:p w14:paraId="0A23648B">
      <w:pPr>
        <w:pStyle w:val="14"/>
        <w:keepNext w:val="0"/>
        <w:keepLines w:val="0"/>
        <w:pageBreakBefore w:val="0"/>
        <w:widowControl w:val="0"/>
        <w:tabs>
          <w:tab w:val="left" w:pos="5352"/>
          <w:tab w:val="left" w:pos="6192"/>
          <w:tab w:val="left" w:pos="7032"/>
        </w:tabs>
        <w:kinsoku/>
        <w:wordWrap/>
        <w:overflowPunct/>
        <w:topLinePunct w:val="0"/>
        <w:autoSpaceDE/>
        <w:autoSpaceDN/>
        <w:bidi w:val="0"/>
        <w:adjustRightInd/>
        <w:snapToGrid/>
        <w:spacing w:line="360" w:lineRule="auto"/>
        <w:ind w:left="0" w:right="0" w:firstLine="496" w:firstLineChars="200"/>
        <w:textAlignment w:val="auto"/>
        <w:rPr>
          <w:rFonts w:hint="eastAsia" w:ascii="宋体" w:hAnsi="宋体" w:eastAsia="宋体" w:cs="宋体"/>
          <w:b w:val="0"/>
          <w:bCs w:val="0"/>
          <w:color w:val="auto"/>
          <w:sz w:val="24"/>
          <w:szCs w:val="24"/>
          <w:highlight w:val="none"/>
          <w:lang w:eastAsia="zh-CN"/>
        </w:rPr>
      </w:pPr>
    </w:p>
    <w:p w14:paraId="668227B9">
      <w:pPr>
        <w:pStyle w:val="88"/>
        <w:keepNext w:val="0"/>
        <w:keepLines w:val="0"/>
        <w:pageBreakBefore w:val="0"/>
        <w:widowControl w:val="0"/>
        <w:kinsoku/>
        <w:wordWrap/>
        <w:overflowPunct/>
        <w:topLinePunct w:val="0"/>
        <w:autoSpaceDE/>
        <w:autoSpaceDN/>
        <w:bidi w:val="0"/>
        <w:adjustRightInd/>
        <w:snapToGrid/>
        <w:spacing w:line="500" w:lineRule="exact"/>
        <w:ind w:left="0" w:right="57"/>
        <w:jc w:val="center"/>
        <w:textAlignment w:val="auto"/>
        <w:outlineLvl w:val="1"/>
        <w:rPr>
          <w:rFonts w:hint="eastAsia" w:ascii="宋体" w:hAnsi="宋体" w:eastAsia="宋体" w:cs="宋体"/>
          <w:color w:val="auto"/>
          <w:highlight w:val="none"/>
          <w:lang w:eastAsia="zh-CN"/>
        </w:rPr>
      </w:pPr>
      <w:bookmarkStart w:id="88" w:name="_Toc30436"/>
      <w:bookmarkStart w:id="89" w:name="_Toc29864"/>
      <w:bookmarkStart w:id="90" w:name="_Toc15363"/>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lang w:eastAsia="zh-CN"/>
        </w:rPr>
        <w:t>、投标保证金</w:t>
      </w:r>
      <w:bookmarkEnd w:id="88"/>
      <w:bookmarkEnd w:id="89"/>
      <w:bookmarkEnd w:id="90"/>
    </w:p>
    <w:p w14:paraId="6F1323E7">
      <w:pPr>
        <w:pStyle w:val="14"/>
        <w:pageBreakBefore w:val="0"/>
        <w:kinsoku/>
        <w:wordWrap/>
        <w:overflowPunct/>
        <w:topLinePunct w:val="0"/>
        <w:bidi w:val="0"/>
        <w:spacing w:before="15" w:line="500" w:lineRule="exact"/>
        <w:rPr>
          <w:rFonts w:hint="eastAsia" w:ascii="宋体" w:hAnsi="宋体" w:eastAsia="宋体" w:cs="宋体"/>
          <w:b w:val="0"/>
          <w:bCs w:val="0"/>
          <w:color w:val="auto"/>
          <w:sz w:val="38"/>
          <w:highlight w:val="none"/>
          <w:lang w:eastAsia="zh-CN"/>
        </w:rPr>
      </w:pPr>
    </w:p>
    <w:p w14:paraId="6B29A1D7">
      <w:pPr>
        <w:pStyle w:val="14"/>
        <w:keepNext w:val="0"/>
        <w:keepLines w:val="0"/>
        <w:pageBreakBefore w:val="0"/>
        <w:widowControl w:val="0"/>
        <w:kinsoku/>
        <w:wordWrap/>
        <w:overflowPunct/>
        <w:topLinePunct w:val="0"/>
        <w:autoSpaceDE/>
        <w:autoSpaceDN/>
        <w:bidi w:val="0"/>
        <w:adjustRightInd/>
        <w:snapToGrid/>
        <w:spacing w:line="360" w:lineRule="auto"/>
        <w:ind w:left="0" w:right="0" w:firstLine="496"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若采用现金或支票，投标人应在此提供汇款凭证的复印件</w:t>
      </w:r>
      <w:r>
        <w:rPr>
          <w:rFonts w:hint="eastAsia" w:ascii="宋体" w:hAnsi="宋体" w:eastAsia="宋体" w:cs="宋体"/>
          <w:b w:val="0"/>
          <w:bCs w:val="0"/>
          <w:color w:val="000000" w:themeColor="text1"/>
          <w:kern w:val="0"/>
          <w:sz w:val="24"/>
          <w:szCs w:val="24"/>
          <w:highlight w:val="none"/>
          <w14:textFill>
            <w14:solidFill>
              <w14:schemeClr w14:val="tx1"/>
            </w14:solidFill>
          </w14:textFill>
        </w:rPr>
        <w:t>、</w:t>
      </w:r>
      <w:r>
        <w:rPr>
          <w:rFonts w:hint="eastAsia" w:ascii="宋体" w:hAnsi="宋体" w:eastAsia="宋体" w:cs="宋体"/>
          <w:b w:val="0"/>
          <w:bCs w:val="0"/>
          <w:color w:val="auto"/>
          <w:sz w:val="24"/>
          <w:szCs w:val="24"/>
          <w:highlight w:val="none"/>
        </w:rPr>
        <w:t>基本</w:t>
      </w:r>
      <w:r>
        <w:rPr>
          <w:rFonts w:hint="eastAsia" w:ascii="宋体" w:hAnsi="宋体" w:eastAsia="宋体" w:cs="宋体"/>
          <w:b w:val="0"/>
          <w:bCs w:val="0"/>
          <w:color w:val="auto"/>
          <w:sz w:val="24"/>
          <w:szCs w:val="24"/>
          <w:highlight w:val="none"/>
          <w:lang w:eastAsia="zh-CN"/>
        </w:rPr>
        <w:t>存款</w:t>
      </w:r>
      <w:r>
        <w:rPr>
          <w:rFonts w:hint="eastAsia" w:ascii="宋体" w:hAnsi="宋体" w:eastAsia="宋体" w:cs="宋体"/>
          <w:b w:val="0"/>
          <w:bCs w:val="0"/>
          <w:color w:val="auto"/>
          <w:sz w:val="24"/>
          <w:szCs w:val="24"/>
          <w:highlight w:val="none"/>
        </w:rPr>
        <w:t>账户</w:t>
      </w:r>
      <w:r>
        <w:rPr>
          <w:rFonts w:hint="eastAsia" w:ascii="宋体" w:hAnsi="宋体" w:eastAsia="宋体" w:cs="宋体"/>
          <w:b w:val="0"/>
          <w:bCs w:val="0"/>
          <w:color w:val="auto"/>
          <w:sz w:val="24"/>
          <w:szCs w:val="24"/>
          <w:highlight w:val="none"/>
          <w:lang w:eastAsia="zh-CN"/>
        </w:rPr>
        <w:t>信息（</w:t>
      </w:r>
      <w:r>
        <w:rPr>
          <w:rFonts w:hint="eastAsia" w:ascii="宋体" w:hAnsi="宋体" w:eastAsia="宋体" w:cs="宋体"/>
          <w:b w:val="0"/>
          <w:bCs w:val="0"/>
          <w:color w:val="auto"/>
          <w:sz w:val="24"/>
          <w:szCs w:val="24"/>
          <w:highlight w:val="none"/>
        </w:rPr>
        <w:t>开户许可证</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000000" w:themeColor="text1"/>
          <w:kern w:val="0"/>
          <w:sz w:val="24"/>
          <w:szCs w:val="24"/>
          <w:highlight w:val="none"/>
          <w14:textFill>
            <w14:solidFill>
              <w14:schemeClr w14:val="tx1"/>
            </w14:solidFill>
          </w14:textFill>
        </w:rPr>
        <w:t>复印件</w:t>
      </w:r>
      <w:r>
        <w:rPr>
          <w:rFonts w:hint="eastAsia" w:ascii="宋体" w:hAnsi="宋体" w:eastAsia="宋体" w:cs="宋体"/>
          <w:b w:val="0"/>
          <w:bCs w:val="0"/>
          <w:color w:val="auto"/>
          <w:sz w:val="24"/>
          <w:szCs w:val="24"/>
          <w:highlight w:val="none"/>
          <w:lang w:eastAsia="zh-CN"/>
        </w:rPr>
        <w:t>。 如采用银行保函，格式如下。</w:t>
      </w:r>
    </w:p>
    <w:p w14:paraId="73143159">
      <w:pPr>
        <w:pStyle w:val="14"/>
        <w:keepNext w:val="0"/>
        <w:keepLines w:val="0"/>
        <w:pageBreakBefore w:val="0"/>
        <w:widowControl w:val="0"/>
        <w:tabs>
          <w:tab w:val="left" w:pos="1780"/>
        </w:tabs>
        <w:kinsoku/>
        <w:wordWrap/>
        <w:overflowPunct/>
        <w:topLinePunct w:val="0"/>
        <w:autoSpaceDE/>
        <w:autoSpaceDN/>
        <w:bidi w:val="0"/>
        <w:adjustRightInd/>
        <w:snapToGrid/>
        <w:spacing w:line="360" w:lineRule="auto"/>
        <w:ind w:left="0" w:right="0" w:firstLine="496" w:firstLineChars="200"/>
        <w:textAlignment w:val="auto"/>
        <w:rPr>
          <w:rFonts w:hint="eastAsia" w:ascii="宋体" w:hAnsi="宋体" w:eastAsia="宋体" w:cs="宋体"/>
          <w:b w:val="0"/>
          <w:bCs w:val="0"/>
          <w:color w:val="auto"/>
          <w:spacing w:val="-108"/>
          <w:sz w:val="24"/>
          <w:szCs w:val="24"/>
          <w:highlight w:val="none"/>
          <w:lang w:eastAsia="zh-CN"/>
        </w:rPr>
      </w:pPr>
      <w:r>
        <w:rPr>
          <w:rFonts w:hint="eastAsia" w:ascii="宋体" w:hAnsi="宋体" w:eastAsia="宋体" w:cs="宋体"/>
          <w:b w:val="0"/>
          <w:bCs w:val="0"/>
          <w:color w:val="auto"/>
          <w:sz w:val="24"/>
          <w:szCs w:val="24"/>
          <w:highlight w:val="none"/>
          <w:u w:val="single"/>
          <w:lang w:eastAsia="zh-CN"/>
        </w:rPr>
        <w:t xml:space="preserve"> </w:t>
      </w:r>
      <w:r>
        <w:rPr>
          <w:rFonts w:hint="eastAsia" w:ascii="宋体" w:hAnsi="宋体" w:eastAsia="宋体" w:cs="宋体"/>
          <w:b w:val="0"/>
          <w:bCs w:val="0"/>
          <w:color w:val="auto"/>
          <w:sz w:val="24"/>
          <w:szCs w:val="24"/>
          <w:highlight w:val="none"/>
          <w:u w:val="single"/>
          <w:lang w:eastAsia="zh-CN"/>
        </w:rPr>
        <w:tab/>
      </w:r>
      <w:r>
        <w:rPr>
          <w:rFonts w:hint="eastAsia" w:ascii="宋体" w:hAnsi="宋体" w:eastAsia="宋体" w:cs="宋体"/>
          <w:b w:val="0"/>
          <w:bCs w:val="0"/>
          <w:color w:val="auto"/>
          <w:sz w:val="24"/>
          <w:szCs w:val="24"/>
          <w:highlight w:val="none"/>
          <w:lang w:eastAsia="zh-CN"/>
        </w:rPr>
        <w:t>(招</w:t>
      </w:r>
      <w:r>
        <w:rPr>
          <w:rFonts w:hint="eastAsia" w:ascii="宋体" w:hAnsi="宋体" w:eastAsia="宋体" w:cs="宋体"/>
          <w:b w:val="0"/>
          <w:bCs w:val="0"/>
          <w:color w:val="auto"/>
          <w:spacing w:val="-3"/>
          <w:sz w:val="24"/>
          <w:szCs w:val="24"/>
          <w:highlight w:val="none"/>
          <w:lang w:eastAsia="zh-CN"/>
        </w:rPr>
        <w:t>标</w:t>
      </w:r>
      <w:r>
        <w:rPr>
          <w:rFonts w:hint="eastAsia" w:ascii="宋体" w:hAnsi="宋体" w:eastAsia="宋体" w:cs="宋体"/>
          <w:b w:val="0"/>
          <w:bCs w:val="0"/>
          <w:color w:val="auto"/>
          <w:sz w:val="24"/>
          <w:szCs w:val="24"/>
          <w:highlight w:val="none"/>
          <w:lang w:eastAsia="zh-CN"/>
        </w:rPr>
        <w:t>人</w:t>
      </w:r>
      <w:r>
        <w:rPr>
          <w:rFonts w:hint="eastAsia" w:ascii="宋体" w:hAnsi="宋体" w:eastAsia="宋体" w:cs="宋体"/>
          <w:b w:val="0"/>
          <w:bCs w:val="0"/>
          <w:color w:val="auto"/>
          <w:spacing w:val="-3"/>
          <w:sz w:val="24"/>
          <w:szCs w:val="24"/>
          <w:highlight w:val="none"/>
          <w:lang w:eastAsia="zh-CN"/>
        </w:rPr>
        <w:t>名</w:t>
      </w:r>
      <w:r>
        <w:rPr>
          <w:rFonts w:hint="eastAsia" w:ascii="宋体" w:hAnsi="宋体" w:eastAsia="宋体" w:cs="宋体"/>
          <w:b w:val="0"/>
          <w:bCs w:val="0"/>
          <w:color w:val="auto"/>
          <w:sz w:val="24"/>
          <w:szCs w:val="24"/>
          <w:highlight w:val="none"/>
          <w:lang w:eastAsia="zh-CN"/>
        </w:rPr>
        <w:t>称</w:t>
      </w:r>
      <w:r>
        <w:rPr>
          <w:rFonts w:hint="eastAsia" w:ascii="宋体" w:hAnsi="宋体" w:eastAsia="宋体" w:cs="宋体"/>
          <w:b w:val="0"/>
          <w:bCs w:val="0"/>
          <w:color w:val="auto"/>
          <w:spacing w:val="-108"/>
          <w:sz w:val="24"/>
          <w:szCs w:val="24"/>
          <w:highlight w:val="none"/>
          <w:lang w:eastAsia="zh-CN"/>
        </w:rPr>
        <w:t>）</w:t>
      </w:r>
    </w:p>
    <w:p w14:paraId="5B660727">
      <w:pPr>
        <w:pStyle w:val="14"/>
        <w:keepNext w:val="0"/>
        <w:keepLines w:val="0"/>
        <w:pageBreakBefore w:val="0"/>
        <w:widowControl w:val="0"/>
        <w:tabs>
          <w:tab w:val="left" w:pos="1780"/>
        </w:tabs>
        <w:kinsoku/>
        <w:wordWrap/>
        <w:overflowPunct/>
        <w:topLinePunct w:val="0"/>
        <w:autoSpaceDE/>
        <w:autoSpaceDN/>
        <w:bidi w:val="0"/>
        <w:adjustRightInd/>
        <w:snapToGrid/>
        <w:spacing w:line="360" w:lineRule="auto"/>
        <w:ind w:left="0" w:right="0" w:firstLine="48" w:firstLineChars="200"/>
        <w:textAlignment w:val="auto"/>
        <w:rPr>
          <w:rFonts w:hint="eastAsia" w:ascii="宋体" w:hAnsi="宋体" w:eastAsia="宋体" w:cs="宋体"/>
          <w:b w:val="0"/>
          <w:bCs w:val="0"/>
          <w:color w:val="auto"/>
          <w:spacing w:val="-108"/>
          <w:sz w:val="24"/>
          <w:szCs w:val="24"/>
          <w:highlight w:val="none"/>
          <w:lang w:eastAsia="zh-CN"/>
        </w:rPr>
      </w:pPr>
    </w:p>
    <w:p w14:paraId="52424CDF">
      <w:pPr>
        <w:pStyle w:val="14"/>
        <w:keepNext w:val="0"/>
        <w:keepLines w:val="0"/>
        <w:pageBreakBefore w:val="0"/>
        <w:widowControl w:val="0"/>
        <w:tabs>
          <w:tab w:val="left" w:pos="2291"/>
          <w:tab w:val="left" w:pos="2395"/>
          <w:tab w:val="left" w:pos="6538"/>
          <w:tab w:val="left" w:pos="6658"/>
          <w:tab w:val="left" w:pos="7481"/>
          <w:tab w:val="left" w:pos="8506"/>
        </w:tabs>
        <w:kinsoku/>
        <w:wordWrap/>
        <w:overflowPunct/>
        <w:topLinePunct w:val="0"/>
        <w:autoSpaceDE/>
        <w:autoSpaceDN/>
        <w:bidi w:val="0"/>
        <w:adjustRightInd/>
        <w:snapToGrid/>
        <w:spacing w:line="360" w:lineRule="auto"/>
        <w:ind w:left="0" w:right="0" w:firstLine="496"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eastAsia="zh-CN"/>
        </w:rPr>
        <w:t>鉴于</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pacing w:val="-3"/>
          <w:sz w:val="24"/>
          <w:szCs w:val="24"/>
          <w:highlight w:val="none"/>
          <w:lang w:eastAsia="zh-CN"/>
        </w:rPr>
        <w:t>(投</w:t>
      </w:r>
      <w:r>
        <w:rPr>
          <w:rFonts w:hint="eastAsia" w:ascii="宋体" w:hAnsi="宋体" w:eastAsia="宋体" w:cs="宋体"/>
          <w:b w:val="0"/>
          <w:bCs w:val="0"/>
          <w:color w:val="auto"/>
          <w:sz w:val="24"/>
          <w:szCs w:val="24"/>
          <w:highlight w:val="none"/>
          <w:lang w:eastAsia="zh-CN"/>
        </w:rPr>
        <w:t>标人</w:t>
      </w:r>
      <w:r>
        <w:rPr>
          <w:rFonts w:hint="eastAsia" w:ascii="宋体" w:hAnsi="宋体" w:eastAsia="宋体" w:cs="宋体"/>
          <w:b w:val="0"/>
          <w:bCs w:val="0"/>
          <w:color w:val="auto"/>
          <w:spacing w:val="-3"/>
          <w:sz w:val="24"/>
          <w:szCs w:val="24"/>
          <w:highlight w:val="none"/>
          <w:lang w:eastAsia="zh-CN"/>
        </w:rPr>
        <w:t>名</w:t>
      </w:r>
      <w:r>
        <w:rPr>
          <w:rFonts w:hint="eastAsia" w:ascii="宋体" w:hAnsi="宋体" w:eastAsia="宋体" w:cs="宋体"/>
          <w:b w:val="0"/>
          <w:bCs w:val="0"/>
          <w:color w:val="auto"/>
          <w:sz w:val="24"/>
          <w:szCs w:val="24"/>
          <w:highlight w:val="none"/>
          <w:lang w:eastAsia="zh-CN"/>
        </w:rPr>
        <w:t>称）（</w:t>
      </w:r>
      <w:r>
        <w:rPr>
          <w:rFonts w:hint="eastAsia" w:ascii="宋体" w:hAnsi="宋体" w:eastAsia="宋体" w:cs="宋体"/>
          <w:b w:val="0"/>
          <w:bCs w:val="0"/>
          <w:color w:val="auto"/>
          <w:spacing w:val="-3"/>
          <w:sz w:val="24"/>
          <w:szCs w:val="24"/>
          <w:highlight w:val="none"/>
          <w:lang w:eastAsia="zh-CN"/>
        </w:rPr>
        <w:t>以</w:t>
      </w:r>
      <w:r>
        <w:rPr>
          <w:rFonts w:hint="eastAsia" w:ascii="宋体" w:hAnsi="宋体" w:eastAsia="宋体" w:cs="宋体"/>
          <w:b w:val="0"/>
          <w:bCs w:val="0"/>
          <w:color w:val="auto"/>
          <w:spacing w:val="-1"/>
          <w:sz w:val="24"/>
          <w:szCs w:val="24"/>
          <w:highlight w:val="none"/>
          <w:lang w:eastAsia="zh-CN"/>
        </w:rPr>
        <w:t>下</w:t>
      </w:r>
      <w:r>
        <w:rPr>
          <w:rFonts w:hint="eastAsia" w:ascii="宋体" w:hAnsi="宋体" w:eastAsia="宋体" w:cs="宋体"/>
          <w:b w:val="0"/>
          <w:bCs w:val="0"/>
          <w:color w:val="auto"/>
          <w:sz w:val="24"/>
          <w:szCs w:val="24"/>
          <w:highlight w:val="none"/>
          <w:lang w:eastAsia="zh-CN"/>
        </w:rPr>
        <w:t>称</w:t>
      </w:r>
      <w:r>
        <w:rPr>
          <w:rFonts w:hint="eastAsia" w:ascii="宋体" w:hAnsi="宋体" w:eastAsia="宋体" w:cs="宋体"/>
          <w:b w:val="0"/>
          <w:bCs w:val="0"/>
          <w:i/>
          <w:color w:val="auto"/>
          <w:spacing w:val="-1"/>
          <w:w w:val="80"/>
          <w:sz w:val="24"/>
          <w:szCs w:val="24"/>
          <w:highlight w:val="none"/>
          <w:lang w:eastAsia="zh-CN"/>
        </w:rPr>
        <w:t>“</w:t>
      </w:r>
      <w:r>
        <w:rPr>
          <w:rFonts w:hint="eastAsia" w:ascii="宋体" w:hAnsi="宋体" w:eastAsia="宋体" w:cs="宋体"/>
          <w:b w:val="0"/>
          <w:bCs w:val="0"/>
          <w:color w:val="auto"/>
          <w:sz w:val="24"/>
          <w:szCs w:val="24"/>
          <w:highlight w:val="none"/>
          <w:lang w:eastAsia="zh-CN"/>
        </w:rPr>
        <w:t>投</w:t>
      </w:r>
      <w:r>
        <w:rPr>
          <w:rFonts w:hint="eastAsia" w:ascii="宋体" w:hAnsi="宋体" w:eastAsia="宋体" w:cs="宋体"/>
          <w:b w:val="0"/>
          <w:bCs w:val="0"/>
          <w:color w:val="auto"/>
          <w:spacing w:val="-3"/>
          <w:sz w:val="24"/>
          <w:szCs w:val="24"/>
          <w:highlight w:val="none"/>
          <w:lang w:eastAsia="zh-CN"/>
        </w:rPr>
        <w:t>标</w:t>
      </w:r>
      <w:r>
        <w:rPr>
          <w:rFonts w:hint="eastAsia" w:ascii="宋体" w:hAnsi="宋体" w:eastAsia="宋体" w:cs="宋体"/>
          <w:b w:val="0"/>
          <w:bCs w:val="0"/>
          <w:color w:val="auto"/>
          <w:sz w:val="24"/>
          <w:szCs w:val="24"/>
          <w:highlight w:val="none"/>
          <w:lang w:eastAsia="zh-CN"/>
        </w:rPr>
        <w:t>人</w:t>
      </w:r>
      <w:r>
        <w:rPr>
          <w:rFonts w:hint="eastAsia" w:ascii="宋体" w:hAnsi="宋体" w:eastAsia="宋体" w:cs="宋体"/>
          <w:b w:val="0"/>
          <w:bCs w:val="0"/>
          <w:i/>
          <w:color w:val="auto"/>
          <w:spacing w:val="-1"/>
          <w:w w:val="80"/>
          <w:sz w:val="24"/>
          <w:szCs w:val="24"/>
          <w:highlight w:val="none"/>
          <w:lang w:eastAsia="zh-CN"/>
        </w:rPr>
        <w:t>”</w:t>
      </w:r>
      <w:r>
        <w:rPr>
          <w:rFonts w:hint="eastAsia" w:ascii="宋体" w:hAnsi="宋体" w:eastAsia="宋体" w:cs="宋体"/>
          <w:b w:val="0"/>
          <w:bCs w:val="0"/>
          <w:color w:val="auto"/>
          <w:spacing w:val="-20"/>
          <w:sz w:val="24"/>
          <w:szCs w:val="24"/>
          <w:highlight w:val="none"/>
          <w:lang w:eastAsia="zh-CN"/>
        </w:rPr>
        <w:t>)</w:t>
      </w:r>
      <w:r>
        <w:rPr>
          <w:rFonts w:hint="eastAsia" w:ascii="宋体" w:hAnsi="宋体" w:eastAsia="宋体" w:cs="宋体"/>
          <w:b w:val="0"/>
          <w:bCs w:val="0"/>
          <w:color w:val="auto"/>
          <w:sz w:val="24"/>
          <w:szCs w:val="24"/>
          <w:highlight w:val="none"/>
          <w:lang w:eastAsia="zh-CN"/>
        </w:rPr>
        <w:t>于</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eastAsia="zh-CN"/>
        </w:rPr>
        <w:t>年</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eastAsia="zh-CN"/>
        </w:rPr>
        <w:t>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eastAsia="zh-CN"/>
        </w:rPr>
        <w:t>日 参加</w:t>
      </w:r>
      <w:r>
        <w:rPr>
          <w:rFonts w:hint="eastAsia" w:ascii="宋体" w:hAnsi="宋体" w:eastAsia="宋体" w:cs="宋体"/>
          <w:b w:val="0"/>
          <w:bCs w:val="0"/>
          <w:color w:val="auto"/>
          <w:spacing w:val="-4"/>
          <w:sz w:val="24"/>
          <w:szCs w:val="24"/>
          <w:highlight w:val="none"/>
          <w:u w:val="single"/>
          <w:lang w:val="en-US" w:eastAsia="zh-CN"/>
        </w:rPr>
        <w:t xml:space="preserve">              </w:t>
      </w:r>
      <w:r>
        <w:rPr>
          <w:rFonts w:hint="eastAsia" w:ascii="宋体" w:hAnsi="宋体" w:eastAsia="宋体" w:cs="宋体"/>
          <w:b w:val="0"/>
          <w:bCs w:val="0"/>
          <w:color w:val="auto"/>
          <w:spacing w:val="-4"/>
          <w:sz w:val="24"/>
          <w:szCs w:val="24"/>
          <w:highlight w:val="none"/>
          <w:u w:val="none"/>
          <w:lang w:val="en-US" w:eastAsia="zh-CN"/>
        </w:rPr>
        <w:t>(</w:t>
      </w:r>
      <w:r>
        <w:rPr>
          <w:rFonts w:hint="eastAsia" w:ascii="宋体" w:hAnsi="宋体" w:eastAsia="宋体" w:cs="宋体"/>
          <w:b w:val="0"/>
          <w:bCs w:val="0"/>
          <w:color w:val="auto"/>
          <w:spacing w:val="-4"/>
          <w:sz w:val="24"/>
          <w:szCs w:val="24"/>
          <w:highlight w:val="none"/>
          <w:lang w:eastAsia="zh-CN"/>
        </w:rPr>
        <w:t>项目名称)材料采购招标的投标，</w:t>
      </w:r>
      <w:r>
        <w:rPr>
          <w:rFonts w:hint="eastAsia" w:ascii="宋体" w:hAnsi="宋体" w:eastAsia="宋体" w:cs="宋体"/>
          <w:b w:val="0"/>
          <w:bCs w:val="0"/>
          <w:color w:val="auto"/>
          <w:spacing w:val="-4"/>
          <w:sz w:val="24"/>
          <w:szCs w:val="24"/>
          <w:highlight w:val="none"/>
          <w:u w:val="single"/>
          <w:lang w:eastAsia="zh-CN"/>
        </w:rPr>
        <w:t xml:space="preserve"> </w:t>
      </w:r>
      <w:r>
        <w:rPr>
          <w:rFonts w:hint="eastAsia" w:ascii="宋体" w:hAnsi="宋体" w:eastAsia="宋体" w:cs="宋体"/>
          <w:b w:val="0"/>
          <w:bCs w:val="0"/>
          <w:color w:val="auto"/>
          <w:spacing w:val="-4"/>
          <w:sz w:val="24"/>
          <w:szCs w:val="24"/>
          <w:highlight w:val="none"/>
          <w:u w:val="single"/>
          <w:lang w:eastAsia="zh-CN"/>
        </w:rPr>
        <w:tab/>
      </w:r>
      <w:r>
        <w:rPr>
          <w:rFonts w:hint="eastAsia" w:ascii="宋体" w:hAnsi="宋体" w:eastAsia="宋体" w:cs="宋体"/>
          <w:b w:val="0"/>
          <w:bCs w:val="0"/>
          <w:color w:val="auto"/>
          <w:spacing w:val="-4"/>
          <w:sz w:val="24"/>
          <w:szCs w:val="24"/>
          <w:highlight w:val="none"/>
          <w:u w:val="single"/>
          <w:lang w:eastAsia="zh-CN"/>
        </w:rPr>
        <w:tab/>
      </w:r>
      <w:r>
        <w:rPr>
          <w:rFonts w:hint="eastAsia" w:ascii="宋体" w:hAnsi="宋体" w:eastAsia="宋体" w:cs="宋体"/>
          <w:b w:val="0"/>
          <w:bCs w:val="0"/>
          <w:color w:val="auto"/>
          <w:spacing w:val="-3"/>
          <w:sz w:val="24"/>
          <w:szCs w:val="24"/>
          <w:highlight w:val="none"/>
          <w:lang w:eastAsia="zh-CN"/>
        </w:rPr>
        <w:t>(担保人名称，以下简</w:t>
      </w:r>
      <w:r>
        <w:rPr>
          <w:rFonts w:hint="eastAsia" w:ascii="宋体" w:hAnsi="宋体" w:eastAsia="宋体" w:cs="宋体"/>
          <w:b w:val="0"/>
          <w:bCs w:val="0"/>
          <w:color w:val="auto"/>
          <w:sz w:val="24"/>
          <w:szCs w:val="24"/>
          <w:highlight w:val="none"/>
          <w:lang w:eastAsia="zh-CN"/>
        </w:rPr>
        <w:t>称</w:t>
      </w:r>
      <w:r>
        <w:rPr>
          <w:rFonts w:hint="eastAsia" w:ascii="宋体" w:hAnsi="宋体" w:eastAsia="宋体" w:cs="宋体"/>
          <w:b w:val="0"/>
          <w:bCs w:val="0"/>
          <w:i/>
          <w:color w:val="auto"/>
          <w:sz w:val="24"/>
          <w:szCs w:val="24"/>
          <w:highlight w:val="none"/>
          <w:lang w:eastAsia="zh-CN"/>
        </w:rPr>
        <w:t>“</w:t>
      </w:r>
      <w:r>
        <w:rPr>
          <w:rFonts w:hint="eastAsia" w:ascii="宋体" w:hAnsi="宋体" w:eastAsia="宋体" w:cs="宋体"/>
          <w:b w:val="0"/>
          <w:bCs w:val="0"/>
          <w:color w:val="auto"/>
          <w:sz w:val="24"/>
          <w:szCs w:val="24"/>
          <w:highlight w:val="none"/>
          <w:lang w:eastAsia="zh-CN"/>
        </w:rPr>
        <w:t>我方</w:t>
      </w:r>
      <w:r>
        <w:rPr>
          <w:rFonts w:hint="eastAsia" w:ascii="宋体" w:hAnsi="宋体" w:eastAsia="宋体" w:cs="宋体"/>
          <w:b w:val="0"/>
          <w:bCs w:val="0"/>
          <w:i/>
          <w:color w:val="auto"/>
          <w:sz w:val="24"/>
          <w:szCs w:val="24"/>
          <w:highlight w:val="none"/>
          <w:lang w:eastAsia="zh-CN"/>
        </w:rPr>
        <w:t>”</w:t>
      </w:r>
      <w:r>
        <w:rPr>
          <w:rFonts w:hint="eastAsia" w:ascii="宋体" w:hAnsi="宋体" w:eastAsia="宋体" w:cs="宋体"/>
          <w:b w:val="0"/>
          <w:bCs w:val="0"/>
          <w:color w:val="auto"/>
          <w:sz w:val="24"/>
          <w:szCs w:val="24"/>
          <w:highlight w:val="none"/>
          <w:lang w:eastAsia="zh-CN"/>
        </w:rPr>
        <w:t xml:space="preserve">)无条件地、不可撤销地保证：若投标人在投标有效期内撤销投标文件，中标后无正 </w:t>
      </w:r>
      <w:r>
        <w:rPr>
          <w:rFonts w:hint="eastAsia" w:ascii="宋体" w:hAnsi="宋体" w:eastAsia="宋体" w:cs="宋体"/>
          <w:b w:val="0"/>
          <w:bCs w:val="0"/>
          <w:color w:val="auto"/>
          <w:spacing w:val="-1"/>
          <w:sz w:val="24"/>
          <w:szCs w:val="24"/>
          <w:highlight w:val="none"/>
          <w:lang w:eastAsia="zh-CN"/>
        </w:rPr>
        <w:t xml:space="preserve">当理由不与招标人订立合同，在签订合同时向招标人提出附加条件，不按照招标文件要求提交 履约保证金，或者发生招标文件明确规定可以不予退还投标保证金的其他情形，我方承担保证 </w:t>
      </w:r>
      <w:r>
        <w:rPr>
          <w:rFonts w:hint="eastAsia" w:ascii="宋体" w:hAnsi="宋体" w:eastAsia="宋体" w:cs="宋体"/>
          <w:b w:val="0"/>
          <w:bCs w:val="0"/>
          <w:color w:val="auto"/>
          <w:sz w:val="24"/>
          <w:szCs w:val="24"/>
          <w:highlight w:val="none"/>
          <w:lang w:eastAsia="zh-CN"/>
        </w:rPr>
        <w:t>责任。收到你方书面通知后，我方在</w:t>
      </w:r>
      <w:r>
        <w:rPr>
          <w:rFonts w:hint="eastAsia" w:ascii="宋体" w:hAnsi="宋体" w:eastAsia="宋体" w:cs="宋体"/>
          <w:b w:val="0"/>
          <w:bCs w:val="0"/>
          <w:color w:val="auto"/>
          <w:spacing w:val="-54"/>
          <w:sz w:val="24"/>
          <w:szCs w:val="24"/>
          <w:highlight w:val="none"/>
          <w:lang w:eastAsia="zh-CN"/>
        </w:rPr>
        <w:t xml:space="preserve"> </w:t>
      </w:r>
      <w:r>
        <w:rPr>
          <w:rFonts w:hint="eastAsia" w:ascii="宋体" w:hAnsi="宋体" w:eastAsia="宋体" w:cs="宋体"/>
          <w:b w:val="0"/>
          <w:bCs w:val="0"/>
          <w:color w:val="auto"/>
          <w:sz w:val="24"/>
          <w:szCs w:val="24"/>
          <w:highlight w:val="none"/>
          <w:lang w:eastAsia="zh-CN"/>
        </w:rPr>
        <w:t>7</w:t>
      </w:r>
      <w:r>
        <w:rPr>
          <w:rFonts w:hint="eastAsia" w:ascii="宋体" w:hAnsi="宋体" w:eastAsia="宋体" w:cs="宋体"/>
          <w:b w:val="0"/>
          <w:bCs w:val="0"/>
          <w:color w:val="auto"/>
          <w:spacing w:val="-1"/>
          <w:sz w:val="24"/>
          <w:szCs w:val="24"/>
          <w:highlight w:val="none"/>
          <w:lang w:eastAsia="zh-CN"/>
        </w:rPr>
        <w:t xml:space="preserve"> </w:t>
      </w:r>
      <w:r>
        <w:rPr>
          <w:rFonts w:hint="eastAsia" w:ascii="宋体" w:hAnsi="宋体" w:eastAsia="宋体" w:cs="宋体"/>
          <w:b w:val="0"/>
          <w:bCs w:val="0"/>
          <w:color w:val="auto"/>
          <w:sz w:val="24"/>
          <w:szCs w:val="24"/>
          <w:highlight w:val="none"/>
          <w:lang w:eastAsia="zh-CN"/>
        </w:rPr>
        <w:t>日内向你方无条件支付人民币(大写)</w:t>
      </w:r>
      <w:r>
        <w:rPr>
          <w:rFonts w:hint="eastAsia" w:ascii="宋体" w:hAnsi="宋体" w:eastAsia="宋体" w:cs="宋体"/>
          <w:b w:val="0"/>
          <w:bCs w:val="0"/>
          <w:color w:val="auto"/>
          <w:sz w:val="24"/>
          <w:szCs w:val="24"/>
          <w:highlight w:val="none"/>
          <w:u w:val="single"/>
          <w:lang w:eastAsia="zh-CN"/>
        </w:rPr>
        <w:t xml:space="preserve"> </w:t>
      </w:r>
      <w:r>
        <w:rPr>
          <w:rFonts w:hint="eastAsia" w:ascii="宋体" w:hAnsi="宋体" w:eastAsia="宋体" w:cs="宋体"/>
          <w:b w:val="0"/>
          <w:bCs w:val="0"/>
          <w:color w:val="auto"/>
          <w:sz w:val="24"/>
          <w:szCs w:val="24"/>
          <w:highlight w:val="none"/>
          <w:u w:val="single"/>
          <w:lang w:eastAsia="zh-CN"/>
        </w:rPr>
        <w:tab/>
      </w:r>
      <w:r>
        <w:rPr>
          <w:rFonts w:hint="eastAsia" w:ascii="宋体" w:hAnsi="宋体" w:eastAsia="宋体" w:cs="宋体"/>
          <w:b w:val="0"/>
          <w:bCs w:val="0"/>
          <w:color w:val="auto"/>
          <w:sz w:val="24"/>
          <w:szCs w:val="24"/>
          <w:highlight w:val="none"/>
          <w:u w:val="single"/>
          <w:lang w:eastAsia="zh-CN"/>
        </w:rPr>
        <w:tab/>
      </w:r>
      <w:r>
        <w:rPr>
          <w:rFonts w:hint="eastAsia" w:ascii="宋体" w:hAnsi="宋体" w:eastAsia="宋体" w:cs="宋体"/>
          <w:b w:val="0"/>
          <w:bCs w:val="0"/>
          <w:color w:val="auto"/>
          <w:sz w:val="24"/>
          <w:szCs w:val="24"/>
          <w:highlight w:val="none"/>
          <w:lang w:eastAsia="zh-CN"/>
        </w:rPr>
        <w:t xml:space="preserve">。 </w:t>
      </w:r>
      <w:r>
        <w:rPr>
          <w:rFonts w:hint="eastAsia" w:ascii="宋体" w:hAnsi="宋体" w:eastAsia="宋体" w:cs="宋体"/>
          <w:b w:val="0"/>
          <w:bCs w:val="0"/>
          <w:color w:val="auto"/>
          <w:spacing w:val="-1"/>
          <w:sz w:val="24"/>
          <w:szCs w:val="24"/>
          <w:highlight w:val="none"/>
          <w:lang w:eastAsia="zh-CN"/>
        </w:rPr>
        <w:t>本保函在投标有效期内保持有效。要求我方承担保证责任的通知应在投标有效期内送达我</w:t>
      </w:r>
      <w:r>
        <w:rPr>
          <w:rFonts w:hint="eastAsia" w:ascii="宋体" w:hAnsi="宋体" w:eastAsia="宋体" w:cs="宋体"/>
          <w:b w:val="0"/>
          <w:bCs w:val="0"/>
          <w:color w:val="auto"/>
          <w:sz w:val="24"/>
          <w:szCs w:val="24"/>
          <w:highlight w:val="none"/>
          <w:lang w:eastAsia="zh-CN"/>
        </w:rPr>
        <w:t>方。</w:t>
      </w:r>
    </w:p>
    <w:p w14:paraId="5A918CDE">
      <w:pPr>
        <w:pStyle w:val="14"/>
        <w:keepNext w:val="0"/>
        <w:keepLines w:val="0"/>
        <w:pageBreakBefore w:val="0"/>
        <w:widowControl w:val="0"/>
        <w:tabs>
          <w:tab w:val="left" w:pos="3931"/>
        </w:tabs>
        <w:kinsoku/>
        <w:wordWrap/>
        <w:overflowPunct/>
        <w:topLinePunct w:val="0"/>
        <w:autoSpaceDE/>
        <w:autoSpaceDN/>
        <w:bidi w:val="0"/>
        <w:adjustRightInd/>
        <w:snapToGrid/>
        <w:spacing w:line="360" w:lineRule="auto"/>
        <w:ind w:left="0" w:right="0" w:firstLine="496" w:firstLineChars="200"/>
        <w:jc w:val="right"/>
        <w:textAlignment w:val="auto"/>
        <w:rPr>
          <w:rFonts w:hint="eastAsia" w:ascii="宋体" w:hAnsi="宋体" w:eastAsia="宋体" w:cs="宋体"/>
          <w:b w:val="0"/>
          <w:bCs w:val="0"/>
          <w:color w:val="auto"/>
          <w:sz w:val="24"/>
          <w:szCs w:val="24"/>
          <w:highlight w:val="none"/>
          <w:lang w:eastAsia="zh-CN"/>
        </w:rPr>
      </w:pPr>
    </w:p>
    <w:p w14:paraId="2177A87F">
      <w:pPr>
        <w:pStyle w:val="14"/>
        <w:keepNext w:val="0"/>
        <w:keepLines w:val="0"/>
        <w:pageBreakBefore w:val="0"/>
        <w:widowControl w:val="0"/>
        <w:tabs>
          <w:tab w:val="left" w:pos="3931"/>
        </w:tabs>
        <w:kinsoku/>
        <w:wordWrap/>
        <w:overflowPunct/>
        <w:topLinePunct w:val="0"/>
        <w:autoSpaceDE/>
        <w:autoSpaceDN/>
        <w:bidi w:val="0"/>
        <w:adjustRightInd/>
        <w:snapToGrid/>
        <w:spacing w:line="360" w:lineRule="auto"/>
        <w:ind w:left="0" w:right="0" w:firstLine="496"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eastAsia="zh-CN"/>
        </w:rPr>
        <w:t>担保人名称：</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pacing w:val="-1"/>
          <w:sz w:val="24"/>
          <w:szCs w:val="24"/>
          <w:highlight w:val="none"/>
          <w:lang w:eastAsia="zh-CN"/>
        </w:rPr>
        <w:t>(盖单位章)</w:t>
      </w:r>
    </w:p>
    <w:p w14:paraId="187FB3C2">
      <w:pPr>
        <w:pStyle w:val="14"/>
        <w:keepNext w:val="0"/>
        <w:keepLines w:val="0"/>
        <w:pageBreakBefore w:val="0"/>
        <w:widowControl w:val="0"/>
        <w:kinsoku/>
        <w:wordWrap/>
        <w:overflowPunct/>
        <w:topLinePunct w:val="0"/>
        <w:autoSpaceDE/>
        <w:autoSpaceDN/>
        <w:bidi w:val="0"/>
        <w:adjustRightInd/>
        <w:snapToGrid/>
        <w:spacing w:line="360" w:lineRule="auto"/>
        <w:ind w:left="0" w:right="0" w:firstLine="496" w:firstLineChars="200"/>
        <w:jc w:val="both"/>
        <w:textAlignment w:val="auto"/>
        <w:rPr>
          <w:rFonts w:hint="eastAsia" w:ascii="宋体" w:hAnsi="宋体" w:eastAsia="宋体" w:cs="宋体"/>
          <w:b w:val="0"/>
          <w:bCs w:val="0"/>
          <w:color w:val="auto"/>
          <w:sz w:val="24"/>
          <w:szCs w:val="24"/>
          <w:highlight w:val="none"/>
          <w:lang w:eastAsia="zh-CN"/>
        </w:rPr>
      </w:pPr>
    </w:p>
    <w:p w14:paraId="71EE7DB0">
      <w:pPr>
        <w:pStyle w:val="14"/>
        <w:keepNext w:val="0"/>
        <w:keepLines w:val="0"/>
        <w:pageBreakBefore w:val="0"/>
        <w:widowControl w:val="0"/>
        <w:tabs>
          <w:tab w:val="left" w:pos="7901"/>
        </w:tabs>
        <w:kinsoku/>
        <w:wordWrap/>
        <w:overflowPunct/>
        <w:topLinePunct w:val="0"/>
        <w:autoSpaceDE/>
        <w:autoSpaceDN/>
        <w:bidi w:val="0"/>
        <w:adjustRightInd/>
        <w:snapToGrid/>
        <w:spacing w:line="360" w:lineRule="auto"/>
        <w:ind w:left="0" w:right="0" w:firstLine="496" w:firstLineChars="200"/>
        <w:jc w:val="righ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法定代表人(单位负责人)或委托代理人：</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eastAsia="zh-CN"/>
        </w:rPr>
        <w:t>(签字)</w:t>
      </w:r>
    </w:p>
    <w:p w14:paraId="455C4BBA">
      <w:pPr>
        <w:pStyle w:val="14"/>
        <w:keepNext w:val="0"/>
        <w:keepLines w:val="0"/>
        <w:pageBreakBefore w:val="0"/>
        <w:widowControl w:val="0"/>
        <w:kinsoku/>
        <w:wordWrap/>
        <w:overflowPunct/>
        <w:topLinePunct w:val="0"/>
        <w:autoSpaceDE/>
        <w:autoSpaceDN/>
        <w:bidi w:val="0"/>
        <w:adjustRightInd/>
        <w:snapToGrid/>
        <w:spacing w:line="360" w:lineRule="auto"/>
        <w:ind w:left="0" w:right="0" w:firstLine="496" w:firstLineChars="200"/>
        <w:textAlignment w:val="auto"/>
        <w:rPr>
          <w:rFonts w:hint="eastAsia" w:ascii="宋体" w:hAnsi="宋体" w:eastAsia="宋体" w:cs="宋体"/>
          <w:b w:val="0"/>
          <w:bCs w:val="0"/>
          <w:color w:val="auto"/>
          <w:sz w:val="24"/>
          <w:szCs w:val="24"/>
          <w:highlight w:val="none"/>
          <w:lang w:eastAsia="zh-CN"/>
        </w:rPr>
      </w:pPr>
    </w:p>
    <w:p w14:paraId="55D1CC6C">
      <w:pPr>
        <w:pStyle w:val="14"/>
        <w:keepNext w:val="0"/>
        <w:keepLines w:val="0"/>
        <w:pageBreakBefore w:val="0"/>
        <w:widowControl w:val="0"/>
        <w:tabs>
          <w:tab w:val="left" w:pos="4286"/>
          <w:tab w:val="left" w:pos="8789"/>
        </w:tabs>
        <w:kinsoku/>
        <w:wordWrap w:val="0"/>
        <w:overflowPunct/>
        <w:topLinePunct w:val="0"/>
        <w:autoSpaceDE/>
        <w:autoSpaceDN/>
        <w:bidi w:val="0"/>
        <w:adjustRightInd/>
        <w:snapToGrid/>
        <w:spacing w:line="360" w:lineRule="auto"/>
        <w:ind w:left="0" w:right="0" w:firstLine="496" w:firstLineChars="200"/>
        <w:jc w:val="right"/>
        <w:textAlignment w:val="auto"/>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lang w:eastAsia="zh-CN"/>
        </w:rPr>
        <w:t>地</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pacing w:val="-3"/>
          <w:sz w:val="24"/>
          <w:szCs w:val="24"/>
          <w:highlight w:val="none"/>
          <w:lang w:eastAsia="zh-CN"/>
        </w:rPr>
        <w:t>址：</w:t>
      </w:r>
      <w:r>
        <w:rPr>
          <w:rFonts w:hint="eastAsia" w:ascii="宋体" w:hAnsi="宋体" w:eastAsia="宋体" w:cs="宋体"/>
          <w:b w:val="0"/>
          <w:bCs w:val="0"/>
          <w:color w:val="auto"/>
          <w:sz w:val="24"/>
          <w:szCs w:val="24"/>
          <w:highlight w:val="none"/>
          <w:u w:val="single"/>
          <w:lang w:val="en-US" w:eastAsia="zh-CN"/>
        </w:rPr>
        <w:t xml:space="preserve">                                         </w:t>
      </w:r>
    </w:p>
    <w:p w14:paraId="24FE9308">
      <w:pPr>
        <w:pStyle w:val="14"/>
        <w:keepNext w:val="0"/>
        <w:keepLines w:val="0"/>
        <w:pageBreakBefore w:val="0"/>
        <w:widowControl w:val="0"/>
        <w:tabs>
          <w:tab w:val="left" w:pos="4286"/>
          <w:tab w:val="left" w:pos="8789"/>
        </w:tabs>
        <w:kinsoku/>
        <w:wordWrap/>
        <w:overflowPunct/>
        <w:topLinePunct w:val="0"/>
        <w:autoSpaceDE/>
        <w:autoSpaceDN/>
        <w:bidi w:val="0"/>
        <w:adjustRightInd/>
        <w:snapToGrid/>
        <w:spacing w:line="360" w:lineRule="auto"/>
        <w:ind w:left="0" w:right="0" w:firstLine="496" w:firstLineChars="200"/>
        <w:jc w:val="right"/>
        <w:textAlignment w:val="auto"/>
        <w:rPr>
          <w:rFonts w:hint="eastAsia" w:ascii="宋体" w:hAnsi="宋体" w:eastAsia="宋体" w:cs="宋体"/>
          <w:b w:val="0"/>
          <w:bCs w:val="0"/>
          <w:color w:val="auto"/>
          <w:sz w:val="24"/>
          <w:szCs w:val="24"/>
          <w:highlight w:val="none"/>
          <w:u w:val="single"/>
          <w:lang w:val="en-US" w:eastAsia="zh-CN"/>
        </w:rPr>
      </w:pPr>
    </w:p>
    <w:p w14:paraId="2BBD7370">
      <w:pPr>
        <w:pStyle w:val="14"/>
        <w:keepNext w:val="0"/>
        <w:keepLines w:val="0"/>
        <w:pageBreakBefore w:val="0"/>
        <w:widowControl w:val="0"/>
        <w:tabs>
          <w:tab w:val="left" w:pos="8789"/>
        </w:tabs>
        <w:kinsoku/>
        <w:wordWrap w:val="0"/>
        <w:overflowPunct/>
        <w:topLinePunct w:val="0"/>
        <w:autoSpaceDE/>
        <w:autoSpaceDN/>
        <w:bidi w:val="0"/>
        <w:adjustRightInd/>
        <w:snapToGrid/>
        <w:spacing w:line="360" w:lineRule="auto"/>
        <w:ind w:left="0" w:right="0" w:firstLine="496" w:firstLineChars="200"/>
        <w:jc w:val="right"/>
        <w:textAlignment w:val="auto"/>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lang w:eastAsia="zh-CN"/>
        </w:rPr>
        <w:t>邮政编码：</w:t>
      </w:r>
      <w:r>
        <w:rPr>
          <w:rFonts w:hint="eastAsia" w:ascii="宋体" w:hAnsi="宋体" w:eastAsia="宋体" w:cs="宋体"/>
          <w:b w:val="0"/>
          <w:bCs w:val="0"/>
          <w:color w:val="auto"/>
          <w:sz w:val="24"/>
          <w:szCs w:val="24"/>
          <w:highlight w:val="none"/>
          <w:u w:val="single"/>
          <w:lang w:val="en-US" w:eastAsia="zh-CN"/>
        </w:rPr>
        <w:t xml:space="preserve">                                         </w:t>
      </w:r>
    </w:p>
    <w:p w14:paraId="391E1646">
      <w:pPr>
        <w:pStyle w:val="14"/>
        <w:keepNext w:val="0"/>
        <w:keepLines w:val="0"/>
        <w:pageBreakBefore w:val="0"/>
        <w:widowControl w:val="0"/>
        <w:kinsoku/>
        <w:wordWrap/>
        <w:overflowPunct/>
        <w:topLinePunct w:val="0"/>
        <w:autoSpaceDE/>
        <w:autoSpaceDN/>
        <w:bidi w:val="0"/>
        <w:adjustRightInd/>
        <w:snapToGrid/>
        <w:spacing w:line="360" w:lineRule="auto"/>
        <w:ind w:left="0" w:right="0" w:firstLine="496" w:firstLineChars="200"/>
        <w:textAlignment w:val="auto"/>
        <w:rPr>
          <w:rFonts w:hint="eastAsia" w:ascii="宋体" w:hAnsi="宋体" w:eastAsia="宋体" w:cs="宋体"/>
          <w:b w:val="0"/>
          <w:bCs w:val="0"/>
          <w:color w:val="auto"/>
          <w:sz w:val="24"/>
          <w:szCs w:val="24"/>
          <w:highlight w:val="none"/>
          <w:lang w:eastAsia="zh-CN"/>
        </w:rPr>
      </w:pPr>
    </w:p>
    <w:p w14:paraId="30CE5038">
      <w:pPr>
        <w:pStyle w:val="14"/>
        <w:keepNext w:val="0"/>
        <w:keepLines w:val="0"/>
        <w:pageBreakBefore w:val="0"/>
        <w:widowControl w:val="0"/>
        <w:kinsoku/>
        <w:wordWrap w:val="0"/>
        <w:overflowPunct/>
        <w:topLinePunct w:val="0"/>
        <w:autoSpaceDE/>
        <w:autoSpaceDN/>
        <w:bidi w:val="0"/>
        <w:adjustRightInd/>
        <w:snapToGrid/>
        <w:spacing w:line="360" w:lineRule="auto"/>
        <w:ind w:left="0" w:right="0" w:firstLine="496" w:firstLineChars="200"/>
        <w:jc w:val="righ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电</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eastAsia="zh-CN"/>
        </w:rPr>
        <w:t>话：</w:t>
      </w:r>
      <w:r>
        <w:rPr>
          <w:rFonts w:hint="eastAsia" w:ascii="宋体" w:hAnsi="宋体" w:eastAsia="宋体" w:cs="宋体"/>
          <w:b w:val="0"/>
          <w:bCs w:val="0"/>
          <w:color w:val="auto"/>
          <w:sz w:val="24"/>
          <w:szCs w:val="24"/>
          <w:highlight w:val="none"/>
          <w:u w:val="single"/>
          <w:lang w:val="en-US" w:eastAsia="zh-CN"/>
        </w:rPr>
        <w:t xml:space="preserve">                                         </w:t>
      </w:r>
    </w:p>
    <w:p w14:paraId="79F79C59">
      <w:pPr>
        <w:pStyle w:val="14"/>
        <w:keepNext w:val="0"/>
        <w:keepLines w:val="0"/>
        <w:pageBreakBefore w:val="0"/>
        <w:widowControl w:val="0"/>
        <w:tabs>
          <w:tab w:val="left" w:pos="6434"/>
          <w:tab w:val="left" w:pos="7483"/>
          <w:tab w:val="left" w:pos="8533"/>
        </w:tabs>
        <w:kinsoku/>
        <w:wordWrap/>
        <w:overflowPunct/>
        <w:topLinePunct w:val="0"/>
        <w:autoSpaceDE/>
        <w:autoSpaceDN/>
        <w:bidi w:val="0"/>
        <w:adjustRightInd/>
        <w:snapToGrid/>
        <w:spacing w:line="360" w:lineRule="auto"/>
        <w:ind w:left="0" w:right="0" w:firstLine="496" w:firstLineChars="200"/>
        <w:textAlignment w:val="auto"/>
        <w:rPr>
          <w:rFonts w:hint="eastAsia" w:ascii="宋体" w:hAnsi="宋体" w:eastAsia="宋体" w:cs="宋体"/>
          <w:b w:val="0"/>
          <w:bCs w:val="0"/>
          <w:color w:val="auto"/>
          <w:sz w:val="24"/>
          <w:szCs w:val="24"/>
          <w:highlight w:val="none"/>
          <w:u w:val="single"/>
          <w:lang w:eastAsia="zh-CN"/>
        </w:rPr>
      </w:pPr>
    </w:p>
    <w:p w14:paraId="1D3A7247">
      <w:pPr>
        <w:pStyle w:val="14"/>
        <w:keepNext w:val="0"/>
        <w:keepLines w:val="0"/>
        <w:pageBreakBefore w:val="0"/>
        <w:widowControl w:val="0"/>
        <w:tabs>
          <w:tab w:val="left" w:pos="5352"/>
          <w:tab w:val="left" w:pos="6192"/>
          <w:tab w:val="left" w:pos="7032"/>
        </w:tabs>
        <w:kinsoku/>
        <w:wordWrap/>
        <w:overflowPunct/>
        <w:topLinePunct w:val="0"/>
        <w:autoSpaceDE/>
        <w:autoSpaceDN/>
        <w:bidi w:val="0"/>
        <w:adjustRightInd/>
        <w:snapToGrid/>
        <w:spacing w:line="360" w:lineRule="auto"/>
        <w:ind w:left="0" w:right="0" w:firstLine="496" w:firstLineChars="200"/>
        <w:jc w:val="righ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000000" w:themeColor="text1"/>
          <w:sz w:val="24"/>
          <w:szCs w:val="24"/>
          <w:highlight w:val="none"/>
          <w14:textFill>
            <w14:solidFill>
              <w14:schemeClr w14:val="tx1"/>
            </w14:solidFill>
          </w14:textFill>
        </w:rPr>
        <w:t>日  期：</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eastAsia="zh-CN"/>
        </w:rPr>
        <w:t>年</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eastAsia="zh-CN"/>
        </w:rPr>
        <w:t>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eastAsia="zh-CN"/>
        </w:rPr>
        <w:t>日</w:t>
      </w:r>
    </w:p>
    <w:p w14:paraId="5EAB5962">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eastAsia="zh-CN"/>
        </w:rPr>
        <w:sectPr>
          <w:footerReference r:id="rId13" w:type="default"/>
          <w:pgSz w:w="11906" w:h="16838"/>
          <w:pgMar w:top="1440" w:right="1800" w:bottom="1440" w:left="1800" w:header="1140" w:footer="720" w:gutter="0"/>
          <w:pgNumType w:fmt="decimal"/>
          <w:cols w:space="720" w:num="1"/>
          <w:rtlGutter w:val="0"/>
        </w:sectPr>
      </w:pPr>
    </w:p>
    <w:p w14:paraId="64F36B8D">
      <w:pPr>
        <w:pStyle w:val="88"/>
        <w:keepNext w:val="0"/>
        <w:keepLines w:val="0"/>
        <w:pageBreakBefore w:val="0"/>
        <w:widowControl w:val="0"/>
        <w:kinsoku/>
        <w:wordWrap/>
        <w:overflowPunct/>
        <w:topLinePunct w:val="0"/>
        <w:autoSpaceDE/>
        <w:autoSpaceDN/>
        <w:bidi w:val="0"/>
        <w:adjustRightInd/>
        <w:snapToGrid/>
        <w:spacing w:line="500" w:lineRule="exact"/>
        <w:ind w:left="2795" w:right="0"/>
        <w:textAlignment w:val="auto"/>
        <w:outlineLvl w:val="1"/>
        <w:rPr>
          <w:rFonts w:hint="eastAsia" w:ascii="宋体" w:hAnsi="宋体" w:eastAsia="宋体" w:cs="宋体"/>
          <w:color w:val="auto"/>
          <w:highlight w:val="none"/>
          <w:lang w:eastAsia="zh-CN"/>
        </w:rPr>
      </w:pPr>
      <w:bookmarkStart w:id="91" w:name="_bookmark152"/>
      <w:bookmarkEnd w:id="91"/>
      <w:bookmarkStart w:id="92" w:name="_Toc14517"/>
      <w:bookmarkStart w:id="93" w:name="_Toc3568"/>
      <w:bookmarkStart w:id="94" w:name="_Toc18827"/>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lang w:eastAsia="zh-CN"/>
        </w:rPr>
        <w:t>、商务和技术偏差表</w:t>
      </w:r>
      <w:bookmarkEnd w:id="92"/>
      <w:bookmarkEnd w:id="93"/>
      <w:bookmarkEnd w:id="94"/>
    </w:p>
    <w:p w14:paraId="7C12D905">
      <w:pPr>
        <w:pStyle w:val="14"/>
        <w:pageBreakBefore w:val="0"/>
        <w:kinsoku/>
        <w:wordWrap/>
        <w:overflowPunct/>
        <w:topLinePunct w:val="0"/>
        <w:bidi w:val="0"/>
        <w:spacing w:line="500" w:lineRule="exact"/>
        <w:rPr>
          <w:rFonts w:hint="eastAsia" w:ascii="宋体" w:hAnsi="宋体" w:eastAsia="宋体" w:cs="宋体"/>
          <w:b/>
          <w:color w:val="auto"/>
          <w:sz w:val="20"/>
          <w:highlight w:val="none"/>
          <w:lang w:eastAsia="zh-CN"/>
        </w:rPr>
      </w:pPr>
    </w:p>
    <w:p w14:paraId="47B0E557">
      <w:pPr>
        <w:pStyle w:val="14"/>
        <w:pageBreakBefore w:val="0"/>
        <w:kinsoku/>
        <w:wordWrap/>
        <w:overflowPunct/>
        <w:topLinePunct w:val="0"/>
        <w:bidi w:val="0"/>
        <w:spacing w:before="12" w:line="500" w:lineRule="exact"/>
        <w:rPr>
          <w:rFonts w:hint="eastAsia" w:ascii="宋体" w:hAnsi="宋体" w:eastAsia="宋体" w:cs="宋体"/>
          <w:b/>
          <w:color w:val="auto"/>
          <w:sz w:val="12"/>
          <w:highlight w:val="none"/>
          <w:lang w:eastAsia="zh-CN"/>
        </w:rPr>
      </w:pPr>
    </w:p>
    <w:tbl>
      <w:tblPr>
        <w:tblStyle w:val="89"/>
        <w:tblW w:w="8028"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7"/>
        <w:gridCol w:w="2832"/>
        <w:gridCol w:w="2979"/>
        <w:gridCol w:w="1430"/>
      </w:tblGrid>
      <w:tr w14:paraId="4A3D8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exact"/>
        </w:trPr>
        <w:tc>
          <w:tcPr>
            <w:tcW w:w="787" w:type="dxa"/>
            <w:vAlign w:val="center"/>
          </w:tcPr>
          <w:p w14:paraId="778BAE5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832" w:type="dxa"/>
            <w:vAlign w:val="center"/>
          </w:tcPr>
          <w:p w14:paraId="44E147B4">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招标文件章节及条款号</w:t>
            </w:r>
          </w:p>
        </w:tc>
        <w:tc>
          <w:tcPr>
            <w:tcW w:w="2979" w:type="dxa"/>
            <w:vAlign w:val="center"/>
          </w:tcPr>
          <w:p w14:paraId="2D6CBA3E">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投标文件章节及条款号</w:t>
            </w:r>
          </w:p>
        </w:tc>
        <w:tc>
          <w:tcPr>
            <w:tcW w:w="1430" w:type="dxa"/>
            <w:vAlign w:val="center"/>
          </w:tcPr>
          <w:p w14:paraId="15CE4D1C">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偏差说明</w:t>
            </w:r>
          </w:p>
        </w:tc>
      </w:tr>
      <w:tr w14:paraId="03A0A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exact"/>
        </w:trPr>
        <w:tc>
          <w:tcPr>
            <w:tcW w:w="787" w:type="dxa"/>
            <w:vAlign w:val="center"/>
          </w:tcPr>
          <w:p w14:paraId="38B5B02C">
            <w:pPr>
              <w:pStyle w:val="78"/>
              <w:pageBreakBefore w:val="0"/>
              <w:kinsoku/>
              <w:wordWrap/>
              <w:overflowPunct/>
              <w:topLinePunct w:val="0"/>
              <w:bidi w:val="0"/>
              <w:spacing w:line="500" w:lineRule="exact"/>
              <w:ind w:right="2"/>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p>
        </w:tc>
        <w:tc>
          <w:tcPr>
            <w:tcW w:w="2832" w:type="dxa"/>
          </w:tcPr>
          <w:p w14:paraId="5451A8AF">
            <w:pPr>
              <w:pageBreakBefore w:val="0"/>
              <w:kinsoku/>
              <w:wordWrap/>
              <w:overflowPunct/>
              <w:topLinePunct w:val="0"/>
              <w:bidi w:val="0"/>
              <w:spacing w:line="500" w:lineRule="exact"/>
              <w:rPr>
                <w:rFonts w:hint="eastAsia" w:ascii="宋体" w:hAnsi="宋体" w:eastAsia="宋体" w:cs="宋体"/>
                <w:b w:val="0"/>
                <w:bCs/>
                <w:color w:val="auto"/>
                <w:sz w:val="24"/>
                <w:szCs w:val="24"/>
                <w:highlight w:val="none"/>
              </w:rPr>
            </w:pPr>
          </w:p>
        </w:tc>
        <w:tc>
          <w:tcPr>
            <w:tcW w:w="2979" w:type="dxa"/>
          </w:tcPr>
          <w:p w14:paraId="79DBA459">
            <w:pPr>
              <w:pageBreakBefore w:val="0"/>
              <w:kinsoku/>
              <w:wordWrap/>
              <w:overflowPunct/>
              <w:topLinePunct w:val="0"/>
              <w:bidi w:val="0"/>
              <w:spacing w:line="500" w:lineRule="exact"/>
              <w:rPr>
                <w:rFonts w:hint="eastAsia" w:ascii="宋体" w:hAnsi="宋体" w:eastAsia="宋体" w:cs="宋体"/>
                <w:b w:val="0"/>
                <w:bCs/>
                <w:color w:val="auto"/>
                <w:sz w:val="24"/>
                <w:szCs w:val="24"/>
                <w:highlight w:val="none"/>
              </w:rPr>
            </w:pPr>
          </w:p>
        </w:tc>
        <w:tc>
          <w:tcPr>
            <w:tcW w:w="1430" w:type="dxa"/>
          </w:tcPr>
          <w:p w14:paraId="383FBB53">
            <w:pPr>
              <w:pageBreakBefore w:val="0"/>
              <w:kinsoku/>
              <w:wordWrap/>
              <w:overflowPunct/>
              <w:topLinePunct w:val="0"/>
              <w:bidi w:val="0"/>
              <w:spacing w:line="500" w:lineRule="exact"/>
              <w:jc w:val="both"/>
              <w:rPr>
                <w:rFonts w:hint="eastAsia" w:ascii="宋体" w:hAnsi="宋体" w:eastAsia="宋体" w:cs="宋体"/>
                <w:b w:val="0"/>
                <w:bCs/>
                <w:color w:val="auto"/>
                <w:sz w:val="24"/>
                <w:szCs w:val="24"/>
                <w:highlight w:val="none"/>
              </w:rPr>
            </w:pPr>
          </w:p>
        </w:tc>
      </w:tr>
      <w:tr w14:paraId="631F0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787" w:type="dxa"/>
            <w:vAlign w:val="center"/>
          </w:tcPr>
          <w:p w14:paraId="1C6D9401">
            <w:pPr>
              <w:pStyle w:val="78"/>
              <w:pageBreakBefore w:val="0"/>
              <w:kinsoku/>
              <w:wordWrap/>
              <w:overflowPunct/>
              <w:topLinePunct w:val="0"/>
              <w:bidi w:val="0"/>
              <w:spacing w:line="500" w:lineRule="exact"/>
              <w:ind w:right="2"/>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p>
        </w:tc>
        <w:tc>
          <w:tcPr>
            <w:tcW w:w="2832" w:type="dxa"/>
          </w:tcPr>
          <w:p w14:paraId="50F3B76D">
            <w:pPr>
              <w:pageBreakBefore w:val="0"/>
              <w:kinsoku/>
              <w:wordWrap/>
              <w:overflowPunct/>
              <w:topLinePunct w:val="0"/>
              <w:bidi w:val="0"/>
              <w:spacing w:line="500" w:lineRule="exact"/>
              <w:rPr>
                <w:rFonts w:hint="eastAsia" w:ascii="宋体" w:hAnsi="宋体" w:eastAsia="宋体" w:cs="宋体"/>
                <w:b w:val="0"/>
                <w:bCs/>
                <w:color w:val="auto"/>
                <w:sz w:val="24"/>
                <w:szCs w:val="24"/>
                <w:highlight w:val="none"/>
              </w:rPr>
            </w:pPr>
          </w:p>
        </w:tc>
        <w:tc>
          <w:tcPr>
            <w:tcW w:w="2979" w:type="dxa"/>
          </w:tcPr>
          <w:p w14:paraId="7D6EBC09">
            <w:pPr>
              <w:pageBreakBefore w:val="0"/>
              <w:kinsoku/>
              <w:wordWrap/>
              <w:overflowPunct/>
              <w:topLinePunct w:val="0"/>
              <w:bidi w:val="0"/>
              <w:spacing w:line="500" w:lineRule="exact"/>
              <w:rPr>
                <w:rFonts w:hint="eastAsia" w:ascii="宋体" w:hAnsi="宋体" w:eastAsia="宋体" w:cs="宋体"/>
                <w:b w:val="0"/>
                <w:bCs/>
                <w:color w:val="auto"/>
                <w:sz w:val="24"/>
                <w:szCs w:val="24"/>
                <w:highlight w:val="none"/>
              </w:rPr>
            </w:pPr>
          </w:p>
        </w:tc>
        <w:tc>
          <w:tcPr>
            <w:tcW w:w="1430" w:type="dxa"/>
          </w:tcPr>
          <w:p w14:paraId="2B1721E4">
            <w:pPr>
              <w:pageBreakBefore w:val="0"/>
              <w:kinsoku/>
              <w:wordWrap/>
              <w:overflowPunct/>
              <w:topLinePunct w:val="0"/>
              <w:bidi w:val="0"/>
              <w:spacing w:line="500" w:lineRule="exact"/>
              <w:jc w:val="both"/>
              <w:rPr>
                <w:rFonts w:hint="eastAsia" w:ascii="宋体" w:hAnsi="宋体" w:eastAsia="宋体" w:cs="宋体"/>
                <w:b w:val="0"/>
                <w:bCs/>
                <w:color w:val="auto"/>
                <w:sz w:val="24"/>
                <w:szCs w:val="24"/>
                <w:highlight w:val="none"/>
              </w:rPr>
            </w:pPr>
          </w:p>
        </w:tc>
      </w:tr>
      <w:tr w14:paraId="3A48A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exact"/>
        </w:trPr>
        <w:tc>
          <w:tcPr>
            <w:tcW w:w="787" w:type="dxa"/>
            <w:vAlign w:val="center"/>
          </w:tcPr>
          <w:p w14:paraId="763D056F">
            <w:pPr>
              <w:pStyle w:val="78"/>
              <w:pageBreakBefore w:val="0"/>
              <w:kinsoku/>
              <w:wordWrap/>
              <w:overflowPunct/>
              <w:topLinePunct w:val="0"/>
              <w:bidi w:val="0"/>
              <w:spacing w:line="500" w:lineRule="exact"/>
              <w:ind w:right="2"/>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w:t>
            </w:r>
          </w:p>
        </w:tc>
        <w:tc>
          <w:tcPr>
            <w:tcW w:w="2832" w:type="dxa"/>
          </w:tcPr>
          <w:p w14:paraId="169AC26E">
            <w:pPr>
              <w:pageBreakBefore w:val="0"/>
              <w:kinsoku/>
              <w:wordWrap/>
              <w:overflowPunct/>
              <w:topLinePunct w:val="0"/>
              <w:bidi w:val="0"/>
              <w:spacing w:line="500" w:lineRule="exact"/>
              <w:rPr>
                <w:rFonts w:hint="eastAsia" w:ascii="宋体" w:hAnsi="宋体" w:eastAsia="宋体" w:cs="宋体"/>
                <w:b w:val="0"/>
                <w:bCs/>
                <w:color w:val="auto"/>
                <w:sz w:val="24"/>
                <w:szCs w:val="24"/>
                <w:highlight w:val="none"/>
              </w:rPr>
            </w:pPr>
          </w:p>
        </w:tc>
        <w:tc>
          <w:tcPr>
            <w:tcW w:w="2979" w:type="dxa"/>
          </w:tcPr>
          <w:p w14:paraId="40A1E605">
            <w:pPr>
              <w:pageBreakBefore w:val="0"/>
              <w:kinsoku/>
              <w:wordWrap/>
              <w:overflowPunct/>
              <w:topLinePunct w:val="0"/>
              <w:bidi w:val="0"/>
              <w:spacing w:line="500" w:lineRule="exact"/>
              <w:rPr>
                <w:rFonts w:hint="eastAsia" w:ascii="宋体" w:hAnsi="宋体" w:eastAsia="宋体" w:cs="宋体"/>
                <w:b w:val="0"/>
                <w:bCs/>
                <w:color w:val="auto"/>
                <w:sz w:val="24"/>
                <w:szCs w:val="24"/>
                <w:highlight w:val="none"/>
              </w:rPr>
            </w:pPr>
          </w:p>
        </w:tc>
        <w:tc>
          <w:tcPr>
            <w:tcW w:w="1430" w:type="dxa"/>
          </w:tcPr>
          <w:p w14:paraId="44E3179A">
            <w:pPr>
              <w:pageBreakBefore w:val="0"/>
              <w:kinsoku/>
              <w:wordWrap/>
              <w:overflowPunct/>
              <w:topLinePunct w:val="0"/>
              <w:bidi w:val="0"/>
              <w:spacing w:line="500" w:lineRule="exact"/>
              <w:jc w:val="both"/>
              <w:rPr>
                <w:rFonts w:hint="eastAsia" w:ascii="宋体" w:hAnsi="宋体" w:eastAsia="宋体" w:cs="宋体"/>
                <w:b w:val="0"/>
                <w:bCs/>
                <w:color w:val="auto"/>
                <w:sz w:val="24"/>
                <w:szCs w:val="24"/>
                <w:highlight w:val="none"/>
              </w:rPr>
            </w:pPr>
          </w:p>
        </w:tc>
      </w:tr>
      <w:tr w14:paraId="3ABC7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exact"/>
        </w:trPr>
        <w:tc>
          <w:tcPr>
            <w:tcW w:w="787" w:type="dxa"/>
            <w:vAlign w:val="center"/>
          </w:tcPr>
          <w:p w14:paraId="32A74B01">
            <w:pPr>
              <w:pStyle w:val="78"/>
              <w:pageBreakBefore w:val="0"/>
              <w:kinsoku/>
              <w:wordWrap/>
              <w:overflowPunct/>
              <w:topLinePunct w:val="0"/>
              <w:bidi w:val="0"/>
              <w:spacing w:line="500" w:lineRule="exact"/>
              <w:ind w:right="2"/>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w:t>
            </w:r>
          </w:p>
        </w:tc>
        <w:tc>
          <w:tcPr>
            <w:tcW w:w="2832" w:type="dxa"/>
          </w:tcPr>
          <w:p w14:paraId="425E382C">
            <w:pPr>
              <w:pageBreakBefore w:val="0"/>
              <w:kinsoku/>
              <w:wordWrap/>
              <w:overflowPunct/>
              <w:topLinePunct w:val="0"/>
              <w:bidi w:val="0"/>
              <w:spacing w:line="500" w:lineRule="exact"/>
              <w:rPr>
                <w:rFonts w:hint="eastAsia" w:ascii="宋体" w:hAnsi="宋体" w:eastAsia="宋体" w:cs="宋体"/>
                <w:b w:val="0"/>
                <w:bCs/>
                <w:color w:val="auto"/>
                <w:sz w:val="24"/>
                <w:szCs w:val="24"/>
                <w:highlight w:val="none"/>
              </w:rPr>
            </w:pPr>
          </w:p>
        </w:tc>
        <w:tc>
          <w:tcPr>
            <w:tcW w:w="2979" w:type="dxa"/>
          </w:tcPr>
          <w:p w14:paraId="15FB66A5">
            <w:pPr>
              <w:pageBreakBefore w:val="0"/>
              <w:kinsoku/>
              <w:wordWrap/>
              <w:overflowPunct/>
              <w:topLinePunct w:val="0"/>
              <w:bidi w:val="0"/>
              <w:spacing w:line="500" w:lineRule="exact"/>
              <w:rPr>
                <w:rFonts w:hint="eastAsia" w:ascii="宋体" w:hAnsi="宋体" w:eastAsia="宋体" w:cs="宋体"/>
                <w:b w:val="0"/>
                <w:bCs/>
                <w:color w:val="auto"/>
                <w:sz w:val="24"/>
                <w:szCs w:val="24"/>
                <w:highlight w:val="none"/>
              </w:rPr>
            </w:pPr>
          </w:p>
        </w:tc>
        <w:tc>
          <w:tcPr>
            <w:tcW w:w="1430" w:type="dxa"/>
          </w:tcPr>
          <w:p w14:paraId="45C42FBA">
            <w:pPr>
              <w:pageBreakBefore w:val="0"/>
              <w:kinsoku/>
              <w:wordWrap/>
              <w:overflowPunct/>
              <w:topLinePunct w:val="0"/>
              <w:bidi w:val="0"/>
              <w:spacing w:line="500" w:lineRule="exact"/>
              <w:jc w:val="both"/>
              <w:rPr>
                <w:rFonts w:hint="eastAsia" w:ascii="宋体" w:hAnsi="宋体" w:eastAsia="宋体" w:cs="宋体"/>
                <w:b w:val="0"/>
                <w:bCs/>
                <w:color w:val="auto"/>
                <w:sz w:val="24"/>
                <w:szCs w:val="24"/>
                <w:highlight w:val="none"/>
              </w:rPr>
            </w:pPr>
          </w:p>
        </w:tc>
      </w:tr>
      <w:tr w14:paraId="3CDE8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exact"/>
        </w:trPr>
        <w:tc>
          <w:tcPr>
            <w:tcW w:w="787" w:type="dxa"/>
            <w:vAlign w:val="center"/>
          </w:tcPr>
          <w:p w14:paraId="5B440D17">
            <w:pPr>
              <w:pStyle w:val="78"/>
              <w:pageBreakBefore w:val="0"/>
              <w:kinsoku/>
              <w:wordWrap/>
              <w:overflowPunct/>
              <w:topLinePunct w:val="0"/>
              <w:bidi w:val="0"/>
              <w:spacing w:line="500" w:lineRule="exact"/>
              <w:ind w:right="2"/>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w:t>
            </w:r>
          </w:p>
        </w:tc>
        <w:tc>
          <w:tcPr>
            <w:tcW w:w="2832" w:type="dxa"/>
          </w:tcPr>
          <w:p w14:paraId="0450C5AD">
            <w:pPr>
              <w:pageBreakBefore w:val="0"/>
              <w:kinsoku/>
              <w:wordWrap/>
              <w:overflowPunct/>
              <w:topLinePunct w:val="0"/>
              <w:bidi w:val="0"/>
              <w:spacing w:line="500" w:lineRule="exact"/>
              <w:rPr>
                <w:rFonts w:hint="eastAsia" w:ascii="宋体" w:hAnsi="宋体" w:eastAsia="宋体" w:cs="宋体"/>
                <w:b w:val="0"/>
                <w:bCs/>
                <w:color w:val="auto"/>
                <w:sz w:val="24"/>
                <w:szCs w:val="24"/>
                <w:highlight w:val="none"/>
              </w:rPr>
            </w:pPr>
          </w:p>
        </w:tc>
        <w:tc>
          <w:tcPr>
            <w:tcW w:w="2979" w:type="dxa"/>
          </w:tcPr>
          <w:p w14:paraId="643C9CB8">
            <w:pPr>
              <w:pageBreakBefore w:val="0"/>
              <w:kinsoku/>
              <w:wordWrap/>
              <w:overflowPunct/>
              <w:topLinePunct w:val="0"/>
              <w:bidi w:val="0"/>
              <w:spacing w:line="500" w:lineRule="exact"/>
              <w:rPr>
                <w:rFonts w:hint="eastAsia" w:ascii="宋体" w:hAnsi="宋体" w:eastAsia="宋体" w:cs="宋体"/>
                <w:b w:val="0"/>
                <w:bCs/>
                <w:color w:val="auto"/>
                <w:sz w:val="24"/>
                <w:szCs w:val="24"/>
                <w:highlight w:val="none"/>
              </w:rPr>
            </w:pPr>
          </w:p>
        </w:tc>
        <w:tc>
          <w:tcPr>
            <w:tcW w:w="1430" w:type="dxa"/>
          </w:tcPr>
          <w:p w14:paraId="0BE4815C">
            <w:pPr>
              <w:pageBreakBefore w:val="0"/>
              <w:kinsoku/>
              <w:wordWrap/>
              <w:overflowPunct/>
              <w:topLinePunct w:val="0"/>
              <w:bidi w:val="0"/>
              <w:spacing w:line="500" w:lineRule="exact"/>
              <w:jc w:val="both"/>
              <w:rPr>
                <w:rFonts w:hint="eastAsia" w:ascii="宋体" w:hAnsi="宋体" w:eastAsia="宋体" w:cs="宋体"/>
                <w:b w:val="0"/>
                <w:bCs/>
                <w:color w:val="auto"/>
                <w:sz w:val="24"/>
                <w:szCs w:val="24"/>
                <w:highlight w:val="none"/>
              </w:rPr>
            </w:pPr>
          </w:p>
        </w:tc>
      </w:tr>
      <w:tr w14:paraId="0ACA6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exact"/>
        </w:trPr>
        <w:tc>
          <w:tcPr>
            <w:tcW w:w="787" w:type="dxa"/>
            <w:vAlign w:val="center"/>
          </w:tcPr>
          <w:p w14:paraId="509ED7AA">
            <w:pPr>
              <w:pStyle w:val="78"/>
              <w:pageBreakBefore w:val="0"/>
              <w:kinsoku/>
              <w:wordWrap/>
              <w:overflowPunct/>
              <w:topLinePunct w:val="0"/>
              <w:bidi w:val="0"/>
              <w:spacing w:line="500" w:lineRule="exact"/>
              <w:ind w:left="223" w:right="223"/>
              <w:jc w:val="center"/>
              <w:rPr>
                <w:rFonts w:hint="eastAsia" w:ascii="宋体" w:hAnsi="宋体" w:eastAsia="宋体" w:cs="宋体"/>
                <w:b w:val="0"/>
                <w:bCs/>
                <w:i/>
                <w:color w:val="auto"/>
                <w:sz w:val="24"/>
                <w:szCs w:val="24"/>
                <w:highlight w:val="none"/>
                <w:lang w:val="en-US" w:eastAsia="zh-CN"/>
              </w:rPr>
            </w:pPr>
            <w:r>
              <w:rPr>
                <w:rFonts w:hint="eastAsia" w:ascii="宋体" w:hAnsi="宋体" w:eastAsia="宋体" w:cs="宋体"/>
                <w:b w:val="0"/>
                <w:bCs/>
                <w:i w:val="0"/>
                <w:iCs/>
                <w:color w:val="auto"/>
                <w:sz w:val="24"/>
                <w:szCs w:val="24"/>
                <w:highlight w:val="none"/>
                <w:lang w:val="en-US" w:eastAsia="zh-CN"/>
              </w:rPr>
              <w:t>6</w:t>
            </w:r>
          </w:p>
        </w:tc>
        <w:tc>
          <w:tcPr>
            <w:tcW w:w="2832" w:type="dxa"/>
          </w:tcPr>
          <w:p w14:paraId="6F9E36C9">
            <w:pPr>
              <w:pageBreakBefore w:val="0"/>
              <w:kinsoku/>
              <w:wordWrap/>
              <w:overflowPunct/>
              <w:topLinePunct w:val="0"/>
              <w:bidi w:val="0"/>
              <w:spacing w:line="500" w:lineRule="exact"/>
              <w:rPr>
                <w:rFonts w:hint="eastAsia" w:ascii="宋体" w:hAnsi="宋体" w:eastAsia="宋体" w:cs="宋体"/>
                <w:b w:val="0"/>
                <w:bCs/>
                <w:color w:val="auto"/>
                <w:sz w:val="24"/>
                <w:szCs w:val="24"/>
                <w:highlight w:val="none"/>
              </w:rPr>
            </w:pPr>
          </w:p>
        </w:tc>
        <w:tc>
          <w:tcPr>
            <w:tcW w:w="2979" w:type="dxa"/>
          </w:tcPr>
          <w:p w14:paraId="027C18C3">
            <w:pPr>
              <w:pageBreakBefore w:val="0"/>
              <w:kinsoku/>
              <w:wordWrap/>
              <w:overflowPunct/>
              <w:topLinePunct w:val="0"/>
              <w:bidi w:val="0"/>
              <w:spacing w:line="500" w:lineRule="exact"/>
              <w:rPr>
                <w:rFonts w:hint="eastAsia" w:ascii="宋体" w:hAnsi="宋体" w:eastAsia="宋体" w:cs="宋体"/>
                <w:b w:val="0"/>
                <w:bCs/>
                <w:color w:val="auto"/>
                <w:sz w:val="24"/>
                <w:szCs w:val="24"/>
                <w:highlight w:val="none"/>
              </w:rPr>
            </w:pPr>
          </w:p>
        </w:tc>
        <w:tc>
          <w:tcPr>
            <w:tcW w:w="1430" w:type="dxa"/>
          </w:tcPr>
          <w:p w14:paraId="19C716C2">
            <w:pPr>
              <w:pageBreakBefore w:val="0"/>
              <w:kinsoku/>
              <w:wordWrap/>
              <w:overflowPunct/>
              <w:topLinePunct w:val="0"/>
              <w:bidi w:val="0"/>
              <w:spacing w:line="500" w:lineRule="exact"/>
              <w:jc w:val="both"/>
              <w:rPr>
                <w:rFonts w:hint="eastAsia" w:ascii="宋体" w:hAnsi="宋体" w:eastAsia="宋体" w:cs="宋体"/>
                <w:b w:val="0"/>
                <w:bCs/>
                <w:color w:val="auto"/>
                <w:sz w:val="24"/>
                <w:szCs w:val="24"/>
                <w:highlight w:val="none"/>
              </w:rPr>
            </w:pPr>
          </w:p>
        </w:tc>
      </w:tr>
    </w:tbl>
    <w:p w14:paraId="72551869">
      <w:pPr>
        <w:pStyle w:val="14"/>
        <w:pageBreakBefore w:val="0"/>
        <w:kinsoku/>
        <w:wordWrap/>
        <w:overflowPunct/>
        <w:topLinePunct w:val="0"/>
        <w:bidi w:val="0"/>
        <w:spacing w:before="1" w:line="500" w:lineRule="exact"/>
        <w:rPr>
          <w:rFonts w:hint="eastAsia" w:ascii="宋体" w:hAnsi="宋体" w:eastAsia="宋体" w:cs="宋体"/>
          <w:b w:val="0"/>
          <w:bCs/>
          <w:color w:val="auto"/>
          <w:sz w:val="24"/>
          <w:szCs w:val="24"/>
          <w:highlight w:val="none"/>
        </w:rPr>
      </w:pPr>
    </w:p>
    <w:p w14:paraId="6FB4AB14">
      <w:pPr>
        <w:pStyle w:val="14"/>
        <w:pageBreakBefore w:val="0"/>
        <w:kinsoku/>
        <w:wordWrap/>
        <w:overflowPunct/>
        <w:topLinePunct w:val="0"/>
        <w:bidi w:val="0"/>
        <w:spacing w:before="37" w:line="500" w:lineRule="exact"/>
        <w:ind w:left="5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投标人保证：除商务和技术偏差表列出的偏差外，投标人响应招标文件的全部要求。</w:t>
      </w:r>
    </w:p>
    <w:p w14:paraId="30F424E2">
      <w:pPr>
        <w:pageBreakBefore w:val="0"/>
        <w:kinsoku/>
        <w:wordWrap/>
        <w:overflowPunct/>
        <w:topLinePunct w:val="0"/>
        <w:bidi w:val="0"/>
        <w:spacing w:line="500" w:lineRule="exact"/>
        <w:rPr>
          <w:rFonts w:hint="eastAsia" w:ascii="宋体" w:hAnsi="宋体" w:eastAsia="宋体" w:cs="宋体"/>
          <w:color w:val="auto"/>
          <w:highlight w:val="none"/>
          <w:lang w:eastAsia="zh-CN"/>
        </w:rPr>
      </w:pPr>
    </w:p>
    <w:p w14:paraId="52C75168">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（盖单位章）</w:t>
      </w:r>
    </w:p>
    <w:p w14:paraId="14BFAE3D">
      <w:pPr>
        <w:spacing w:line="500" w:lineRule="exact"/>
        <w:jc w:val="left"/>
        <w:rPr>
          <w:rFonts w:hint="eastAsia" w:ascii="宋体" w:hAnsi="宋体" w:eastAsia="宋体" w:cs="宋体"/>
          <w:color w:val="000000" w:themeColor="text1"/>
          <w:sz w:val="24"/>
          <w:szCs w:val="24"/>
          <w:highlight w:val="none"/>
          <w14:textFill>
            <w14:solidFill>
              <w14:schemeClr w14:val="tx1"/>
            </w14:solidFill>
          </w14:textFill>
        </w:rPr>
      </w:pPr>
    </w:p>
    <w:p w14:paraId="5FE8FF3C">
      <w:pPr>
        <w:spacing w:line="500" w:lineRule="exact"/>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法定代表人或其委托代理人：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（签字）</w:t>
      </w:r>
    </w:p>
    <w:p w14:paraId="4529A1A8">
      <w:pPr>
        <w:spacing w:line="500" w:lineRule="exact"/>
        <w:jc w:val="left"/>
        <w:rPr>
          <w:rFonts w:hint="eastAsia" w:ascii="宋体" w:hAnsi="宋体" w:eastAsia="宋体" w:cs="宋体"/>
          <w:color w:val="000000" w:themeColor="text1"/>
          <w:sz w:val="24"/>
          <w:szCs w:val="24"/>
          <w:highlight w:val="none"/>
          <w14:textFill>
            <w14:solidFill>
              <w14:schemeClr w14:val="tx1"/>
            </w14:solidFill>
          </w14:textFill>
        </w:rPr>
      </w:pPr>
    </w:p>
    <w:p w14:paraId="25DB0679">
      <w:pPr>
        <w:pStyle w:val="2"/>
        <w:ind w:left="899" w:leftChars="428" w:firstLine="3840" w:firstLineChars="1600"/>
        <w:rPr>
          <w:rFonts w:hint="eastAsia" w:ascii="宋体" w:hAnsi="宋体" w:eastAsia="宋体" w:cs="宋体"/>
          <w:lang w:eastAsia="zh-CN"/>
        </w:rPr>
        <w:sectPr>
          <w:footerReference r:id="rId14" w:type="default"/>
          <w:pgSz w:w="11906" w:h="16838"/>
          <w:pgMar w:top="1440" w:right="1800" w:bottom="1440" w:left="1800" w:header="1140" w:footer="720" w:gutter="0"/>
          <w:pgNumType w:fmt="decimal"/>
          <w:cols w:space="720" w:num="1"/>
          <w:rtlGutter w:val="0"/>
        </w:sectPr>
      </w:pPr>
      <w:r>
        <w:rPr>
          <w:rFonts w:hint="eastAsia" w:ascii="宋体" w:hAnsi="宋体" w:eastAsia="宋体" w:cs="宋体"/>
          <w:b w:val="0"/>
          <w:bCs w:val="0"/>
          <w:color w:val="000000" w:themeColor="text1"/>
          <w:sz w:val="24"/>
          <w:szCs w:val="24"/>
          <w:highlight w:val="none"/>
          <w14:textFill>
            <w14:solidFill>
              <w14:schemeClr w14:val="tx1"/>
            </w14:solidFill>
          </w14:textFill>
        </w:rPr>
        <w:t>日  期：</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 xml:space="preserve">   </w:t>
      </w:r>
      <w:r>
        <w:rPr>
          <w:rFonts w:hint="eastAsia" w:ascii="宋体" w:hAnsi="宋体" w:cs="宋体"/>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年</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月</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日</w:t>
      </w:r>
    </w:p>
    <w:p w14:paraId="08E514AD">
      <w:pPr>
        <w:pStyle w:val="88"/>
        <w:keepNext w:val="0"/>
        <w:keepLines w:val="0"/>
        <w:pageBreakBefore w:val="0"/>
        <w:widowControl w:val="0"/>
        <w:kinsoku/>
        <w:wordWrap/>
        <w:overflowPunct/>
        <w:topLinePunct w:val="0"/>
        <w:autoSpaceDE/>
        <w:autoSpaceDN/>
        <w:bidi w:val="0"/>
        <w:adjustRightInd/>
        <w:snapToGrid/>
        <w:spacing w:line="360" w:lineRule="auto"/>
        <w:ind w:left="102" w:right="340" w:rightChars="0"/>
        <w:jc w:val="center"/>
        <w:textAlignment w:val="auto"/>
        <w:outlineLvl w:val="1"/>
        <w:rPr>
          <w:rFonts w:hint="eastAsia" w:ascii="宋体" w:hAnsi="宋体" w:eastAsia="宋体" w:cs="宋体"/>
          <w:b/>
          <w:color w:val="auto"/>
          <w:sz w:val="15"/>
          <w:highlight w:val="none"/>
        </w:rPr>
      </w:pPr>
      <w:bookmarkStart w:id="95" w:name="_bookmark154"/>
      <w:bookmarkEnd w:id="95"/>
      <w:bookmarkStart w:id="96" w:name="_bookmark153"/>
      <w:bookmarkEnd w:id="96"/>
      <w:bookmarkStart w:id="97" w:name="_Toc30692"/>
      <w:bookmarkStart w:id="98" w:name="_Toc2494"/>
      <w:bookmarkStart w:id="99" w:name="_Toc4669"/>
      <w:r>
        <w:rPr>
          <w:rFonts w:hint="eastAsia" w:ascii="宋体" w:hAnsi="宋体" w:eastAsia="宋体" w:cs="宋体"/>
          <w:color w:val="auto"/>
          <w:sz w:val="32"/>
          <w:szCs w:val="32"/>
          <w:highlight w:val="none"/>
          <w:lang w:val="en-US" w:eastAsia="zh-CN"/>
        </w:rPr>
        <w:t>六</w:t>
      </w:r>
      <w:r>
        <w:rPr>
          <w:rFonts w:hint="eastAsia" w:ascii="宋体" w:hAnsi="宋体" w:eastAsia="宋体" w:cs="宋体"/>
          <w:color w:val="auto"/>
          <w:sz w:val="32"/>
          <w:szCs w:val="32"/>
          <w:highlight w:val="none"/>
        </w:rPr>
        <w:t>、资格审查资料</w:t>
      </w:r>
      <w:bookmarkEnd w:id="97"/>
      <w:bookmarkEnd w:id="98"/>
      <w:bookmarkEnd w:id="99"/>
    </w:p>
    <w:p w14:paraId="57B58308">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color w:val="auto"/>
          <w:sz w:val="24"/>
          <w:szCs w:val="24"/>
          <w:highlight w:val="none"/>
        </w:rPr>
      </w:pPr>
      <w:bookmarkStart w:id="100" w:name="_bookmark155"/>
      <w:bookmarkEnd w:id="100"/>
      <w:bookmarkStart w:id="101" w:name="_Toc10781"/>
      <w:bookmarkStart w:id="102" w:name="_Toc8372"/>
      <w:r>
        <w:rPr>
          <w:rFonts w:hint="eastAsia" w:ascii="宋体" w:hAnsi="宋体" w:eastAsia="宋体" w:cs="宋体"/>
          <w:b/>
          <w:bCs/>
          <w:color w:val="auto"/>
          <w:sz w:val="30"/>
          <w:szCs w:val="30"/>
          <w:highlight w:val="none"/>
          <w:lang w:eastAsia="zh-CN"/>
        </w:rPr>
        <w:t>（一）</w:t>
      </w:r>
      <w:r>
        <w:rPr>
          <w:rFonts w:hint="eastAsia" w:ascii="宋体" w:hAnsi="宋体" w:eastAsia="宋体" w:cs="宋体"/>
          <w:b/>
          <w:bCs/>
          <w:color w:val="auto"/>
          <w:sz w:val="30"/>
          <w:szCs w:val="30"/>
          <w:highlight w:val="none"/>
        </w:rPr>
        <w:t>基本情况表</w:t>
      </w:r>
      <w:bookmarkEnd w:id="101"/>
      <w:bookmarkEnd w:id="102"/>
    </w:p>
    <w:p w14:paraId="5619D696">
      <w:pPr>
        <w:pStyle w:val="21"/>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(公章)</w:t>
      </w:r>
    </w:p>
    <w:p w14:paraId="4A9387D7">
      <w:pPr>
        <w:numPr>
          <w:ilvl w:val="0"/>
          <w:numId w:val="0"/>
        </w:numPr>
        <w:rPr>
          <w:rFonts w:hint="eastAsia" w:ascii="宋体" w:hAnsi="宋体" w:eastAsia="宋体" w:cs="宋体"/>
          <w:color w:val="auto"/>
          <w:highlight w:val="none"/>
          <w:lang w:eastAsia="zh-CN"/>
        </w:rPr>
      </w:pPr>
    </w:p>
    <w:tbl>
      <w:tblPr>
        <w:tblStyle w:val="36"/>
        <w:tblW w:w="8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828"/>
        <w:gridCol w:w="2148"/>
        <w:gridCol w:w="1512"/>
        <w:gridCol w:w="1260"/>
        <w:gridCol w:w="955"/>
      </w:tblGrid>
      <w:tr w14:paraId="3BEDB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319" w:type="dxa"/>
            <w:gridSpan w:val="2"/>
            <w:noWrap w:val="0"/>
            <w:vAlign w:val="center"/>
          </w:tcPr>
          <w:p w14:paraId="6D4E7817">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w:t>
            </w:r>
          </w:p>
        </w:tc>
        <w:tc>
          <w:tcPr>
            <w:tcW w:w="2148" w:type="dxa"/>
            <w:noWrap w:val="0"/>
            <w:vAlign w:val="center"/>
          </w:tcPr>
          <w:p w14:paraId="016DA0A2">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p>
        </w:tc>
        <w:tc>
          <w:tcPr>
            <w:tcW w:w="2772" w:type="dxa"/>
            <w:gridSpan w:val="2"/>
            <w:noWrap w:val="0"/>
            <w:vAlign w:val="center"/>
          </w:tcPr>
          <w:p w14:paraId="141D11C7">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法定代表人（负责人）</w:t>
            </w:r>
          </w:p>
        </w:tc>
        <w:tc>
          <w:tcPr>
            <w:tcW w:w="955" w:type="dxa"/>
            <w:noWrap w:val="0"/>
            <w:vAlign w:val="center"/>
          </w:tcPr>
          <w:p w14:paraId="742B9D9B">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p>
        </w:tc>
      </w:tr>
      <w:tr w14:paraId="5AD68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319" w:type="dxa"/>
            <w:gridSpan w:val="2"/>
            <w:noWrap w:val="0"/>
            <w:vAlign w:val="center"/>
          </w:tcPr>
          <w:p w14:paraId="368D046E">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组织机构代码</w:t>
            </w:r>
          </w:p>
        </w:tc>
        <w:tc>
          <w:tcPr>
            <w:tcW w:w="2148" w:type="dxa"/>
            <w:noWrap w:val="0"/>
            <w:vAlign w:val="center"/>
          </w:tcPr>
          <w:p w14:paraId="4C8F3DF1">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p>
        </w:tc>
        <w:tc>
          <w:tcPr>
            <w:tcW w:w="2772" w:type="dxa"/>
            <w:gridSpan w:val="2"/>
            <w:noWrap w:val="0"/>
            <w:vAlign w:val="center"/>
          </w:tcPr>
          <w:p w14:paraId="0B5BAC9A">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955" w:type="dxa"/>
            <w:noWrap w:val="0"/>
            <w:vAlign w:val="center"/>
          </w:tcPr>
          <w:p w14:paraId="1806E280">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p>
        </w:tc>
      </w:tr>
      <w:tr w14:paraId="76C48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319" w:type="dxa"/>
            <w:gridSpan w:val="2"/>
            <w:noWrap w:val="0"/>
            <w:vAlign w:val="center"/>
          </w:tcPr>
          <w:p w14:paraId="0536295E">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p>
        </w:tc>
        <w:tc>
          <w:tcPr>
            <w:tcW w:w="2148" w:type="dxa"/>
            <w:noWrap w:val="0"/>
            <w:vAlign w:val="center"/>
          </w:tcPr>
          <w:p w14:paraId="7AEE7E99">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p>
        </w:tc>
        <w:tc>
          <w:tcPr>
            <w:tcW w:w="2772" w:type="dxa"/>
            <w:gridSpan w:val="2"/>
            <w:noWrap w:val="0"/>
            <w:vAlign w:val="center"/>
          </w:tcPr>
          <w:p w14:paraId="5CA4667B">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955" w:type="dxa"/>
            <w:noWrap w:val="0"/>
            <w:vAlign w:val="center"/>
          </w:tcPr>
          <w:p w14:paraId="5EE61928">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p>
        </w:tc>
      </w:tr>
      <w:tr w14:paraId="32292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319" w:type="dxa"/>
            <w:gridSpan w:val="2"/>
            <w:noWrap w:val="0"/>
            <w:vAlign w:val="center"/>
          </w:tcPr>
          <w:p w14:paraId="3D322131">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2148" w:type="dxa"/>
            <w:noWrap w:val="0"/>
            <w:vAlign w:val="center"/>
          </w:tcPr>
          <w:p w14:paraId="6F07BA4C">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p>
        </w:tc>
        <w:tc>
          <w:tcPr>
            <w:tcW w:w="2772" w:type="dxa"/>
            <w:gridSpan w:val="2"/>
            <w:noWrap w:val="0"/>
            <w:vAlign w:val="center"/>
          </w:tcPr>
          <w:p w14:paraId="53F2D32B">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955" w:type="dxa"/>
            <w:noWrap w:val="0"/>
            <w:vAlign w:val="center"/>
          </w:tcPr>
          <w:p w14:paraId="5BDD58BD">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p>
        </w:tc>
      </w:tr>
      <w:tr w14:paraId="40531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319" w:type="dxa"/>
            <w:gridSpan w:val="2"/>
            <w:noWrap w:val="0"/>
            <w:vAlign w:val="center"/>
          </w:tcPr>
          <w:p w14:paraId="2DDB535D">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上年营业收入</w:t>
            </w:r>
          </w:p>
        </w:tc>
        <w:tc>
          <w:tcPr>
            <w:tcW w:w="2148" w:type="dxa"/>
            <w:noWrap w:val="0"/>
            <w:vAlign w:val="center"/>
          </w:tcPr>
          <w:p w14:paraId="2D0899B5">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p>
        </w:tc>
        <w:tc>
          <w:tcPr>
            <w:tcW w:w="2772" w:type="dxa"/>
            <w:gridSpan w:val="2"/>
            <w:noWrap w:val="0"/>
            <w:vAlign w:val="center"/>
          </w:tcPr>
          <w:p w14:paraId="036724C9">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员工总人数</w:t>
            </w:r>
          </w:p>
        </w:tc>
        <w:tc>
          <w:tcPr>
            <w:tcW w:w="955" w:type="dxa"/>
            <w:noWrap w:val="0"/>
            <w:vAlign w:val="center"/>
          </w:tcPr>
          <w:p w14:paraId="6DF20E96">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p>
        </w:tc>
      </w:tr>
      <w:tr w14:paraId="5AD1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319" w:type="dxa"/>
            <w:gridSpan w:val="2"/>
            <w:noWrap w:val="0"/>
            <w:vAlign w:val="center"/>
          </w:tcPr>
          <w:p w14:paraId="24F6369B">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基本账户开户行及账号</w:t>
            </w:r>
          </w:p>
        </w:tc>
        <w:tc>
          <w:tcPr>
            <w:tcW w:w="5875" w:type="dxa"/>
            <w:gridSpan w:val="4"/>
            <w:noWrap w:val="0"/>
            <w:vAlign w:val="center"/>
          </w:tcPr>
          <w:p w14:paraId="55458AE3">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p>
        </w:tc>
      </w:tr>
      <w:tr w14:paraId="5ABE6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319" w:type="dxa"/>
            <w:gridSpan w:val="2"/>
            <w:noWrap w:val="0"/>
            <w:vAlign w:val="center"/>
          </w:tcPr>
          <w:p w14:paraId="08A65BA4">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税务登记机关</w:t>
            </w:r>
          </w:p>
        </w:tc>
        <w:tc>
          <w:tcPr>
            <w:tcW w:w="5875" w:type="dxa"/>
            <w:gridSpan w:val="4"/>
            <w:noWrap w:val="0"/>
            <w:vAlign w:val="center"/>
          </w:tcPr>
          <w:p w14:paraId="55A300EE">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p>
        </w:tc>
      </w:tr>
      <w:tr w14:paraId="283EC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319" w:type="dxa"/>
            <w:gridSpan w:val="2"/>
            <w:noWrap w:val="0"/>
            <w:vAlign w:val="center"/>
          </w:tcPr>
          <w:p w14:paraId="69ABC55F">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资质名称</w:t>
            </w:r>
          </w:p>
        </w:tc>
        <w:tc>
          <w:tcPr>
            <w:tcW w:w="2148" w:type="dxa"/>
            <w:noWrap w:val="0"/>
            <w:vAlign w:val="center"/>
          </w:tcPr>
          <w:p w14:paraId="3FD39A6F">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等级</w:t>
            </w:r>
          </w:p>
        </w:tc>
        <w:tc>
          <w:tcPr>
            <w:tcW w:w="1512" w:type="dxa"/>
            <w:noWrap w:val="0"/>
            <w:vAlign w:val="center"/>
          </w:tcPr>
          <w:p w14:paraId="7B3F0D2D">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发证机关</w:t>
            </w:r>
          </w:p>
        </w:tc>
        <w:tc>
          <w:tcPr>
            <w:tcW w:w="2215" w:type="dxa"/>
            <w:gridSpan w:val="2"/>
            <w:noWrap w:val="0"/>
            <w:vAlign w:val="center"/>
          </w:tcPr>
          <w:p w14:paraId="362CA515">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有效期</w:t>
            </w:r>
          </w:p>
        </w:tc>
      </w:tr>
      <w:tr w14:paraId="6F390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319" w:type="dxa"/>
            <w:gridSpan w:val="2"/>
            <w:noWrap w:val="0"/>
            <w:vAlign w:val="center"/>
          </w:tcPr>
          <w:p w14:paraId="2DF8EFF8">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p>
        </w:tc>
        <w:tc>
          <w:tcPr>
            <w:tcW w:w="2148" w:type="dxa"/>
            <w:noWrap w:val="0"/>
            <w:vAlign w:val="center"/>
          </w:tcPr>
          <w:p w14:paraId="50901B04">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p>
        </w:tc>
        <w:tc>
          <w:tcPr>
            <w:tcW w:w="1512" w:type="dxa"/>
            <w:noWrap w:val="0"/>
            <w:vAlign w:val="center"/>
          </w:tcPr>
          <w:p w14:paraId="18C8BD5E">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p>
        </w:tc>
        <w:tc>
          <w:tcPr>
            <w:tcW w:w="2215" w:type="dxa"/>
            <w:gridSpan w:val="2"/>
            <w:noWrap w:val="0"/>
            <w:vAlign w:val="center"/>
          </w:tcPr>
          <w:p w14:paraId="73C999F5">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p>
        </w:tc>
      </w:tr>
      <w:tr w14:paraId="3CA6E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319" w:type="dxa"/>
            <w:gridSpan w:val="2"/>
            <w:noWrap w:val="0"/>
            <w:vAlign w:val="center"/>
          </w:tcPr>
          <w:p w14:paraId="200B8D29">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p>
        </w:tc>
        <w:tc>
          <w:tcPr>
            <w:tcW w:w="2148" w:type="dxa"/>
            <w:noWrap w:val="0"/>
            <w:vAlign w:val="center"/>
          </w:tcPr>
          <w:p w14:paraId="3ABC71E1">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p>
        </w:tc>
        <w:tc>
          <w:tcPr>
            <w:tcW w:w="1512" w:type="dxa"/>
            <w:noWrap w:val="0"/>
            <w:vAlign w:val="center"/>
          </w:tcPr>
          <w:p w14:paraId="39E1B421">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p>
        </w:tc>
        <w:tc>
          <w:tcPr>
            <w:tcW w:w="2215" w:type="dxa"/>
            <w:gridSpan w:val="2"/>
            <w:noWrap w:val="0"/>
            <w:vAlign w:val="center"/>
          </w:tcPr>
          <w:p w14:paraId="2ACA45D1">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p>
        </w:tc>
      </w:tr>
      <w:tr w14:paraId="7F3ED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491" w:type="dxa"/>
            <w:noWrap w:val="0"/>
            <w:vAlign w:val="center"/>
          </w:tcPr>
          <w:p w14:paraId="1C34E410">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703" w:type="dxa"/>
            <w:gridSpan w:val="5"/>
            <w:noWrap w:val="0"/>
            <w:vAlign w:val="center"/>
          </w:tcPr>
          <w:p w14:paraId="4F8A52D9">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auto"/>
                <w:sz w:val="24"/>
                <w:szCs w:val="24"/>
                <w:highlight w:val="none"/>
              </w:rPr>
            </w:pPr>
          </w:p>
        </w:tc>
      </w:tr>
    </w:tbl>
    <w:p w14:paraId="233EA6A0">
      <w:pPr>
        <w:pStyle w:val="21"/>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注：后附营业执照副本或与新版营业执照副本（有二维码的）</w:t>
      </w:r>
      <w:r>
        <w:rPr>
          <w:rFonts w:hint="eastAsia" w:ascii="宋体" w:hAnsi="宋体" w:eastAsia="宋体" w:cs="宋体"/>
          <w:b/>
          <w:bCs w:val="0"/>
          <w:color w:val="auto"/>
          <w:sz w:val="24"/>
          <w:szCs w:val="24"/>
          <w:highlight w:val="none"/>
          <w:lang w:eastAsia="zh-CN"/>
        </w:rPr>
        <w:t>、资质证书（如有）</w:t>
      </w:r>
      <w:r>
        <w:rPr>
          <w:rFonts w:hint="eastAsia" w:ascii="宋体" w:hAnsi="宋体" w:eastAsia="宋体" w:cs="宋体"/>
          <w:b/>
          <w:bCs w:val="0"/>
          <w:color w:val="auto"/>
          <w:sz w:val="24"/>
          <w:szCs w:val="24"/>
          <w:highlight w:val="none"/>
        </w:rPr>
        <w:t>等相关证书复印件。</w:t>
      </w:r>
    </w:p>
    <w:p w14:paraId="27A504DB">
      <w:pPr>
        <w:pStyle w:val="14"/>
        <w:keepNext w:val="0"/>
        <w:keepLines w:val="0"/>
        <w:pageBreakBefore w:val="0"/>
        <w:widowControl w:val="0"/>
        <w:kinsoku/>
        <w:wordWrap/>
        <w:overflowPunct/>
        <w:topLinePunct w:val="0"/>
        <w:autoSpaceDE/>
        <w:autoSpaceDN/>
        <w:bidi w:val="0"/>
        <w:adjustRightInd/>
        <w:snapToGrid/>
        <w:spacing w:line="360" w:lineRule="auto"/>
        <w:ind w:left="0" w:right="0" w:firstLine="498" w:firstLineChars="200"/>
        <w:textAlignment w:val="auto"/>
        <w:rPr>
          <w:rFonts w:hint="eastAsia" w:ascii="宋体" w:hAnsi="宋体" w:eastAsia="宋体" w:cs="宋体"/>
          <w:color w:val="auto"/>
          <w:sz w:val="24"/>
          <w:szCs w:val="24"/>
          <w:highlight w:val="none"/>
          <w:lang w:eastAsia="zh-CN"/>
        </w:rPr>
      </w:pPr>
    </w:p>
    <w:p w14:paraId="474CA97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highlight w:val="none"/>
          <w:lang w:eastAsia="zh-CN"/>
        </w:rPr>
        <w:sectPr>
          <w:pgSz w:w="11906" w:h="16838"/>
          <w:pgMar w:top="1440" w:right="1800" w:bottom="1440" w:left="1800" w:header="1140" w:footer="720" w:gutter="0"/>
          <w:pgNumType w:fmt="decimal"/>
          <w:cols w:space="720" w:num="1"/>
          <w:rtlGutter w:val="0"/>
        </w:sectPr>
      </w:pPr>
    </w:p>
    <w:p w14:paraId="64166DFA">
      <w:pPr>
        <w:pStyle w:val="88"/>
        <w:keepNext w:val="0"/>
        <w:keepLines w:val="0"/>
        <w:pageBreakBefore w:val="0"/>
        <w:widowControl w:val="0"/>
        <w:numPr>
          <w:ilvl w:val="0"/>
          <w:numId w:val="0"/>
        </w:numPr>
        <w:kinsoku/>
        <w:wordWrap/>
        <w:overflowPunct/>
        <w:topLinePunct w:val="0"/>
        <w:autoSpaceDE/>
        <w:autoSpaceDN/>
        <w:bidi w:val="0"/>
        <w:adjustRightInd/>
        <w:snapToGrid/>
        <w:ind w:leftChars="0" w:right="102" w:rightChars="0"/>
        <w:jc w:val="center"/>
        <w:textAlignment w:val="auto"/>
        <w:outlineLvl w:val="2"/>
        <w:rPr>
          <w:rFonts w:hint="eastAsia" w:ascii="宋体" w:hAnsi="宋体" w:eastAsia="宋体" w:cs="宋体"/>
          <w:color w:val="auto"/>
          <w:sz w:val="30"/>
          <w:szCs w:val="30"/>
          <w:highlight w:val="none"/>
        </w:rPr>
      </w:pPr>
      <w:bookmarkStart w:id="103" w:name="_bookmark156"/>
      <w:bookmarkEnd w:id="103"/>
      <w:bookmarkStart w:id="104" w:name="_Toc32540"/>
      <w:bookmarkStart w:id="105" w:name="_Toc2836"/>
      <w:r>
        <w:rPr>
          <w:rFonts w:hint="eastAsia" w:ascii="宋体" w:hAnsi="宋体" w:eastAsia="宋体" w:cs="宋体"/>
          <w:color w:val="auto"/>
          <w:sz w:val="30"/>
          <w:szCs w:val="30"/>
          <w:highlight w:val="none"/>
          <w:lang w:eastAsia="zh-CN"/>
        </w:rPr>
        <w:t>（二）</w:t>
      </w:r>
      <w:r>
        <w:rPr>
          <w:rFonts w:hint="eastAsia" w:ascii="宋体" w:hAnsi="宋体" w:eastAsia="宋体" w:cs="宋体"/>
          <w:color w:val="auto"/>
          <w:sz w:val="30"/>
          <w:szCs w:val="30"/>
          <w:highlight w:val="none"/>
        </w:rPr>
        <w:t>财务状况表</w:t>
      </w:r>
      <w:bookmarkEnd w:id="104"/>
      <w:bookmarkEnd w:id="105"/>
    </w:p>
    <w:p w14:paraId="67ABACDC">
      <w:pPr>
        <w:pageBreakBefore w:val="0"/>
        <w:kinsoku/>
        <w:wordWrap/>
        <w:overflowPunct/>
        <w:topLinePunct w:val="0"/>
        <w:bidi w:val="0"/>
        <w:spacing w:line="500" w:lineRule="exact"/>
        <w:rPr>
          <w:rFonts w:hint="eastAsia" w:ascii="宋体" w:hAnsi="宋体" w:eastAsia="宋体" w:cs="宋体"/>
          <w:color w:val="auto"/>
          <w:sz w:val="24"/>
          <w:highlight w:val="none"/>
        </w:rPr>
      </w:pPr>
    </w:p>
    <w:p w14:paraId="63451982">
      <w:pPr>
        <w:pStyle w:val="1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8"/>
          <w:highlight w:val="none"/>
          <w:lang w:eastAsia="zh-CN"/>
        </w:rPr>
      </w:pPr>
      <w:r>
        <w:rPr>
          <w:rFonts w:hint="eastAsia" w:ascii="宋体" w:hAnsi="宋体" w:eastAsia="宋体" w:cs="宋体"/>
          <w:b w:val="0"/>
          <w:bCs w:val="0"/>
          <w:color w:val="auto"/>
          <w:sz w:val="24"/>
          <w:szCs w:val="24"/>
          <w:highlight w:val="none"/>
          <w:lang w:val="en-US" w:eastAsia="zh-CN"/>
        </w:rPr>
        <w:t>近年（2023年度）经会计师事务所出具的财务审计报告或财务报表（含资产负债表、现金流量表、利润表），新成立企业提供当年验资报告或银行出具的公司资信证明。</w:t>
      </w:r>
    </w:p>
    <w:p w14:paraId="405B667D">
      <w:pPr>
        <w:pStyle w:val="14"/>
        <w:pageBreakBefore w:val="0"/>
        <w:kinsoku/>
        <w:wordWrap/>
        <w:overflowPunct/>
        <w:topLinePunct w:val="0"/>
        <w:bidi w:val="0"/>
        <w:spacing w:line="500" w:lineRule="exact"/>
        <w:rPr>
          <w:rFonts w:hint="eastAsia" w:ascii="宋体" w:hAnsi="宋体" w:eastAsia="宋体" w:cs="宋体"/>
          <w:color w:val="auto"/>
          <w:sz w:val="23"/>
          <w:highlight w:val="none"/>
          <w:lang w:eastAsia="zh-CN"/>
        </w:rPr>
      </w:pPr>
    </w:p>
    <w:p w14:paraId="597F968C">
      <w:pPr>
        <w:pStyle w:val="14"/>
        <w:pageBreakBefore w:val="0"/>
        <w:kinsoku/>
        <w:wordWrap/>
        <w:overflowPunct/>
        <w:topLinePunct w:val="0"/>
        <w:bidi w:val="0"/>
        <w:spacing w:line="500" w:lineRule="exact"/>
        <w:rPr>
          <w:rFonts w:hint="eastAsia" w:ascii="宋体" w:hAnsi="宋体" w:eastAsia="宋体" w:cs="宋体"/>
          <w:color w:val="auto"/>
          <w:sz w:val="23"/>
          <w:highlight w:val="none"/>
          <w:lang w:eastAsia="zh-CN"/>
        </w:rPr>
      </w:pPr>
    </w:p>
    <w:p w14:paraId="66F8CB60">
      <w:pPr>
        <w:pStyle w:val="14"/>
        <w:pageBreakBefore w:val="0"/>
        <w:kinsoku/>
        <w:wordWrap/>
        <w:overflowPunct/>
        <w:topLinePunct w:val="0"/>
        <w:bidi w:val="0"/>
        <w:spacing w:line="500" w:lineRule="exact"/>
        <w:rPr>
          <w:rFonts w:hint="eastAsia" w:ascii="宋体" w:hAnsi="宋体" w:eastAsia="宋体" w:cs="宋体"/>
          <w:color w:val="auto"/>
          <w:sz w:val="23"/>
          <w:highlight w:val="none"/>
          <w:lang w:eastAsia="zh-CN"/>
        </w:rPr>
      </w:pPr>
    </w:p>
    <w:p w14:paraId="30632DE3">
      <w:pPr>
        <w:pStyle w:val="14"/>
        <w:pageBreakBefore w:val="0"/>
        <w:kinsoku/>
        <w:wordWrap/>
        <w:overflowPunct/>
        <w:topLinePunct w:val="0"/>
        <w:bidi w:val="0"/>
        <w:spacing w:line="500" w:lineRule="exact"/>
        <w:rPr>
          <w:rFonts w:hint="eastAsia" w:ascii="宋体" w:hAnsi="宋体" w:eastAsia="宋体" w:cs="宋体"/>
          <w:color w:val="auto"/>
          <w:sz w:val="23"/>
          <w:highlight w:val="none"/>
          <w:lang w:eastAsia="zh-CN"/>
        </w:rPr>
      </w:pPr>
    </w:p>
    <w:p w14:paraId="282F55A1">
      <w:pPr>
        <w:pStyle w:val="14"/>
        <w:pageBreakBefore w:val="0"/>
        <w:kinsoku/>
        <w:wordWrap/>
        <w:overflowPunct/>
        <w:topLinePunct w:val="0"/>
        <w:bidi w:val="0"/>
        <w:spacing w:line="500" w:lineRule="exact"/>
        <w:rPr>
          <w:rFonts w:hint="eastAsia" w:ascii="宋体" w:hAnsi="宋体" w:eastAsia="宋体" w:cs="宋体"/>
          <w:color w:val="auto"/>
          <w:sz w:val="23"/>
          <w:highlight w:val="none"/>
          <w:lang w:eastAsia="zh-CN"/>
        </w:rPr>
      </w:pPr>
    </w:p>
    <w:p w14:paraId="14221222">
      <w:pPr>
        <w:pStyle w:val="14"/>
        <w:pageBreakBefore w:val="0"/>
        <w:kinsoku/>
        <w:wordWrap/>
        <w:overflowPunct/>
        <w:topLinePunct w:val="0"/>
        <w:bidi w:val="0"/>
        <w:spacing w:line="500" w:lineRule="exact"/>
        <w:rPr>
          <w:rFonts w:hint="eastAsia" w:ascii="宋体" w:hAnsi="宋体" w:eastAsia="宋体" w:cs="宋体"/>
          <w:color w:val="auto"/>
          <w:sz w:val="23"/>
          <w:highlight w:val="none"/>
          <w:lang w:eastAsia="zh-CN"/>
        </w:rPr>
      </w:pPr>
    </w:p>
    <w:p w14:paraId="2B93C954">
      <w:pPr>
        <w:pStyle w:val="14"/>
        <w:pageBreakBefore w:val="0"/>
        <w:kinsoku/>
        <w:wordWrap/>
        <w:overflowPunct/>
        <w:topLinePunct w:val="0"/>
        <w:bidi w:val="0"/>
        <w:spacing w:line="500" w:lineRule="exact"/>
        <w:rPr>
          <w:rFonts w:hint="eastAsia" w:ascii="宋体" w:hAnsi="宋体" w:eastAsia="宋体" w:cs="宋体"/>
          <w:color w:val="auto"/>
          <w:sz w:val="23"/>
          <w:highlight w:val="none"/>
          <w:lang w:eastAsia="zh-CN"/>
        </w:rPr>
      </w:pPr>
    </w:p>
    <w:p w14:paraId="4E04B581">
      <w:pPr>
        <w:pStyle w:val="14"/>
        <w:pageBreakBefore w:val="0"/>
        <w:kinsoku/>
        <w:wordWrap/>
        <w:overflowPunct/>
        <w:topLinePunct w:val="0"/>
        <w:bidi w:val="0"/>
        <w:spacing w:line="500" w:lineRule="exact"/>
        <w:rPr>
          <w:rFonts w:hint="eastAsia" w:ascii="宋体" w:hAnsi="宋体" w:eastAsia="宋体" w:cs="宋体"/>
          <w:color w:val="auto"/>
          <w:sz w:val="23"/>
          <w:highlight w:val="none"/>
          <w:lang w:eastAsia="zh-CN"/>
        </w:rPr>
      </w:pPr>
    </w:p>
    <w:p w14:paraId="2CDF6F96">
      <w:pPr>
        <w:pStyle w:val="14"/>
        <w:pageBreakBefore w:val="0"/>
        <w:kinsoku/>
        <w:wordWrap/>
        <w:overflowPunct/>
        <w:topLinePunct w:val="0"/>
        <w:bidi w:val="0"/>
        <w:spacing w:line="500" w:lineRule="exact"/>
        <w:rPr>
          <w:rFonts w:hint="eastAsia" w:ascii="宋体" w:hAnsi="宋体" w:eastAsia="宋体" w:cs="宋体"/>
          <w:color w:val="auto"/>
          <w:sz w:val="23"/>
          <w:highlight w:val="none"/>
          <w:lang w:eastAsia="zh-CN"/>
        </w:rPr>
      </w:pPr>
    </w:p>
    <w:p w14:paraId="35FD0AEA">
      <w:pPr>
        <w:pStyle w:val="14"/>
        <w:pageBreakBefore w:val="0"/>
        <w:kinsoku/>
        <w:wordWrap/>
        <w:overflowPunct/>
        <w:topLinePunct w:val="0"/>
        <w:bidi w:val="0"/>
        <w:spacing w:line="500" w:lineRule="exact"/>
        <w:rPr>
          <w:rFonts w:hint="eastAsia" w:ascii="宋体" w:hAnsi="宋体" w:eastAsia="宋体" w:cs="宋体"/>
          <w:color w:val="auto"/>
          <w:sz w:val="23"/>
          <w:highlight w:val="none"/>
          <w:lang w:eastAsia="zh-CN"/>
        </w:rPr>
      </w:pPr>
    </w:p>
    <w:p w14:paraId="1BEA1AA2">
      <w:pPr>
        <w:pStyle w:val="14"/>
        <w:pageBreakBefore w:val="0"/>
        <w:kinsoku/>
        <w:wordWrap/>
        <w:overflowPunct/>
        <w:topLinePunct w:val="0"/>
        <w:bidi w:val="0"/>
        <w:spacing w:line="500" w:lineRule="exact"/>
        <w:rPr>
          <w:rFonts w:hint="eastAsia" w:ascii="宋体" w:hAnsi="宋体" w:eastAsia="宋体" w:cs="宋体"/>
          <w:color w:val="auto"/>
          <w:sz w:val="23"/>
          <w:highlight w:val="none"/>
          <w:lang w:eastAsia="zh-CN"/>
        </w:rPr>
      </w:pPr>
    </w:p>
    <w:p w14:paraId="59D7DAA1">
      <w:pPr>
        <w:pStyle w:val="14"/>
        <w:pageBreakBefore w:val="0"/>
        <w:kinsoku/>
        <w:wordWrap/>
        <w:overflowPunct/>
        <w:topLinePunct w:val="0"/>
        <w:bidi w:val="0"/>
        <w:spacing w:line="500" w:lineRule="exact"/>
        <w:rPr>
          <w:rFonts w:hint="eastAsia" w:ascii="宋体" w:hAnsi="宋体" w:eastAsia="宋体" w:cs="宋体"/>
          <w:color w:val="auto"/>
          <w:sz w:val="23"/>
          <w:highlight w:val="none"/>
          <w:lang w:eastAsia="zh-CN"/>
        </w:rPr>
      </w:pPr>
    </w:p>
    <w:p w14:paraId="26DC1C51">
      <w:pPr>
        <w:rPr>
          <w:rFonts w:hint="eastAsia" w:ascii="宋体" w:hAnsi="宋体" w:eastAsia="宋体" w:cs="宋体"/>
          <w:color w:val="auto"/>
          <w:sz w:val="30"/>
          <w:szCs w:val="30"/>
          <w:highlight w:val="none"/>
        </w:rPr>
      </w:pPr>
      <w:bookmarkStart w:id="106" w:name="_bookmark157"/>
      <w:bookmarkEnd w:id="106"/>
      <w:bookmarkStart w:id="107" w:name="_Toc19963"/>
      <w:bookmarkStart w:id="108" w:name="_Toc27770"/>
      <w:r>
        <w:rPr>
          <w:rFonts w:hint="eastAsia" w:ascii="宋体" w:hAnsi="宋体" w:eastAsia="宋体" w:cs="宋体"/>
          <w:color w:val="auto"/>
          <w:sz w:val="30"/>
          <w:szCs w:val="30"/>
          <w:highlight w:val="none"/>
        </w:rPr>
        <w:br w:type="page"/>
      </w:r>
    </w:p>
    <w:p w14:paraId="22FF3CFA">
      <w:pPr>
        <w:pStyle w:val="88"/>
        <w:keepNext w:val="0"/>
        <w:keepLines w:val="0"/>
        <w:pageBreakBefore w:val="0"/>
        <w:widowControl w:val="0"/>
        <w:kinsoku/>
        <w:wordWrap/>
        <w:overflowPunct/>
        <w:topLinePunct w:val="0"/>
        <w:autoSpaceDE/>
        <w:autoSpaceDN/>
        <w:bidi w:val="0"/>
        <w:adjustRightInd/>
        <w:snapToGrid/>
        <w:ind w:left="102" w:right="102"/>
        <w:jc w:val="center"/>
        <w:textAlignment w:val="auto"/>
        <w:outlineLvl w:val="2"/>
        <w:rPr>
          <w:rFonts w:hint="eastAsia" w:ascii="宋体" w:hAnsi="宋体" w:eastAsia="宋体" w:cs="宋体"/>
          <w:b/>
          <w:bCs/>
          <w:color w:val="auto"/>
          <w:szCs w:val="32"/>
          <w:highlight w:val="none"/>
        </w:rPr>
      </w:pPr>
      <w:r>
        <w:rPr>
          <w:rFonts w:hint="eastAsia" w:ascii="宋体" w:hAnsi="宋体" w:eastAsia="宋体" w:cs="宋体"/>
          <w:color w:val="auto"/>
          <w:sz w:val="30"/>
          <w:szCs w:val="30"/>
          <w:highlight w:val="none"/>
        </w:rPr>
        <w:t>（三）依法缴纳税收和社会保障资金的相关证明</w:t>
      </w:r>
      <w:bookmarkEnd w:id="107"/>
      <w:bookmarkEnd w:id="108"/>
    </w:p>
    <w:p w14:paraId="4A3C7CA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lang w:val="zh-CN" w:eastAsia="zh-CN"/>
        </w:rPr>
      </w:pPr>
    </w:p>
    <w:p w14:paraId="59A25E9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eastAsia="zh-CN"/>
        </w:rPr>
        <w:t>备注：</w:t>
      </w:r>
      <w:r>
        <w:rPr>
          <w:rFonts w:hint="eastAsia" w:ascii="宋体" w:hAnsi="宋体" w:eastAsia="宋体" w:cs="宋体"/>
          <w:b w:val="0"/>
          <w:bCs w:val="0"/>
          <w:color w:val="auto"/>
          <w:sz w:val="24"/>
          <w:szCs w:val="24"/>
          <w:highlight w:val="none"/>
          <w:lang w:val="zh-CN" w:eastAsia="zh-CN"/>
        </w:rPr>
        <w:t>投标人须提供投标截止日期前六个月内任意一个月的依法缴纳税收和社会保障资金相关证明材料。</w:t>
      </w:r>
    </w:p>
    <w:p w14:paraId="351348E9">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37627B43">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3B331F55">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3E22620B">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172C3894">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7F43347C">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397B52F0">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312F83E5">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61C6289C">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5D6F4433">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5EED69DC">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23E383C9">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79F215AF">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74C31537">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1407FB77">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7F51D019">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19456CEA">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65972011">
      <w:pPr>
        <w:bidi w:val="0"/>
        <w:rPr>
          <w:rFonts w:hint="eastAsia" w:ascii="宋体" w:hAnsi="宋体" w:eastAsia="宋体" w:cs="宋体"/>
          <w:color w:val="auto"/>
          <w:highlight w:val="none"/>
          <w:lang w:eastAsia="zh-CN"/>
        </w:rPr>
      </w:pPr>
    </w:p>
    <w:p w14:paraId="67E271C7">
      <w:pPr>
        <w:pStyle w:val="14"/>
        <w:rPr>
          <w:rFonts w:hint="eastAsia" w:ascii="宋体" w:hAnsi="宋体" w:eastAsia="宋体" w:cs="宋体"/>
          <w:color w:val="auto"/>
          <w:highlight w:val="none"/>
          <w:lang w:eastAsia="zh-CN"/>
        </w:rPr>
      </w:pPr>
    </w:p>
    <w:p w14:paraId="329AF5DF">
      <w:pPr>
        <w:rPr>
          <w:rFonts w:hint="eastAsia" w:ascii="宋体" w:hAnsi="宋体" w:eastAsia="宋体" w:cs="宋体"/>
          <w:color w:val="auto"/>
          <w:sz w:val="30"/>
          <w:szCs w:val="30"/>
          <w:highlight w:val="none"/>
        </w:rPr>
      </w:pPr>
      <w:bookmarkStart w:id="109" w:name="_Toc14802"/>
      <w:bookmarkStart w:id="110" w:name="_Toc3464"/>
      <w:r>
        <w:rPr>
          <w:rFonts w:hint="eastAsia" w:ascii="宋体" w:hAnsi="宋体" w:eastAsia="宋体" w:cs="宋体"/>
          <w:color w:val="auto"/>
          <w:sz w:val="30"/>
          <w:szCs w:val="30"/>
          <w:highlight w:val="none"/>
        </w:rPr>
        <w:br w:type="page"/>
      </w:r>
    </w:p>
    <w:p w14:paraId="488852DB">
      <w:pPr>
        <w:pStyle w:val="88"/>
        <w:keepNext w:val="0"/>
        <w:keepLines w:val="0"/>
        <w:pageBreakBefore w:val="0"/>
        <w:widowControl w:val="0"/>
        <w:kinsoku/>
        <w:wordWrap/>
        <w:overflowPunct/>
        <w:topLinePunct w:val="0"/>
        <w:autoSpaceDE/>
        <w:autoSpaceDN/>
        <w:bidi w:val="0"/>
        <w:adjustRightInd/>
        <w:snapToGrid/>
        <w:ind w:left="0" w:leftChars="0" w:right="102" w:firstLine="0" w:firstLineChars="0"/>
        <w:jc w:val="center"/>
        <w:textAlignment w:val="auto"/>
        <w:outlineLvl w:val="2"/>
        <w:rPr>
          <w:rFonts w:hint="eastAsia" w:ascii="宋体" w:hAnsi="宋体" w:eastAsia="宋体" w:cs="宋体"/>
          <w:b/>
          <w:bCs/>
          <w:color w:val="auto"/>
          <w:sz w:val="30"/>
          <w:szCs w:val="30"/>
          <w:highlight w:val="none"/>
        </w:rPr>
      </w:pPr>
      <w:r>
        <w:rPr>
          <w:rFonts w:hint="eastAsia" w:ascii="宋体" w:hAnsi="宋体" w:eastAsia="宋体" w:cs="宋体"/>
          <w:color w:val="auto"/>
          <w:sz w:val="30"/>
          <w:szCs w:val="30"/>
          <w:highlight w:val="none"/>
        </w:rPr>
        <w:t>（四）承诺书</w:t>
      </w:r>
      <w:bookmarkEnd w:id="109"/>
      <w:bookmarkEnd w:id="110"/>
    </w:p>
    <w:p w14:paraId="0EA27F32">
      <w:pPr>
        <w:pStyle w:val="29"/>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rPr>
      </w:pPr>
    </w:p>
    <w:p w14:paraId="018F5EFA">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参加政府采购活动前三年内，在经营活动中没有重大违法记录的承诺书</w:t>
      </w:r>
    </w:p>
    <w:p w14:paraId="72C5A162">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w:t>
      </w:r>
    </w:p>
    <w:p w14:paraId="64138A07">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我单位在参加政府采购活动前三年内，在经营活动中没有重大违法记录，包括：</w:t>
      </w:r>
    </w:p>
    <w:p w14:paraId="2084091C">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我单位或者其</w:t>
      </w:r>
      <w:r>
        <w:rPr>
          <w:rFonts w:hint="eastAsia" w:ascii="宋体" w:hAnsi="宋体" w:eastAsia="宋体" w:cs="宋体"/>
          <w:color w:val="auto"/>
          <w:sz w:val="24"/>
          <w:szCs w:val="24"/>
          <w:highlight w:val="none"/>
          <w:lang w:eastAsia="zh-CN"/>
        </w:rPr>
        <w:t>法定代表人（负责人）</w:t>
      </w:r>
      <w:r>
        <w:rPr>
          <w:rFonts w:hint="eastAsia" w:ascii="宋体" w:hAnsi="宋体" w:eastAsia="宋体" w:cs="宋体"/>
          <w:color w:val="auto"/>
          <w:sz w:val="24"/>
          <w:szCs w:val="24"/>
          <w:highlight w:val="none"/>
        </w:rPr>
        <w:t>、管理人员未因经营活动中的违法行为受到刑事处罚或者责令停产停业、吊销许可证或者执照、较大数额罚款等行政处罚。</w:t>
      </w:r>
    </w:p>
    <w:p w14:paraId="7EA4FF93">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529C10ED">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p>
    <w:p w14:paraId="215BAF39">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p>
    <w:p w14:paraId="65C5D1D7">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p>
    <w:p w14:paraId="16C24A53">
      <w:pPr>
        <w:keepNext w:val="0"/>
        <w:keepLines w:val="0"/>
        <w:pageBreakBefore w:val="0"/>
        <w:kinsoku/>
        <w:wordWrap/>
        <w:overflowPunct/>
        <w:topLinePunct w:val="0"/>
        <w:autoSpaceDE/>
        <w:autoSpaceDN/>
        <w:bidi w:val="0"/>
        <w:adjustRightInd/>
        <w:snapToGrid/>
        <w:spacing w:line="500" w:lineRule="exact"/>
        <w:ind w:left="0" w:leftChars="0" w:firstLine="420" w:firstLineChars="175"/>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25E23990">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p>
    <w:p w14:paraId="212B54FE">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67D854BE">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p>
    <w:p w14:paraId="5135C8A1">
      <w:pPr>
        <w:keepNext w:val="0"/>
        <w:keepLines w:val="0"/>
        <w:pageBreakBefore w:val="0"/>
        <w:kinsoku/>
        <w:wordWrap/>
        <w:overflowPunct/>
        <w:topLinePunct w:val="0"/>
        <w:autoSpaceDE/>
        <w:autoSpaceDN/>
        <w:bidi w:val="0"/>
        <w:adjustRightInd/>
        <w:snapToGrid/>
        <w:spacing w:line="50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26868A6E">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3"/>
        <w:rPr>
          <w:rFonts w:hint="eastAsia" w:ascii="宋体" w:hAnsi="宋体" w:eastAsia="宋体" w:cs="宋体"/>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8"/>
          <w:szCs w:val="28"/>
          <w:highlight w:val="none"/>
        </w:rPr>
        <w:t>（2）无不良信用记录承诺书</w:t>
      </w:r>
    </w:p>
    <w:p w14:paraId="6EC25957">
      <w:pPr>
        <w:spacing w:line="360" w:lineRule="auto"/>
        <w:rPr>
          <w:rFonts w:hint="eastAsia" w:ascii="宋体" w:hAnsi="宋体" w:eastAsia="宋体" w:cs="宋体"/>
          <w:color w:val="auto"/>
          <w:sz w:val="24"/>
          <w:szCs w:val="20"/>
          <w:highlight w:val="none"/>
        </w:rPr>
      </w:pPr>
    </w:p>
    <w:p w14:paraId="20D5EBD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(采购人)：</w:t>
      </w:r>
    </w:p>
    <w:p w14:paraId="5A75C09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本单位郑重承诺，我单位无以下不良信用记录情形：</w:t>
      </w:r>
    </w:p>
    <w:p w14:paraId="29410F96">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被人民法院列入失信被执行人；</w:t>
      </w:r>
    </w:p>
    <w:p w14:paraId="5B128AC4">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被税务部门列入</w:t>
      </w:r>
      <w:r>
        <w:rPr>
          <w:rFonts w:hint="eastAsia" w:ascii="宋体" w:hAnsi="宋体" w:eastAsia="宋体" w:cs="宋体"/>
          <w:color w:val="auto"/>
          <w:sz w:val="24"/>
          <w:szCs w:val="24"/>
          <w:highlight w:val="none"/>
          <w:lang w:eastAsia="zh-CN"/>
        </w:rPr>
        <w:t>重大税收违法失信主体</w:t>
      </w:r>
      <w:r>
        <w:rPr>
          <w:rFonts w:hint="eastAsia" w:ascii="宋体" w:hAnsi="宋体" w:eastAsia="宋体" w:cs="宋体"/>
          <w:color w:val="auto"/>
          <w:sz w:val="24"/>
          <w:szCs w:val="24"/>
          <w:highlight w:val="none"/>
        </w:rPr>
        <w:t>；</w:t>
      </w:r>
    </w:p>
    <w:p w14:paraId="33176859">
      <w:pPr>
        <w:keepNext w:val="0"/>
        <w:keepLines w:val="0"/>
        <w:pageBreakBefore w:val="0"/>
        <w:widowControl w:val="0"/>
        <w:tabs>
          <w:tab w:val="left" w:pos="649"/>
        </w:tabs>
        <w:kinsoku/>
        <w:wordWrap/>
        <w:overflowPunct/>
        <w:topLinePunct w:val="0"/>
        <w:autoSpaceDE/>
        <w:autoSpaceDN/>
        <w:bidi w:val="0"/>
        <w:adjustRightInd/>
        <w:snapToGrid/>
        <w:spacing w:line="500" w:lineRule="exact"/>
        <w:ind w:firstLine="4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被政府采购监管部门列入政府采购严重违法失信行为记录名单；</w:t>
      </w:r>
    </w:p>
    <w:p w14:paraId="1230BD4D">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不符合政府采购法第二十二条规定的条件。</w:t>
      </w:r>
    </w:p>
    <w:p w14:paraId="77B90AB1">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我单位已就上述不良信用行为按照</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文件中</w:t>
      </w:r>
      <w:r>
        <w:rPr>
          <w:rFonts w:hint="eastAsia" w:ascii="宋体" w:hAnsi="宋体" w:eastAsia="宋体" w:cs="宋体"/>
          <w:bCs/>
          <w:color w:val="auto"/>
          <w:sz w:val="24"/>
          <w:szCs w:val="24"/>
          <w:highlight w:val="none"/>
          <w:lang w:eastAsia="zh-CN"/>
        </w:rPr>
        <w:t>投标人</w:t>
      </w:r>
      <w:r>
        <w:rPr>
          <w:rFonts w:hint="eastAsia" w:ascii="宋体" w:hAnsi="宋体" w:eastAsia="宋体" w:cs="宋体"/>
          <w:bCs/>
          <w:color w:val="auto"/>
          <w:sz w:val="24"/>
          <w:szCs w:val="24"/>
          <w:highlight w:val="none"/>
        </w:rPr>
        <w:t>须知前附表</w:t>
      </w:r>
      <w:r>
        <w:rPr>
          <w:rFonts w:hint="eastAsia" w:ascii="宋体" w:hAnsi="宋体" w:eastAsia="宋体" w:cs="宋体"/>
          <w:color w:val="auto"/>
          <w:sz w:val="24"/>
          <w:szCs w:val="24"/>
          <w:highlight w:val="none"/>
        </w:rPr>
        <w:t xml:space="preserve">规定进行了查询。我单位承诺：合同签订前，若我单位具有不良信用记录情形，贵方可取消我单位中标资格或者不授予合同，所有责任由我单位自行承担。同时，我单位愿意无条件接受监管部门的调查处理。 </w:t>
      </w:r>
    </w:p>
    <w:p w14:paraId="60BD14C9">
      <w:pPr>
        <w:keepNext w:val="0"/>
        <w:keepLines w:val="0"/>
        <w:pageBreakBefore w:val="0"/>
        <w:widowControl w:val="0"/>
        <w:tabs>
          <w:tab w:val="left" w:pos="630"/>
        </w:tabs>
        <w:kinsoku/>
        <w:wordWrap/>
        <w:overflowPunct/>
        <w:topLinePunct w:val="0"/>
        <w:autoSpaceDE/>
        <w:autoSpaceDN/>
        <w:bidi w:val="0"/>
        <w:adjustRightInd/>
        <w:snapToGrid/>
        <w:spacing w:line="500" w:lineRule="exact"/>
        <w:ind w:firstLine="630"/>
        <w:textAlignment w:val="auto"/>
        <w:rPr>
          <w:rFonts w:hint="eastAsia" w:ascii="宋体" w:hAnsi="宋体" w:eastAsia="宋体" w:cs="宋体"/>
          <w:color w:val="auto"/>
          <w:sz w:val="24"/>
          <w:szCs w:val="24"/>
          <w:highlight w:val="none"/>
        </w:rPr>
      </w:pPr>
    </w:p>
    <w:p w14:paraId="4579677B">
      <w:pPr>
        <w:keepNext w:val="0"/>
        <w:keepLines w:val="0"/>
        <w:pageBreakBefore w:val="0"/>
        <w:widowControl w:val="0"/>
        <w:kinsoku/>
        <w:wordWrap/>
        <w:overflowPunct/>
        <w:topLinePunct w:val="0"/>
        <w:autoSpaceDE/>
        <w:autoSpaceDN/>
        <w:bidi w:val="0"/>
        <w:adjustRightInd/>
        <w:snapToGrid/>
        <w:spacing w:line="500" w:lineRule="exact"/>
        <w:ind w:firstLine="4228" w:firstLineChars="1762"/>
        <w:textAlignment w:val="auto"/>
        <w:rPr>
          <w:rFonts w:hint="eastAsia" w:ascii="宋体" w:hAnsi="宋体" w:eastAsia="宋体" w:cs="宋体"/>
          <w:color w:val="auto"/>
          <w:sz w:val="24"/>
          <w:szCs w:val="24"/>
          <w:highlight w:val="none"/>
        </w:rPr>
      </w:pPr>
    </w:p>
    <w:p w14:paraId="42EE120F">
      <w:pPr>
        <w:keepNext w:val="0"/>
        <w:keepLines w:val="0"/>
        <w:pageBreakBefore w:val="0"/>
        <w:widowControl w:val="0"/>
        <w:kinsoku/>
        <w:wordWrap/>
        <w:overflowPunct/>
        <w:topLinePunct w:val="0"/>
        <w:autoSpaceDE/>
        <w:autoSpaceDN/>
        <w:bidi w:val="0"/>
        <w:adjustRightInd/>
        <w:snapToGrid/>
        <w:spacing w:line="500" w:lineRule="exact"/>
        <w:ind w:firstLine="2880" w:firstLineChars="1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78AAE16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lang w:eastAsia="zh-CN"/>
        </w:rPr>
      </w:pPr>
    </w:p>
    <w:p w14:paraId="7836FE7D">
      <w:pPr>
        <w:keepNext w:val="0"/>
        <w:keepLines w:val="0"/>
        <w:pageBreakBefore w:val="0"/>
        <w:widowControl w:val="0"/>
        <w:kinsoku/>
        <w:wordWrap/>
        <w:overflowPunct/>
        <w:topLinePunct w:val="0"/>
        <w:autoSpaceDE/>
        <w:autoSpaceDN/>
        <w:bidi w:val="0"/>
        <w:adjustRightInd/>
        <w:snapToGrid/>
        <w:spacing w:line="500" w:lineRule="exact"/>
        <w:ind w:firstLine="2880" w:firstLineChars="1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字）</w:t>
      </w:r>
    </w:p>
    <w:p w14:paraId="2DC065F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p>
    <w:p w14:paraId="7726C626">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7C682BE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p>
    <w:p w14:paraId="2207ACE3">
      <w:pPr>
        <w:spacing w:line="360" w:lineRule="auto"/>
        <w:jc w:val="left"/>
        <w:rPr>
          <w:rFonts w:hint="eastAsia" w:ascii="宋体" w:hAnsi="宋体" w:eastAsia="宋体" w:cs="宋体"/>
          <w:color w:val="auto"/>
          <w:sz w:val="24"/>
          <w:highlight w:val="none"/>
        </w:rPr>
      </w:pPr>
    </w:p>
    <w:p w14:paraId="540EEF2F">
      <w:pPr>
        <w:ind w:firstLine="480" w:firstLineChars="200"/>
        <w:rPr>
          <w:rFonts w:hint="eastAsia" w:ascii="宋体" w:hAnsi="宋体" w:eastAsia="宋体" w:cs="宋体"/>
          <w:color w:val="auto"/>
          <w:sz w:val="24"/>
          <w:szCs w:val="20"/>
          <w:highlight w:val="none"/>
        </w:rPr>
      </w:pPr>
    </w:p>
    <w:p w14:paraId="70245277">
      <w:pPr>
        <w:ind w:firstLine="480" w:firstLineChars="200"/>
        <w:rPr>
          <w:rFonts w:hint="eastAsia" w:ascii="宋体" w:hAnsi="宋体" w:eastAsia="宋体" w:cs="宋体"/>
          <w:color w:val="auto"/>
          <w:sz w:val="24"/>
          <w:szCs w:val="20"/>
          <w:highlight w:val="none"/>
        </w:rPr>
      </w:pPr>
    </w:p>
    <w:p w14:paraId="4E0E8DB1">
      <w:pPr>
        <w:ind w:firstLine="480" w:firstLineChars="200"/>
        <w:rPr>
          <w:rFonts w:hint="eastAsia" w:ascii="宋体" w:hAnsi="宋体" w:eastAsia="宋体" w:cs="宋体"/>
          <w:color w:val="auto"/>
          <w:sz w:val="24"/>
          <w:szCs w:val="20"/>
          <w:highlight w:val="none"/>
        </w:rPr>
      </w:pPr>
    </w:p>
    <w:p w14:paraId="31012038">
      <w:pPr>
        <w:ind w:firstLine="480" w:firstLineChars="200"/>
        <w:rPr>
          <w:rFonts w:hint="eastAsia" w:ascii="宋体" w:hAnsi="宋体" w:eastAsia="宋体" w:cs="宋体"/>
          <w:color w:val="auto"/>
          <w:sz w:val="24"/>
          <w:szCs w:val="20"/>
          <w:highlight w:val="none"/>
        </w:rPr>
      </w:pPr>
    </w:p>
    <w:p w14:paraId="6CFD8D20">
      <w:pPr>
        <w:spacing w:line="360" w:lineRule="auto"/>
        <w:jc w:val="left"/>
        <w:rPr>
          <w:rFonts w:hint="eastAsia" w:ascii="宋体" w:hAnsi="宋体" w:eastAsia="宋体" w:cs="宋体"/>
          <w:color w:val="auto"/>
          <w:sz w:val="24"/>
          <w:highlight w:val="none"/>
        </w:rPr>
      </w:pPr>
    </w:p>
    <w:p w14:paraId="057C251F">
      <w:pPr>
        <w:rPr>
          <w:rFonts w:hint="eastAsia" w:ascii="宋体" w:hAnsi="宋体" w:eastAsia="宋体" w:cs="宋体"/>
          <w:color w:val="auto"/>
          <w:sz w:val="22"/>
          <w:szCs w:val="22"/>
          <w:highlight w:val="none"/>
        </w:rPr>
      </w:pPr>
    </w:p>
    <w:p w14:paraId="4C98CC57">
      <w:pPr>
        <w:rPr>
          <w:rFonts w:hint="eastAsia" w:ascii="宋体" w:hAnsi="宋体" w:eastAsia="宋体" w:cs="宋体"/>
          <w:b/>
          <w:color w:val="auto"/>
          <w:sz w:val="32"/>
          <w:szCs w:val="22"/>
          <w:highlight w:val="none"/>
        </w:rPr>
      </w:pPr>
    </w:p>
    <w:p w14:paraId="23E7D4A5">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8"/>
          <w:szCs w:val="28"/>
          <w:highlight w:val="none"/>
        </w:rPr>
        <w:t>（3）未列入政府取消投标资格记录期间的承诺书</w:t>
      </w:r>
    </w:p>
    <w:p w14:paraId="28951034">
      <w:pPr>
        <w:keepNext w:val="0"/>
        <w:keepLines w:val="0"/>
        <w:pageBreakBefore w:val="0"/>
        <w:widowControl/>
        <w:kinsoku/>
        <w:wordWrap/>
        <w:overflowPunct/>
        <w:topLinePunct w:val="0"/>
        <w:autoSpaceDE/>
        <w:autoSpaceDN/>
        <w:bidi w:val="0"/>
        <w:adjustRightInd/>
        <w:snapToGrid/>
        <w:spacing w:line="360" w:lineRule="auto"/>
        <w:ind w:firstLine="964" w:firstLineChars="400"/>
        <w:jc w:val="center"/>
        <w:textAlignment w:val="auto"/>
        <w:rPr>
          <w:rFonts w:hint="eastAsia" w:ascii="宋体" w:hAnsi="宋体" w:eastAsia="宋体" w:cs="宋体"/>
          <w:b/>
          <w:bCs/>
          <w:color w:val="auto"/>
          <w:sz w:val="24"/>
          <w:highlight w:val="none"/>
        </w:rPr>
      </w:pPr>
    </w:p>
    <w:p w14:paraId="212C60E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p>
    <w:p w14:paraId="1E49944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（采购人）</w:t>
      </w:r>
    </w:p>
    <w:p w14:paraId="437C1A0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p>
    <w:p w14:paraId="7A15E8A0">
      <w:pPr>
        <w:keepNext w:val="0"/>
        <w:keepLines w:val="0"/>
        <w:pageBreakBefore w:val="0"/>
        <w:widowControl w:val="0"/>
        <w:kinsoku/>
        <w:wordWrap/>
        <w:overflowPunct/>
        <w:topLinePunct w:val="0"/>
        <w:autoSpaceDE/>
        <w:autoSpaceDN/>
        <w:bidi w:val="0"/>
        <w:adjustRightInd/>
        <w:snapToGrid/>
        <w:spacing w:line="500" w:lineRule="exact"/>
        <w:ind w:firstLine="540" w:firstLineChars="22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我单位未被列入政府取消投标资格的记录。</w:t>
      </w:r>
    </w:p>
    <w:p w14:paraId="62153337">
      <w:pPr>
        <w:keepNext w:val="0"/>
        <w:keepLines w:val="0"/>
        <w:pageBreakBefore w:val="0"/>
        <w:widowControl w:val="0"/>
        <w:kinsoku/>
        <w:wordWrap/>
        <w:overflowPunct/>
        <w:topLinePunct w:val="0"/>
        <w:autoSpaceDE/>
        <w:autoSpaceDN/>
        <w:bidi w:val="0"/>
        <w:adjustRightInd/>
        <w:snapToGrid/>
        <w:spacing w:line="500" w:lineRule="exact"/>
        <w:ind w:firstLine="540" w:firstLineChars="22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473A8C50">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color w:val="auto"/>
          <w:sz w:val="24"/>
          <w:szCs w:val="24"/>
          <w:highlight w:val="none"/>
        </w:rPr>
      </w:pPr>
    </w:p>
    <w:p w14:paraId="44B4DE01">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color w:val="auto"/>
          <w:sz w:val="24"/>
          <w:szCs w:val="24"/>
          <w:highlight w:val="none"/>
        </w:rPr>
      </w:pPr>
    </w:p>
    <w:p w14:paraId="6B44A830">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color w:val="auto"/>
          <w:sz w:val="24"/>
          <w:szCs w:val="24"/>
          <w:highlight w:val="none"/>
        </w:rPr>
      </w:pPr>
    </w:p>
    <w:p w14:paraId="2EF412E7">
      <w:pPr>
        <w:keepNext w:val="0"/>
        <w:keepLines w:val="0"/>
        <w:pageBreakBefore w:val="0"/>
        <w:widowControl w:val="0"/>
        <w:kinsoku/>
        <w:wordWrap/>
        <w:overflowPunct/>
        <w:topLinePunct w:val="0"/>
        <w:autoSpaceDE/>
        <w:autoSpaceDN/>
        <w:bidi w:val="0"/>
        <w:adjustRightInd/>
        <w:snapToGrid/>
        <w:spacing w:line="500" w:lineRule="exact"/>
        <w:ind w:firstLine="4228" w:firstLineChars="1762"/>
        <w:textAlignment w:val="auto"/>
        <w:rPr>
          <w:rFonts w:hint="eastAsia" w:ascii="宋体" w:hAnsi="宋体" w:eastAsia="宋体" w:cs="宋体"/>
          <w:color w:val="auto"/>
          <w:sz w:val="24"/>
          <w:szCs w:val="24"/>
          <w:highlight w:val="none"/>
        </w:rPr>
      </w:pPr>
    </w:p>
    <w:p w14:paraId="7D4580AB">
      <w:pPr>
        <w:keepNext w:val="0"/>
        <w:keepLines w:val="0"/>
        <w:pageBreakBefore w:val="0"/>
        <w:widowControl w:val="0"/>
        <w:kinsoku/>
        <w:wordWrap/>
        <w:overflowPunct/>
        <w:topLinePunct w:val="0"/>
        <w:autoSpaceDE/>
        <w:autoSpaceDN/>
        <w:bidi w:val="0"/>
        <w:adjustRightInd/>
        <w:snapToGrid/>
        <w:spacing w:line="500" w:lineRule="exact"/>
        <w:ind w:firstLine="2640" w:firstLineChars="1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452D92D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p>
    <w:p w14:paraId="7C62E06E">
      <w:pPr>
        <w:keepNext w:val="0"/>
        <w:keepLines w:val="0"/>
        <w:pageBreakBefore w:val="0"/>
        <w:widowControl w:val="0"/>
        <w:kinsoku/>
        <w:wordWrap/>
        <w:overflowPunct/>
        <w:topLinePunct w:val="0"/>
        <w:autoSpaceDE/>
        <w:autoSpaceDN/>
        <w:bidi w:val="0"/>
        <w:adjustRightInd/>
        <w:snapToGrid/>
        <w:spacing w:line="500" w:lineRule="exact"/>
        <w:ind w:firstLine="2640" w:firstLineChars="1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字）</w:t>
      </w:r>
    </w:p>
    <w:p w14:paraId="4C5DE97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p>
    <w:p w14:paraId="6B05365D">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0B5EE294">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outlineLvl w:val="3"/>
        <w:rPr>
          <w:rFonts w:hint="eastAsia" w:ascii="宋体" w:hAnsi="宋体" w:eastAsia="宋体" w:cs="宋体"/>
          <w:color w:val="auto"/>
          <w:sz w:val="28"/>
          <w:szCs w:val="28"/>
          <w:highlight w:val="none"/>
          <w:lang w:val="zh-CN"/>
        </w:rPr>
      </w:pPr>
      <w:r>
        <w:rPr>
          <w:rFonts w:hint="eastAsia" w:ascii="宋体" w:hAnsi="宋体" w:eastAsia="宋体" w:cs="宋体"/>
          <w:color w:val="auto"/>
          <w:sz w:val="24"/>
          <w:highlight w:val="none"/>
        </w:rPr>
        <w:br w:type="page"/>
      </w:r>
      <w:r>
        <w:rPr>
          <w:rFonts w:hint="eastAsia" w:ascii="宋体" w:hAnsi="宋体" w:eastAsia="宋体" w:cs="宋体"/>
          <w:color w:val="auto"/>
          <w:sz w:val="28"/>
          <w:szCs w:val="28"/>
          <w:highlight w:val="none"/>
          <w:lang w:val="zh-CN"/>
        </w:rPr>
        <w:t>（</w:t>
      </w: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lang w:val="zh-CN"/>
        </w:rPr>
        <w:t>）完全响应招标文件的承诺书</w:t>
      </w:r>
    </w:p>
    <w:p w14:paraId="37B6F75E">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p>
    <w:p w14:paraId="673BA5F1">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(采购人名称)</w:t>
      </w:r>
    </w:p>
    <w:p w14:paraId="33EED7AD">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p>
    <w:p w14:paraId="07E87A7B">
      <w:pPr>
        <w:keepNext w:val="0"/>
        <w:keepLines w:val="0"/>
        <w:pageBreakBefore w:val="0"/>
        <w:kinsoku/>
        <w:wordWrap/>
        <w:overflowPunct/>
        <w:topLinePunct w:val="0"/>
        <w:autoSpaceDE/>
        <w:autoSpaceDN/>
        <w:bidi w:val="0"/>
        <w:adjustRightInd/>
        <w:snapToGrid/>
        <w:spacing w:after="12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我方在此声明,我方完全响应</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lang w:eastAsia="zh-CN"/>
        </w:rPr>
        <w:t>招标</w:t>
      </w:r>
      <w:r>
        <w:rPr>
          <w:rFonts w:hint="eastAsia" w:ascii="宋体" w:hAnsi="宋体" w:eastAsia="宋体" w:cs="宋体"/>
          <w:color w:val="auto"/>
          <w:sz w:val="24"/>
          <w:szCs w:val="24"/>
          <w:highlight w:val="none"/>
          <w:u w:val="single"/>
        </w:rPr>
        <w:t>文件的全部商务条款及技术标准和采购要求，无任何负偏离</w:t>
      </w:r>
      <w:r>
        <w:rPr>
          <w:rFonts w:hint="eastAsia" w:ascii="宋体" w:hAnsi="宋体" w:eastAsia="宋体" w:cs="宋体"/>
          <w:color w:val="auto"/>
          <w:sz w:val="24"/>
          <w:szCs w:val="24"/>
          <w:highlight w:val="none"/>
        </w:rPr>
        <w:t>。我方保证上述信息的真实和准确，</w:t>
      </w:r>
    </w:p>
    <w:p w14:paraId="4D6A801A">
      <w:pPr>
        <w:keepNext w:val="0"/>
        <w:keepLines w:val="0"/>
        <w:pageBreakBefore w:val="0"/>
        <w:kinsoku/>
        <w:wordWrap/>
        <w:overflowPunct/>
        <w:topLinePunct w:val="0"/>
        <w:autoSpaceDE/>
        <w:autoSpaceDN/>
        <w:bidi w:val="0"/>
        <w:adjustRightInd/>
        <w:snapToGrid/>
        <w:spacing w:after="120" w:line="5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采购人采购后一经发现我方存在虚假信息或有不符合项，采购人有权单方终止合同，并拒付货款，全部退货处理，我方赔偿由此造成的全部损失并承担全部法律责任。</w:t>
      </w:r>
    </w:p>
    <w:p w14:paraId="73EFDECB">
      <w:pPr>
        <w:keepNext w:val="0"/>
        <w:keepLines w:val="0"/>
        <w:pageBreakBefore w:val="0"/>
        <w:kinsoku/>
        <w:wordWrap/>
        <w:overflowPunct/>
        <w:topLinePunct w:val="0"/>
        <w:autoSpaceDE/>
        <w:autoSpaceDN/>
        <w:bidi w:val="0"/>
        <w:adjustRightInd/>
        <w:snapToGrid/>
        <w:spacing w:line="500" w:lineRule="exact"/>
        <w:ind w:firstLine="540" w:firstLineChars="225"/>
        <w:textAlignment w:val="auto"/>
        <w:rPr>
          <w:rFonts w:hint="eastAsia" w:ascii="宋体" w:hAnsi="宋体" w:eastAsia="宋体" w:cs="宋体"/>
          <w:color w:val="auto"/>
          <w:sz w:val="24"/>
          <w:szCs w:val="24"/>
          <w:highlight w:val="none"/>
        </w:rPr>
      </w:pPr>
    </w:p>
    <w:p w14:paraId="74A1D6CF">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2390D532">
      <w:pPr>
        <w:keepNext w:val="0"/>
        <w:keepLines w:val="0"/>
        <w:pageBreakBefore w:val="0"/>
        <w:kinsoku/>
        <w:wordWrap/>
        <w:overflowPunct/>
        <w:topLinePunct w:val="0"/>
        <w:autoSpaceDE/>
        <w:autoSpaceDN/>
        <w:bidi w:val="0"/>
        <w:adjustRightInd/>
        <w:snapToGrid/>
        <w:spacing w:line="500" w:lineRule="exact"/>
        <w:ind w:firstLine="540" w:firstLineChars="225"/>
        <w:textAlignment w:val="auto"/>
        <w:rPr>
          <w:rFonts w:hint="eastAsia" w:ascii="宋体" w:hAnsi="宋体" w:eastAsia="宋体" w:cs="宋体"/>
          <w:color w:val="auto"/>
          <w:sz w:val="24"/>
          <w:szCs w:val="24"/>
          <w:highlight w:val="none"/>
        </w:rPr>
      </w:pPr>
    </w:p>
    <w:p w14:paraId="42B2025C">
      <w:pPr>
        <w:keepNext w:val="0"/>
        <w:keepLines w:val="0"/>
        <w:pageBreakBefore w:val="0"/>
        <w:kinsoku/>
        <w:wordWrap/>
        <w:overflowPunct/>
        <w:topLinePunct w:val="0"/>
        <w:autoSpaceDE/>
        <w:autoSpaceDN/>
        <w:bidi w:val="0"/>
        <w:adjustRightInd/>
        <w:snapToGrid/>
        <w:spacing w:line="500" w:lineRule="exact"/>
        <w:ind w:firstLine="616" w:firstLineChars="257"/>
        <w:textAlignment w:val="auto"/>
        <w:rPr>
          <w:rFonts w:hint="eastAsia" w:ascii="宋体" w:hAnsi="宋体" w:eastAsia="宋体" w:cs="宋体"/>
          <w:color w:val="auto"/>
          <w:sz w:val="24"/>
          <w:szCs w:val="24"/>
          <w:highlight w:val="none"/>
        </w:rPr>
      </w:pPr>
    </w:p>
    <w:p w14:paraId="2271ABAE">
      <w:pPr>
        <w:keepNext w:val="0"/>
        <w:keepLines w:val="0"/>
        <w:pageBreakBefore w:val="0"/>
        <w:kinsoku/>
        <w:wordWrap/>
        <w:overflowPunct/>
        <w:topLinePunct w:val="0"/>
        <w:autoSpaceDE/>
        <w:autoSpaceDN/>
        <w:bidi w:val="0"/>
        <w:adjustRightInd/>
        <w:snapToGrid/>
        <w:spacing w:line="500" w:lineRule="exact"/>
        <w:ind w:firstLine="616" w:firstLineChars="257"/>
        <w:textAlignment w:val="auto"/>
        <w:rPr>
          <w:rFonts w:hint="eastAsia" w:ascii="宋体" w:hAnsi="宋体" w:eastAsia="宋体" w:cs="宋体"/>
          <w:color w:val="auto"/>
          <w:sz w:val="24"/>
          <w:szCs w:val="24"/>
          <w:highlight w:val="none"/>
        </w:rPr>
      </w:pPr>
    </w:p>
    <w:p w14:paraId="4A0DADDB">
      <w:pPr>
        <w:keepNext w:val="0"/>
        <w:keepLines w:val="0"/>
        <w:pageBreakBefore w:val="0"/>
        <w:kinsoku/>
        <w:wordWrap/>
        <w:overflowPunct/>
        <w:topLinePunct w:val="0"/>
        <w:autoSpaceDE/>
        <w:autoSpaceDN/>
        <w:bidi w:val="0"/>
        <w:adjustRightInd/>
        <w:snapToGrid/>
        <w:spacing w:line="500" w:lineRule="exact"/>
        <w:ind w:firstLine="616" w:firstLineChars="257"/>
        <w:textAlignment w:val="auto"/>
        <w:rPr>
          <w:rFonts w:hint="eastAsia" w:ascii="宋体" w:hAnsi="宋体" w:eastAsia="宋体" w:cs="宋体"/>
          <w:color w:val="auto"/>
          <w:sz w:val="24"/>
          <w:szCs w:val="24"/>
          <w:highlight w:val="none"/>
        </w:rPr>
      </w:pPr>
    </w:p>
    <w:p w14:paraId="54E6961A">
      <w:pPr>
        <w:keepNext w:val="0"/>
        <w:keepLines w:val="0"/>
        <w:pageBreakBefore w:val="0"/>
        <w:kinsoku/>
        <w:wordWrap/>
        <w:overflowPunct/>
        <w:topLinePunct w:val="0"/>
        <w:autoSpaceDE/>
        <w:autoSpaceDN/>
        <w:bidi w:val="0"/>
        <w:adjustRightInd/>
        <w:snapToGrid/>
        <w:spacing w:line="500" w:lineRule="exact"/>
        <w:ind w:firstLine="616" w:firstLineChars="257"/>
        <w:textAlignment w:val="auto"/>
        <w:rPr>
          <w:rFonts w:hint="eastAsia" w:ascii="宋体" w:hAnsi="宋体" w:eastAsia="宋体" w:cs="宋体"/>
          <w:color w:val="auto"/>
          <w:sz w:val="24"/>
          <w:szCs w:val="24"/>
          <w:highlight w:val="none"/>
        </w:rPr>
      </w:pPr>
    </w:p>
    <w:p w14:paraId="0687799F">
      <w:pPr>
        <w:keepNext w:val="0"/>
        <w:keepLines w:val="0"/>
        <w:pageBreakBefore w:val="0"/>
        <w:kinsoku/>
        <w:wordWrap/>
        <w:overflowPunct/>
        <w:topLinePunct w:val="0"/>
        <w:autoSpaceDE/>
        <w:autoSpaceDN/>
        <w:bidi w:val="0"/>
        <w:adjustRightInd/>
        <w:snapToGrid/>
        <w:spacing w:line="500" w:lineRule="exact"/>
        <w:ind w:firstLine="616" w:firstLineChars="257"/>
        <w:textAlignment w:val="auto"/>
        <w:rPr>
          <w:rFonts w:hint="eastAsia" w:ascii="宋体" w:hAnsi="宋体" w:eastAsia="宋体" w:cs="宋体"/>
          <w:color w:val="auto"/>
          <w:sz w:val="24"/>
          <w:szCs w:val="24"/>
          <w:highlight w:val="none"/>
        </w:rPr>
      </w:pPr>
    </w:p>
    <w:p w14:paraId="19E870A1">
      <w:pPr>
        <w:keepNext w:val="0"/>
        <w:keepLines w:val="0"/>
        <w:pageBreakBefore w:val="0"/>
        <w:kinsoku/>
        <w:wordWrap/>
        <w:overflowPunct/>
        <w:topLinePunct w:val="0"/>
        <w:autoSpaceDE/>
        <w:autoSpaceDN/>
        <w:bidi w:val="0"/>
        <w:adjustRightInd/>
        <w:snapToGrid/>
        <w:spacing w:line="500" w:lineRule="exact"/>
        <w:ind w:firstLine="616" w:firstLineChars="257"/>
        <w:textAlignment w:val="auto"/>
        <w:rPr>
          <w:rFonts w:hint="eastAsia" w:ascii="宋体" w:hAnsi="宋体" w:eastAsia="宋体" w:cs="宋体"/>
          <w:color w:val="auto"/>
          <w:sz w:val="24"/>
          <w:szCs w:val="24"/>
          <w:highlight w:val="none"/>
        </w:rPr>
      </w:pPr>
    </w:p>
    <w:p w14:paraId="08FA2104">
      <w:pPr>
        <w:keepNext w:val="0"/>
        <w:keepLines w:val="0"/>
        <w:pageBreakBefore w:val="0"/>
        <w:kinsoku/>
        <w:wordWrap/>
        <w:overflowPunct/>
        <w:topLinePunct w:val="0"/>
        <w:autoSpaceDE/>
        <w:autoSpaceDN/>
        <w:bidi w:val="0"/>
        <w:adjustRightInd/>
        <w:snapToGrid/>
        <w:spacing w:line="500" w:lineRule="exact"/>
        <w:ind w:firstLine="2640" w:firstLineChars="1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541AB8FD">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auto"/>
          <w:sz w:val="24"/>
          <w:szCs w:val="24"/>
          <w:highlight w:val="none"/>
          <w:lang w:eastAsia="zh-CN"/>
        </w:rPr>
      </w:pPr>
    </w:p>
    <w:p w14:paraId="01F42376">
      <w:pPr>
        <w:keepNext w:val="0"/>
        <w:keepLines w:val="0"/>
        <w:pageBreakBefore w:val="0"/>
        <w:kinsoku/>
        <w:wordWrap/>
        <w:overflowPunct/>
        <w:topLinePunct w:val="0"/>
        <w:autoSpaceDE/>
        <w:autoSpaceDN/>
        <w:bidi w:val="0"/>
        <w:adjustRightInd/>
        <w:snapToGrid/>
        <w:spacing w:line="500" w:lineRule="exact"/>
        <w:ind w:firstLine="2640" w:firstLineChars="1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字）</w:t>
      </w:r>
    </w:p>
    <w:p w14:paraId="1EF5C930">
      <w:pPr>
        <w:keepNext w:val="0"/>
        <w:keepLines w:val="0"/>
        <w:pageBreakBefore w:val="0"/>
        <w:kinsoku/>
        <w:wordWrap/>
        <w:overflowPunct/>
        <w:topLinePunct w:val="0"/>
        <w:autoSpaceDE/>
        <w:autoSpaceDN/>
        <w:bidi w:val="0"/>
        <w:adjustRightInd/>
        <w:snapToGrid/>
        <w:spacing w:line="500" w:lineRule="exact"/>
        <w:ind w:firstLine="3420" w:firstLineChars="1425"/>
        <w:textAlignment w:val="auto"/>
        <w:rPr>
          <w:rFonts w:hint="eastAsia" w:ascii="宋体" w:hAnsi="宋体" w:eastAsia="宋体" w:cs="宋体"/>
          <w:color w:val="auto"/>
          <w:sz w:val="24"/>
          <w:szCs w:val="24"/>
          <w:highlight w:val="none"/>
        </w:rPr>
      </w:pPr>
    </w:p>
    <w:p w14:paraId="1C37691A">
      <w:pPr>
        <w:keepNext w:val="0"/>
        <w:keepLines w:val="0"/>
        <w:pageBreakBefore w:val="0"/>
        <w:widowControl/>
        <w:kinsoku/>
        <w:wordWrap/>
        <w:overflowPunct/>
        <w:topLinePunct w:val="0"/>
        <w:autoSpaceDE/>
        <w:autoSpaceDN/>
        <w:bidi w:val="0"/>
        <w:adjustRightInd/>
        <w:snapToGrid/>
        <w:spacing w:line="500" w:lineRule="exact"/>
        <w:jc w:val="right"/>
        <w:textAlignment w:val="auto"/>
        <w:rPr>
          <w:rFonts w:hint="eastAsia" w:ascii="宋体" w:hAnsi="宋体" w:eastAsia="宋体" w:cs="宋体"/>
          <w:color w:val="auto"/>
          <w:sz w:val="24"/>
          <w:szCs w:val="24"/>
          <w:highlight w:val="none"/>
          <w:lang w:val="zh-CN"/>
        </w:rPr>
        <w:sectPr>
          <w:pgSz w:w="11905" w:h="16838"/>
          <w:pgMar w:top="1440" w:right="1800" w:bottom="1440" w:left="1800" w:header="1140" w:footer="720" w:gutter="0"/>
          <w:pgNumType w:fmt="decimal"/>
          <w:cols w:space="0" w:num="1"/>
          <w:rtlGutter w:val="0"/>
          <w:docGrid w:type="lines" w:linePitch="317" w:charSpace="0"/>
        </w:sectPr>
      </w:pPr>
      <w:r>
        <w:rPr>
          <w:rFonts w:hint="eastAsia" w:ascii="宋体" w:hAnsi="宋体" w:eastAsia="宋体" w:cs="宋体"/>
          <w:color w:val="auto"/>
          <w:sz w:val="24"/>
          <w:szCs w:val="24"/>
          <w:highlight w:val="none"/>
        </w:rPr>
        <w:t xml:space="preserve">                               日  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2429F819">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zh-CN"/>
        </w:rPr>
        <w:t>（</w:t>
      </w:r>
      <w:r>
        <w:rPr>
          <w:rFonts w:hint="eastAsia" w:ascii="宋体" w:hAnsi="宋体" w:eastAsia="宋体" w:cs="宋体"/>
          <w:color w:val="auto"/>
          <w:sz w:val="32"/>
          <w:szCs w:val="32"/>
          <w:highlight w:val="none"/>
        </w:rPr>
        <w:t>5</w:t>
      </w:r>
      <w:r>
        <w:rPr>
          <w:rFonts w:hint="eastAsia" w:ascii="宋体" w:hAnsi="宋体" w:eastAsia="宋体" w:cs="宋体"/>
          <w:color w:val="auto"/>
          <w:sz w:val="32"/>
          <w:szCs w:val="32"/>
          <w:highlight w:val="none"/>
          <w:lang w:val="zh-CN"/>
        </w:rPr>
        <w:t>）政府采购诚信承诺书</w:t>
      </w:r>
    </w:p>
    <w:p w14:paraId="22034B4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kern w:val="0"/>
          <w:sz w:val="32"/>
          <w:szCs w:val="18"/>
          <w:highlight w:val="none"/>
        </w:rPr>
      </w:pPr>
    </w:p>
    <w:p w14:paraId="3904292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u w:val="single"/>
        </w:rPr>
        <w:t xml:space="preserve">     (采购人）     </w:t>
      </w:r>
      <w:r>
        <w:rPr>
          <w:rFonts w:hint="eastAsia" w:ascii="宋体" w:hAnsi="宋体" w:eastAsia="宋体" w:cs="宋体"/>
          <w:bCs/>
          <w:color w:val="auto"/>
          <w:sz w:val="24"/>
          <w:szCs w:val="24"/>
          <w:highlight w:val="none"/>
        </w:rPr>
        <w:t>：</w:t>
      </w:r>
    </w:p>
    <w:p w14:paraId="1153243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我公司</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eastAsia="zh-CN"/>
        </w:rPr>
        <w:t>投标人</w:t>
      </w:r>
      <w:r>
        <w:rPr>
          <w:rFonts w:hint="eastAsia" w:ascii="宋体" w:hAnsi="宋体" w:eastAsia="宋体" w:cs="宋体"/>
          <w:bCs/>
          <w:color w:val="auto"/>
          <w:sz w:val="24"/>
          <w:szCs w:val="24"/>
          <w:highlight w:val="none"/>
          <w:u w:val="single"/>
        </w:rPr>
        <w:t xml:space="preserve">名称） </w:t>
      </w:r>
      <w:r>
        <w:rPr>
          <w:rFonts w:hint="eastAsia" w:ascii="宋体" w:hAnsi="宋体" w:eastAsia="宋体" w:cs="宋体"/>
          <w:bCs/>
          <w:color w:val="auto"/>
          <w:sz w:val="24"/>
          <w:szCs w:val="24"/>
          <w:highlight w:val="none"/>
        </w:rPr>
        <w:t>已详细阅读了</w:t>
      </w:r>
      <w:r>
        <w:rPr>
          <w:rFonts w:hint="eastAsia" w:ascii="宋体" w:hAnsi="宋体" w:eastAsia="宋体" w:cs="宋体"/>
          <w:bCs/>
          <w:color w:val="auto"/>
          <w:sz w:val="24"/>
          <w:szCs w:val="24"/>
          <w:highlight w:val="none"/>
          <w:u w:val="single"/>
        </w:rPr>
        <w:t xml:space="preserve">     （项目名称）        </w:t>
      </w:r>
      <w:r>
        <w:rPr>
          <w:rFonts w:hint="eastAsia" w:ascii="宋体" w:hAnsi="宋体" w:eastAsia="宋体" w:cs="宋体"/>
          <w:bCs/>
          <w:color w:val="auto"/>
          <w:sz w:val="24"/>
          <w:szCs w:val="24"/>
          <w:highlight w:val="none"/>
        </w:rPr>
        <w:t>项目（项目编号：</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）的</w:t>
      </w:r>
      <w:r>
        <w:rPr>
          <w:rFonts w:hint="eastAsia" w:ascii="宋体" w:hAnsi="宋体" w:eastAsia="宋体" w:cs="宋体"/>
          <w:bCs/>
          <w:color w:val="auto"/>
          <w:sz w:val="24"/>
          <w:szCs w:val="24"/>
          <w:highlight w:val="none"/>
          <w:lang w:eastAsia="zh-CN"/>
        </w:rPr>
        <w:t>招标</w:t>
      </w:r>
      <w:r>
        <w:rPr>
          <w:rFonts w:hint="eastAsia" w:ascii="宋体" w:hAnsi="宋体" w:eastAsia="宋体" w:cs="宋体"/>
          <w:bCs/>
          <w:color w:val="auto"/>
          <w:sz w:val="24"/>
          <w:szCs w:val="24"/>
          <w:highlight w:val="none"/>
        </w:rPr>
        <w:t>文件，自愿参加本次</w:t>
      </w:r>
      <w:r>
        <w:rPr>
          <w:rFonts w:hint="eastAsia" w:ascii="宋体" w:hAnsi="宋体" w:eastAsia="宋体" w:cs="宋体"/>
          <w:bCs/>
          <w:color w:val="auto"/>
          <w:sz w:val="24"/>
          <w:szCs w:val="24"/>
          <w:highlight w:val="none"/>
          <w:lang w:eastAsia="zh-CN"/>
        </w:rPr>
        <w:t>招标</w:t>
      </w:r>
      <w:r>
        <w:rPr>
          <w:rFonts w:hint="eastAsia" w:ascii="宋体" w:hAnsi="宋体" w:eastAsia="宋体" w:cs="宋体"/>
          <w:bCs/>
          <w:color w:val="auto"/>
          <w:sz w:val="24"/>
          <w:szCs w:val="24"/>
          <w:highlight w:val="none"/>
        </w:rPr>
        <w:t>，现就有关事项郑重承诺如下：</w:t>
      </w:r>
    </w:p>
    <w:p w14:paraId="4C0CFAF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一、诚信报价，材料真实。我公司保证所提供的全部材料、报价内容均真实、合法、有效，保证不出借或者借用其他企业资质，不以他人名义报价，不弄虚作假；未列入失信被执行人、</w:t>
      </w:r>
      <w:r>
        <w:rPr>
          <w:rFonts w:hint="eastAsia" w:ascii="宋体" w:hAnsi="宋体" w:eastAsia="宋体" w:cs="宋体"/>
          <w:bCs/>
          <w:color w:val="auto"/>
          <w:sz w:val="24"/>
          <w:szCs w:val="24"/>
          <w:highlight w:val="none"/>
          <w:lang w:eastAsia="zh-CN"/>
        </w:rPr>
        <w:t>重大税收违法失信主体</w:t>
      </w:r>
      <w:r>
        <w:rPr>
          <w:rFonts w:hint="eastAsia" w:ascii="宋体" w:hAnsi="宋体" w:eastAsia="宋体" w:cs="宋体"/>
          <w:bCs/>
          <w:color w:val="auto"/>
          <w:sz w:val="24"/>
          <w:szCs w:val="24"/>
          <w:highlight w:val="none"/>
        </w:rPr>
        <w:t>、政府采购严重违法失信行为记录名单及其他不符合《中华人民共和国政府采购法》第二十二条规定条件。</w:t>
      </w:r>
    </w:p>
    <w:p w14:paraId="14E3BBC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二、遵纪守法，公平竞争。不与其他</w:t>
      </w:r>
      <w:r>
        <w:rPr>
          <w:rFonts w:hint="eastAsia" w:ascii="宋体" w:hAnsi="宋体" w:eastAsia="宋体" w:cs="宋体"/>
          <w:bCs/>
          <w:color w:val="auto"/>
          <w:sz w:val="24"/>
          <w:szCs w:val="24"/>
          <w:highlight w:val="none"/>
          <w:lang w:eastAsia="zh-CN"/>
        </w:rPr>
        <w:t>投标人</w:t>
      </w:r>
      <w:r>
        <w:rPr>
          <w:rFonts w:hint="eastAsia" w:ascii="宋体" w:hAnsi="宋体" w:eastAsia="宋体" w:cs="宋体"/>
          <w:bCs/>
          <w:color w:val="auto"/>
          <w:sz w:val="24"/>
          <w:szCs w:val="24"/>
          <w:highlight w:val="none"/>
        </w:rPr>
        <w:t>相互串通、哄抬价格，不排挤其他</w:t>
      </w:r>
      <w:r>
        <w:rPr>
          <w:rFonts w:hint="eastAsia" w:ascii="宋体" w:hAnsi="宋体" w:eastAsia="宋体" w:cs="宋体"/>
          <w:bCs/>
          <w:color w:val="auto"/>
          <w:sz w:val="24"/>
          <w:szCs w:val="24"/>
          <w:highlight w:val="none"/>
          <w:lang w:eastAsia="zh-CN"/>
        </w:rPr>
        <w:t>投标人</w:t>
      </w:r>
      <w:r>
        <w:rPr>
          <w:rFonts w:hint="eastAsia" w:ascii="宋体" w:hAnsi="宋体" w:eastAsia="宋体" w:cs="宋体"/>
          <w:bCs/>
          <w:color w:val="auto"/>
          <w:sz w:val="24"/>
          <w:szCs w:val="24"/>
          <w:highlight w:val="none"/>
        </w:rPr>
        <w:t>，不损害采购人的合法权益；不向采购人、采购代理机构、</w:t>
      </w:r>
      <w:r>
        <w:rPr>
          <w:rFonts w:hint="eastAsia" w:ascii="宋体" w:hAnsi="宋体" w:eastAsia="宋体" w:cs="宋体"/>
          <w:bCs/>
          <w:color w:val="auto"/>
          <w:sz w:val="24"/>
          <w:szCs w:val="24"/>
          <w:highlight w:val="none"/>
          <w:lang w:eastAsia="zh-CN"/>
        </w:rPr>
        <w:t>评标</w:t>
      </w:r>
      <w:r>
        <w:rPr>
          <w:rFonts w:hint="eastAsia" w:ascii="宋体" w:hAnsi="宋体" w:eastAsia="宋体" w:cs="宋体"/>
          <w:bCs/>
          <w:color w:val="auto"/>
          <w:sz w:val="24"/>
          <w:szCs w:val="24"/>
          <w:highlight w:val="none"/>
        </w:rPr>
        <w:t>小组成员等及其他参与采购活动的人员行贿或采用其他不正当手段谋取成交；</w:t>
      </w:r>
    </w:p>
    <w:p w14:paraId="470A101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三、不捏造事实或借用他人名义进行虚假、恶意质疑和投诉，不以质疑或投诉为名排挤竞争对手，干扰政府采购秩序；</w:t>
      </w:r>
    </w:p>
    <w:p w14:paraId="6506300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若成交后，将按照规定及时与采购人签订政府采购合同，不与采购人订立有悖于采购结果的合同或协议；严格履行政府采购合同，不降低合同约定的产品质量及相关服务，不擅自变更、中止、终止合同，或者拒绝履行合同义务。</w:t>
      </w:r>
    </w:p>
    <w:p w14:paraId="2A384BD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若有违反以上承诺内容的行为，我公司自愿接受取消</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rPr>
        <w:t>资格、记入信用档案、没收</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rPr>
        <w:t>保证金、媒体通报、1～3年内禁止参与政府采购活动等处罚；如已成交的，自动放弃成交资格，并承担全部法律责任；给采购人造成损失的，依法承担赔偿责任。</w:t>
      </w:r>
    </w:p>
    <w:p w14:paraId="4F995024">
      <w:pPr>
        <w:keepNext w:val="0"/>
        <w:keepLines w:val="0"/>
        <w:pageBreakBefore w:val="0"/>
        <w:kinsoku/>
        <w:wordWrap/>
        <w:overflowPunct/>
        <w:topLinePunct w:val="0"/>
        <w:autoSpaceDE/>
        <w:autoSpaceDN/>
        <w:bidi w:val="0"/>
        <w:adjustRightInd/>
        <w:snapToGrid/>
        <w:spacing w:line="360" w:lineRule="auto"/>
        <w:ind w:right="48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6787FBC5">
      <w:pPr>
        <w:keepNext w:val="0"/>
        <w:keepLines w:val="0"/>
        <w:pageBreakBefore w:val="0"/>
        <w:kinsoku/>
        <w:wordWrap/>
        <w:overflowPunct/>
        <w:topLinePunct w:val="0"/>
        <w:autoSpaceDE/>
        <w:autoSpaceDN/>
        <w:bidi w:val="0"/>
        <w:adjustRightInd/>
        <w:snapToGrid/>
        <w:spacing w:line="480" w:lineRule="auto"/>
        <w:ind w:right="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（盖单位章）</w:t>
      </w:r>
    </w:p>
    <w:p w14:paraId="7F899937">
      <w:pPr>
        <w:keepNext w:val="0"/>
        <w:keepLines w:val="0"/>
        <w:pageBreakBefore w:val="0"/>
        <w:kinsoku/>
        <w:wordWrap/>
        <w:overflowPunct/>
        <w:topLinePunct w:val="0"/>
        <w:autoSpaceDE/>
        <w:autoSpaceDN/>
        <w:bidi w:val="0"/>
        <w:adjustRightInd/>
        <w:snapToGrid/>
        <w:spacing w:line="480" w:lineRule="auto"/>
        <w:ind w:right="-94" w:rightChars="0" w:firstLine="2640" w:firstLineChars="1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（签</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字）</w:t>
      </w:r>
    </w:p>
    <w:p w14:paraId="398558E8">
      <w:pPr>
        <w:keepNext w:val="0"/>
        <w:keepLines w:val="0"/>
        <w:pageBreakBefore w:val="0"/>
        <w:kinsoku/>
        <w:wordWrap/>
        <w:overflowPunct/>
        <w:topLinePunct w:val="0"/>
        <w:autoSpaceDE/>
        <w:autoSpaceDN/>
        <w:bidi w:val="0"/>
        <w:adjustRightInd/>
        <w:snapToGrid/>
        <w:spacing w:line="480" w:lineRule="auto"/>
        <w:ind w:right="480"/>
        <w:jc w:val="right"/>
        <w:textAlignment w:val="auto"/>
        <w:rPr>
          <w:rFonts w:hint="eastAsia" w:ascii="宋体" w:hAnsi="宋体" w:eastAsia="宋体" w:cs="宋体"/>
          <w:color w:val="auto"/>
          <w:sz w:val="24"/>
          <w:szCs w:val="24"/>
          <w:highlight w:val="none"/>
        </w:rPr>
        <w:sectPr>
          <w:pgSz w:w="11905" w:h="16838"/>
          <w:pgMar w:top="1440" w:right="1800" w:bottom="1440" w:left="1800" w:header="1140" w:footer="720" w:gutter="0"/>
          <w:pgNumType w:fmt="decimal"/>
          <w:cols w:space="0" w:num="1"/>
          <w:rtlGutter w:val="0"/>
          <w:docGrid w:type="lines" w:linePitch="317" w:charSpace="0"/>
        </w:sectPr>
      </w:pPr>
      <w:r>
        <w:rPr>
          <w:rFonts w:hint="eastAsia" w:ascii="宋体" w:hAnsi="宋体" w:eastAsia="宋体" w:cs="宋体"/>
          <w:color w:val="auto"/>
          <w:sz w:val="24"/>
          <w:szCs w:val="24"/>
          <w:highlight w:val="none"/>
        </w:rPr>
        <w:t xml:space="preserve">                                    日  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09A58299">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color w:val="auto"/>
          <w:sz w:val="32"/>
          <w:szCs w:val="32"/>
          <w:highlight w:val="none"/>
          <w:lang w:val="zh-CN"/>
        </w:rPr>
      </w:pPr>
      <w:r>
        <w:rPr>
          <w:rFonts w:hint="eastAsia" w:ascii="宋体" w:hAnsi="宋体" w:eastAsia="宋体" w:cs="宋体"/>
          <w:color w:val="auto"/>
          <w:sz w:val="28"/>
          <w:szCs w:val="28"/>
          <w:highlight w:val="none"/>
          <w:lang w:val="zh-CN"/>
        </w:rPr>
        <w:t>（</w:t>
      </w:r>
      <w:r>
        <w:rPr>
          <w:rFonts w:hint="eastAsia" w:ascii="宋体" w:hAnsi="宋体" w:eastAsia="宋体" w:cs="宋体"/>
          <w:color w:val="auto"/>
          <w:sz w:val="28"/>
          <w:szCs w:val="28"/>
          <w:highlight w:val="none"/>
        </w:rPr>
        <w:t>6</w:t>
      </w:r>
      <w:r>
        <w:rPr>
          <w:rFonts w:hint="eastAsia" w:ascii="宋体" w:hAnsi="宋体" w:eastAsia="宋体" w:cs="宋体"/>
          <w:color w:val="auto"/>
          <w:sz w:val="28"/>
          <w:szCs w:val="28"/>
          <w:highlight w:val="none"/>
          <w:lang w:val="zh-CN"/>
        </w:rPr>
        <w:t>）无投资参股关系关联企业同时投标的承诺书</w:t>
      </w:r>
    </w:p>
    <w:p w14:paraId="608579A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lang w:val="zh-CN"/>
        </w:rPr>
      </w:pPr>
    </w:p>
    <w:p w14:paraId="1D53C63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（采购人）</w:t>
      </w:r>
    </w:p>
    <w:p w14:paraId="585DD91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64AB4DF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我单位承诺：无</w:t>
      </w:r>
      <w:r>
        <w:rPr>
          <w:rFonts w:hint="eastAsia" w:ascii="宋体" w:hAnsi="宋体" w:eastAsia="宋体" w:cs="宋体"/>
          <w:color w:val="auto"/>
          <w:sz w:val="24"/>
          <w:szCs w:val="24"/>
          <w:highlight w:val="none"/>
          <w:lang w:eastAsia="zh-CN"/>
        </w:rPr>
        <w:t>下列情况！</w:t>
      </w:r>
    </w:p>
    <w:p w14:paraId="0C0B32F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具有投资参股关系的关联企业,或具有直接管理和被管理关系的母子公司，或同一母公司的子公司，或法定代表人为同一人的两个及两个以上法人同时对同一标段投标。与采购人存在利害关系可能影响投标公正性的法人、其他组织或者个人。单位负责人为同一人或者存在控股、管理关系的不同单位，参加同一标段投标或者未划分标段的同一项目投标。</w:t>
      </w:r>
    </w:p>
    <w:p w14:paraId="7D455EA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51FFB69C">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p>
    <w:p w14:paraId="4DB41FE3">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p>
    <w:p w14:paraId="24B5BAB2">
      <w:pPr>
        <w:keepNext w:val="0"/>
        <w:keepLines w:val="0"/>
        <w:pageBreakBefore w:val="0"/>
        <w:kinsoku/>
        <w:wordWrap/>
        <w:overflowPunct/>
        <w:topLinePunct w:val="0"/>
        <w:autoSpaceDE/>
        <w:autoSpaceDN/>
        <w:bidi w:val="0"/>
        <w:adjustRightInd/>
        <w:snapToGrid/>
        <w:spacing w:line="360" w:lineRule="auto"/>
        <w:ind w:firstLine="4228" w:firstLineChars="1762"/>
        <w:textAlignment w:val="auto"/>
        <w:rPr>
          <w:rFonts w:hint="eastAsia" w:ascii="宋体" w:hAnsi="宋体" w:eastAsia="宋体" w:cs="宋体"/>
          <w:color w:val="auto"/>
          <w:sz w:val="24"/>
          <w:szCs w:val="24"/>
          <w:highlight w:val="none"/>
        </w:rPr>
      </w:pPr>
    </w:p>
    <w:p w14:paraId="5B7B3BF7">
      <w:pPr>
        <w:keepNext w:val="0"/>
        <w:keepLines w:val="0"/>
        <w:pageBreakBefore w:val="0"/>
        <w:kinsoku/>
        <w:wordWrap/>
        <w:overflowPunct/>
        <w:topLinePunct w:val="0"/>
        <w:autoSpaceDE/>
        <w:autoSpaceDN/>
        <w:bidi w:val="0"/>
        <w:adjustRightInd/>
        <w:snapToGrid/>
        <w:spacing w:line="360" w:lineRule="auto"/>
        <w:ind w:left="0" w:leftChars="0" w:firstLine="420" w:firstLineChars="175"/>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4E91AE94">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p>
    <w:p w14:paraId="4ABC2DF4">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597D112E">
      <w:pPr>
        <w:pStyle w:val="14"/>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p>
    <w:p w14:paraId="3833B623">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p>
    <w:p w14:paraId="7CDF5B40">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03351A1D">
      <w:pPr>
        <w:pStyle w:val="45"/>
        <w:rPr>
          <w:rFonts w:hint="eastAsia" w:ascii="宋体" w:hAnsi="宋体" w:eastAsia="宋体" w:cs="宋体"/>
          <w:color w:val="auto"/>
          <w:sz w:val="24"/>
          <w:szCs w:val="24"/>
          <w:highlight w:val="none"/>
        </w:rPr>
      </w:pPr>
    </w:p>
    <w:p w14:paraId="3DC30B85">
      <w:pPr>
        <w:pStyle w:val="45"/>
        <w:rPr>
          <w:rFonts w:hint="eastAsia" w:ascii="宋体" w:hAnsi="宋体" w:eastAsia="宋体" w:cs="宋体"/>
          <w:b w:val="0"/>
          <w:bCs w:val="0"/>
          <w:color w:val="auto"/>
          <w:spacing w:val="0"/>
          <w:w w:val="100"/>
          <w:position w:val="0"/>
          <w:sz w:val="24"/>
          <w:szCs w:val="24"/>
          <w:highlight w:val="none"/>
          <w:lang w:eastAsia="zh-CN"/>
        </w:rPr>
      </w:pPr>
    </w:p>
    <w:p w14:paraId="72F409BA">
      <w:pPr>
        <w:pStyle w:val="45"/>
        <w:rPr>
          <w:rFonts w:hint="eastAsia" w:ascii="宋体" w:hAnsi="宋体" w:eastAsia="宋体" w:cs="宋体"/>
          <w:b w:val="0"/>
          <w:bCs w:val="0"/>
          <w:color w:val="auto"/>
          <w:spacing w:val="0"/>
          <w:w w:val="100"/>
          <w:position w:val="0"/>
          <w:sz w:val="24"/>
          <w:szCs w:val="24"/>
          <w:highlight w:val="none"/>
          <w:lang w:eastAsia="zh-CN"/>
        </w:rPr>
      </w:pPr>
    </w:p>
    <w:p w14:paraId="06AB1F5E">
      <w:pPr>
        <w:pStyle w:val="45"/>
        <w:rPr>
          <w:rFonts w:hint="eastAsia" w:ascii="宋体" w:hAnsi="宋体" w:eastAsia="宋体" w:cs="宋体"/>
          <w:b w:val="0"/>
          <w:bCs w:val="0"/>
          <w:color w:val="auto"/>
          <w:spacing w:val="0"/>
          <w:w w:val="100"/>
          <w:position w:val="0"/>
          <w:sz w:val="24"/>
          <w:szCs w:val="24"/>
          <w:highlight w:val="none"/>
          <w:lang w:eastAsia="zh-CN"/>
        </w:rPr>
      </w:pPr>
    </w:p>
    <w:p w14:paraId="4469AD64">
      <w:pPr>
        <w:pStyle w:val="45"/>
        <w:rPr>
          <w:rFonts w:hint="eastAsia" w:ascii="宋体" w:hAnsi="宋体" w:eastAsia="宋体" w:cs="宋体"/>
          <w:b w:val="0"/>
          <w:bCs w:val="0"/>
          <w:color w:val="auto"/>
          <w:spacing w:val="0"/>
          <w:w w:val="100"/>
          <w:position w:val="0"/>
          <w:sz w:val="24"/>
          <w:szCs w:val="24"/>
          <w:highlight w:val="none"/>
          <w:lang w:eastAsia="zh-CN"/>
        </w:rPr>
      </w:pPr>
    </w:p>
    <w:p w14:paraId="1118464E">
      <w:pPr>
        <w:pStyle w:val="45"/>
        <w:rPr>
          <w:rFonts w:hint="eastAsia" w:ascii="宋体" w:hAnsi="宋体" w:eastAsia="宋体" w:cs="宋体"/>
          <w:b w:val="0"/>
          <w:bCs w:val="0"/>
          <w:color w:val="auto"/>
          <w:spacing w:val="0"/>
          <w:w w:val="100"/>
          <w:position w:val="0"/>
          <w:sz w:val="24"/>
          <w:szCs w:val="24"/>
          <w:highlight w:val="none"/>
          <w:lang w:eastAsia="zh-CN"/>
        </w:rPr>
      </w:pPr>
    </w:p>
    <w:p w14:paraId="65DC97A4">
      <w:pPr>
        <w:pStyle w:val="45"/>
        <w:rPr>
          <w:rFonts w:hint="eastAsia" w:ascii="宋体" w:hAnsi="宋体" w:eastAsia="宋体" w:cs="宋体"/>
          <w:b w:val="0"/>
          <w:bCs w:val="0"/>
          <w:color w:val="auto"/>
          <w:spacing w:val="0"/>
          <w:w w:val="100"/>
          <w:position w:val="0"/>
          <w:sz w:val="24"/>
          <w:szCs w:val="24"/>
          <w:highlight w:val="none"/>
          <w:lang w:eastAsia="zh-CN"/>
        </w:rPr>
      </w:pPr>
    </w:p>
    <w:p w14:paraId="0FEBB284">
      <w:pPr>
        <w:pStyle w:val="45"/>
        <w:rPr>
          <w:rFonts w:hint="eastAsia" w:ascii="宋体" w:hAnsi="宋体" w:eastAsia="宋体" w:cs="宋体"/>
          <w:b w:val="0"/>
          <w:bCs w:val="0"/>
          <w:color w:val="auto"/>
          <w:spacing w:val="0"/>
          <w:w w:val="100"/>
          <w:position w:val="0"/>
          <w:sz w:val="24"/>
          <w:szCs w:val="24"/>
          <w:highlight w:val="none"/>
          <w:lang w:eastAsia="zh-CN"/>
        </w:rPr>
      </w:pPr>
    </w:p>
    <w:p w14:paraId="69F508F2">
      <w:pPr>
        <w:pStyle w:val="45"/>
        <w:rPr>
          <w:rFonts w:hint="eastAsia" w:ascii="宋体" w:hAnsi="宋体" w:eastAsia="宋体" w:cs="宋体"/>
          <w:b w:val="0"/>
          <w:bCs w:val="0"/>
          <w:color w:val="auto"/>
          <w:spacing w:val="0"/>
          <w:w w:val="100"/>
          <w:position w:val="0"/>
          <w:sz w:val="24"/>
          <w:szCs w:val="24"/>
          <w:highlight w:val="none"/>
          <w:lang w:eastAsia="zh-CN"/>
        </w:rPr>
      </w:pPr>
    </w:p>
    <w:p w14:paraId="7D823673">
      <w:pPr>
        <w:pStyle w:val="45"/>
        <w:rPr>
          <w:rFonts w:hint="eastAsia" w:ascii="宋体" w:hAnsi="宋体" w:eastAsia="宋体" w:cs="宋体"/>
          <w:b w:val="0"/>
          <w:bCs w:val="0"/>
          <w:color w:val="auto"/>
          <w:spacing w:val="0"/>
          <w:w w:val="100"/>
          <w:position w:val="0"/>
          <w:sz w:val="24"/>
          <w:szCs w:val="24"/>
          <w:highlight w:val="none"/>
          <w:lang w:eastAsia="zh-CN"/>
        </w:rPr>
      </w:pPr>
    </w:p>
    <w:p w14:paraId="698DB39E">
      <w:pPr>
        <w:pStyle w:val="45"/>
        <w:rPr>
          <w:rFonts w:hint="eastAsia" w:ascii="宋体" w:hAnsi="宋体" w:eastAsia="宋体" w:cs="宋体"/>
          <w:b w:val="0"/>
          <w:bCs w:val="0"/>
          <w:color w:val="auto"/>
          <w:spacing w:val="0"/>
          <w:w w:val="100"/>
          <w:position w:val="0"/>
          <w:sz w:val="24"/>
          <w:szCs w:val="24"/>
          <w:highlight w:val="none"/>
          <w:lang w:eastAsia="zh-CN"/>
        </w:rPr>
      </w:pPr>
    </w:p>
    <w:p w14:paraId="5335C871">
      <w:pPr>
        <w:pStyle w:val="45"/>
        <w:rPr>
          <w:rFonts w:hint="eastAsia" w:ascii="宋体" w:hAnsi="宋体" w:eastAsia="宋体" w:cs="宋体"/>
          <w:b w:val="0"/>
          <w:bCs w:val="0"/>
          <w:color w:val="auto"/>
          <w:spacing w:val="0"/>
          <w:w w:val="100"/>
          <w:position w:val="0"/>
          <w:sz w:val="24"/>
          <w:szCs w:val="24"/>
          <w:highlight w:val="none"/>
          <w:lang w:eastAsia="zh-CN"/>
        </w:rPr>
      </w:pPr>
    </w:p>
    <w:p w14:paraId="0E72C4D6">
      <w:pPr>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outlineLvl w:val="3"/>
        <w:rPr>
          <w:rFonts w:hint="eastAsia" w:ascii="宋体" w:hAnsi="宋体" w:eastAsia="宋体" w:cs="宋体"/>
          <w:sz w:val="28"/>
          <w:szCs w:val="24"/>
        </w:rPr>
      </w:pPr>
      <w:r>
        <w:rPr>
          <w:rFonts w:hint="eastAsia" w:ascii="宋体" w:hAnsi="宋体" w:eastAsia="宋体" w:cs="宋体"/>
          <w:sz w:val="28"/>
          <w:szCs w:val="24"/>
          <w:lang w:eastAsia="zh-CN"/>
        </w:rPr>
        <w:t>（</w:t>
      </w:r>
      <w:r>
        <w:rPr>
          <w:rFonts w:hint="eastAsia" w:ascii="宋体" w:hAnsi="宋体" w:eastAsia="宋体" w:cs="宋体"/>
          <w:sz w:val="28"/>
          <w:szCs w:val="24"/>
          <w:lang w:val="en-US" w:eastAsia="zh-CN"/>
        </w:rPr>
        <w:t>7</w:t>
      </w:r>
      <w:r>
        <w:rPr>
          <w:rFonts w:hint="eastAsia" w:ascii="宋体" w:hAnsi="宋体" w:eastAsia="宋体" w:cs="宋体"/>
          <w:sz w:val="28"/>
          <w:szCs w:val="24"/>
          <w:lang w:eastAsia="zh-CN"/>
        </w:rPr>
        <w:t>）</w:t>
      </w:r>
      <w:r>
        <w:rPr>
          <w:rFonts w:hint="eastAsia" w:ascii="宋体" w:hAnsi="宋体" w:eastAsia="宋体" w:cs="宋体"/>
          <w:sz w:val="28"/>
          <w:szCs w:val="24"/>
        </w:rPr>
        <w:t>中小企业声明函（工程、服务）</w:t>
      </w:r>
    </w:p>
    <w:p w14:paraId="5EB7641C">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 体中的中小企业、签订分包意向协议的中小企业）的具体情况如下：</w:t>
      </w:r>
    </w:p>
    <w:p w14:paraId="2B3FCF76">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w:t>
      </w:r>
    </w:p>
    <w:p w14:paraId="4EC7C78C">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w:t>
      </w:r>
      <w:r>
        <w:rPr>
          <w:rFonts w:hint="eastAsia" w:ascii="宋体" w:hAnsi="宋体" w:eastAsia="宋体" w:cs="宋体"/>
          <w:sz w:val="24"/>
          <w:szCs w:val="24"/>
          <w:vertAlign w:val="superscript"/>
        </w:rPr>
        <w:fldChar w:fldCharType="begin"/>
      </w:r>
      <w:r>
        <w:rPr>
          <w:rFonts w:hint="eastAsia" w:ascii="宋体" w:hAnsi="宋体" w:eastAsia="宋体" w:cs="宋体"/>
          <w:sz w:val="24"/>
          <w:szCs w:val="24"/>
          <w:vertAlign w:val="superscript"/>
        </w:rPr>
        <w:instrText xml:space="preserve"> HYPERLINK \l "_bookmark1" </w:instrText>
      </w:r>
      <w:r>
        <w:rPr>
          <w:rFonts w:hint="eastAsia" w:ascii="宋体" w:hAnsi="宋体" w:eastAsia="宋体" w:cs="宋体"/>
          <w:sz w:val="24"/>
          <w:szCs w:val="24"/>
          <w:vertAlign w:val="superscript"/>
        </w:rPr>
        <w:fldChar w:fldCharType="separate"/>
      </w:r>
      <w:r>
        <w:rPr>
          <w:rFonts w:hint="eastAsia" w:ascii="宋体" w:hAnsi="宋体" w:eastAsia="宋体" w:cs="宋体"/>
          <w:sz w:val="24"/>
          <w:szCs w:val="24"/>
          <w:vertAlign w:val="superscript"/>
        </w:rPr>
        <w:t>1</w:t>
      </w:r>
      <w:r>
        <w:rPr>
          <w:rFonts w:hint="eastAsia" w:ascii="宋体" w:hAnsi="宋体" w:eastAsia="宋体" w:cs="宋体"/>
          <w:sz w:val="24"/>
          <w:szCs w:val="24"/>
          <w:vertAlign w:val="superscript"/>
        </w:rPr>
        <w:fldChar w:fldCharType="end"/>
      </w:r>
      <w:r>
        <w:rPr>
          <w:rFonts w:hint="eastAsia" w:ascii="宋体" w:hAnsi="宋体" w:eastAsia="宋体" w:cs="宋体"/>
          <w:sz w:val="24"/>
          <w:szCs w:val="24"/>
        </w:rPr>
        <w:t>，属于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113D3FF7">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0643541A">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w:t>
      </w:r>
    </w:p>
    <w:p w14:paraId="248A327F">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5F1E0BA0">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0EDE898A">
      <w:pPr>
        <w:keepNext w:val="0"/>
        <w:keepLines w:val="0"/>
        <w:pageBreakBefore w:val="0"/>
        <w:widowControl w:val="0"/>
        <w:kinsoku/>
        <w:wordWrap/>
        <w:overflowPunct/>
        <w:topLinePunct w:val="0"/>
        <w:autoSpaceDE w:val="0"/>
        <w:autoSpaceDN w:val="0"/>
        <w:bidi w:val="0"/>
        <w:adjustRightInd/>
        <w:snapToGrid/>
        <w:spacing w:line="500" w:lineRule="exact"/>
        <w:ind w:firstLine="3120" w:firstLineChars="1300"/>
        <w:textAlignment w:val="auto"/>
        <w:rPr>
          <w:rFonts w:hint="eastAsia" w:ascii="宋体" w:hAnsi="宋体" w:eastAsia="宋体" w:cs="宋体"/>
          <w:sz w:val="24"/>
          <w:szCs w:val="24"/>
        </w:rPr>
      </w:pPr>
    </w:p>
    <w:p w14:paraId="016A2A2C">
      <w:pPr>
        <w:keepNext w:val="0"/>
        <w:keepLines w:val="0"/>
        <w:pageBreakBefore w:val="0"/>
        <w:widowControl w:val="0"/>
        <w:kinsoku/>
        <w:wordWrap/>
        <w:overflowPunct/>
        <w:topLinePunct w:val="0"/>
        <w:autoSpaceDE w:val="0"/>
        <w:autoSpaceDN w:val="0"/>
        <w:bidi w:val="0"/>
        <w:adjustRightInd/>
        <w:snapToGrid/>
        <w:spacing w:line="480" w:lineRule="auto"/>
        <w:ind w:firstLine="3120" w:firstLineChars="1300"/>
        <w:textAlignment w:val="auto"/>
        <w:rPr>
          <w:rFonts w:hint="eastAsia" w:ascii="宋体" w:hAnsi="宋体" w:eastAsia="宋体" w:cs="宋体"/>
          <w:sz w:val="24"/>
          <w:szCs w:val="24"/>
        </w:rPr>
      </w:pPr>
      <w:r>
        <w:rPr>
          <w:rFonts w:hint="eastAsia" w:ascii="宋体" w:hAnsi="宋体" w:eastAsia="宋体" w:cs="宋体"/>
          <w:sz w:val="24"/>
          <w:szCs w:val="24"/>
        </w:rPr>
        <w:t>企业名称（盖章）：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539269F8">
      <w:pPr>
        <w:keepNext w:val="0"/>
        <w:keepLines w:val="0"/>
        <w:pageBreakBefore w:val="0"/>
        <w:widowControl w:val="0"/>
        <w:kinsoku/>
        <w:wordWrap/>
        <w:overflowPunct/>
        <w:topLinePunct w:val="0"/>
        <w:autoSpaceDE w:val="0"/>
        <w:autoSpaceDN w:val="0"/>
        <w:bidi w:val="0"/>
        <w:adjustRightInd/>
        <w:snapToGrid/>
        <w:spacing w:line="480" w:lineRule="auto"/>
        <w:ind w:firstLine="4560" w:firstLineChars="1900"/>
        <w:textAlignment w:val="auto"/>
        <w:rPr>
          <w:rFonts w:hint="eastAsia" w:ascii="宋体" w:hAnsi="宋体" w:eastAsia="宋体" w:cs="宋体"/>
          <w:sz w:val="24"/>
          <w:szCs w:val="24"/>
        </w:rPr>
      </w:pP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78F4C0C8">
      <w:pPr>
        <w:keepNext w:val="0"/>
        <w:keepLines w:val="0"/>
        <w:pageBreakBefore w:val="0"/>
        <w:widowControl w:val="0"/>
        <w:kinsoku/>
        <w:wordWrap/>
        <w:overflowPunct/>
        <w:topLinePunct w:val="0"/>
        <w:autoSpaceDE w:val="0"/>
        <w:autoSpaceDN w:val="0"/>
        <w:bidi w:val="0"/>
        <w:adjustRightInd/>
        <w:snapToGrid/>
        <w:spacing w:before="0" w:line="500" w:lineRule="exact"/>
        <w:ind w:left="20" w:right="0" w:firstLine="0"/>
        <w:jc w:val="left"/>
        <w:textAlignment w:val="auto"/>
        <w:rPr>
          <w:rFonts w:hint="eastAsia" w:ascii="宋体" w:hAnsi="宋体" w:eastAsia="宋体" w:cs="宋体"/>
          <w:sz w:val="24"/>
          <w:szCs w:val="24"/>
        </w:rPr>
      </w:pPr>
    </w:p>
    <w:p w14:paraId="1112F531">
      <w:pPr>
        <w:keepNext w:val="0"/>
        <w:keepLines w:val="0"/>
        <w:pageBreakBefore w:val="0"/>
        <w:widowControl w:val="0"/>
        <w:kinsoku/>
        <w:wordWrap/>
        <w:overflowPunct/>
        <w:topLinePunct w:val="0"/>
        <w:autoSpaceDE w:val="0"/>
        <w:autoSpaceDN w:val="0"/>
        <w:bidi w:val="0"/>
        <w:adjustRightInd/>
        <w:snapToGrid/>
        <w:spacing w:before="0" w:line="500" w:lineRule="exact"/>
        <w:ind w:left="20" w:right="0" w:firstLine="0"/>
        <w:jc w:val="left"/>
        <w:textAlignment w:val="auto"/>
        <w:rPr>
          <w:rFonts w:hint="eastAsia" w:ascii="宋体" w:hAnsi="宋体" w:eastAsia="宋体" w:cs="宋体"/>
          <w:sz w:val="24"/>
          <w:szCs w:val="24"/>
          <w:vertAlign w:val="superscript"/>
          <w:lang w:val="en-US" w:eastAsia="zh-CN"/>
        </w:rPr>
      </w:pPr>
    </w:p>
    <w:p w14:paraId="02E8532C">
      <w:pPr>
        <w:keepNext w:val="0"/>
        <w:keepLines w:val="0"/>
        <w:pageBreakBefore w:val="0"/>
        <w:widowControl w:val="0"/>
        <w:kinsoku/>
        <w:wordWrap/>
        <w:overflowPunct/>
        <w:topLinePunct w:val="0"/>
        <w:autoSpaceDE w:val="0"/>
        <w:autoSpaceDN w:val="0"/>
        <w:bidi w:val="0"/>
        <w:adjustRightInd/>
        <w:snapToGrid/>
        <w:spacing w:before="0" w:line="500" w:lineRule="exact"/>
        <w:ind w:left="20" w:right="0" w:firstLine="0"/>
        <w:jc w:val="left"/>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注：</w:t>
      </w:r>
      <w:r>
        <w:rPr>
          <w:rFonts w:hint="eastAsia" w:ascii="宋体" w:hAnsi="宋体" w:eastAsia="宋体" w:cs="宋体"/>
          <w:sz w:val="21"/>
          <w:szCs w:val="21"/>
        </w:rPr>
        <w:t>属于中小微企业的供应商填写此</w:t>
      </w:r>
      <w:r>
        <w:rPr>
          <w:rFonts w:hint="eastAsia" w:ascii="宋体" w:hAnsi="宋体" w:eastAsia="宋体" w:cs="宋体"/>
          <w:sz w:val="21"/>
          <w:szCs w:val="21"/>
          <w:lang w:eastAsia="zh-CN"/>
        </w:rPr>
        <w:t>内容。</w:t>
      </w:r>
    </w:p>
    <w:p w14:paraId="365269AB">
      <w:pPr>
        <w:pStyle w:val="45"/>
        <w:rPr>
          <w:rFonts w:hint="eastAsia" w:ascii="宋体" w:hAnsi="宋体" w:eastAsia="宋体" w:cs="宋体"/>
          <w:sz w:val="22"/>
          <w:szCs w:val="22"/>
        </w:rPr>
      </w:pPr>
      <w:r>
        <w:rPr>
          <w:rFonts w:hint="eastAsia" w:ascii="宋体" w:hAnsi="宋体" w:eastAsia="宋体" w:cs="宋体"/>
          <w:sz w:val="22"/>
          <w:szCs w:val="22"/>
          <w:vertAlign w:val="superscript"/>
          <w:lang w:val="en-US" w:eastAsia="zh-CN"/>
        </w:rPr>
        <w:t>1</w:t>
      </w:r>
      <w:r>
        <w:rPr>
          <w:rFonts w:hint="eastAsia" w:ascii="宋体" w:hAnsi="宋体" w:eastAsia="宋体" w:cs="宋体"/>
          <w:sz w:val="22"/>
          <w:szCs w:val="22"/>
        </w:rPr>
        <w:t>从业人员、营业收入、资产总额填报上一年度数据，无上一年度数据的新成立企业可不填报。</w:t>
      </w:r>
    </w:p>
    <w:p w14:paraId="1B50EAE6">
      <w:pPr>
        <w:pStyle w:val="45"/>
        <w:rPr>
          <w:rFonts w:hint="eastAsia" w:ascii="宋体" w:hAnsi="宋体" w:eastAsia="宋体" w:cs="宋体"/>
          <w:sz w:val="22"/>
          <w:szCs w:val="22"/>
        </w:rPr>
      </w:pPr>
    </w:p>
    <w:p w14:paraId="71B7318D">
      <w:pPr>
        <w:pStyle w:val="45"/>
        <w:rPr>
          <w:rFonts w:hint="eastAsia" w:ascii="宋体" w:hAnsi="宋体" w:eastAsia="宋体" w:cs="宋体"/>
          <w:sz w:val="22"/>
          <w:szCs w:val="22"/>
        </w:rPr>
      </w:pPr>
    </w:p>
    <w:p w14:paraId="1CE4BF96">
      <w:pPr>
        <w:pStyle w:val="45"/>
        <w:rPr>
          <w:rFonts w:hint="eastAsia" w:ascii="宋体" w:hAnsi="宋体" w:eastAsia="宋体" w:cs="宋体"/>
          <w:sz w:val="22"/>
          <w:szCs w:val="22"/>
        </w:rPr>
      </w:pPr>
    </w:p>
    <w:p w14:paraId="1FCB5DE9">
      <w:pPr>
        <w:pStyle w:val="45"/>
        <w:rPr>
          <w:rFonts w:hint="eastAsia" w:ascii="宋体" w:hAnsi="宋体" w:eastAsia="宋体" w:cs="宋体"/>
          <w:sz w:val="22"/>
          <w:szCs w:val="22"/>
        </w:rPr>
      </w:pPr>
    </w:p>
    <w:p w14:paraId="1441743F">
      <w:pPr>
        <w:pStyle w:val="45"/>
        <w:rPr>
          <w:rFonts w:hint="eastAsia" w:ascii="宋体" w:hAnsi="宋体" w:eastAsia="宋体" w:cs="宋体"/>
          <w:sz w:val="22"/>
          <w:szCs w:val="22"/>
        </w:rPr>
      </w:pPr>
    </w:p>
    <w:p w14:paraId="62BB04EA">
      <w:pPr>
        <w:pStyle w:val="45"/>
        <w:rPr>
          <w:rFonts w:hint="eastAsia" w:ascii="宋体" w:hAnsi="宋体" w:eastAsia="宋体" w:cs="宋体"/>
          <w:sz w:val="22"/>
          <w:szCs w:val="22"/>
          <w:lang w:eastAsia="zh-CN"/>
        </w:rPr>
      </w:pPr>
    </w:p>
    <w:p w14:paraId="51C29F0F">
      <w:pPr>
        <w:pStyle w:val="88"/>
        <w:keepNext w:val="0"/>
        <w:keepLines w:val="0"/>
        <w:pageBreakBefore w:val="0"/>
        <w:widowControl w:val="0"/>
        <w:kinsoku/>
        <w:wordWrap/>
        <w:overflowPunct/>
        <w:topLinePunct w:val="0"/>
        <w:autoSpaceDE/>
        <w:autoSpaceDN/>
        <w:bidi w:val="0"/>
        <w:adjustRightInd/>
        <w:snapToGrid/>
        <w:ind w:left="102" w:right="102"/>
        <w:jc w:val="center"/>
        <w:textAlignment w:val="auto"/>
        <w:outlineLvl w:val="2"/>
        <w:rPr>
          <w:rFonts w:hint="eastAsia" w:ascii="宋体" w:hAnsi="宋体" w:eastAsia="宋体" w:cs="宋体"/>
          <w:color w:val="auto"/>
          <w:sz w:val="30"/>
          <w:szCs w:val="30"/>
          <w:highlight w:val="none"/>
        </w:rPr>
      </w:pPr>
      <w:bookmarkStart w:id="111" w:name="_Toc16864"/>
      <w:bookmarkStart w:id="112" w:name="_Toc19222"/>
      <w:r>
        <w:rPr>
          <w:rFonts w:hint="eastAsia" w:ascii="宋体" w:hAnsi="宋体" w:eastAsia="宋体" w:cs="宋体"/>
          <w:color w:val="auto"/>
          <w:sz w:val="30"/>
          <w:szCs w:val="30"/>
          <w:highlight w:val="none"/>
        </w:rPr>
        <w:t>（五）网络截图</w:t>
      </w:r>
      <w:bookmarkEnd w:id="111"/>
      <w:bookmarkEnd w:id="112"/>
    </w:p>
    <w:p w14:paraId="6D93D28E">
      <w:pPr>
        <w:pStyle w:val="29"/>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rPr>
      </w:pPr>
    </w:p>
    <w:p w14:paraId="241601CC">
      <w:pPr>
        <w:pStyle w:val="29"/>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p>
    <w:p w14:paraId="68CFD915">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未被列入“信用中国”网站(www.creditchina.gov.cn)、“中国政府采购网”(www.ccgp.gov.cn)等渠道信用记录失信被执行人、</w:t>
      </w:r>
      <w:r>
        <w:rPr>
          <w:rFonts w:hint="eastAsia" w:ascii="宋体" w:hAnsi="宋体" w:eastAsia="宋体" w:cs="宋体"/>
          <w:color w:val="auto"/>
          <w:sz w:val="24"/>
          <w:szCs w:val="24"/>
          <w:highlight w:val="none"/>
          <w:lang w:eastAsia="zh-CN"/>
        </w:rPr>
        <w:t>重大税收违法失信主体</w:t>
      </w:r>
      <w:r>
        <w:rPr>
          <w:rFonts w:hint="eastAsia" w:ascii="宋体" w:hAnsi="宋体" w:eastAsia="宋体" w:cs="宋体"/>
          <w:color w:val="auto"/>
          <w:sz w:val="24"/>
          <w:szCs w:val="24"/>
          <w:highlight w:val="none"/>
        </w:rPr>
        <w:t>、政府采购严重违法失信行为记录</w:t>
      </w:r>
      <w:r>
        <w:rPr>
          <w:rFonts w:hint="eastAsia" w:ascii="宋体" w:hAnsi="宋体" w:eastAsia="宋体" w:cs="宋体"/>
          <w:color w:val="auto"/>
          <w:sz w:val="24"/>
          <w:szCs w:val="24"/>
          <w:highlight w:val="none"/>
          <w:lang w:eastAsia="zh-CN"/>
        </w:rPr>
        <w:t>。</w:t>
      </w:r>
    </w:p>
    <w:p w14:paraId="02C89AF2">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p>
    <w:p w14:paraId="02623509">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p>
    <w:p w14:paraId="0B3E7DC5">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lang w:eastAsia="zh-CN"/>
        </w:rPr>
        <w:sectPr>
          <w:pgSz w:w="11905" w:h="16838"/>
          <w:pgMar w:top="1440" w:right="1800" w:bottom="1440" w:left="1800" w:header="1140" w:footer="720" w:gutter="0"/>
          <w:pgNumType w:fmt="decimal"/>
          <w:cols w:space="0" w:num="1"/>
          <w:rtlGutter w:val="0"/>
          <w:docGrid w:type="lines" w:linePitch="317" w:charSpace="0"/>
        </w:sectPr>
      </w:pPr>
      <w:r>
        <w:rPr>
          <w:rFonts w:hint="eastAsia" w:ascii="宋体" w:hAnsi="宋体" w:eastAsia="宋体" w:cs="宋体"/>
          <w:color w:val="auto"/>
          <w:sz w:val="24"/>
          <w:szCs w:val="24"/>
          <w:highlight w:val="none"/>
        </w:rPr>
        <w:t>注：提供相关查询记录网络截图</w:t>
      </w:r>
      <w:r>
        <w:rPr>
          <w:rFonts w:hint="eastAsia" w:ascii="宋体" w:hAnsi="宋体" w:eastAsia="宋体" w:cs="宋体"/>
          <w:color w:val="auto"/>
          <w:sz w:val="24"/>
          <w:szCs w:val="24"/>
          <w:highlight w:val="none"/>
          <w:lang w:eastAsia="zh-CN"/>
        </w:rPr>
        <w:t>加盖公章。</w:t>
      </w:r>
    </w:p>
    <w:p w14:paraId="320BFC45">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p>
    <w:p w14:paraId="4B082CA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未被工商行政管理机关在全国企业信用信息公示系统（http://www.gsxt.gov.cn/）中列入严重违法失信企业名单</w:t>
      </w:r>
      <w:r>
        <w:rPr>
          <w:rFonts w:hint="eastAsia" w:ascii="宋体" w:hAnsi="宋体" w:eastAsia="宋体" w:cs="宋体"/>
          <w:color w:val="auto"/>
          <w:sz w:val="24"/>
          <w:szCs w:val="24"/>
          <w:highlight w:val="none"/>
          <w:lang w:eastAsia="zh-CN"/>
        </w:rPr>
        <w:t>。</w:t>
      </w:r>
    </w:p>
    <w:p w14:paraId="5FA0A88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p>
    <w:p w14:paraId="61C79CEB">
      <w:pPr>
        <w:pStyle w:val="21"/>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注：提供相关查询记录网络截图</w:t>
      </w:r>
      <w:r>
        <w:rPr>
          <w:rFonts w:hint="eastAsia" w:ascii="宋体" w:hAnsi="宋体" w:eastAsia="宋体" w:cs="宋体"/>
          <w:color w:val="auto"/>
          <w:sz w:val="24"/>
          <w:szCs w:val="24"/>
          <w:highlight w:val="none"/>
          <w:lang w:eastAsia="zh-CN"/>
        </w:rPr>
        <w:t>加盖公章。</w:t>
      </w:r>
    </w:p>
    <w:p w14:paraId="4E2EB042">
      <w:pPr>
        <w:pStyle w:val="21"/>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rPr>
      </w:pPr>
    </w:p>
    <w:p w14:paraId="2B761BE8">
      <w:pPr>
        <w:pStyle w:val="21"/>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rPr>
      </w:pPr>
    </w:p>
    <w:p w14:paraId="01C63B0B">
      <w:pPr>
        <w:pStyle w:val="21"/>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rPr>
      </w:pPr>
    </w:p>
    <w:p w14:paraId="3154A073">
      <w:pPr>
        <w:pStyle w:val="21"/>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rPr>
      </w:pPr>
    </w:p>
    <w:p w14:paraId="12BCE49F">
      <w:pPr>
        <w:pStyle w:val="21"/>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rPr>
      </w:pPr>
    </w:p>
    <w:p w14:paraId="4DDC2500">
      <w:pPr>
        <w:pStyle w:val="21"/>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rPr>
      </w:pPr>
    </w:p>
    <w:p w14:paraId="6EACEA6A">
      <w:pPr>
        <w:pStyle w:val="21"/>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rPr>
      </w:pPr>
    </w:p>
    <w:p w14:paraId="7FDF632E">
      <w:pPr>
        <w:pStyle w:val="21"/>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rPr>
      </w:pPr>
    </w:p>
    <w:p w14:paraId="032FEE2C">
      <w:pPr>
        <w:pStyle w:val="21"/>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rPr>
      </w:pPr>
    </w:p>
    <w:p w14:paraId="37128321">
      <w:pPr>
        <w:pStyle w:val="21"/>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rPr>
      </w:pPr>
    </w:p>
    <w:p w14:paraId="10D06019">
      <w:pPr>
        <w:pStyle w:val="21"/>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rPr>
      </w:pPr>
    </w:p>
    <w:p w14:paraId="16DD61B7">
      <w:pPr>
        <w:pStyle w:val="21"/>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rPr>
      </w:pPr>
    </w:p>
    <w:p w14:paraId="0FD5C879">
      <w:pPr>
        <w:pStyle w:val="21"/>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rPr>
      </w:pPr>
    </w:p>
    <w:p w14:paraId="0B518101">
      <w:pPr>
        <w:pStyle w:val="21"/>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rPr>
      </w:pPr>
    </w:p>
    <w:p w14:paraId="40B90474">
      <w:pPr>
        <w:pStyle w:val="21"/>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rPr>
      </w:pPr>
    </w:p>
    <w:p w14:paraId="19AE6747">
      <w:pPr>
        <w:pStyle w:val="21"/>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rPr>
      </w:pPr>
    </w:p>
    <w:p w14:paraId="61948DD3">
      <w:pPr>
        <w:pStyle w:val="21"/>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rPr>
      </w:pPr>
    </w:p>
    <w:p w14:paraId="789B9E82">
      <w:pPr>
        <w:pStyle w:val="21"/>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rPr>
      </w:pPr>
    </w:p>
    <w:p w14:paraId="0CC22983">
      <w:pPr>
        <w:pStyle w:val="21"/>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rPr>
      </w:pPr>
    </w:p>
    <w:p w14:paraId="3A887C65">
      <w:pPr>
        <w:pStyle w:val="21"/>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rPr>
      </w:pPr>
    </w:p>
    <w:p w14:paraId="0493CC74">
      <w:pPr>
        <w:pStyle w:val="21"/>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rPr>
      </w:pPr>
    </w:p>
    <w:p w14:paraId="4A1AEDF3">
      <w:pPr>
        <w:pStyle w:val="21"/>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rPr>
      </w:pPr>
    </w:p>
    <w:p w14:paraId="59BAADFB">
      <w:pPr>
        <w:pStyle w:val="21"/>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rPr>
      </w:pPr>
    </w:p>
    <w:p w14:paraId="1627657F">
      <w:pPr>
        <w:pStyle w:val="21"/>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4"/>
          <w:szCs w:val="24"/>
          <w:highlight w:val="none"/>
        </w:rPr>
      </w:pPr>
    </w:p>
    <w:p w14:paraId="27838A85">
      <w:pPr>
        <w:pStyle w:val="83"/>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500" w:lineRule="atLeast"/>
        <w:ind w:left="0" w:right="0" w:firstLine="0"/>
        <w:jc w:val="both"/>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 xml:space="preserve"> 3 </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pacing w:val="0"/>
          <w:w w:val="100"/>
          <w:position w:val="0"/>
          <w:sz w:val="24"/>
          <w:szCs w:val="24"/>
          <w:highlight w:val="none"/>
          <w:lang w:eastAsia="zh-CN"/>
        </w:rPr>
        <w:t>投标人</w:t>
      </w:r>
      <w:r>
        <w:rPr>
          <w:rFonts w:hint="eastAsia" w:ascii="宋体" w:hAnsi="宋体" w:eastAsia="宋体" w:cs="宋体"/>
          <w:b w:val="0"/>
          <w:bCs w:val="0"/>
          <w:color w:val="auto"/>
          <w:spacing w:val="0"/>
          <w:w w:val="100"/>
          <w:position w:val="0"/>
          <w:sz w:val="24"/>
          <w:szCs w:val="24"/>
          <w:highlight w:val="none"/>
        </w:rPr>
        <w:t>须对</w:t>
      </w:r>
      <w:r>
        <w:rPr>
          <w:rFonts w:hint="eastAsia" w:ascii="宋体" w:hAnsi="宋体" w:eastAsia="宋体" w:cs="宋体"/>
          <w:b w:val="0"/>
          <w:bCs w:val="0"/>
          <w:color w:val="auto"/>
          <w:spacing w:val="0"/>
          <w:w w:val="100"/>
          <w:position w:val="0"/>
          <w:sz w:val="24"/>
          <w:szCs w:val="24"/>
          <w:highlight w:val="none"/>
          <w:lang w:eastAsia="zh-CN"/>
        </w:rPr>
        <w:t>投标人</w:t>
      </w:r>
      <w:r>
        <w:rPr>
          <w:rFonts w:hint="eastAsia" w:ascii="宋体" w:hAnsi="宋体" w:eastAsia="宋体" w:cs="宋体"/>
          <w:b w:val="0"/>
          <w:bCs w:val="0"/>
          <w:color w:val="auto"/>
          <w:spacing w:val="0"/>
          <w:w w:val="100"/>
          <w:position w:val="0"/>
          <w:sz w:val="24"/>
          <w:szCs w:val="24"/>
          <w:highlight w:val="none"/>
        </w:rPr>
        <w:t>、法定代表人、</w:t>
      </w:r>
      <w:r>
        <w:rPr>
          <w:rFonts w:hint="eastAsia" w:ascii="宋体" w:hAnsi="宋体" w:eastAsia="宋体" w:cs="宋体"/>
          <w:b w:val="0"/>
          <w:bCs w:val="0"/>
          <w:color w:val="auto"/>
          <w:spacing w:val="0"/>
          <w:w w:val="100"/>
          <w:position w:val="0"/>
          <w:sz w:val="24"/>
          <w:szCs w:val="24"/>
          <w:highlight w:val="none"/>
          <w:lang w:eastAsia="zh-CN"/>
        </w:rPr>
        <w:t>拟委任的项目负责人进行行贿犯罪档案查询</w:t>
      </w:r>
      <w:r>
        <w:rPr>
          <w:rFonts w:hint="eastAsia" w:ascii="宋体" w:hAnsi="宋体" w:eastAsia="宋体" w:cs="宋体"/>
          <w:b w:val="0"/>
          <w:bCs w:val="0"/>
          <w:color w:val="auto"/>
          <w:spacing w:val="0"/>
          <w:w w:val="100"/>
          <w:position w:val="0"/>
          <w:sz w:val="24"/>
          <w:szCs w:val="24"/>
          <w:highlight w:val="none"/>
        </w:rPr>
        <w:t>（登录中国裁判文书网自行查询）</w:t>
      </w:r>
      <w:r>
        <w:rPr>
          <w:rFonts w:hint="eastAsia" w:ascii="宋体" w:hAnsi="宋体" w:eastAsia="宋体" w:cs="宋体"/>
          <w:b w:val="0"/>
          <w:bCs w:val="0"/>
          <w:color w:val="auto"/>
          <w:spacing w:val="0"/>
          <w:w w:val="100"/>
          <w:position w:val="0"/>
          <w:sz w:val="24"/>
          <w:szCs w:val="24"/>
          <w:highlight w:val="none"/>
          <w:lang w:val="en-US" w:eastAsia="zh-CN"/>
        </w:rPr>
        <w:t>[</w:t>
      </w:r>
      <w:r>
        <w:rPr>
          <w:rFonts w:hint="eastAsia" w:ascii="宋体" w:hAnsi="宋体" w:eastAsia="宋体" w:cs="宋体"/>
          <w:b w:val="0"/>
          <w:bCs w:val="0"/>
          <w:color w:val="auto"/>
          <w:spacing w:val="0"/>
          <w:w w:val="100"/>
          <w:position w:val="0"/>
          <w:sz w:val="24"/>
          <w:szCs w:val="24"/>
          <w:highlight w:val="none"/>
        </w:rPr>
        <w:t>查询时间范围必须包括：本项目信息公告发布之日起（含公告发布当日</w:t>
      </w:r>
      <w:r>
        <w:rPr>
          <w:rFonts w:hint="eastAsia" w:ascii="宋体" w:hAnsi="宋体" w:eastAsia="宋体" w:cs="宋体"/>
          <w:b w:val="0"/>
          <w:bCs w:val="0"/>
          <w:color w:val="auto"/>
          <w:spacing w:val="0"/>
          <w:w w:val="100"/>
          <w:position w:val="0"/>
          <w:sz w:val="24"/>
          <w:szCs w:val="24"/>
          <w:highlight w:val="none"/>
          <w:lang w:val="en-US" w:eastAsia="zh-CN"/>
        </w:rPr>
        <w:t>)至</w:t>
      </w:r>
      <w:r>
        <w:rPr>
          <w:rFonts w:hint="eastAsia" w:ascii="宋体" w:hAnsi="宋体" w:eastAsia="宋体" w:cs="宋体"/>
          <w:b w:val="0"/>
          <w:bCs w:val="0"/>
          <w:color w:val="auto"/>
          <w:spacing w:val="0"/>
          <w:w w:val="100"/>
          <w:position w:val="0"/>
          <w:sz w:val="24"/>
          <w:szCs w:val="24"/>
          <w:highlight w:val="none"/>
        </w:rPr>
        <w:t>前三年</w:t>
      </w:r>
      <w:r>
        <w:rPr>
          <w:rFonts w:hint="eastAsia" w:ascii="宋体" w:hAnsi="宋体" w:eastAsia="宋体" w:cs="宋体"/>
          <w:b w:val="0"/>
          <w:bCs w:val="0"/>
          <w:color w:val="auto"/>
          <w:spacing w:val="0"/>
          <w:w w:val="100"/>
          <w:position w:val="0"/>
          <w:sz w:val="24"/>
          <w:szCs w:val="24"/>
          <w:highlight w:val="none"/>
          <w:lang w:val="en-US" w:eastAsia="zh-CN"/>
        </w:rPr>
        <w:t>]。</w:t>
      </w:r>
    </w:p>
    <w:p w14:paraId="57E9D95B">
      <w:pPr>
        <w:pStyle w:val="21"/>
        <w:keepNext w:val="0"/>
        <w:keepLines w:val="0"/>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val="0"/>
          <w:color w:val="auto"/>
          <w:kern w:val="0"/>
          <w:sz w:val="24"/>
          <w:szCs w:val="24"/>
          <w:highlight w:val="none"/>
          <w:lang w:val="en-US" w:eastAsia="zh-CN" w:bidi="ar-SA"/>
        </w:rPr>
      </w:pPr>
    </w:p>
    <w:p w14:paraId="74BF9859">
      <w:pPr>
        <w:bidi w:val="0"/>
        <w:jc w:val="center"/>
        <w:rPr>
          <w:rFonts w:hint="eastAsia" w:ascii="宋体" w:hAnsi="宋体" w:eastAsia="宋体" w:cs="宋体"/>
          <w:b/>
          <w:bCs/>
          <w:color w:val="auto"/>
          <w:szCs w:val="32"/>
          <w:highlight w:val="none"/>
          <w:lang w:eastAsia="zh-CN"/>
        </w:rPr>
      </w:pPr>
      <w:r>
        <w:rPr>
          <w:rFonts w:hint="eastAsia" w:ascii="宋体" w:hAnsi="宋体" w:eastAsia="宋体" w:cs="宋体"/>
          <w:color w:val="auto"/>
          <w:sz w:val="24"/>
          <w:szCs w:val="24"/>
          <w:highlight w:val="none"/>
        </w:rPr>
        <w:t>注：提供相关查询记录网络截图</w:t>
      </w:r>
      <w:r>
        <w:rPr>
          <w:rFonts w:hint="eastAsia" w:ascii="宋体" w:hAnsi="宋体" w:eastAsia="宋体" w:cs="宋体"/>
          <w:color w:val="auto"/>
          <w:sz w:val="24"/>
          <w:szCs w:val="24"/>
          <w:highlight w:val="none"/>
          <w:lang w:eastAsia="zh-CN"/>
        </w:rPr>
        <w:t>加盖公章。</w:t>
      </w:r>
      <w:r>
        <w:rPr>
          <w:rFonts w:hint="eastAsia" w:ascii="宋体" w:hAnsi="宋体" w:eastAsia="宋体" w:cs="宋体"/>
          <w:color w:val="auto"/>
          <w:szCs w:val="24"/>
          <w:highlight w:val="none"/>
        </w:rPr>
        <w:br w:type="page"/>
      </w:r>
    </w:p>
    <w:p w14:paraId="01A0858D">
      <w:pPr>
        <w:pStyle w:val="88"/>
        <w:keepNext w:val="0"/>
        <w:keepLines w:val="0"/>
        <w:pageBreakBefore w:val="0"/>
        <w:widowControl w:val="0"/>
        <w:kinsoku/>
        <w:wordWrap/>
        <w:overflowPunct/>
        <w:topLinePunct w:val="0"/>
        <w:autoSpaceDE/>
        <w:autoSpaceDN/>
        <w:bidi w:val="0"/>
        <w:adjustRightInd/>
        <w:snapToGrid/>
        <w:ind w:left="102" w:right="102"/>
        <w:jc w:val="center"/>
        <w:textAlignment w:val="auto"/>
        <w:outlineLvl w:val="2"/>
        <w:rPr>
          <w:rFonts w:hint="eastAsia" w:ascii="宋体" w:hAnsi="宋体" w:eastAsia="宋体" w:cs="宋体"/>
          <w:color w:val="auto"/>
          <w:sz w:val="30"/>
          <w:szCs w:val="30"/>
          <w:highlight w:val="none"/>
          <w:lang w:eastAsia="zh-CN"/>
        </w:rPr>
      </w:pPr>
      <w:bookmarkStart w:id="113" w:name="_Toc23481"/>
      <w:bookmarkStart w:id="114" w:name="_Toc19305"/>
      <w:r>
        <w:rPr>
          <w:rFonts w:hint="eastAsia" w:ascii="宋体" w:hAnsi="宋体" w:eastAsia="宋体" w:cs="宋体"/>
          <w:color w:val="auto"/>
          <w:sz w:val="30"/>
          <w:szCs w:val="30"/>
          <w:highlight w:val="none"/>
          <w:lang w:eastAsia="zh-CN"/>
        </w:rPr>
        <w:t>（六）近年完成的类似项目情况表</w:t>
      </w:r>
      <w:bookmarkEnd w:id="113"/>
      <w:bookmarkEnd w:id="114"/>
    </w:p>
    <w:p w14:paraId="13CAAA94">
      <w:pPr>
        <w:pStyle w:val="21"/>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highlight w:val="none"/>
        </w:rPr>
      </w:pPr>
    </w:p>
    <w:tbl>
      <w:tblPr>
        <w:tblStyle w:val="36"/>
        <w:tblW w:w="8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2059"/>
        <w:gridCol w:w="2073"/>
        <w:gridCol w:w="2963"/>
      </w:tblGrid>
      <w:tr w14:paraId="586E6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center"/>
          </w:tcPr>
          <w:p w14:paraId="321BFE7F">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059" w:type="dxa"/>
            <w:tcBorders>
              <w:top w:val="single" w:color="auto" w:sz="4" w:space="0"/>
              <w:left w:val="nil"/>
              <w:bottom w:val="single" w:color="auto" w:sz="4" w:space="0"/>
              <w:right w:val="single" w:color="auto" w:sz="4" w:space="0"/>
            </w:tcBorders>
            <w:noWrap w:val="0"/>
            <w:vAlign w:val="center"/>
          </w:tcPr>
          <w:p w14:paraId="21D3305D">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合同名称</w:t>
            </w:r>
          </w:p>
        </w:tc>
        <w:tc>
          <w:tcPr>
            <w:tcW w:w="2073" w:type="dxa"/>
            <w:tcBorders>
              <w:top w:val="single" w:color="auto" w:sz="4" w:space="0"/>
              <w:left w:val="nil"/>
              <w:bottom w:val="single" w:color="auto" w:sz="4" w:space="0"/>
              <w:right w:val="single" w:color="auto" w:sz="4" w:space="0"/>
            </w:tcBorders>
            <w:noWrap w:val="0"/>
            <w:vAlign w:val="center"/>
          </w:tcPr>
          <w:p w14:paraId="09E4ACB4">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合同额（元）</w:t>
            </w:r>
          </w:p>
        </w:tc>
        <w:tc>
          <w:tcPr>
            <w:tcW w:w="2963" w:type="dxa"/>
            <w:tcBorders>
              <w:top w:val="single" w:color="auto" w:sz="4" w:space="0"/>
              <w:left w:val="nil"/>
              <w:bottom w:val="single" w:color="auto" w:sz="4" w:space="0"/>
              <w:right w:val="single" w:color="auto" w:sz="4" w:space="0"/>
            </w:tcBorders>
            <w:noWrap w:val="0"/>
            <w:vAlign w:val="center"/>
          </w:tcPr>
          <w:p w14:paraId="3A47BE13">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0" w:right="34"/>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合同起止时间</w:t>
            </w:r>
          </w:p>
        </w:tc>
      </w:tr>
      <w:tr w14:paraId="18BA3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center"/>
          </w:tcPr>
          <w:p w14:paraId="23EB9B29">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auto"/>
                <w:sz w:val="24"/>
                <w:szCs w:val="24"/>
                <w:highlight w:val="none"/>
              </w:rPr>
            </w:pPr>
          </w:p>
        </w:tc>
        <w:tc>
          <w:tcPr>
            <w:tcW w:w="2059" w:type="dxa"/>
            <w:tcBorders>
              <w:top w:val="single" w:color="auto" w:sz="4" w:space="0"/>
              <w:left w:val="nil"/>
              <w:bottom w:val="single" w:color="auto" w:sz="4" w:space="0"/>
              <w:right w:val="single" w:color="auto" w:sz="4" w:space="0"/>
            </w:tcBorders>
            <w:noWrap w:val="0"/>
            <w:vAlign w:val="center"/>
          </w:tcPr>
          <w:p w14:paraId="40444EEA">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auto"/>
                <w:sz w:val="24"/>
                <w:szCs w:val="24"/>
                <w:highlight w:val="none"/>
              </w:rPr>
            </w:pPr>
          </w:p>
        </w:tc>
        <w:tc>
          <w:tcPr>
            <w:tcW w:w="2073" w:type="dxa"/>
            <w:tcBorders>
              <w:top w:val="single" w:color="auto" w:sz="4" w:space="0"/>
              <w:left w:val="nil"/>
              <w:bottom w:val="single" w:color="auto" w:sz="4" w:space="0"/>
              <w:right w:val="single" w:color="auto" w:sz="4" w:space="0"/>
            </w:tcBorders>
            <w:noWrap w:val="0"/>
            <w:vAlign w:val="center"/>
          </w:tcPr>
          <w:p w14:paraId="02F549E9">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auto"/>
                <w:sz w:val="24"/>
                <w:szCs w:val="24"/>
                <w:highlight w:val="none"/>
              </w:rPr>
            </w:pPr>
          </w:p>
        </w:tc>
        <w:tc>
          <w:tcPr>
            <w:tcW w:w="2963" w:type="dxa"/>
            <w:tcBorders>
              <w:top w:val="single" w:color="auto" w:sz="4" w:space="0"/>
              <w:left w:val="nil"/>
              <w:bottom w:val="single" w:color="auto" w:sz="4" w:space="0"/>
              <w:right w:val="single" w:color="auto" w:sz="4" w:space="0"/>
            </w:tcBorders>
            <w:noWrap w:val="0"/>
            <w:vAlign w:val="center"/>
          </w:tcPr>
          <w:p w14:paraId="0C74C7CF">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auto"/>
                <w:sz w:val="24"/>
                <w:szCs w:val="24"/>
                <w:highlight w:val="none"/>
              </w:rPr>
            </w:pPr>
          </w:p>
        </w:tc>
      </w:tr>
      <w:tr w14:paraId="7816E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center"/>
          </w:tcPr>
          <w:p w14:paraId="6983918F">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auto"/>
                <w:sz w:val="24"/>
                <w:szCs w:val="24"/>
                <w:highlight w:val="none"/>
              </w:rPr>
            </w:pPr>
          </w:p>
        </w:tc>
        <w:tc>
          <w:tcPr>
            <w:tcW w:w="2059" w:type="dxa"/>
            <w:tcBorders>
              <w:top w:val="single" w:color="auto" w:sz="4" w:space="0"/>
              <w:left w:val="nil"/>
              <w:bottom w:val="single" w:color="auto" w:sz="4" w:space="0"/>
              <w:right w:val="single" w:color="auto" w:sz="4" w:space="0"/>
            </w:tcBorders>
            <w:noWrap w:val="0"/>
            <w:vAlign w:val="center"/>
          </w:tcPr>
          <w:p w14:paraId="37C58592">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auto"/>
                <w:sz w:val="24"/>
                <w:szCs w:val="24"/>
                <w:highlight w:val="none"/>
              </w:rPr>
            </w:pPr>
          </w:p>
        </w:tc>
        <w:tc>
          <w:tcPr>
            <w:tcW w:w="2073" w:type="dxa"/>
            <w:tcBorders>
              <w:top w:val="single" w:color="auto" w:sz="4" w:space="0"/>
              <w:left w:val="nil"/>
              <w:bottom w:val="single" w:color="auto" w:sz="4" w:space="0"/>
              <w:right w:val="single" w:color="auto" w:sz="4" w:space="0"/>
            </w:tcBorders>
            <w:noWrap w:val="0"/>
            <w:vAlign w:val="center"/>
          </w:tcPr>
          <w:p w14:paraId="22AF6A23">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auto"/>
                <w:sz w:val="24"/>
                <w:szCs w:val="24"/>
                <w:highlight w:val="none"/>
              </w:rPr>
            </w:pPr>
          </w:p>
        </w:tc>
        <w:tc>
          <w:tcPr>
            <w:tcW w:w="2963" w:type="dxa"/>
            <w:tcBorders>
              <w:top w:val="single" w:color="auto" w:sz="4" w:space="0"/>
              <w:left w:val="nil"/>
              <w:bottom w:val="single" w:color="auto" w:sz="4" w:space="0"/>
              <w:right w:val="single" w:color="auto" w:sz="4" w:space="0"/>
            </w:tcBorders>
            <w:noWrap w:val="0"/>
            <w:vAlign w:val="center"/>
          </w:tcPr>
          <w:p w14:paraId="77DD29E2">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auto"/>
                <w:sz w:val="24"/>
                <w:szCs w:val="24"/>
                <w:highlight w:val="none"/>
              </w:rPr>
            </w:pPr>
          </w:p>
        </w:tc>
      </w:tr>
      <w:tr w14:paraId="2DCF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center"/>
          </w:tcPr>
          <w:p w14:paraId="0EC602D0">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auto"/>
                <w:sz w:val="24"/>
                <w:szCs w:val="24"/>
                <w:highlight w:val="none"/>
              </w:rPr>
            </w:pPr>
          </w:p>
        </w:tc>
        <w:tc>
          <w:tcPr>
            <w:tcW w:w="2059" w:type="dxa"/>
            <w:tcBorders>
              <w:top w:val="single" w:color="auto" w:sz="4" w:space="0"/>
              <w:left w:val="nil"/>
              <w:bottom w:val="single" w:color="auto" w:sz="4" w:space="0"/>
              <w:right w:val="single" w:color="auto" w:sz="4" w:space="0"/>
            </w:tcBorders>
            <w:noWrap w:val="0"/>
            <w:vAlign w:val="center"/>
          </w:tcPr>
          <w:p w14:paraId="787C0C0F">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auto"/>
                <w:sz w:val="24"/>
                <w:szCs w:val="24"/>
                <w:highlight w:val="none"/>
              </w:rPr>
            </w:pPr>
          </w:p>
        </w:tc>
        <w:tc>
          <w:tcPr>
            <w:tcW w:w="2073" w:type="dxa"/>
            <w:tcBorders>
              <w:top w:val="single" w:color="auto" w:sz="4" w:space="0"/>
              <w:left w:val="nil"/>
              <w:bottom w:val="single" w:color="auto" w:sz="4" w:space="0"/>
              <w:right w:val="single" w:color="auto" w:sz="4" w:space="0"/>
            </w:tcBorders>
            <w:noWrap w:val="0"/>
            <w:vAlign w:val="center"/>
          </w:tcPr>
          <w:p w14:paraId="48ECE159">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auto"/>
                <w:sz w:val="24"/>
                <w:szCs w:val="24"/>
                <w:highlight w:val="none"/>
              </w:rPr>
            </w:pPr>
          </w:p>
        </w:tc>
        <w:tc>
          <w:tcPr>
            <w:tcW w:w="2963" w:type="dxa"/>
            <w:tcBorders>
              <w:top w:val="single" w:color="auto" w:sz="4" w:space="0"/>
              <w:left w:val="nil"/>
              <w:bottom w:val="single" w:color="auto" w:sz="4" w:space="0"/>
              <w:right w:val="single" w:color="auto" w:sz="4" w:space="0"/>
            </w:tcBorders>
            <w:noWrap w:val="0"/>
            <w:vAlign w:val="center"/>
          </w:tcPr>
          <w:p w14:paraId="77F42EBA">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auto"/>
                <w:sz w:val="24"/>
                <w:szCs w:val="24"/>
                <w:highlight w:val="none"/>
              </w:rPr>
            </w:pPr>
          </w:p>
        </w:tc>
      </w:tr>
      <w:tr w14:paraId="6C7E3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center"/>
          </w:tcPr>
          <w:p w14:paraId="171BD223">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auto"/>
                <w:sz w:val="24"/>
                <w:szCs w:val="24"/>
                <w:highlight w:val="none"/>
              </w:rPr>
            </w:pPr>
          </w:p>
        </w:tc>
        <w:tc>
          <w:tcPr>
            <w:tcW w:w="2059" w:type="dxa"/>
            <w:tcBorders>
              <w:top w:val="single" w:color="auto" w:sz="4" w:space="0"/>
              <w:left w:val="nil"/>
              <w:bottom w:val="single" w:color="auto" w:sz="4" w:space="0"/>
              <w:right w:val="single" w:color="auto" w:sz="4" w:space="0"/>
            </w:tcBorders>
            <w:noWrap w:val="0"/>
            <w:vAlign w:val="center"/>
          </w:tcPr>
          <w:p w14:paraId="156FFB98">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auto"/>
                <w:sz w:val="24"/>
                <w:szCs w:val="24"/>
                <w:highlight w:val="none"/>
              </w:rPr>
            </w:pPr>
          </w:p>
        </w:tc>
        <w:tc>
          <w:tcPr>
            <w:tcW w:w="2073" w:type="dxa"/>
            <w:tcBorders>
              <w:top w:val="single" w:color="auto" w:sz="4" w:space="0"/>
              <w:left w:val="nil"/>
              <w:bottom w:val="single" w:color="auto" w:sz="4" w:space="0"/>
              <w:right w:val="single" w:color="auto" w:sz="4" w:space="0"/>
            </w:tcBorders>
            <w:noWrap w:val="0"/>
            <w:vAlign w:val="center"/>
          </w:tcPr>
          <w:p w14:paraId="426D3B39">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auto"/>
                <w:sz w:val="24"/>
                <w:szCs w:val="24"/>
                <w:highlight w:val="none"/>
              </w:rPr>
            </w:pPr>
          </w:p>
        </w:tc>
        <w:tc>
          <w:tcPr>
            <w:tcW w:w="2963" w:type="dxa"/>
            <w:tcBorders>
              <w:top w:val="single" w:color="auto" w:sz="4" w:space="0"/>
              <w:left w:val="nil"/>
              <w:bottom w:val="single" w:color="auto" w:sz="4" w:space="0"/>
              <w:right w:val="single" w:color="auto" w:sz="4" w:space="0"/>
            </w:tcBorders>
            <w:noWrap w:val="0"/>
            <w:vAlign w:val="center"/>
          </w:tcPr>
          <w:p w14:paraId="583C87F0">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auto"/>
                <w:sz w:val="24"/>
                <w:szCs w:val="24"/>
                <w:highlight w:val="none"/>
              </w:rPr>
            </w:pPr>
          </w:p>
        </w:tc>
      </w:tr>
      <w:tr w14:paraId="7BA8B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center"/>
          </w:tcPr>
          <w:p w14:paraId="1471B54F">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auto"/>
                <w:sz w:val="24"/>
                <w:szCs w:val="24"/>
                <w:highlight w:val="none"/>
              </w:rPr>
            </w:pPr>
          </w:p>
        </w:tc>
        <w:tc>
          <w:tcPr>
            <w:tcW w:w="2059" w:type="dxa"/>
            <w:tcBorders>
              <w:top w:val="single" w:color="auto" w:sz="4" w:space="0"/>
              <w:left w:val="nil"/>
              <w:bottom w:val="single" w:color="auto" w:sz="4" w:space="0"/>
              <w:right w:val="single" w:color="auto" w:sz="4" w:space="0"/>
            </w:tcBorders>
            <w:noWrap w:val="0"/>
            <w:vAlign w:val="center"/>
          </w:tcPr>
          <w:p w14:paraId="2812376B">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auto"/>
                <w:sz w:val="24"/>
                <w:szCs w:val="24"/>
                <w:highlight w:val="none"/>
              </w:rPr>
            </w:pPr>
          </w:p>
        </w:tc>
        <w:tc>
          <w:tcPr>
            <w:tcW w:w="2073" w:type="dxa"/>
            <w:tcBorders>
              <w:top w:val="single" w:color="auto" w:sz="4" w:space="0"/>
              <w:left w:val="nil"/>
              <w:bottom w:val="single" w:color="auto" w:sz="4" w:space="0"/>
              <w:right w:val="single" w:color="auto" w:sz="4" w:space="0"/>
            </w:tcBorders>
            <w:noWrap w:val="0"/>
            <w:vAlign w:val="center"/>
          </w:tcPr>
          <w:p w14:paraId="648C1F96">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auto"/>
                <w:sz w:val="24"/>
                <w:szCs w:val="24"/>
                <w:highlight w:val="none"/>
              </w:rPr>
            </w:pPr>
          </w:p>
        </w:tc>
        <w:tc>
          <w:tcPr>
            <w:tcW w:w="2963" w:type="dxa"/>
            <w:tcBorders>
              <w:top w:val="single" w:color="auto" w:sz="4" w:space="0"/>
              <w:left w:val="nil"/>
              <w:bottom w:val="single" w:color="auto" w:sz="4" w:space="0"/>
              <w:right w:val="single" w:color="auto" w:sz="4" w:space="0"/>
            </w:tcBorders>
            <w:noWrap w:val="0"/>
            <w:vAlign w:val="center"/>
          </w:tcPr>
          <w:p w14:paraId="29156BF0">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auto"/>
                <w:sz w:val="24"/>
                <w:szCs w:val="24"/>
                <w:highlight w:val="none"/>
              </w:rPr>
            </w:pPr>
          </w:p>
        </w:tc>
      </w:tr>
      <w:tr w14:paraId="46BA5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center"/>
          </w:tcPr>
          <w:p w14:paraId="23B2C198">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auto"/>
                <w:sz w:val="24"/>
                <w:szCs w:val="24"/>
                <w:highlight w:val="none"/>
              </w:rPr>
            </w:pPr>
          </w:p>
        </w:tc>
        <w:tc>
          <w:tcPr>
            <w:tcW w:w="2059" w:type="dxa"/>
            <w:tcBorders>
              <w:top w:val="single" w:color="auto" w:sz="4" w:space="0"/>
              <w:left w:val="nil"/>
              <w:bottom w:val="single" w:color="auto" w:sz="4" w:space="0"/>
              <w:right w:val="single" w:color="auto" w:sz="4" w:space="0"/>
            </w:tcBorders>
            <w:noWrap w:val="0"/>
            <w:vAlign w:val="center"/>
          </w:tcPr>
          <w:p w14:paraId="5E59695C">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auto"/>
                <w:sz w:val="24"/>
                <w:szCs w:val="24"/>
                <w:highlight w:val="none"/>
              </w:rPr>
            </w:pPr>
          </w:p>
        </w:tc>
        <w:tc>
          <w:tcPr>
            <w:tcW w:w="2073" w:type="dxa"/>
            <w:tcBorders>
              <w:top w:val="single" w:color="auto" w:sz="4" w:space="0"/>
              <w:left w:val="nil"/>
              <w:bottom w:val="single" w:color="auto" w:sz="4" w:space="0"/>
              <w:right w:val="single" w:color="auto" w:sz="4" w:space="0"/>
            </w:tcBorders>
            <w:noWrap w:val="0"/>
            <w:vAlign w:val="center"/>
          </w:tcPr>
          <w:p w14:paraId="5209CF5A">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auto"/>
                <w:sz w:val="24"/>
                <w:szCs w:val="24"/>
                <w:highlight w:val="none"/>
              </w:rPr>
            </w:pPr>
          </w:p>
        </w:tc>
        <w:tc>
          <w:tcPr>
            <w:tcW w:w="2963" w:type="dxa"/>
            <w:tcBorders>
              <w:top w:val="single" w:color="auto" w:sz="4" w:space="0"/>
              <w:left w:val="nil"/>
              <w:bottom w:val="single" w:color="auto" w:sz="4" w:space="0"/>
              <w:right w:val="single" w:color="auto" w:sz="4" w:space="0"/>
            </w:tcBorders>
            <w:noWrap w:val="0"/>
            <w:vAlign w:val="center"/>
          </w:tcPr>
          <w:p w14:paraId="12D5A5C7">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auto"/>
                <w:sz w:val="24"/>
                <w:szCs w:val="24"/>
                <w:highlight w:val="none"/>
              </w:rPr>
            </w:pPr>
          </w:p>
        </w:tc>
      </w:tr>
      <w:tr w14:paraId="4E585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center"/>
          </w:tcPr>
          <w:p w14:paraId="602F547F">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auto"/>
                <w:sz w:val="24"/>
                <w:szCs w:val="24"/>
                <w:highlight w:val="none"/>
              </w:rPr>
            </w:pPr>
          </w:p>
        </w:tc>
        <w:tc>
          <w:tcPr>
            <w:tcW w:w="2059" w:type="dxa"/>
            <w:tcBorders>
              <w:top w:val="single" w:color="auto" w:sz="4" w:space="0"/>
              <w:left w:val="nil"/>
              <w:bottom w:val="single" w:color="auto" w:sz="4" w:space="0"/>
              <w:right w:val="single" w:color="auto" w:sz="4" w:space="0"/>
            </w:tcBorders>
            <w:noWrap w:val="0"/>
            <w:vAlign w:val="center"/>
          </w:tcPr>
          <w:p w14:paraId="5B8F21E5">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auto"/>
                <w:sz w:val="24"/>
                <w:szCs w:val="24"/>
                <w:highlight w:val="none"/>
              </w:rPr>
            </w:pPr>
          </w:p>
        </w:tc>
        <w:tc>
          <w:tcPr>
            <w:tcW w:w="2073" w:type="dxa"/>
            <w:tcBorders>
              <w:top w:val="single" w:color="auto" w:sz="4" w:space="0"/>
              <w:left w:val="nil"/>
              <w:bottom w:val="single" w:color="auto" w:sz="4" w:space="0"/>
              <w:right w:val="single" w:color="auto" w:sz="4" w:space="0"/>
            </w:tcBorders>
            <w:noWrap w:val="0"/>
            <w:vAlign w:val="center"/>
          </w:tcPr>
          <w:p w14:paraId="10DC90A5">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auto"/>
                <w:sz w:val="24"/>
                <w:szCs w:val="24"/>
                <w:highlight w:val="none"/>
              </w:rPr>
            </w:pPr>
          </w:p>
        </w:tc>
        <w:tc>
          <w:tcPr>
            <w:tcW w:w="2963" w:type="dxa"/>
            <w:tcBorders>
              <w:top w:val="single" w:color="auto" w:sz="4" w:space="0"/>
              <w:left w:val="nil"/>
              <w:bottom w:val="single" w:color="auto" w:sz="4" w:space="0"/>
              <w:right w:val="single" w:color="auto" w:sz="4" w:space="0"/>
            </w:tcBorders>
            <w:noWrap w:val="0"/>
            <w:vAlign w:val="center"/>
          </w:tcPr>
          <w:p w14:paraId="6DDDA6EC">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auto"/>
                <w:sz w:val="24"/>
                <w:szCs w:val="24"/>
                <w:highlight w:val="none"/>
              </w:rPr>
            </w:pPr>
          </w:p>
        </w:tc>
      </w:tr>
      <w:tr w14:paraId="49B27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center"/>
          </w:tcPr>
          <w:p w14:paraId="5F40506E">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auto"/>
                <w:sz w:val="24"/>
                <w:szCs w:val="24"/>
                <w:highlight w:val="none"/>
              </w:rPr>
            </w:pPr>
          </w:p>
        </w:tc>
        <w:tc>
          <w:tcPr>
            <w:tcW w:w="2059" w:type="dxa"/>
            <w:tcBorders>
              <w:top w:val="single" w:color="auto" w:sz="4" w:space="0"/>
              <w:left w:val="nil"/>
              <w:bottom w:val="single" w:color="auto" w:sz="4" w:space="0"/>
              <w:right w:val="single" w:color="auto" w:sz="4" w:space="0"/>
            </w:tcBorders>
            <w:noWrap w:val="0"/>
            <w:vAlign w:val="center"/>
          </w:tcPr>
          <w:p w14:paraId="35CF5715">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auto"/>
                <w:sz w:val="24"/>
                <w:szCs w:val="24"/>
                <w:highlight w:val="none"/>
              </w:rPr>
            </w:pPr>
          </w:p>
        </w:tc>
        <w:tc>
          <w:tcPr>
            <w:tcW w:w="2073" w:type="dxa"/>
            <w:tcBorders>
              <w:top w:val="single" w:color="auto" w:sz="4" w:space="0"/>
              <w:left w:val="nil"/>
              <w:bottom w:val="single" w:color="auto" w:sz="4" w:space="0"/>
              <w:right w:val="single" w:color="auto" w:sz="4" w:space="0"/>
            </w:tcBorders>
            <w:noWrap w:val="0"/>
            <w:vAlign w:val="center"/>
          </w:tcPr>
          <w:p w14:paraId="5E9DFC32">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auto"/>
                <w:sz w:val="24"/>
                <w:szCs w:val="24"/>
                <w:highlight w:val="none"/>
              </w:rPr>
            </w:pPr>
          </w:p>
        </w:tc>
        <w:tc>
          <w:tcPr>
            <w:tcW w:w="2963" w:type="dxa"/>
            <w:tcBorders>
              <w:top w:val="single" w:color="auto" w:sz="4" w:space="0"/>
              <w:left w:val="nil"/>
              <w:bottom w:val="single" w:color="auto" w:sz="4" w:space="0"/>
              <w:right w:val="single" w:color="auto" w:sz="4" w:space="0"/>
            </w:tcBorders>
            <w:noWrap w:val="0"/>
            <w:vAlign w:val="center"/>
          </w:tcPr>
          <w:p w14:paraId="10C81778">
            <w:pPr>
              <w:keepNext w:val="0"/>
              <w:keepLines w:val="0"/>
              <w:pageBreakBefore w:val="0"/>
              <w:suppressLineNumbers w:val="0"/>
              <w:kinsoku/>
              <w:wordWrap/>
              <w:overflowPunct/>
              <w:topLinePunct w:val="0"/>
              <w:autoSpaceDE/>
              <w:autoSpaceDN/>
              <w:bidi w:val="0"/>
              <w:adjustRightInd/>
              <w:spacing w:before="120" w:beforeAutospacing="0" w:after="0" w:afterAutospacing="0" w:line="360" w:lineRule="auto"/>
              <w:ind w:left="697" w:right="34" w:hanging="697"/>
              <w:textAlignment w:val="auto"/>
              <w:rPr>
                <w:rFonts w:hint="eastAsia" w:ascii="宋体" w:hAnsi="宋体" w:eastAsia="宋体" w:cs="宋体"/>
                <w:color w:val="auto"/>
                <w:sz w:val="24"/>
                <w:szCs w:val="24"/>
                <w:highlight w:val="none"/>
              </w:rPr>
            </w:pPr>
          </w:p>
        </w:tc>
      </w:tr>
    </w:tbl>
    <w:p w14:paraId="42654770">
      <w:pPr>
        <w:keepNext w:val="0"/>
        <w:keepLines w:val="0"/>
        <w:pageBreakBefore w:val="0"/>
        <w:tabs>
          <w:tab w:val="left" w:pos="555"/>
          <w:tab w:val="left" w:pos="2214"/>
          <w:tab w:val="left" w:pos="3774"/>
          <w:tab w:val="left" w:pos="4854"/>
          <w:tab w:val="left" w:pos="5934"/>
          <w:tab w:val="left" w:pos="7014"/>
          <w:tab w:val="left" w:pos="8214"/>
          <w:tab w:val="left" w:pos="10134"/>
          <w:tab w:val="left" w:pos="11124"/>
        </w:tabs>
        <w:kinsoku/>
        <w:wordWrap/>
        <w:overflowPunct/>
        <w:topLinePunct w:val="0"/>
        <w:autoSpaceDE/>
        <w:autoSpaceDN/>
        <w:bidi w:val="0"/>
        <w:adjustRightInd/>
        <w:spacing w:line="360" w:lineRule="auto"/>
        <w:ind w:left="359" w:leftChars="171" w:firstLine="360" w:firstLineChars="150"/>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注：</w:t>
      </w:r>
      <w:r>
        <w:rPr>
          <w:rFonts w:hint="eastAsia" w:ascii="宋体" w:hAnsi="宋体" w:eastAsia="宋体" w:cs="宋体"/>
          <w:color w:val="auto"/>
          <w:sz w:val="24"/>
          <w:szCs w:val="20"/>
          <w:highlight w:val="none"/>
          <w:lang w:eastAsia="zh-CN"/>
        </w:rPr>
        <w:t>投标人</w:t>
      </w:r>
      <w:r>
        <w:rPr>
          <w:rFonts w:hint="eastAsia" w:ascii="宋体" w:hAnsi="宋体" w:eastAsia="宋体" w:cs="宋体"/>
          <w:color w:val="auto"/>
          <w:sz w:val="24"/>
          <w:szCs w:val="20"/>
          <w:highlight w:val="none"/>
        </w:rPr>
        <w:t>以上业绩需提供加盖公章的中标通知书或合同协议书复印件等书面证明材料。</w:t>
      </w:r>
    </w:p>
    <w:p w14:paraId="580E60F1">
      <w:pPr>
        <w:keepNext w:val="0"/>
        <w:keepLines w:val="0"/>
        <w:pageBreakBefore w:val="0"/>
        <w:tabs>
          <w:tab w:val="left" w:pos="555"/>
          <w:tab w:val="left" w:pos="2214"/>
          <w:tab w:val="left" w:pos="3774"/>
          <w:tab w:val="left" w:pos="4854"/>
          <w:tab w:val="left" w:pos="5934"/>
          <w:tab w:val="left" w:pos="7014"/>
          <w:tab w:val="left" w:pos="8214"/>
          <w:tab w:val="left" w:pos="10134"/>
          <w:tab w:val="left" w:pos="11124"/>
        </w:tabs>
        <w:kinsoku/>
        <w:wordWrap/>
        <w:overflowPunct/>
        <w:topLinePunct w:val="0"/>
        <w:autoSpaceDE/>
        <w:autoSpaceDN/>
        <w:bidi w:val="0"/>
        <w:adjustRightInd/>
        <w:spacing w:line="360" w:lineRule="auto"/>
        <w:ind w:left="359" w:leftChars="171" w:firstLine="360" w:firstLineChars="150"/>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eastAsia="zh-CN"/>
        </w:rPr>
        <w:t>投标人</w:t>
      </w:r>
      <w:r>
        <w:rPr>
          <w:rFonts w:hint="eastAsia" w:ascii="宋体" w:hAnsi="宋体" w:eastAsia="宋体" w:cs="宋体"/>
          <w:color w:val="auto"/>
          <w:sz w:val="24"/>
          <w:szCs w:val="20"/>
          <w:highlight w:val="none"/>
        </w:rPr>
        <w:t>必须据实填写，不得虚假响应，否则将取消其投标或中标资格，并按有关规定进行处罚。</w:t>
      </w:r>
    </w:p>
    <w:p w14:paraId="26BE7678">
      <w:pPr>
        <w:keepNext w:val="0"/>
        <w:keepLines w:val="0"/>
        <w:pageBreakBefore w:val="0"/>
        <w:kinsoku/>
        <w:wordWrap/>
        <w:overflowPunct/>
        <w:topLinePunct w:val="0"/>
        <w:autoSpaceDE/>
        <w:autoSpaceDN/>
        <w:bidi w:val="0"/>
        <w:adjustRightInd/>
        <w:spacing w:line="360" w:lineRule="auto"/>
        <w:ind w:left="360"/>
        <w:jc w:val="center"/>
        <w:textAlignment w:val="auto"/>
        <w:rPr>
          <w:rFonts w:hint="eastAsia" w:ascii="宋体" w:hAnsi="宋体" w:eastAsia="宋体" w:cs="宋体"/>
          <w:color w:val="auto"/>
          <w:sz w:val="24"/>
          <w:szCs w:val="20"/>
          <w:highlight w:val="none"/>
        </w:rPr>
      </w:pPr>
    </w:p>
    <w:p w14:paraId="380FB665">
      <w:pPr>
        <w:keepNext w:val="0"/>
        <w:keepLines w:val="0"/>
        <w:pageBreakBefore w:val="0"/>
        <w:widowControl/>
        <w:kinsoku/>
        <w:wordWrap/>
        <w:overflowPunct/>
        <w:topLinePunct w:val="0"/>
        <w:autoSpaceDE/>
        <w:autoSpaceDN/>
        <w:bidi w:val="0"/>
        <w:adjustRightInd/>
        <w:spacing w:line="360" w:lineRule="auto"/>
        <w:jc w:val="righ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投标人</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（盖单位章）</w:t>
      </w:r>
    </w:p>
    <w:p w14:paraId="58F6FB66">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color w:val="auto"/>
          <w:kern w:val="0"/>
          <w:sz w:val="24"/>
          <w:highlight w:val="none"/>
        </w:rPr>
      </w:pPr>
    </w:p>
    <w:p w14:paraId="5C40B45E">
      <w:pPr>
        <w:keepNext w:val="0"/>
        <w:keepLines w:val="0"/>
        <w:pageBreakBefore w:val="0"/>
        <w:widowControl/>
        <w:kinsoku/>
        <w:wordWrap/>
        <w:overflowPunct/>
        <w:topLinePunct w:val="0"/>
        <w:autoSpaceDE/>
        <w:autoSpaceDN/>
        <w:bidi w:val="0"/>
        <w:adjustRightInd/>
        <w:spacing w:line="360" w:lineRule="auto"/>
        <w:jc w:val="righ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法定代表人</w:t>
      </w:r>
      <w:r>
        <w:rPr>
          <w:rFonts w:hint="eastAsia" w:ascii="宋体" w:hAnsi="宋体" w:eastAsia="宋体" w:cs="宋体"/>
          <w:color w:val="auto"/>
          <w:kern w:val="0"/>
          <w:sz w:val="24"/>
          <w:highlight w:val="none"/>
        </w:rPr>
        <w:t>或其委托代理人：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（签</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字）</w:t>
      </w:r>
    </w:p>
    <w:p w14:paraId="119401BF">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color w:val="auto"/>
          <w:kern w:val="0"/>
          <w:sz w:val="24"/>
          <w:highlight w:val="none"/>
        </w:rPr>
      </w:pPr>
    </w:p>
    <w:p w14:paraId="62E44083">
      <w:pPr>
        <w:keepNext w:val="0"/>
        <w:keepLines w:val="0"/>
        <w:pageBreakBefore w:val="0"/>
        <w:widowControl/>
        <w:kinsoku/>
        <w:wordWrap/>
        <w:overflowPunct/>
        <w:topLinePunct w:val="0"/>
        <w:autoSpaceDE/>
        <w:autoSpaceDN/>
        <w:bidi w:val="0"/>
        <w:adjustRightInd/>
        <w:spacing w:line="360" w:lineRule="auto"/>
        <w:ind w:left="0" w:leftChars="0" w:firstLine="0" w:firstLineChars="0"/>
        <w:jc w:val="right"/>
        <w:textAlignment w:val="auto"/>
        <w:rPr>
          <w:rFonts w:hint="eastAsia" w:ascii="宋体" w:hAnsi="宋体" w:eastAsia="宋体" w:cs="宋体"/>
          <w:color w:val="auto"/>
          <w:highlight w:val="none"/>
          <w:lang w:eastAsia="zh-CN"/>
        </w:rPr>
        <w:sectPr>
          <w:pgSz w:w="11906" w:h="16838"/>
          <w:pgMar w:top="1440" w:right="1800" w:bottom="1440" w:left="1800" w:header="1140" w:footer="720" w:gutter="0"/>
          <w:pgNumType w:fmt="decimal"/>
          <w:cols w:space="720" w:num="1"/>
          <w:rtlGutter w:val="0"/>
        </w:sectPr>
      </w:pPr>
      <w:r>
        <w:rPr>
          <w:rFonts w:hint="eastAsia" w:ascii="宋体" w:hAnsi="宋体" w:eastAsia="宋体" w:cs="宋体"/>
          <w:color w:val="auto"/>
          <w:kern w:val="0"/>
          <w:sz w:val="24"/>
          <w:highlight w:val="none"/>
        </w:rPr>
        <w:t>日  期：</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日</w:t>
      </w:r>
    </w:p>
    <w:p w14:paraId="1177722A">
      <w:pPr>
        <w:pStyle w:val="88"/>
        <w:keepNext w:val="0"/>
        <w:keepLines w:val="0"/>
        <w:pageBreakBefore w:val="0"/>
        <w:widowControl w:val="0"/>
        <w:numPr>
          <w:ilvl w:val="0"/>
          <w:numId w:val="0"/>
        </w:numPr>
        <w:kinsoku/>
        <w:wordWrap/>
        <w:overflowPunct/>
        <w:topLinePunct w:val="0"/>
        <w:autoSpaceDE/>
        <w:autoSpaceDN/>
        <w:bidi w:val="0"/>
        <w:adjustRightInd/>
        <w:snapToGrid/>
        <w:ind w:right="102" w:rightChars="0"/>
        <w:jc w:val="center"/>
        <w:textAlignment w:val="auto"/>
        <w:outlineLvl w:val="2"/>
        <w:rPr>
          <w:rFonts w:hint="eastAsia" w:ascii="宋体" w:hAnsi="宋体" w:eastAsia="宋体" w:cs="宋体"/>
          <w:color w:val="auto"/>
          <w:sz w:val="30"/>
          <w:szCs w:val="30"/>
          <w:highlight w:val="none"/>
          <w:lang w:eastAsia="zh-CN"/>
        </w:rPr>
      </w:pPr>
      <w:bookmarkStart w:id="115" w:name="_bookmark159"/>
      <w:bookmarkEnd w:id="115"/>
      <w:bookmarkStart w:id="116" w:name="_bookmark158"/>
      <w:bookmarkEnd w:id="116"/>
      <w:bookmarkStart w:id="117" w:name="_Toc21531"/>
      <w:bookmarkStart w:id="118" w:name="_Toc13279"/>
      <w:r>
        <w:rPr>
          <w:rFonts w:hint="eastAsia" w:ascii="宋体" w:hAnsi="宋体" w:eastAsia="宋体" w:cs="宋体"/>
          <w:color w:val="auto"/>
          <w:sz w:val="30"/>
          <w:szCs w:val="30"/>
          <w:highlight w:val="none"/>
          <w:lang w:eastAsia="zh-CN"/>
        </w:rPr>
        <w:t>（七）近年发生的诉讼及仲裁情况</w:t>
      </w:r>
      <w:bookmarkEnd w:id="117"/>
      <w:bookmarkEnd w:id="118"/>
    </w:p>
    <w:p w14:paraId="50662FBA">
      <w:pPr>
        <w:bidi w:val="0"/>
        <w:rPr>
          <w:rFonts w:hint="eastAsia" w:ascii="宋体" w:hAnsi="宋体" w:eastAsia="宋体" w:cs="宋体"/>
          <w:color w:val="auto"/>
          <w:highlight w:val="none"/>
          <w:lang w:eastAsia="zh-CN"/>
        </w:rPr>
      </w:pPr>
    </w:p>
    <w:p w14:paraId="30DE4E50">
      <w:pPr>
        <w:bidi w:val="0"/>
        <w:rPr>
          <w:rFonts w:hint="eastAsia" w:ascii="宋体" w:hAnsi="宋体" w:eastAsia="宋体" w:cs="宋体"/>
          <w:color w:val="auto"/>
          <w:highlight w:val="none"/>
          <w:lang w:eastAsia="zh-CN"/>
        </w:rPr>
      </w:pPr>
    </w:p>
    <w:p w14:paraId="19330A0F">
      <w:pPr>
        <w:bidi w:val="0"/>
        <w:rPr>
          <w:rFonts w:hint="eastAsia" w:ascii="宋体" w:hAnsi="宋体" w:eastAsia="宋体" w:cs="宋体"/>
          <w:color w:val="auto"/>
          <w:highlight w:val="none"/>
        </w:rPr>
      </w:pPr>
    </w:p>
    <w:p w14:paraId="48522898">
      <w:pPr>
        <w:bidi w:val="0"/>
        <w:rPr>
          <w:rFonts w:hint="eastAsia" w:ascii="宋体" w:hAnsi="宋体" w:eastAsia="宋体" w:cs="宋体"/>
          <w:color w:val="auto"/>
          <w:highlight w:val="none"/>
        </w:rPr>
      </w:pPr>
    </w:p>
    <w:p w14:paraId="781EB3EE">
      <w:pPr>
        <w:pStyle w:val="2"/>
        <w:rPr>
          <w:rFonts w:hint="eastAsia" w:ascii="宋体" w:hAnsi="宋体" w:eastAsia="宋体" w:cs="宋体"/>
          <w:color w:val="auto"/>
          <w:highlight w:val="none"/>
        </w:rPr>
      </w:pPr>
    </w:p>
    <w:p w14:paraId="4DCDCEDD">
      <w:pPr>
        <w:rPr>
          <w:rFonts w:hint="eastAsia" w:ascii="宋体" w:hAnsi="宋体" w:eastAsia="宋体" w:cs="宋体"/>
          <w:color w:val="auto"/>
          <w:highlight w:val="none"/>
        </w:rPr>
      </w:pPr>
    </w:p>
    <w:p w14:paraId="660138FD">
      <w:pPr>
        <w:pStyle w:val="2"/>
        <w:rPr>
          <w:rFonts w:hint="eastAsia" w:ascii="宋体" w:hAnsi="宋体" w:eastAsia="宋体" w:cs="宋体"/>
          <w:color w:val="auto"/>
          <w:highlight w:val="none"/>
        </w:rPr>
      </w:pPr>
    </w:p>
    <w:p w14:paraId="6476330A">
      <w:pPr>
        <w:rPr>
          <w:rFonts w:hint="eastAsia" w:ascii="宋体" w:hAnsi="宋体" w:eastAsia="宋体" w:cs="宋体"/>
          <w:color w:val="auto"/>
          <w:highlight w:val="none"/>
        </w:rPr>
      </w:pPr>
    </w:p>
    <w:p w14:paraId="6E664D3E">
      <w:pPr>
        <w:pStyle w:val="2"/>
        <w:rPr>
          <w:rFonts w:hint="eastAsia" w:ascii="宋体" w:hAnsi="宋体" w:eastAsia="宋体" w:cs="宋体"/>
          <w:color w:val="auto"/>
          <w:highlight w:val="none"/>
        </w:rPr>
      </w:pPr>
    </w:p>
    <w:p w14:paraId="7123CC16">
      <w:pPr>
        <w:rPr>
          <w:rFonts w:hint="eastAsia" w:ascii="宋体" w:hAnsi="宋体" w:eastAsia="宋体" w:cs="宋体"/>
          <w:color w:val="auto"/>
          <w:highlight w:val="none"/>
        </w:rPr>
      </w:pPr>
    </w:p>
    <w:p w14:paraId="081B1F41">
      <w:pPr>
        <w:pStyle w:val="2"/>
        <w:rPr>
          <w:rFonts w:hint="eastAsia" w:ascii="宋体" w:hAnsi="宋体" w:eastAsia="宋体" w:cs="宋体"/>
          <w:color w:val="auto"/>
          <w:highlight w:val="none"/>
        </w:rPr>
      </w:pPr>
    </w:p>
    <w:p w14:paraId="6D33C7BF">
      <w:pPr>
        <w:rPr>
          <w:rFonts w:hint="eastAsia" w:ascii="宋体" w:hAnsi="宋体" w:eastAsia="宋体" w:cs="宋体"/>
          <w:color w:val="auto"/>
          <w:highlight w:val="none"/>
        </w:rPr>
      </w:pPr>
    </w:p>
    <w:p w14:paraId="693ADB09">
      <w:pPr>
        <w:pStyle w:val="2"/>
        <w:rPr>
          <w:rFonts w:hint="eastAsia" w:ascii="宋体" w:hAnsi="宋体" w:eastAsia="宋体" w:cs="宋体"/>
          <w:color w:val="auto"/>
          <w:highlight w:val="none"/>
        </w:rPr>
      </w:pPr>
    </w:p>
    <w:p w14:paraId="217EE129">
      <w:pPr>
        <w:rPr>
          <w:rFonts w:hint="eastAsia" w:ascii="宋体" w:hAnsi="宋体" w:eastAsia="宋体" w:cs="宋体"/>
          <w:color w:val="auto"/>
          <w:highlight w:val="none"/>
        </w:rPr>
      </w:pPr>
    </w:p>
    <w:p w14:paraId="707024FA">
      <w:pPr>
        <w:pStyle w:val="2"/>
        <w:rPr>
          <w:rFonts w:hint="eastAsia" w:ascii="宋体" w:hAnsi="宋体" w:eastAsia="宋体" w:cs="宋体"/>
          <w:color w:val="auto"/>
          <w:highlight w:val="none"/>
        </w:rPr>
      </w:pPr>
    </w:p>
    <w:p w14:paraId="1C905ACB">
      <w:pPr>
        <w:rPr>
          <w:rFonts w:hint="eastAsia" w:ascii="宋体" w:hAnsi="宋体" w:eastAsia="宋体" w:cs="宋体"/>
          <w:color w:val="auto"/>
          <w:highlight w:val="none"/>
        </w:rPr>
      </w:pPr>
    </w:p>
    <w:p w14:paraId="5B8AEC5B">
      <w:pPr>
        <w:pStyle w:val="2"/>
        <w:rPr>
          <w:rFonts w:hint="eastAsia" w:ascii="宋体" w:hAnsi="宋体" w:eastAsia="宋体" w:cs="宋体"/>
          <w:color w:val="auto"/>
          <w:highlight w:val="none"/>
        </w:rPr>
      </w:pPr>
    </w:p>
    <w:p w14:paraId="425DA73D">
      <w:pPr>
        <w:rPr>
          <w:rFonts w:hint="eastAsia" w:ascii="宋体" w:hAnsi="宋体" w:eastAsia="宋体" w:cs="宋体"/>
          <w:color w:val="auto"/>
          <w:highlight w:val="none"/>
        </w:rPr>
      </w:pPr>
    </w:p>
    <w:p w14:paraId="2FB688D0">
      <w:pPr>
        <w:pStyle w:val="2"/>
        <w:rPr>
          <w:rFonts w:hint="eastAsia" w:ascii="宋体" w:hAnsi="宋体" w:eastAsia="宋体" w:cs="宋体"/>
          <w:color w:val="auto"/>
          <w:highlight w:val="none"/>
        </w:rPr>
      </w:pPr>
    </w:p>
    <w:p w14:paraId="7F9F6CA4">
      <w:pPr>
        <w:rPr>
          <w:rFonts w:hint="eastAsia" w:ascii="宋体" w:hAnsi="宋体" w:eastAsia="宋体" w:cs="宋体"/>
          <w:color w:val="auto"/>
          <w:highlight w:val="none"/>
        </w:rPr>
      </w:pPr>
    </w:p>
    <w:p w14:paraId="4E9DA7BF">
      <w:pPr>
        <w:pStyle w:val="2"/>
        <w:rPr>
          <w:rFonts w:hint="eastAsia" w:ascii="宋体" w:hAnsi="宋体" w:eastAsia="宋体" w:cs="宋体"/>
          <w:color w:val="auto"/>
          <w:highlight w:val="none"/>
        </w:rPr>
      </w:pPr>
    </w:p>
    <w:p w14:paraId="20B29736">
      <w:pPr>
        <w:rPr>
          <w:rFonts w:hint="eastAsia" w:ascii="宋体" w:hAnsi="宋体" w:eastAsia="宋体" w:cs="宋体"/>
          <w:color w:val="auto"/>
          <w:highlight w:val="none"/>
        </w:rPr>
      </w:pPr>
    </w:p>
    <w:p w14:paraId="4A507200">
      <w:pPr>
        <w:pStyle w:val="2"/>
        <w:rPr>
          <w:rFonts w:hint="eastAsia" w:ascii="宋体" w:hAnsi="宋体" w:eastAsia="宋体" w:cs="宋体"/>
          <w:color w:val="auto"/>
          <w:highlight w:val="none"/>
        </w:rPr>
      </w:pPr>
    </w:p>
    <w:p w14:paraId="169EB26C">
      <w:pPr>
        <w:rPr>
          <w:rFonts w:hint="eastAsia" w:ascii="宋体" w:hAnsi="宋体" w:eastAsia="宋体" w:cs="宋体"/>
          <w:color w:val="auto"/>
          <w:highlight w:val="none"/>
        </w:rPr>
      </w:pPr>
    </w:p>
    <w:p w14:paraId="7B9C57B7">
      <w:pPr>
        <w:pStyle w:val="2"/>
        <w:rPr>
          <w:rFonts w:hint="eastAsia" w:ascii="宋体" w:hAnsi="宋体" w:eastAsia="宋体" w:cs="宋体"/>
          <w:color w:val="auto"/>
          <w:highlight w:val="none"/>
        </w:rPr>
      </w:pPr>
    </w:p>
    <w:p w14:paraId="308E3136">
      <w:pPr>
        <w:rPr>
          <w:rFonts w:hint="eastAsia" w:ascii="宋体" w:hAnsi="宋体" w:eastAsia="宋体" w:cs="宋体"/>
          <w:color w:val="auto"/>
          <w:highlight w:val="none"/>
        </w:rPr>
      </w:pPr>
    </w:p>
    <w:p w14:paraId="5EEAB22A">
      <w:pPr>
        <w:pStyle w:val="2"/>
        <w:rPr>
          <w:rFonts w:hint="eastAsia" w:ascii="宋体" w:hAnsi="宋体" w:eastAsia="宋体" w:cs="宋体"/>
          <w:color w:val="auto"/>
          <w:highlight w:val="none"/>
        </w:rPr>
      </w:pPr>
    </w:p>
    <w:p w14:paraId="49EB5BFB">
      <w:pPr>
        <w:rPr>
          <w:rFonts w:hint="eastAsia" w:ascii="宋体" w:hAnsi="宋体" w:eastAsia="宋体" w:cs="宋体"/>
          <w:color w:val="auto"/>
          <w:highlight w:val="none"/>
        </w:rPr>
      </w:pPr>
    </w:p>
    <w:p w14:paraId="5BA9A2DE">
      <w:pPr>
        <w:pStyle w:val="2"/>
        <w:rPr>
          <w:rFonts w:hint="eastAsia" w:ascii="宋体" w:hAnsi="宋体" w:eastAsia="宋体" w:cs="宋体"/>
          <w:color w:val="auto"/>
          <w:highlight w:val="none"/>
        </w:rPr>
      </w:pPr>
    </w:p>
    <w:p w14:paraId="14843197">
      <w:pPr>
        <w:rPr>
          <w:rFonts w:hint="eastAsia" w:ascii="宋体" w:hAnsi="宋体" w:eastAsia="宋体" w:cs="宋体"/>
        </w:rPr>
      </w:pPr>
    </w:p>
    <w:p w14:paraId="683818D0">
      <w:pPr>
        <w:bidi w:val="0"/>
        <w:rPr>
          <w:rFonts w:hint="eastAsia" w:ascii="宋体" w:hAnsi="宋体" w:eastAsia="宋体" w:cs="宋体"/>
          <w:color w:val="auto"/>
          <w:highlight w:val="none"/>
        </w:rPr>
      </w:pPr>
    </w:p>
    <w:p w14:paraId="1B6983C2">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（盖单位章）</w:t>
      </w:r>
    </w:p>
    <w:p w14:paraId="04787780">
      <w:pPr>
        <w:spacing w:line="500" w:lineRule="exact"/>
        <w:jc w:val="left"/>
        <w:rPr>
          <w:rFonts w:hint="eastAsia" w:ascii="宋体" w:hAnsi="宋体" w:eastAsia="宋体" w:cs="宋体"/>
          <w:color w:val="000000" w:themeColor="text1"/>
          <w:sz w:val="24"/>
          <w:szCs w:val="24"/>
          <w:highlight w:val="none"/>
          <w14:textFill>
            <w14:solidFill>
              <w14:schemeClr w14:val="tx1"/>
            </w14:solidFill>
          </w14:textFill>
        </w:rPr>
      </w:pPr>
    </w:p>
    <w:p w14:paraId="123BE9AC">
      <w:pPr>
        <w:spacing w:line="500" w:lineRule="exact"/>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法定代表人或其委托代理人：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（签字）</w:t>
      </w:r>
    </w:p>
    <w:p w14:paraId="52ED61AE">
      <w:pPr>
        <w:spacing w:line="500" w:lineRule="exact"/>
        <w:jc w:val="left"/>
        <w:rPr>
          <w:rFonts w:hint="eastAsia" w:ascii="宋体" w:hAnsi="宋体" w:eastAsia="宋体" w:cs="宋体"/>
          <w:color w:val="000000" w:themeColor="text1"/>
          <w:sz w:val="24"/>
          <w:szCs w:val="24"/>
          <w:highlight w:val="none"/>
          <w14:textFill>
            <w14:solidFill>
              <w14:schemeClr w14:val="tx1"/>
            </w14:solidFill>
          </w14:textFill>
        </w:rPr>
      </w:pPr>
    </w:p>
    <w:p w14:paraId="76821B4F">
      <w:pPr>
        <w:bidi w:val="0"/>
        <w:ind w:firstLine="4800" w:firstLineChars="2000"/>
        <w:rPr>
          <w:rFonts w:hint="eastAsia" w:ascii="宋体" w:hAnsi="宋体" w:eastAsia="宋体" w:cs="宋体"/>
          <w:color w:val="auto"/>
          <w:highlight w:val="none"/>
        </w:rPr>
      </w:pPr>
      <w:r>
        <w:rPr>
          <w:rFonts w:hint="eastAsia" w:ascii="宋体" w:hAnsi="宋体" w:eastAsia="宋体" w:cs="宋体"/>
          <w:b w:val="0"/>
          <w:bCs w:val="0"/>
          <w:color w:val="000000" w:themeColor="text1"/>
          <w:sz w:val="24"/>
          <w:szCs w:val="24"/>
          <w:highlight w:val="none"/>
          <w14:textFill>
            <w14:solidFill>
              <w14:schemeClr w14:val="tx1"/>
            </w14:solidFill>
          </w14:textFill>
        </w:rPr>
        <w:t>日  期：</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年</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月</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日</w:t>
      </w:r>
    </w:p>
    <w:p w14:paraId="65E66873">
      <w:pPr>
        <w:bidi w:val="0"/>
        <w:rPr>
          <w:rFonts w:hint="eastAsia" w:ascii="宋体" w:hAnsi="宋体" w:eastAsia="宋体" w:cs="宋体"/>
          <w:color w:val="auto"/>
          <w:highlight w:val="none"/>
        </w:rPr>
      </w:pPr>
    </w:p>
    <w:p w14:paraId="656D1BD0">
      <w:pPr>
        <w:bidi w:val="0"/>
        <w:rPr>
          <w:rFonts w:hint="eastAsia" w:ascii="宋体" w:hAnsi="宋体" w:eastAsia="宋体" w:cs="宋体"/>
          <w:color w:val="auto"/>
          <w:highlight w:val="none"/>
        </w:rPr>
      </w:pPr>
    </w:p>
    <w:p w14:paraId="45644C82">
      <w:pPr>
        <w:bidi w:val="0"/>
        <w:rPr>
          <w:rFonts w:hint="eastAsia" w:ascii="宋体" w:hAnsi="宋体" w:eastAsia="宋体" w:cs="宋体"/>
          <w:color w:val="auto"/>
          <w:highlight w:val="none"/>
        </w:rPr>
      </w:pPr>
    </w:p>
    <w:p w14:paraId="47ED7B32">
      <w:pPr>
        <w:rPr>
          <w:rFonts w:hint="eastAsia" w:ascii="宋体" w:hAnsi="宋体" w:eastAsia="宋体" w:cs="宋体"/>
          <w:color w:val="auto"/>
          <w:sz w:val="30"/>
          <w:szCs w:val="30"/>
          <w:highlight w:val="none"/>
        </w:rPr>
      </w:pPr>
      <w:bookmarkStart w:id="119" w:name="_Toc6528"/>
      <w:bookmarkStart w:id="120" w:name="_Toc27834"/>
      <w:r>
        <w:rPr>
          <w:rFonts w:hint="eastAsia" w:ascii="宋体" w:hAnsi="宋体" w:eastAsia="宋体" w:cs="宋体"/>
          <w:color w:val="auto"/>
          <w:sz w:val="30"/>
          <w:szCs w:val="30"/>
          <w:highlight w:val="none"/>
        </w:rPr>
        <w:br w:type="page"/>
      </w:r>
    </w:p>
    <w:p w14:paraId="737D6988">
      <w:pPr>
        <w:pStyle w:val="88"/>
        <w:keepNext w:val="0"/>
        <w:keepLines w:val="0"/>
        <w:pageBreakBefore w:val="0"/>
        <w:widowControl w:val="0"/>
        <w:kinsoku/>
        <w:wordWrap/>
        <w:overflowPunct/>
        <w:topLinePunct w:val="0"/>
        <w:autoSpaceDE/>
        <w:autoSpaceDN/>
        <w:bidi w:val="0"/>
        <w:adjustRightInd/>
        <w:snapToGrid/>
        <w:spacing w:line="360" w:lineRule="auto"/>
        <w:ind w:left="102" w:right="102"/>
        <w:jc w:val="center"/>
        <w:textAlignment w:val="auto"/>
        <w:outlineLvl w:val="2"/>
        <w:rPr>
          <w:rFonts w:hint="eastAsia" w:ascii="宋体" w:hAnsi="宋体" w:eastAsia="宋体" w:cs="宋体"/>
          <w:color w:val="auto"/>
          <w:highlight w:val="none"/>
        </w:rPr>
      </w:pPr>
      <w:r>
        <w:rPr>
          <w:rFonts w:hint="eastAsia" w:ascii="宋体" w:hAnsi="宋体" w:eastAsia="宋体" w:cs="宋体"/>
          <w:color w:val="auto"/>
          <w:sz w:val="30"/>
          <w:szCs w:val="30"/>
          <w:highlight w:val="none"/>
        </w:rPr>
        <w:t>（八）人员情况</w:t>
      </w:r>
      <w:bookmarkEnd w:id="119"/>
      <w:bookmarkEnd w:id="120"/>
    </w:p>
    <w:p w14:paraId="1E52D505">
      <w:pPr>
        <w:bidi w:val="0"/>
        <w:spacing w:line="360" w:lineRule="auto"/>
        <w:jc w:val="center"/>
        <w:rPr>
          <w:rFonts w:hint="eastAsia" w:ascii="宋体" w:hAnsi="宋体" w:eastAsia="宋体" w:cs="宋体"/>
          <w:color w:val="auto"/>
          <w:sz w:val="28"/>
          <w:szCs w:val="28"/>
          <w:highlight w:val="none"/>
        </w:rPr>
      </w:pPr>
      <w:bookmarkStart w:id="121" w:name="_Toc10380"/>
      <w:bookmarkStart w:id="122" w:name="_Toc16378"/>
      <w:bookmarkStart w:id="123" w:name="_Toc31213"/>
      <w:r>
        <w:rPr>
          <w:rFonts w:hint="eastAsia" w:ascii="宋体" w:hAnsi="宋体" w:eastAsia="宋体" w:cs="宋体"/>
          <w:color w:val="auto"/>
          <w:sz w:val="28"/>
          <w:szCs w:val="28"/>
          <w:highlight w:val="none"/>
        </w:rPr>
        <w:t>项目团队主要成员简历表</w:t>
      </w:r>
      <w:bookmarkEnd w:id="121"/>
      <w:bookmarkEnd w:id="122"/>
      <w:bookmarkEnd w:id="123"/>
    </w:p>
    <w:p w14:paraId="503FFA02">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项目名称：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采购编号： </w:t>
      </w:r>
    </w:p>
    <w:tbl>
      <w:tblPr>
        <w:tblStyle w:val="36"/>
        <w:tblW w:w="834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04"/>
        <w:gridCol w:w="733"/>
        <w:gridCol w:w="863"/>
        <w:gridCol w:w="794"/>
        <w:gridCol w:w="1048"/>
        <w:gridCol w:w="988"/>
        <w:gridCol w:w="1668"/>
      </w:tblGrid>
      <w:tr w14:paraId="21BC87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45" w:type="dxa"/>
            <w:noWrap w:val="0"/>
            <w:vAlign w:val="center"/>
          </w:tcPr>
          <w:p w14:paraId="1D3805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2137" w:type="dxa"/>
            <w:gridSpan w:val="2"/>
            <w:noWrap w:val="0"/>
            <w:vAlign w:val="center"/>
          </w:tcPr>
          <w:p w14:paraId="027549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863" w:type="dxa"/>
            <w:noWrap w:val="0"/>
            <w:vAlign w:val="center"/>
          </w:tcPr>
          <w:p w14:paraId="299704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1842" w:type="dxa"/>
            <w:gridSpan w:val="2"/>
            <w:noWrap w:val="0"/>
            <w:vAlign w:val="center"/>
          </w:tcPr>
          <w:p w14:paraId="1E2F0C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988" w:type="dxa"/>
            <w:noWrap w:val="0"/>
            <w:vAlign w:val="center"/>
          </w:tcPr>
          <w:p w14:paraId="47DD84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668" w:type="dxa"/>
            <w:noWrap w:val="0"/>
            <w:vAlign w:val="center"/>
          </w:tcPr>
          <w:p w14:paraId="59C882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r>
      <w:tr w14:paraId="454C19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45" w:type="dxa"/>
            <w:noWrap w:val="0"/>
            <w:vAlign w:val="center"/>
          </w:tcPr>
          <w:p w14:paraId="6B3287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2137" w:type="dxa"/>
            <w:gridSpan w:val="2"/>
            <w:noWrap w:val="0"/>
            <w:vAlign w:val="center"/>
          </w:tcPr>
          <w:p w14:paraId="76EB41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863" w:type="dxa"/>
            <w:noWrap w:val="0"/>
            <w:vAlign w:val="center"/>
          </w:tcPr>
          <w:p w14:paraId="01DE80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842" w:type="dxa"/>
            <w:gridSpan w:val="2"/>
            <w:noWrap w:val="0"/>
            <w:vAlign w:val="center"/>
          </w:tcPr>
          <w:p w14:paraId="1777E5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988" w:type="dxa"/>
            <w:noWrap w:val="0"/>
            <w:vAlign w:val="center"/>
          </w:tcPr>
          <w:p w14:paraId="14650D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668" w:type="dxa"/>
            <w:noWrap w:val="0"/>
            <w:vAlign w:val="center"/>
          </w:tcPr>
          <w:p w14:paraId="04A8A8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r>
      <w:tr w14:paraId="4CEE57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249" w:type="dxa"/>
            <w:gridSpan w:val="2"/>
            <w:noWrap w:val="0"/>
            <w:vAlign w:val="center"/>
          </w:tcPr>
          <w:p w14:paraId="025012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参加工作时间</w:t>
            </w:r>
          </w:p>
        </w:tc>
        <w:tc>
          <w:tcPr>
            <w:tcW w:w="1596" w:type="dxa"/>
            <w:gridSpan w:val="2"/>
            <w:noWrap w:val="0"/>
            <w:vAlign w:val="center"/>
          </w:tcPr>
          <w:p w14:paraId="3D3D04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2830" w:type="dxa"/>
            <w:gridSpan w:val="3"/>
            <w:noWrap w:val="0"/>
            <w:vAlign w:val="center"/>
          </w:tcPr>
          <w:p w14:paraId="3C66EF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担任项目负责人年限</w:t>
            </w:r>
          </w:p>
        </w:tc>
        <w:tc>
          <w:tcPr>
            <w:tcW w:w="1668" w:type="dxa"/>
            <w:noWrap w:val="0"/>
            <w:vAlign w:val="center"/>
          </w:tcPr>
          <w:p w14:paraId="6F8312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r>
      <w:tr w14:paraId="7BCE09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343" w:type="dxa"/>
            <w:gridSpan w:val="8"/>
            <w:noWrap w:val="0"/>
            <w:vAlign w:val="center"/>
          </w:tcPr>
          <w:p w14:paraId="5FD5E7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获奖情况（提供相关证明资料）</w:t>
            </w:r>
          </w:p>
        </w:tc>
      </w:tr>
      <w:tr w14:paraId="7A3DCB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343" w:type="dxa"/>
            <w:gridSpan w:val="8"/>
            <w:noWrap w:val="0"/>
            <w:vAlign w:val="center"/>
          </w:tcPr>
          <w:p w14:paraId="151875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已完成类似项目业绩情况业绩</w:t>
            </w:r>
          </w:p>
        </w:tc>
      </w:tr>
      <w:tr w14:paraId="70CC7B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249" w:type="dxa"/>
            <w:gridSpan w:val="2"/>
            <w:noWrap w:val="0"/>
            <w:vAlign w:val="center"/>
          </w:tcPr>
          <w:p w14:paraId="62680A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服务单位</w:t>
            </w:r>
          </w:p>
        </w:tc>
        <w:tc>
          <w:tcPr>
            <w:tcW w:w="2390" w:type="dxa"/>
            <w:gridSpan w:val="3"/>
            <w:noWrap w:val="0"/>
            <w:vAlign w:val="center"/>
          </w:tcPr>
          <w:p w14:paraId="020D9A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w:t>
            </w:r>
          </w:p>
        </w:tc>
        <w:tc>
          <w:tcPr>
            <w:tcW w:w="1048" w:type="dxa"/>
            <w:noWrap w:val="0"/>
            <w:vAlign w:val="center"/>
          </w:tcPr>
          <w:p w14:paraId="330022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岗位</w:t>
            </w:r>
          </w:p>
        </w:tc>
        <w:tc>
          <w:tcPr>
            <w:tcW w:w="2656" w:type="dxa"/>
            <w:gridSpan w:val="2"/>
            <w:noWrap w:val="0"/>
            <w:vAlign w:val="center"/>
          </w:tcPr>
          <w:p w14:paraId="5B5CA9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服务截止日期</w:t>
            </w:r>
          </w:p>
        </w:tc>
      </w:tr>
      <w:tr w14:paraId="3F401C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249" w:type="dxa"/>
            <w:gridSpan w:val="2"/>
            <w:noWrap w:val="0"/>
            <w:vAlign w:val="center"/>
          </w:tcPr>
          <w:p w14:paraId="1A72CC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rPr>
            </w:pPr>
          </w:p>
        </w:tc>
        <w:tc>
          <w:tcPr>
            <w:tcW w:w="2390" w:type="dxa"/>
            <w:gridSpan w:val="3"/>
            <w:noWrap w:val="0"/>
            <w:vAlign w:val="center"/>
          </w:tcPr>
          <w:p w14:paraId="3662C0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rPr>
            </w:pPr>
          </w:p>
        </w:tc>
        <w:tc>
          <w:tcPr>
            <w:tcW w:w="1048" w:type="dxa"/>
            <w:noWrap w:val="0"/>
            <w:vAlign w:val="center"/>
          </w:tcPr>
          <w:p w14:paraId="10E02C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rPr>
            </w:pPr>
          </w:p>
        </w:tc>
        <w:tc>
          <w:tcPr>
            <w:tcW w:w="2656" w:type="dxa"/>
            <w:gridSpan w:val="2"/>
            <w:noWrap w:val="0"/>
            <w:vAlign w:val="center"/>
          </w:tcPr>
          <w:p w14:paraId="2EBD03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rPr>
            </w:pPr>
          </w:p>
        </w:tc>
      </w:tr>
      <w:tr w14:paraId="1556FF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249" w:type="dxa"/>
            <w:gridSpan w:val="2"/>
            <w:noWrap w:val="0"/>
            <w:vAlign w:val="center"/>
          </w:tcPr>
          <w:p w14:paraId="0AFEE8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rPr>
            </w:pPr>
          </w:p>
        </w:tc>
        <w:tc>
          <w:tcPr>
            <w:tcW w:w="2390" w:type="dxa"/>
            <w:gridSpan w:val="3"/>
            <w:noWrap w:val="0"/>
            <w:vAlign w:val="center"/>
          </w:tcPr>
          <w:p w14:paraId="36A12F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rPr>
            </w:pPr>
          </w:p>
        </w:tc>
        <w:tc>
          <w:tcPr>
            <w:tcW w:w="1048" w:type="dxa"/>
            <w:noWrap w:val="0"/>
            <w:vAlign w:val="center"/>
          </w:tcPr>
          <w:p w14:paraId="76EC8B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rPr>
            </w:pPr>
          </w:p>
        </w:tc>
        <w:tc>
          <w:tcPr>
            <w:tcW w:w="2656" w:type="dxa"/>
            <w:gridSpan w:val="2"/>
            <w:noWrap w:val="0"/>
            <w:vAlign w:val="center"/>
          </w:tcPr>
          <w:p w14:paraId="7F4175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rPr>
            </w:pPr>
          </w:p>
        </w:tc>
      </w:tr>
      <w:tr w14:paraId="5755D1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249" w:type="dxa"/>
            <w:gridSpan w:val="2"/>
            <w:noWrap w:val="0"/>
            <w:vAlign w:val="center"/>
          </w:tcPr>
          <w:p w14:paraId="7237C6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rPr>
            </w:pPr>
          </w:p>
        </w:tc>
        <w:tc>
          <w:tcPr>
            <w:tcW w:w="2390" w:type="dxa"/>
            <w:gridSpan w:val="3"/>
            <w:noWrap w:val="0"/>
            <w:vAlign w:val="center"/>
          </w:tcPr>
          <w:p w14:paraId="0E1571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rPr>
            </w:pPr>
          </w:p>
        </w:tc>
        <w:tc>
          <w:tcPr>
            <w:tcW w:w="1048" w:type="dxa"/>
            <w:noWrap w:val="0"/>
            <w:vAlign w:val="center"/>
          </w:tcPr>
          <w:p w14:paraId="3CCBF3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rPr>
            </w:pPr>
          </w:p>
        </w:tc>
        <w:tc>
          <w:tcPr>
            <w:tcW w:w="2656" w:type="dxa"/>
            <w:gridSpan w:val="2"/>
            <w:noWrap w:val="0"/>
            <w:vAlign w:val="center"/>
          </w:tcPr>
          <w:p w14:paraId="0C12CA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rPr>
            </w:pPr>
          </w:p>
        </w:tc>
      </w:tr>
      <w:tr w14:paraId="059EEC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249" w:type="dxa"/>
            <w:gridSpan w:val="2"/>
            <w:noWrap w:val="0"/>
            <w:vAlign w:val="center"/>
          </w:tcPr>
          <w:p w14:paraId="76198E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rPr>
            </w:pPr>
          </w:p>
        </w:tc>
        <w:tc>
          <w:tcPr>
            <w:tcW w:w="2390" w:type="dxa"/>
            <w:gridSpan w:val="3"/>
            <w:noWrap w:val="0"/>
            <w:vAlign w:val="center"/>
          </w:tcPr>
          <w:p w14:paraId="25FE93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rPr>
            </w:pPr>
          </w:p>
        </w:tc>
        <w:tc>
          <w:tcPr>
            <w:tcW w:w="1048" w:type="dxa"/>
            <w:noWrap w:val="0"/>
            <w:vAlign w:val="center"/>
          </w:tcPr>
          <w:p w14:paraId="79E59A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rPr>
            </w:pPr>
          </w:p>
        </w:tc>
        <w:tc>
          <w:tcPr>
            <w:tcW w:w="2656" w:type="dxa"/>
            <w:gridSpan w:val="2"/>
            <w:noWrap w:val="0"/>
            <w:vAlign w:val="center"/>
          </w:tcPr>
          <w:p w14:paraId="321D4F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rPr>
            </w:pPr>
          </w:p>
        </w:tc>
      </w:tr>
      <w:tr w14:paraId="31275D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249" w:type="dxa"/>
            <w:gridSpan w:val="2"/>
            <w:noWrap w:val="0"/>
            <w:vAlign w:val="center"/>
          </w:tcPr>
          <w:p w14:paraId="14F157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rPr>
            </w:pPr>
          </w:p>
        </w:tc>
        <w:tc>
          <w:tcPr>
            <w:tcW w:w="2390" w:type="dxa"/>
            <w:gridSpan w:val="3"/>
            <w:noWrap w:val="0"/>
            <w:vAlign w:val="center"/>
          </w:tcPr>
          <w:p w14:paraId="045974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rPr>
            </w:pPr>
          </w:p>
        </w:tc>
        <w:tc>
          <w:tcPr>
            <w:tcW w:w="1048" w:type="dxa"/>
            <w:noWrap w:val="0"/>
            <w:vAlign w:val="center"/>
          </w:tcPr>
          <w:p w14:paraId="42EB4F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rPr>
            </w:pPr>
          </w:p>
        </w:tc>
        <w:tc>
          <w:tcPr>
            <w:tcW w:w="2656" w:type="dxa"/>
            <w:gridSpan w:val="2"/>
            <w:noWrap w:val="0"/>
            <w:vAlign w:val="center"/>
          </w:tcPr>
          <w:p w14:paraId="03BBAB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rPr>
            </w:pPr>
          </w:p>
        </w:tc>
      </w:tr>
      <w:tr w14:paraId="25640F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249" w:type="dxa"/>
            <w:gridSpan w:val="2"/>
            <w:noWrap w:val="0"/>
            <w:vAlign w:val="center"/>
          </w:tcPr>
          <w:p w14:paraId="2921E8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rPr>
            </w:pPr>
          </w:p>
        </w:tc>
        <w:tc>
          <w:tcPr>
            <w:tcW w:w="2390" w:type="dxa"/>
            <w:gridSpan w:val="3"/>
            <w:noWrap w:val="0"/>
            <w:vAlign w:val="center"/>
          </w:tcPr>
          <w:p w14:paraId="611EEF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rPr>
            </w:pPr>
          </w:p>
        </w:tc>
        <w:tc>
          <w:tcPr>
            <w:tcW w:w="1048" w:type="dxa"/>
            <w:noWrap w:val="0"/>
            <w:vAlign w:val="center"/>
          </w:tcPr>
          <w:p w14:paraId="7AE415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rPr>
            </w:pPr>
          </w:p>
        </w:tc>
        <w:tc>
          <w:tcPr>
            <w:tcW w:w="2656" w:type="dxa"/>
            <w:gridSpan w:val="2"/>
            <w:noWrap w:val="0"/>
            <w:vAlign w:val="center"/>
          </w:tcPr>
          <w:p w14:paraId="64BF55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rPr>
            </w:pPr>
          </w:p>
        </w:tc>
      </w:tr>
      <w:tr w14:paraId="46B5DF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249" w:type="dxa"/>
            <w:gridSpan w:val="2"/>
            <w:noWrap w:val="0"/>
            <w:vAlign w:val="center"/>
          </w:tcPr>
          <w:p w14:paraId="4D74AA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rPr>
            </w:pPr>
          </w:p>
        </w:tc>
        <w:tc>
          <w:tcPr>
            <w:tcW w:w="2390" w:type="dxa"/>
            <w:gridSpan w:val="3"/>
            <w:noWrap w:val="0"/>
            <w:vAlign w:val="center"/>
          </w:tcPr>
          <w:p w14:paraId="65A9BF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rPr>
            </w:pPr>
          </w:p>
        </w:tc>
        <w:tc>
          <w:tcPr>
            <w:tcW w:w="1048" w:type="dxa"/>
            <w:noWrap w:val="0"/>
            <w:vAlign w:val="center"/>
          </w:tcPr>
          <w:p w14:paraId="4BB20C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rPr>
            </w:pPr>
          </w:p>
        </w:tc>
        <w:tc>
          <w:tcPr>
            <w:tcW w:w="2656" w:type="dxa"/>
            <w:gridSpan w:val="2"/>
            <w:noWrap w:val="0"/>
            <w:vAlign w:val="center"/>
          </w:tcPr>
          <w:p w14:paraId="0BD686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rPr>
            </w:pPr>
          </w:p>
        </w:tc>
      </w:tr>
      <w:tr w14:paraId="10823B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249" w:type="dxa"/>
            <w:gridSpan w:val="2"/>
            <w:noWrap w:val="0"/>
            <w:vAlign w:val="center"/>
          </w:tcPr>
          <w:p w14:paraId="10F675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rPr>
            </w:pPr>
          </w:p>
        </w:tc>
        <w:tc>
          <w:tcPr>
            <w:tcW w:w="2390" w:type="dxa"/>
            <w:gridSpan w:val="3"/>
            <w:noWrap w:val="0"/>
            <w:vAlign w:val="center"/>
          </w:tcPr>
          <w:p w14:paraId="3A82CC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rPr>
            </w:pPr>
          </w:p>
        </w:tc>
        <w:tc>
          <w:tcPr>
            <w:tcW w:w="1048" w:type="dxa"/>
            <w:noWrap w:val="0"/>
            <w:vAlign w:val="center"/>
          </w:tcPr>
          <w:p w14:paraId="5A8E59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rPr>
            </w:pPr>
          </w:p>
        </w:tc>
        <w:tc>
          <w:tcPr>
            <w:tcW w:w="2656" w:type="dxa"/>
            <w:gridSpan w:val="2"/>
            <w:noWrap w:val="0"/>
            <w:vAlign w:val="center"/>
          </w:tcPr>
          <w:p w14:paraId="6660D1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highlight w:val="none"/>
              </w:rPr>
            </w:pPr>
          </w:p>
        </w:tc>
      </w:tr>
    </w:tbl>
    <w:p w14:paraId="0553A4C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bCs/>
          <w:color w:val="000000" w:themeColor="text1"/>
          <w:sz w:val="21"/>
          <w:szCs w:val="21"/>
          <w:highlight w:val="none"/>
          <w14:textFill>
            <w14:solidFill>
              <w14:schemeClr w14:val="tx1"/>
            </w14:solidFill>
          </w14:textFill>
        </w:rPr>
        <w:t>本表人员附身份证、</w:t>
      </w:r>
      <w:r>
        <w:rPr>
          <w:rFonts w:hint="eastAsia" w:ascii="宋体" w:hAnsi="宋体" w:eastAsia="宋体" w:cs="宋体"/>
          <w:b/>
          <w:bCs/>
          <w:color w:val="000000" w:themeColor="text1"/>
          <w:sz w:val="21"/>
          <w:szCs w:val="21"/>
          <w:highlight w:val="none"/>
          <w:lang w:eastAsia="zh-CN"/>
          <w14:textFill>
            <w14:solidFill>
              <w14:schemeClr w14:val="tx1"/>
            </w14:solidFill>
          </w14:textFill>
        </w:rPr>
        <w:t>劳动合同、</w:t>
      </w:r>
      <w:r>
        <w:rPr>
          <w:rFonts w:hint="eastAsia" w:ascii="宋体" w:hAnsi="宋体" w:eastAsia="宋体" w:cs="宋体"/>
          <w:b/>
          <w:bCs/>
          <w:color w:val="000000" w:themeColor="text1"/>
          <w:sz w:val="21"/>
          <w:szCs w:val="21"/>
          <w:highlight w:val="none"/>
          <w14:textFill>
            <w14:solidFill>
              <w14:schemeClr w14:val="tx1"/>
            </w14:solidFill>
          </w14:textFill>
        </w:rPr>
        <w:t>学历证书（或学位证书）（如有）、职称/执业资格证书（如有）、荣誉证书（如有）等（扫描件加盖公章）</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提供项目负责人</w:t>
      </w:r>
      <w:r>
        <w:rPr>
          <w:rFonts w:hint="eastAsia" w:ascii="宋体" w:hAnsi="宋体" w:eastAsia="宋体" w:cs="宋体"/>
          <w:b/>
          <w:bCs/>
          <w:color w:val="000000" w:themeColor="text1"/>
          <w:sz w:val="21"/>
          <w:szCs w:val="21"/>
          <w:highlight w:val="none"/>
          <w:lang w:eastAsia="zh-CN"/>
          <w14:textFill>
            <w14:solidFill>
              <w14:schemeClr w14:val="tx1"/>
            </w14:solidFill>
          </w14:textFill>
        </w:rPr>
        <w:t>投标截止日期前六个月内任意一个月的社保缴费证明材料。</w:t>
      </w:r>
    </w:p>
    <w:p w14:paraId="6C260403">
      <w:pPr>
        <w:pStyle w:val="21"/>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391E9A6">
      <w:pPr>
        <w:rPr>
          <w:rFonts w:hint="eastAsia" w:ascii="宋体" w:hAnsi="宋体" w:eastAsia="宋体" w:cs="宋体"/>
          <w:color w:val="auto"/>
          <w:highlight w:val="none"/>
          <w:lang w:eastAsia="zh-CN"/>
        </w:rPr>
      </w:pPr>
      <w:bookmarkStart w:id="124" w:name="_bookmark162"/>
      <w:bookmarkEnd w:id="124"/>
      <w:bookmarkStart w:id="125" w:name="_bookmark161"/>
      <w:bookmarkEnd w:id="125"/>
      <w:bookmarkStart w:id="126" w:name="_bookmark163"/>
      <w:bookmarkEnd w:id="126"/>
      <w:bookmarkStart w:id="127" w:name="_Toc12116"/>
      <w:bookmarkStart w:id="128" w:name="_Toc517"/>
      <w:bookmarkStart w:id="129" w:name="_Toc21977"/>
      <w:r>
        <w:rPr>
          <w:rFonts w:hint="eastAsia" w:ascii="宋体" w:hAnsi="宋体" w:eastAsia="宋体" w:cs="宋体"/>
          <w:color w:val="auto"/>
          <w:highlight w:val="none"/>
          <w:lang w:eastAsia="zh-CN"/>
        </w:rPr>
        <w:br w:type="page"/>
      </w:r>
    </w:p>
    <w:p w14:paraId="1D2524E8">
      <w:pPr>
        <w:pStyle w:val="88"/>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6" w:rightChars="0"/>
        <w:jc w:val="center"/>
        <w:textAlignment w:val="auto"/>
        <w:outlineLvl w:val="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七、技术服务</w:t>
      </w:r>
      <w:r>
        <w:rPr>
          <w:rFonts w:hint="eastAsia" w:ascii="宋体" w:hAnsi="宋体" w:eastAsia="宋体" w:cs="宋体"/>
          <w:color w:val="auto"/>
          <w:highlight w:val="none"/>
          <w:lang w:val="en-US" w:eastAsia="zh-CN"/>
        </w:rPr>
        <w:t>方案</w:t>
      </w:r>
      <w:bookmarkEnd w:id="127"/>
      <w:bookmarkEnd w:id="128"/>
      <w:bookmarkEnd w:id="129"/>
    </w:p>
    <w:p w14:paraId="47909411">
      <w:pPr>
        <w:pStyle w:val="14"/>
        <w:jc w:val="center"/>
        <w:rPr>
          <w:rFonts w:hint="eastAsia" w:ascii="宋体" w:hAnsi="宋体" w:eastAsia="宋体" w:cs="宋体"/>
          <w:color w:val="auto"/>
          <w:sz w:val="24"/>
          <w:szCs w:val="24"/>
          <w:highlight w:val="none"/>
          <w:lang w:eastAsia="zh-CN"/>
        </w:rPr>
      </w:pPr>
    </w:p>
    <w:p w14:paraId="32253FD2">
      <w:pPr>
        <w:pStyle w:val="14"/>
        <w:ind w:firstLine="498"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eastAsia="zh-CN"/>
        </w:rPr>
        <w:t>备注：</w:t>
      </w:r>
      <w:r>
        <w:rPr>
          <w:rFonts w:hint="eastAsia" w:ascii="宋体" w:hAnsi="宋体" w:eastAsia="宋体" w:cs="宋体"/>
          <w:b w:val="0"/>
          <w:bCs w:val="0"/>
          <w:color w:val="auto"/>
          <w:sz w:val="24"/>
          <w:szCs w:val="24"/>
          <w:highlight w:val="none"/>
          <w:lang w:eastAsia="zh-CN"/>
        </w:rPr>
        <w:t>详见第三章评标办法评分分项、第五章服务内容及要求。</w:t>
      </w:r>
    </w:p>
    <w:p w14:paraId="34B27EC1">
      <w:pPr>
        <w:pageBreakBefore w:val="0"/>
        <w:kinsoku/>
        <w:wordWrap/>
        <w:overflowPunct/>
        <w:topLinePunct w:val="0"/>
        <w:bidi w:val="0"/>
        <w:spacing w:line="500" w:lineRule="exact"/>
        <w:jc w:val="center"/>
        <w:rPr>
          <w:rFonts w:hint="eastAsia" w:ascii="宋体" w:hAnsi="宋体" w:eastAsia="宋体" w:cs="宋体"/>
          <w:color w:val="auto"/>
          <w:highlight w:val="none"/>
          <w:lang w:eastAsia="zh-CN"/>
        </w:rPr>
      </w:pPr>
    </w:p>
    <w:p w14:paraId="1334E223">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00DB2547">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425ECE1E">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17893D81">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2E250A33">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47BBB1E2">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4E4640E8">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6D96F465">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3DD3CA68">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6770EC9D">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4D951BAF">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21E14788">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6C930EB3">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073FAC33">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75A80DD7">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36FA3AC5">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4D419DA8">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53497C58">
      <w:pPr>
        <w:pStyle w:val="2"/>
        <w:ind w:left="899" w:leftChars="428" w:firstLine="3360" w:firstLineChars="1600"/>
        <w:rPr>
          <w:rFonts w:hint="eastAsia" w:ascii="宋体" w:hAnsi="宋体" w:eastAsia="宋体" w:cs="宋体"/>
          <w:lang w:eastAsia="zh-CN"/>
        </w:rPr>
        <w:sectPr>
          <w:footerReference r:id="rId15" w:type="default"/>
          <w:pgSz w:w="11906" w:h="16838"/>
          <w:pgMar w:top="1440" w:right="1800" w:bottom="1440" w:left="1800" w:header="1140" w:footer="720" w:gutter="0"/>
          <w:pgNumType w:fmt="decimal"/>
          <w:cols w:space="720" w:num="1"/>
          <w:rtlGutter w:val="0"/>
        </w:sectPr>
      </w:pPr>
    </w:p>
    <w:p w14:paraId="4ED73F4E">
      <w:pPr>
        <w:pStyle w:val="88"/>
        <w:keepNext w:val="0"/>
        <w:keepLines w:val="0"/>
        <w:pageBreakBefore w:val="0"/>
        <w:widowControl w:val="0"/>
        <w:kinsoku/>
        <w:wordWrap/>
        <w:overflowPunct/>
        <w:topLinePunct w:val="0"/>
        <w:autoSpaceDE/>
        <w:autoSpaceDN/>
        <w:bidi w:val="0"/>
        <w:adjustRightInd/>
        <w:snapToGrid/>
        <w:spacing w:line="500" w:lineRule="exact"/>
        <w:ind w:left="6" w:right="0"/>
        <w:jc w:val="center"/>
        <w:textAlignment w:val="auto"/>
        <w:outlineLvl w:val="1"/>
        <w:rPr>
          <w:rFonts w:hint="eastAsia" w:ascii="宋体" w:hAnsi="宋体" w:eastAsia="宋体" w:cs="宋体"/>
          <w:color w:val="auto"/>
          <w:highlight w:val="none"/>
        </w:rPr>
      </w:pPr>
      <w:bookmarkStart w:id="130" w:name="_bookmark164"/>
      <w:bookmarkEnd w:id="130"/>
      <w:bookmarkStart w:id="131" w:name="_Toc30062"/>
      <w:bookmarkStart w:id="132" w:name="_Toc18705"/>
      <w:bookmarkStart w:id="133" w:name="_Toc21711"/>
      <w:r>
        <w:rPr>
          <w:rFonts w:hint="eastAsia" w:ascii="宋体" w:hAnsi="宋体" w:eastAsia="宋体" w:cs="宋体"/>
          <w:color w:val="auto"/>
          <w:highlight w:val="none"/>
          <w:lang w:eastAsia="zh-CN"/>
        </w:rPr>
        <w:t>八、</w:t>
      </w:r>
      <w:r>
        <w:rPr>
          <w:rFonts w:hint="eastAsia" w:ascii="宋体" w:hAnsi="宋体" w:eastAsia="宋体" w:cs="宋体"/>
          <w:color w:val="auto"/>
          <w:highlight w:val="none"/>
        </w:rPr>
        <w:t>其他资料</w:t>
      </w:r>
      <w:bookmarkEnd w:id="131"/>
      <w:bookmarkEnd w:id="132"/>
      <w:bookmarkEnd w:id="133"/>
    </w:p>
    <w:p w14:paraId="2F9A2353">
      <w:pPr>
        <w:bidi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xml:space="preserve"> </w:t>
      </w:r>
    </w:p>
    <w:p w14:paraId="024D73BD">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val="0"/>
          <w:color w:val="auto"/>
          <w:sz w:val="24"/>
          <w:szCs w:val="24"/>
          <w:highlight w:val="none"/>
          <w:lang w:val="zh-CN"/>
        </w:rPr>
        <w:t>备注：</w:t>
      </w:r>
      <w:r>
        <w:rPr>
          <w:rFonts w:hint="eastAsia" w:ascii="宋体" w:hAnsi="宋体" w:eastAsia="宋体" w:cs="宋体"/>
          <w:b w:val="0"/>
          <w:bCs w:val="0"/>
          <w:sz w:val="24"/>
          <w:lang w:val="zh-CN"/>
        </w:rPr>
        <w:t>招标文件中要求的其他证明资料或供应商认为针对本项目有必要提供的资料附件（如优惠条件、服务承诺、详见第三章评标办法中技术部分及其他因素部分）。</w:t>
      </w:r>
    </w:p>
    <w:p w14:paraId="165417B9">
      <w:pPr>
        <w:keepNext w:val="0"/>
        <w:keepLines w:val="0"/>
        <w:pageBreakBefore w:val="0"/>
        <w:widowControl/>
        <w:suppressLineNumbers w:val="0"/>
        <w:kinsoku/>
        <w:wordWrap/>
        <w:overflowPunct/>
        <w:topLinePunct w:val="0"/>
        <w:bidi w:val="0"/>
        <w:spacing w:line="500" w:lineRule="exact"/>
        <w:jc w:val="left"/>
        <w:rPr>
          <w:rFonts w:hint="eastAsia" w:ascii="宋体" w:hAnsi="宋体" w:eastAsia="宋体" w:cs="宋体"/>
          <w:b/>
          <w:bCs/>
          <w:color w:val="auto"/>
          <w:kern w:val="0"/>
          <w:sz w:val="36"/>
          <w:szCs w:val="36"/>
          <w:highlight w:val="none"/>
          <w:lang w:val="en-US" w:eastAsia="zh-CN" w:bidi="ar"/>
        </w:rPr>
      </w:pPr>
    </w:p>
    <w:p w14:paraId="5B86D77F">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336BAEE6">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2E0C5A50">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186B0912">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14074CAF">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3A6F0DD5">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41F47C55">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095B1C1D">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1D1C4BD3">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620447BD">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048A2AFF">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069BD248">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76C7069D">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1AFEC4C0">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12528A1D">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100F55A5">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1B8E3870">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51008339">
      <w:pPr>
        <w:spacing w:line="500" w:lineRule="exact"/>
        <w:ind w:firstLine="420" w:firstLineChars="175"/>
        <w:jc w:val="right"/>
        <w:rPr>
          <w:rFonts w:hint="eastAsia" w:ascii="宋体" w:hAnsi="宋体" w:eastAsia="宋体" w:cs="宋体"/>
          <w:color w:val="000000" w:themeColor="text1"/>
          <w:sz w:val="24"/>
          <w:szCs w:val="24"/>
          <w:highlight w:val="none"/>
          <w14:textFill>
            <w14:solidFill>
              <w14:schemeClr w14:val="tx1"/>
            </w14:solidFill>
          </w14:textFill>
        </w:rPr>
      </w:pPr>
    </w:p>
    <w:p w14:paraId="368D31E9">
      <w:pPr>
        <w:keepNext w:val="0"/>
        <w:keepLines w:val="0"/>
        <w:pageBreakBefore w:val="0"/>
        <w:widowControl/>
        <w:suppressLineNumbers w:val="0"/>
        <w:kinsoku/>
        <w:wordWrap/>
        <w:overflowPunct/>
        <w:topLinePunct w:val="0"/>
        <w:bidi w:val="0"/>
        <w:spacing w:line="500" w:lineRule="exact"/>
        <w:ind w:firstLine="6867" w:firstLineChars="1900"/>
        <w:jc w:val="left"/>
        <w:rPr>
          <w:rFonts w:hint="eastAsia" w:ascii="宋体" w:hAnsi="宋体" w:eastAsia="宋体" w:cs="宋体"/>
          <w:b/>
          <w:bCs/>
          <w:color w:val="auto"/>
          <w:kern w:val="0"/>
          <w:sz w:val="36"/>
          <w:szCs w:val="36"/>
          <w:highlight w:val="none"/>
          <w:lang w:val="en-US" w:eastAsia="zh-CN" w:bidi="ar"/>
        </w:rPr>
      </w:pPr>
    </w:p>
    <w:sectPr>
      <w:headerReference r:id="rId16" w:type="default"/>
      <w:footerReference r:id="rId17" w:type="default"/>
      <w:pgSz w:w="11905" w:h="16838"/>
      <w:pgMar w:top="1440" w:right="1800" w:bottom="1440" w:left="1800" w:header="1140" w:footer="720" w:gutter="0"/>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汉鼎简楷体">
    <w:altName w:val="宋体"/>
    <w:panose1 w:val="02010609000101010101"/>
    <w:charset w:val="86"/>
    <w:family w:val="modern"/>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833E9">
    <w:pPr>
      <w:pStyle w:val="25"/>
      <w:tabs>
        <w:tab w:val="center" w:pos="4649"/>
        <w:tab w:val="clear" w:pos="4153"/>
        <w:tab w:val="clear" w:pos="8306"/>
      </w:tabs>
    </w:pPr>
    <w:r>
      <w:br w:type="textWrapping"/>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03B2C">
    <w:pPr>
      <w:pStyle w:val="14"/>
      <w:spacing w:line="14" w:lineRule="auto"/>
      <w:rPr>
        <w:sz w:val="20"/>
      </w:rPr>
    </w:pPr>
    <w:r>
      <w:rPr>
        <w:sz w:val="20"/>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A830CB">
                          <w:pPr>
                            <w:pStyle w:val="25"/>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2BA830CB">
                    <w:pPr>
                      <w:pStyle w:val="25"/>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F5E55">
    <w:pPr>
      <w:pStyle w:val="25"/>
      <w:rPr>
        <w:rFonts w:eastAsia="仿宋_GB2312"/>
        <w:sz w:val="24"/>
      </w:rPr>
    </w:pPr>
    <w:r>
      <w:rPr>
        <w:sz w:val="24"/>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D0EA3C">
                          <w:pPr>
                            <w:pStyle w:val="25"/>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0CD0EA3C">
                    <w:pPr>
                      <w:pStyle w:val="25"/>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B99AF">
    <w:pPr>
      <w:pStyle w:val="25"/>
      <w:jc w:val="center"/>
      <w:rPr>
        <w:rFonts w:ascii="Cambria" w:hAnsi="Cambria" w:cs="Cambria"/>
        <w:sz w:val="21"/>
        <w:szCs w:val="21"/>
      </w:rPr>
    </w:pPr>
    <w:r>
      <w:rPr>
        <w:sz w:val="21"/>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F40CB9">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8F40CB9">
                    <w:pPr>
                      <w:pStyle w:val="25"/>
                    </w:pPr>
                    <w:r>
                      <w:fldChar w:fldCharType="begin"/>
                    </w:r>
                    <w:r>
                      <w:instrText xml:space="preserve"> PAGE  \* MERGEFORMAT </w:instrText>
                    </w:r>
                    <w:r>
                      <w:fldChar w:fldCharType="separate"/>
                    </w:r>
                    <w:r>
                      <w:t>1</w:t>
                    </w:r>
                    <w:r>
                      <w:fldChar w:fldCharType="end"/>
                    </w:r>
                  </w:p>
                </w:txbxContent>
              </v:textbox>
            </v:shape>
          </w:pict>
        </mc:Fallback>
      </mc:AlternateContent>
    </w:r>
  </w:p>
  <w:p w14:paraId="69E4A8DB">
    <w:pPr>
      <w:pStyle w:val="25"/>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C4CB7">
    <w:pPr>
      <w:widowControl w:val="0"/>
      <w:spacing w:line="1" w:lineRule="exact"/>
    </w:pPr>
    <w:r>
      <w:rPr>
        <w:sz w:val="21"/>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A1D9A2">
                          <w:pPr>
                            <w:pStyle w:val="2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9A1D9A2">
                    <w:pPr>
                      <w:pStyle w:val="25"/>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DAF9A">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3750310</wp:posOffset>
              </wp:positionH>
              <wp:positionV relativeFrom="page">
                <wp:posOffset>9961245</wp:posOffset>
              </wp:positionV>
              <wp:extent cx="42545" cy="79375"/>
              <wp:effectExtent l="0" t="0" r="0" b="0"/>
              <wp:wrapNone/>
              <wp:docPr id="11" name="Shape 7"/>
              <wp:cNvGraphicFramePr/>
              <a:graphic xmlns:a="http://schemas.openxmlformats.org/drawingml/2006/main">
                <a:graphicData uri="http://schemas.microsoft.com/office/word/2010/wordprocessingShape">
                  <wps:wsp>
                    <wps:cNvSpPr txBox="1"/>
                    <wps:spPr>
                      <a:xfrm>
                        <a:off x="0" y="0"/>
                        <a:ext cx="42545" cy="79375"/>
                      </a:xfrm>
                      <a:prstGeom prst="rect">
                        <a:avLst/>
                      </a:prstGeom>
                      <a:noFill/>
                    </wps:spPr>
                    <wps:txbx>
                      <w:txbxContent>
                        <w:p w14:paraId="486F532E">
                          <w:pPr>
                            <w:pStyle w:val="8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7" o:spid="_x0000_s1026" o:spt="202" type="#_x0000_t202" style="position:absolute;left:0pt;margin-left:295.3pt;margin-top:784.35pt;height:6.25pt;width:3.35pt;mso-position-horizontal-relative:page;mso-position-vertical-relative:page;mso-wrap-style:none;z-index:-251657216;mso-width-relative:page;mso-height-relative:page;" filled="f" stroked="f" coordsize="21600,21600" o:gfxdata="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iiOJk2AAA&#10;AA0BAAAPAAAAAAAAAAEAIAAAACIAAABkcnMvZG93bnJldi54bWxQSwECFAAUAAAACACHTuJAmD1C&#10;iqwBAABuAwAADgAAAAAAAAABACAAAAAnAQAAZHJzL2Uyb0RvYy54bWxQSwUGAAAAAAYABgBZAQAA&#10;RQUAAAAA&#10;">
              <v:fill on="f" focussize="0,0"/>
              <v:stroke on="f"/>
              <v:imagedata o:title=""/>
              <o:lock v:ext="edit" aspectratio="f"/>
              <v:textbox inset="0mm,0mm,0mm,0mm" style="mso-fit-shape-to-text:t;">
                <w:txbxContent>
                  <w:p w14:paraId="486F532E">
                    <w:pPr>
                      <w:pStyle w:val="8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F1423">
    <w:pPr>
      <w:widowControl w:val="0"/>
      <w:spacing w:line="1" w:lineRule="exact"/>
    </w:pPr>
    <w:r>
      <w:rPr>
        <w:sz w:val="21"/>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84A8A6">
                          <w:pPr>
                            <w:pStyle w:val="25"/>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284A8A6">
                    <w:pPr>
                      <w:pStyle w:val="25"/>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92891">
    <w:pPr>
      <w:pStyle w:val="14"/>
      <w:spacing w:line="14" w:lineRule="auto"/>
      <w:rPr>
        <w:sz w:val="20"/>
      </w:rPr>
    </w:pPr>
    <w:r>
      <w:rPr>
        <w:sz w:val="20"/>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116D48">
                          <w:pPr>
                            <w:pStyle w:val="25"/>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E116D48">
                    <w:pPr>
                      <w:pStyle w:val="25"/>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2D1A9">
    <w:pPr>
      <w:pStyle w:val="25"/>
      <w:jc w:val="center"/>
      <w:rPr>
        <w:rFonts w:ascii="Cambria" w:hAnsi="Cambria" w:cs="Cambria"/>
        <w:sz w:val="21"/>
        <w:szCs w:val="21"/>
      </w:rPr>
    </w:pPr>
    <w:r>
      <w:rPr>
        <w:sz w:val="21"/>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EFE357">
                          <w:pPr>
                            <w:pStyle w:val="25"/>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0CEFE357">
                    <w:pPr>
                      <w:pStyle w:val="25"/>
                    </w:pPr>
                    <w:r>
                      <w:fldChar w:fldCharType="begin"/>
                    </w:r>
                    <w:r>
                      <w:instrText xml:space="preserve"> PAGE  \* MERGEFORMAT </w:instrText>
                    </w:r>
                    <w:r>
                      <w:fldChar w:fldCharType="separate"/>
                    </w:r>
                    <w:r>
                      <w:t>74</w:t>
                    </w:r>
                    <w:r>
                      <w:fldChar w:fldCharType="end"/>
                    </w:r>
                  </w:p>
                </w:txbxContent>
              </v:textbox>
            </v:shape>
          </w:pict>
        </mc:Fallback>
      </mc:AlternateContent>
    </w:r>
  </w:p>
  <w:p w14:paraId="3AEB74D1">
    <w:pPr>
      <w:pStyle w:val="25"/>
      <w:rPr>
        <w:rFonts w:cs="Times New Roma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A206C">
    <w:pPr>
      <w:pStyle w:val="14"/>
      <w:spacing w:line="14" w:lineRule="auto"/>
      <w:rPr>
        <w:sz w:val="20"/>
      </w:rPr>
    </w:pPr>
    <w:r>
      <w:rPr>
        <w:sz w:val="24"/>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5C560F">
                          <w:pPr>
                            <w:pStyle w:val="25"/>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675C560F">
                    <w:pPr>
                      <w:pStyle w:val="25"/>
                    </w:pPr>
                    <w:r>
                      <w:fldChar w:fldCharType="begin"/>
                    </w:r>
                    <w:r>
                      <w:instrText xml:space="preserve"> PAGE  \* MERGEFORMAT </w:instrText>
                    </w:r>
                    <w:r>
                      <w:fldChar w:fldCharType="separate"/>
                    </w:r>
                    <w:r>
                      <w:t>79</w:t>
                    </w:r>
                    <w:r>
                      <w:fldChar w:fldCharType="end"/>
                    </w:r>
                  </w:p>
                </w:txbxContent>
              </v:textbox>
            </v:shape>
          </w:pict>
        </mc:Fallback>
      </mc:AlternateContent>
    </w:r>
    <w:r>
      <mc:AlternateContent>
        <mc:Choice Requires="wps">
          <w:drawing>
            <wp:anchor distT="0" distB="0" distL="114300" distR="114300" simplePos="0" relativeHeight="251680768" behindDoc="1" locked="0" layoutInCell="1" allowOverlap="1">
              <wp:simplePos x="0" y="0"/>
              <wp:positionH relativeFrom="page">
                <wp:posOffset>3816350</wp:posOffset>
              </wp:positionH>
              <wp:positionV relativeFrom="page">
                <wp:posOffset>9333865</wp:posOffset>
              </wp:positionV>
              <wp:extent cx="141605" cy="1397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41605" cy="139700"/>
                      </a:xfrm>
                      <a:prstGeom prst="rect">
                        <a:avLst/>
                      </a:prstGeom>
                      <a:noFill/>
                      <a:ln>
                        <a:noFill/>
                      </a:ln>
                    </wps:spPr>
                    <wps:txbx>
                      <w:txbxContent>
                        <w:p w14:paraId="17B9328B">
                          <w:pPr>
                            <w:spacing w:line="203" w:lineRule="exact"/>
                            <w:ind w:left="20"/>
                            <w:rPr>
                              <w:rFonts w:ascii="Calibri"/>
                              <w:sz w:val="18"/>
                            </w:rPr>
                          </w:pPr>
                        </w:p>
                      </w:txbxContent>
                    </wps:txbx>
                    <wps:bodyPr lIns="0" tIns="0" rIns="0" bIns="0" upright="1"/>
                  </wps:wsp>
                </a:graphicData>
              </a:graphic>
            </wp:anchor>
          </w:drawing>
        </mc:Choice>
        <mc:Fallback>
          <w:pict>
            <v:shape id="_x0000_s1026" o:spid="_x0000_s1026" o:spt="202" type="#_x0000_t202" style="position:absolute;left:0pt;margin-left:300.5pt;margin-top:734.95pt;height:11pt;width:11.15pt;mso-position-horizontal-relative:page;mso-position-vertical-relative:page;z-index:-251635712;mso-width-relative:page;mso-height-relative:page;" filled="f" stroked="f" coordsize="21600,21600" o:gfxdata="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bJCh9oAAAANAQAADwAAAAAAAAABACAAAAAiAAAAZHJzL2Rvd25yZXYueG1sUEsB&#10;AhQAFAAAAAgAh07iQNEqRxm6AQAAcQMAAA4AAAAAAAAAAQAgAAAAKQEAAGRycy9lMm9Eb2MueG1s&#10;UEsFBgAAAAAGAAYAWQEAAFUFAAAAAA==&#10;">
              <v:fill on="f" focussize="0,0"/>
              <v:stroke on="f"/>
              <v:imagedata o:title=""/>
              <o:lock v:ext="edit" aspectratio="f"/>
              <v:textbox inset="0mm,0mm,0mm,0mm">
                <w:txbxContent>
                  <w:p w14:paraId="17B9328B">
                    <w:pPr>
                      <w:spacing w:line="203" w:lineRule="exact"/>
                      <w:ind w:left="20"/>
                      <w:rPr>
                        <w:rFonts w:ascii="Calibri"/>
                        <w:sz w:val="18"/>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B1098">
    <w:pPr>
      <w:pStyle w:val="14"/>
      <w:spacing w:line="14" w:lineRule="auto"/>
      <w:rPr>
        <w:sz w:val="20"/>
      </w:rPr>
    </w:pPr>
    <w:r>
      <w:rPr>
        <w:sz w:val="20"/>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237529">
                          <w:pPr>
                            <w:pStyle w:val="25"/>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E237529">
                    <w:pPr>
                      <w:pStyle w:val="25"/>
                    </w:pPr>
                    <w:r>
                      <w:fldChar w:fldCharType="begin"/>
                    </w:r>
                    <w:r>
                      <w:instrText xml:space="preserve"> PAGE  \* MERGEFORMAT </w:instrText>
                    </w:r>
                    <w:r>
                      <w:fldChar w:fldCharType="separate"/>
                    </w:r>
                    <w:r>
                      <w:t>83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C2864">
    <w:pPr>
      <w:pStyle w:val="26"/>
      <w:pBdr>
        <w:bottom w:val="none" w:color="auto" w:sz="0" w:space="1"/>
      </w:pBdr>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45DC9">
    <w:pPr>
      <w:pStyle w:val="26"/>
      <w:pBdr>
        <w:bottom w:val="thinThickSmallGap" w:color="auto" w:sz="12" w:space="1"/>
      </w:pBdr>
      <w:jc w:val="right"/>
      <w:rPr>
        <w:rFonts w:hint="default"/>
        <w:b/>
        <w:bCs/>
        <w:lang w:val="en-US" w:eastAsia="zh-CN"/>
      </w:rPr>
    </w:pPr>
    <w:r>
      <w:rPr>
        <w:rFonts w:hint="eastAsia"/>
        <w:b/>
        <w:bCs/>
        <w:lang w:val="en-US" w:eastAsia="zh-CN"/>
      </w:rPr>
      <w:t>吉林省长润工程咨询有限公司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CA86F">
    <w:pPr>
      <w:pStyle w:val="26"/>
      <w:pBdr>
        <w:bottom w:val="thinThickSmallGap" w:color="auto" w:sz="12" w:space="1"/>
      </w:pBdr>
      <w:jc w:val="right"/>
      <w:rPr>
        <w:rFonts w:hint="default"/>
        <w:b/>
        <w:bCs/>
        <w:lang w:val="en-US" w:eastAsia="zh-CN"/>
      </w:rPr>
    </w:pPr>
    <w:r>
      <w:rPr>
        <w:rFonts w:hint="eastAsia"/>
        <w:b/>
        <w:bCs/>
        <w:lang w:val="en-US" w:eastAsia="zh-CN"/>
      </w:rPr>
      <w:t>吉林省长润工程咨询有限公司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88875">
    <w:pPr>
      <w:pStyle w:val="26"/>
      <w:pBdr>
        <w:bottom w:val="thinThickSmallGap" w:color="auto" w:sz="12" w:space="1"/>
      </w:pBdr>
      <w:jc w:val="right"/>
      <w:rPr>
        <w:rFonts w:hint="eastAsia" w:ascii="仿宋_GB2312" w:eastAsia="仿宋_GB2312"/>
      </w:rPr>
    </w:pPr>
    <w:r>
      <w:rPr>
        <w:rFonts w:hint="eastAsia"/>
        <w:b/>
        <w:bCs/>
        <w:lang w:val="en-US" w:eastAsia="zh-CN"/>
      </w:rPr>
      <w:t>吉林省长润工程咨询有限公司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A818A5"/>
    <w:multiLevelType w:val="multilevel"/>
    <w:tmpl w:val="C4A818A5"/>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FDF193D5"/>
    <w:multiLevelType w:val="singleLevel"/>
    <w:tmpl w:val="FDF193D5"/>
    <w:lvl w:ilvl="0" w:tentative="0">
      <w:start w:val="1"/>
      <w:numFmt w:val="chineseCounting"/>
      <w:suff w:val="nothing"/>
      <w:lvlText w:val="%1、"/>
      <w:lvlJc w:val="left"/>
      <w:rPr>
        <w:rFonts w:hint="eastAsia"/>
      </w:rPr>
    </w:lvl>
  </w:abstractNum>
  <w:abstractNum w:abstractNumId="2">
    <w:nsid w:val="34B78E21"/>
    <w:multiLevelType w:val="singleLevel"/>
    <w:tmpl w:val="34B78E21"/>
    <w:lvl w:ilvl="0" w:tentative="0">
      <w:start w:val="5"/>
      <w:numFmt w:val="chineseCounting"/>
      <w:suff w:val="space"/>
      <w:lvlText w:val="第%1章"/>
      <w:lvlJc w:val="left"/>
      <w:rPr>
        <w:rFonts w:hint="eastAsia"/>
        <w:sz w:val="36"/>
        <w:szCs w:val="36"/>
      </w:rPr>
    </w:lvl>
  </w:abstractNum>
  <w:abstractNum w:abstractNumId="3">
    <w:nsid w:val="778F535E"/>
    <w:multiLevelType w:val="singleLevel"/>
    <w:tmpl w:val="778F535E"/>
    <w:lvl w:ilvl="0" w:tentative="0">
      <w:start w:val="1"/>
      <w:numFmt w:val="chineseCounting"/>
      <w:suff w:val="space"/>
      <w:lvlText w:val="第%1章"/>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360"/>
  <w:hyphenationZone w:val="360"/>
  <w:doNotHyphenateCaps/>
  <w:drawingGridHorizontalSpacing w:val="210"/>
  <w:drawingGridVerticalSpacing w:val="159"/>
  <w:displayHorizontalDrawingGridEvery w:val="1"/>
  <w:displayVerticalDrawingGridEvery w:val="2"/>
  <w:noPunctuationKerning w:val="1"/>
  <w:characterSpacingControl w:val="compressPunctuation"/>
  <w:noLineBreaksAfter w:lang="zh-CN" w:val="([{·‘“〈《「『【〔〖（．［｛￡￥"/>
  <w:noLineBreaksBefore w:lang="zh-CN" w:val="!),.:;?]}¨·ˇˉ―‖’”…∶、。〃々〉》」』】〕〗！＂＇），．：；？］｀｜｝～￠"/>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1NmYxMGQ5YTMzNzVmYTNkZGJmOTliMDZhNDNkMjgifQ=="/>
    <w:docVar w:name="KSO_WPS_MARK_KEY" w:val="cc2c1377-03a6-43cd-9a76-07471ac791f3"/>
  </w:docVars>
  <w:rsids>
    <w:rsidRoot w:val="0060259C"/>
    <w:rsid w:val="00004DF0"/>
    <w:rsid w:val="00007BD3"/>
    <w:rsid w:val="0001610B"/>
    <w:rsid w:val="0002552D"/>
    <w:rsid w:val="00025E56"/>
    <w:rsid w:val="000305ED"/>
    <w:rsid w:val="0003157E"/>
    <w:rsid w:val="000343CF"/>
    <w:rsid w:val="00041996"/>
    <w:rsid w:val="00042CB8"/>
    <w:rsid w:val="0004356D"/>
    <w:rsid w:val="00044BBF"/>
    <w:rsid w:val="00046859"/>
    <w:rsid w:val="00050C77"/>
    <w:rsid w:val="00054BEB"/>
    <w:rsid w:val="000560E8"/>
    <w:rsid w:val="00056FDC"/>
    <w:rsid w:val="000702F5"/>
    <w:rsid w:val="00072F44"/>
    <w:rsid w:val="000807B8"/>
    <w:rsid w:val="00086A42"/>
    <w:rsid w:val="00086C6B"/>
    <w:rsid w:val="00090ABA"/>
    <w:rsid w:val="000A3FA6"/>
    <w:rsid w:val="000A4BC0"/>
    <w:rsid w:val="000B1F38"/>
    <w:rsid w:val="000B73C0"/>
    <w:rsid w:val="000C5AC8"/>
    <w:rsid w:val="000C7FD3"/>
    <w:rsid w:val="000D0243"/>
    <w:rsid w:val="000D0652"/>
    <w:rsid w:val="000D20E4"/>
    <w:rsid w:val="000D77C2"/>
    <w:rsid w:val="000E288F"/>
    <w:rsid w:val="000E35DC"/>
    <w:rsid w:val="000E3B1B"/>
    <w:rsid w:val="000E63AE"/>
    <w:rsid w:val="000F1662"/>
    <w:rsid w:val="000F1BEF"/>
    <w:rsid w:val="0010081D"/>
    <w:rsid w:val="001034EC"/>
    <w:rsid w:val="00106518"/>
    <w:rsid w:val="0010772B"/>
    <w:rsid w:val="001169B3"/>
    <w:rsid w:val="00116B44"/>
    <w:rsid w:val="00120475"/>
    <w:rsid w:val="001232BD"/>
    <w:rsid w:val="00126146"/>
    <w:rsid w:val="0012703C"/>
    <w:rsid w:val="001355E3"/>
    <w:rsid w:val="001511F9"/>
    <w:rsid w:val="00152366"/>
    <w:rsid w:val="00152521"/>
    <w:rsid w:val="00152A71"/>
    <w:rsid w:val="001610CB"/>
    <w:rsid w:val="0016157B"/>
    <w:rsid w:val="00166CC9"/>
    <w:rsid w:val="00171254"/>
    <w:rsid w:val="00174204"/>
    <w:rsid w:val="00176CDE"/>
    <w:rsid w:val="00182256"/>
    <w:rsid w:val="001844EE"/>
    <w:rsid w:val="00192F06"/>
    <w:rsid w:val="001942C3"/>
    <w:rsid w:val="001A2302"/>
    <w:rsid w:val="001A4FDF"/>
    <w:rsid w:val="001A71A4"/>
    <w:rsid w:val="001B3B48"/>
    <w:rsid w:val="001B5695"/>
    <w:rsid w:val="001C1185"/>
    <w:rsid w:val="001C12AF"/>
    <w:rsid w:val="001D3067"/>
    <w:rsid w:val="001D4ADB"/>
    <w:rsid w:val="001E5BC4"/>
    <w:rsid w:val="001F4348"/>
    <w:rsid w:val="001F4B92"/>
    <w:rsid w:val="001F5F96"/>
    <w:rsid w:val="00203E07"/>
    <w:rsid w:val="002219BE"/>
    <w:rsid w:val="002239CD"/>
    <w:rsid w:val="00224EC9"/>
    <w:rsid w:val="0022564C"/>
    <w:rsid w:val="00226DC2"/>
    <w:rsid w:val="00227CBD"/>
    <w:rsid w:val="00230D70"/>
    <w:rsid w:val="002361D5"/>
    <w:rsid w:val="0023792B"/>
    <w:rsid w:val="002401CF"/>
    <w:rsid w:val="0025318F"/>
    <w:rsid w:val="0025487C"/>
    <w:rsid w:val="00256790"/>
    <w:rsid w:val="00265984"/>
    <w:rsid w:val="0026722F"/>
    <w:rsid w:val="0027477C"/>
    <w:rsid w:val="002838C2"/>
    <w:rsid w:val="0028665A"/>
    <w:rsid w:val="002917AF"/>
    <w:rsid w:val="00293FD0"/>
    <w:rsid w:val="0029443E"/>
    <w:rsid w:val="00294CF3"/>
    <w:rsid w:val="002965F1"/>
    <w:rsid w:val="002A50EE"/>
    <w:rsid w:val="002A7D62"/>
    <w:rsid w:val="002B54F8"/>
    <w:rsid w:val="002B5F1A"/>
    <w:rsid w:val="002B700F"/>
    <w:rsid w:val="002C0170"/>
    <w:rsid w:val="002C188E"/>
    <w:rsid w:val="002C20B9"/>
    <w:rsid w:val="002C3430"/>
    <w:rsid w:val="002D0870"/>
    <w:rsid w:val="002D2B90"/>
    <w:rsid w:val="002D3494"/>
    <w:rsid w:val="002D3F13"/>
    <w:rsid w:val="002D4E71"/>
    <w:rsid w:val="002E49B0"/>
    <w:rsid w:val="002E67A6"/>
    <w:rsid w:val="002F1339"/>
    <w:rsid w:val="002F2B91"/>
    <w:rsid w:val="002F554C"/>
    <w:rsid w:val="002F59AB"/>
    <w:rsid w:val="0030510C"/>
    <w:rsid w:val="00316816"/>
    <w:rsid w:val="00317DEE"/>
    <w:rsid w:val="003222FE"/>
    <w:rsid w:val="0032490C"/>
    <w:rsid w:val="00325AAA"/>
    <w:rsid w:val="003326E9"/>
    <w:rsid w:val="00334E85"/>
    <w:rsid w:val="003357EF"/>
    <w:rsid w:val="003462FE"/>
    <w:rsid w:val="00346375"/>
    <w:rsid w:val="00351847"/>
    <w:rsid w:val="00360A64"/>
    <w:rsid w:val="003629AD"/>
    <w:rsid w:val="00364485"/>
    <w:rsid w:val="00365FAE"/>
    <w:rsid w:val="0037157D"/>
    <w:rsid w:val="00373538"/>
    <w:rsid w:val="00392717"/>
    <w:rsid w:val="003942B3"/>
    <w:rsid w:val="00397897"/>
    <w:rsid w:val="003A1C84"/>
    <w:rsid w:val="003A2A5A"/>
    <w:rsid w:val="003A2B49"/>
    <w:rsid w:val="003A394F"/>
    <w:rsid w:val="003B08AB"/>
    <w:rsid w:val="003B2C7F"/>
    <w:rsid w:val="003B668E"/>
    <w:rsid w:val="003C1402"/>
    <w:rsid w:val="003C1617"/>
    <w:rsid w:val="003C3666"/>
    <w:rsid w:val="003D5F90"/>
    <w:rsid w:val="003E77D4"/>
    <w:rsid w:val="003F71D9"/>
    <w:rsid w:val="00401E7C"/>
    <w:rsid w:val="00411072"/>
    <w:rsid w:val="00417A87"/>
    <w:rsid w:val="00421542"/>
    <w:rsid w:val="004248E2"/>
    <w:rsid w:val="004466EB"/>
    <w:rsid w:val="00452085"/>
    <w:rsid w:val="0045334B"/>
    <w:rsid w:val="00455B72"/>
    <w:rsid w:val="00460ED9"/>
    <w:rsid w:val="00462DE6"/>
    <w:rsid w:val="00466344"/>
    <w:rsid w:val="00474B77"/>
    <w:rsid w:val="00481283"/>
    <w:rsid w:val="00481901"/>
    <w:rsid w:val="004829B5"/>
    <w:rsid w:val="00492FC1"/>
    <w:rsid w:val="00493701"/>
    <w:rsid w:val="004A1F64"/>
    <w:rsid w:val="004A59BF"/>
    <w:rsid w:val="004B1049"/>
    <w:rsid w:val="004B5B8D"/>
    <w:rsid w:val="004B6D9C"/>
    <w:rsid w:val="004B70E4"/>
    <w:rsid w:val="004C13AA"/>
    <w:rsid w:val="004C3F14"/>
    <w:rsid w:val="004C441D"/>
    <w:rsid w:val="004D6BDE"/>
    <w:rsid w:val="004E0447"/>
    <w:rsid w:val="004E7789"/>
    <w:rsid w:val="004F2703"/>
    <w:rsid w:val="004F3ABD"/>
    <w:rsid w:val="00513F1A"/>
    <w:rsid w:val="0051488A"/>
    <w:rsid w:val="00515B1F"/>
    <w:rsid w:val="005201AB"/>
    <w:rsid w:val="0052144B"/>
    <w:rsid w:val="00527084"/>
    <w:rsid w:val="005356CE"/>
    <w:rsid w:val="00542824"/>
    <w:rsid w:val="0055647C"/>
    <w:rsid w:val="00561D2D"/>
    <w:rsid w:val="005875F5"/>
    <w:rsid w:val="0059408E"/>
    <w:rsid w:val="005955EC"/>
    <w:rsid w:val="00595BFF"/>
    <w:rsid w:val="005A0126"/>
    <w:rsid w:val="005A33F4"/>
    <w:rsid w:val="005A4C76"/>
    <w:rsid w:val="005A6FD5"/>
    <w:rsid w:val="005B1EAD"/>
    <w:rsid w:val="005B315A"/>
    <w:rsid w:val="005B6077"/>
    <w:rsid w:val="005C7CB7"/>
    <w:rsid w:val="005D5A2B"/>
    <w:rsid w:val="005D7D12"/>
    <w:rsid w:val="005E4FF4"/>
    <w:rsid w:val="005F10EF"/>
    <w:rsid w:val="005F1921"/>
    <w:rsid w:val="005F2D47"/>
    <w:rsid w:val="005F3C35"/>
    <w:rsid w:val="005F3E15"/>
    <w:rsid w:val="005F432C"/>
    <w:rsid w:val="005F661B"/>
    <w:rsid w:val="005F6D9C"/>
    <w:rsid w:val="00602352"/>
    <w:rsid w:val="0060259C"/>
    <w:rsid w:val="0060384C"/>
    <w:rsid w:val="00605D0E"/>
    <w:rsid w:val="0060761C"/>
    <w:rsid w:val="00611F18"/>
    <w:rsid w:val="00614109"/>
    <w:rsid w:val="006238C9"/>
    <w:rsid w:val="00630C3A"/>
    <w:rsid w:val="00640888"/>
    <w:rsid w:val="00641C9C"/>
    <w:rsid w:val="00647F33"/>
    <w:rsid w:val="00651229"/>
    <w:rsid w:val="00662147"/>
    <w:rsid w:val="00671B5A"/>
    <w:rsid w:val="00672AB9"/>
    <w:rsid w:val="006768A2"/>
    <w:rsid w:val="00677284"/>
    <w:rsid w:val="00681149"/>
    <w:rsid w:val="0068333F"/>
    <w:rsid w:val="006834A6"/>
    <w:rsid w:val="00684A1E"/>
    <w:rsid w:val="0068594F"/>
    <w:rsid w:val="006B0AC6"/>
    <w:rsid w:val="006B3007"/>
    <w:rsid w:val="006B3790"/>
    <w:rsid w:val="006C42EF"/>
    <w:rsid w:val="006C7C1C"/>
    <w:rsid w:val="006D42BC"/>
    <w:rsid w:val="006D7D8B"/>
    <w:rsid w:val="006E0BB7"/>
    <w:rsid w:val="006E5AB1"/>
    <w:rsid w:val="006E6FD0"/>
    <w:rsid w:val="006F4044"/>
    <w:rsid w:val="00711645"/>
    <w:rsid w:val="00712CBA"/>
    <w:rsid w:val="00714FB0"/>
    <w:rsid w:val="00715B8C"/>
    <w:rsid w:val="007229EA"/>
    <w:rsid w:val="00725E22"/>
    <w:rsid w:val="00730354"/>
    <w:rsid w:val="007374CB"/>
    <w:rsid w:val="00740245"/>
    <w:rsid w:val="0074107E"/>
    <w:rsid w:val="007436C5"/>
    <w:rsid w:val="00755B19"/>
    <w:rsid w:val="007579A8"/>
    <w:rsid w:val="007600ED"/>
    <w:rsid w:val="007611BD"/>
    <w:rsid w:val="00771B61"/>
    <w:rsid w:val="007733F5"/>
    <w:rsid w:val="00773801"/>
    <w:rsid w:val="00775C3F"/>
    <w:rsid w:val="00783D3E"/>
    <w:rsid w:val="007875E4"/>
    <w:rsid w:val="00791A6B"/>
    <w:rsid w:val="007A0FD6"/>
    <w:rsid w:val="007A153D"/>
    <w:rsid w:val="007A2306"/>
    <w:rsid w:val="007A38A7"/>
    <w:rsid w:val="007A4F84"/>
    <w:rsid w:val="007B0022"/>
    <w:rsid w:val="007B00F6"/>
    <w:rsid w:val="007B42AE"/>
    <w:rsid w:val="007C0D0D"/>
    <w:rsid w:val="007C2FC3"/>
    <w:rsid w:val="007C4FD1"/>
    <w:rsid w:val="007C5E3A"/>
    <w:rsid w:val="007C7401"/>
    <w:rsid w:val="007D1211"/>
    <w:rsid w:val="007D1F6D"/>
    <w:rsid w:val="007D40BE"/>
    <w:rsid w:val="007D4421"/>
    <w:rsid w:val="007D7515"/>
    <w:rsid w:val="007E10A8"/>
    <w:rsid w:val="007E4C8E"/>
    <w:rsid w:val="007F132D"/>
    <w:rsid w:val="007F5466"/>
    <w:rsid w:val="007F6A47"/>
    <w:rsid w:val="00800CE2"/>
    <w:rsid w:val="00803BE2"/>
    <w:rsid w:val="00804D3A"/>
    <w:rsid w:val="00805F9A"/>
    <w:rsid w:val="00812B16"/>
    <w:rsid w:val="00820120"/>
    <w:rsid w:val="00827E80"/>
    <w:rsid w:val="008319B7"/>
    <w:rsid w:val="0083367A"/>
    <w:rsid w:val="00835042"/>
    <w:rsid w:val="008437C7"/>
    <w:rsid w:val="00843EBD"/>
    <w:rsid w:val="00846989"/>
    <w:rsid w:val="00846B37"/>
    <w:rsid w:val="008477BF"/>
    <w:rsid w:val="00850306"/>
    <w:rsid w:val="00857254"/>
    <w:rsid w:val="008611D6"/>
    <w:rsid w:val="00870483"/>
    <w:rsid w:val="00875C14"/>
    <w:rsid w:val="00877212"/>
    <w:rsid w:val="00881A1F"/>
    <w:rsid w:val="008829D1"/>
    <w:rsid w:val="00886874"/>
    <w:rsid w:val="0088699D"/>
    <w:rsid w:val="00894F34"/>
    <w:rsid w:val="00897BDE"/>
    <w:rsid w:val="008A275F"/>
    <w:rsid w:val="008A27DE"/>
    <w:rsid w:val="008A736D"/>
    <w:rsid w:val="008B05F8"/>
    <w:rsid w:val="008B140F"/>
    <w:rsid w:val="008B154E"/>
    <w:rsid w:val="008C1A1C"/>
    <w:rsid w:val="008C4080"/>
    <w:rsid w:val="008D010D"/>
    <w:rsid w:val="008D1033"/>
    <w:rsid w:val="008E25ED"/>
    <w:rsid w:val="008E2B01"/>
    <w:rsid w:val="008E3C46"/>
    <w:rsid w:val="008F1FDF"/>
    <w:rsid w:val="009011FD"/>
    <w:rsid w:val="009037AD"/>
    <w:rsid w:val="0090410F"/>
    <w:rsid w:val="00905A8C"/>
    <w:rsid w:val="0091222B"/>
    <w:rsid w:val="00920782"/>
    <w:rsid w:val="00923BEF"/>
    <w:rsid w:val="00925BBB"/>
    <w:rsid w:val="00925F8F"/>
    <w:rsid w:val="009356A5"/>
    <w:rsid w:val="00935BDB"/>
    <w:rsid w:val="009414B6"/>
    <w:rsid w:val="00947F45"/>
    <w:rsid w:val="00960474"/>
    <w:rsid w:val="009708F1"/>
    <w:rsid w:val="009716CD"/>
    <w:rsid w:val="00973A91"/>
    <w:rsid w:val="00973F52"/>
    <w:rsid w:val="00975D66"/>
    <w:rsid w:val="00976A96"/>
    <w:rsid w:val="00983E62"/>
    <w:rsid w:val="009859C7"/>
    <w:rsid w:val="0099120B"/>
    <w:rsid w:val="00997524"/>
    <w:rsid w:val="009A16E6"/>
    <w:rsid w:val="009A7FEF"/>
    <w:rsid w:val="009B76F0"/>
    <w:rsid w:val="009C01F8"/>
    <w:rsid w:val="009C381F"/>
    <w:rsid w:val="009C7466"/>
    <w:rsid w:val="009D00DF"/>
    <w:rsid w:val="009D1DAF"/>
    <w:rsid w:val="009D3454"/>
    <w:rsid w:val="009D5189"/>
    <w:rsid w:val="009F4281"/>
    <w:rsid w:val="009F55CE"/>
    <w:rsid w:val="009F755C"/>
    <w:rsid w:val="009F7C9D"/>
    <w:rsid w:val="00A102E0"/>
    <w:rsid w:val="00A124C2"/>
    <w:rsid w:val="00A1373B"/>
    <w:rsid w:val="00A17551"/>
    <w:rsid w:val="00A20D4A"/>
    <w:rsid w:val="00A2362D"/>
    <w:rsid w:val="00A30712"/>
    <w:rsid w:val="00A313E3"/>
    <w:rsid w:val="00A33F5E"/>
    <w:rsid w:val="00A3540F"/>
    <w:rsid w:val="00A360CF"/>
    <w:rsid w:val="00A37C4D"/>
    <w:rsid w:val="00A40649"/>
    <w:rsid w:val="00A54435"/>
    <w:rsid w:val="00A61EE3"/>
    <w:rsid w:val="00A72161"/>
    <w:rsid w:val="00A73A75"/>
    <w:rsid w:val="00A745CF"/>
    <w:rsid w:val="00A755DB"/>
    <w:rsid w:val="00A76D37"/>
    <w:rsid w:val="00A7732C"/>
    <w:rsid w:val="00A80F90"/>
    <w:rsid w:val="00A82286"/>
    <w:rsid w:val="00A836EA"/>
    <w:rsid w:val="00A878B0"/>
    <w:rsid w:val="00A91759"/>
    <w:rsid w:val="00A91C17"/>
    <w:rsid w:val="00A96B1F"/>
    <w:rsid w:val="00AA298B"/>
    <w:rsid w:val="00AA508B"/>
    <w:rsid w:val="00AA7E04"/>
    <w:rsid w:val="00AC1A18"/>
    <w:rsid w:val="00AD164B"/>
    <w:rsid w:val="00AD3A78"/>
    <w:rsid w:val="00AD3ADB"/>
    <w:rsid w:val="00AD496E"/>
    <w:rsid w:val="00AE6660"/>
    <w:rsid w:val="00AE6751"/>
    <w:rsid w:val="00AF0623"/>
    <w:rsid w:val="00AF6152"/>
    <w:rsid w:val="00AF67C2"/>
    <w:rsid w:val="00AF7ACC"/>
    <w:rsid w:val="00B00672"/>
    <w:rsid w:val="00B04BB7"/>
    <w:rsid w:val="00B0620E"/>
    <w:rsid w:val="00B1086D"/>
    <w:rsid w:val="00B13D53"/>
    <w:rsid w:val="00B15F79"/>
    <w:rsid w:val="00B24A2A"/>
    <w:rsid w:val="00B26536"/>
    <w:rsid w:val="00B33F96"/>
    <w:rsid w:val="00B3419A"/>
    <w:rsid w:val="00B356E4"/>
    <w:rsid w:val="00B3724F"/>
    <w:rsid w:val="00B3729E"/>
    <w:rsid w:val="00B37D41"/>
    <w:rsid w:val="00B402AF"/>
    <w:rsid w:val="00B41B87"/>
    <w:rsid w:val="00B45E5D"/>
    <w:rsid w:val="00B46B29"/>
    <w:rsid w:val="00B46C9F"/>
    <w:rsid w:val="00B50087"/>
    <w:rsid w:val="00B51E72"/>
    <w:rsid w:val="00B53D27"/>
    <w:rsid w:val="00B55915"/>
    <w:rsid w:val="00B6090F"/>
    <w:rsid w:val="00B64014"/>
    <w:rsid w:val="00B67AB5"/>
    <w:rsid w:val="00B722AE"/>
    <w:rsid w:val="00B735E6"/>
    <w:rsid w:val="00B741FE"/>
    <w:rsid w:val="00B83AA5"/>
    <w:rsid w:val="00B860A6"/>
    <w:rsid w:val="00B919DF"/>
    <w:rsid w:val="00B92C3E"/>
    <w:rsid w:val="00B97628"/>
    <w:rsid w:val="00BA1296"/>
    <w:rsid w:val="00BA29D6"/>
    <w:rsid w:val="00BA3940"/>
    <w:rsid w:val="00BB04DD"/>
    <w:rsid w:val="00BB05EB"/>
    <w:rsid w:val="00BB1B17"/>
    <w:rsid w:val="00BB323B"/>
    <w:rsid w:val="00BB64BA"/>
    <w:rsid w:val="00BC2900"/>
    <w:rsid w:val="00BC2AE7"/>
    <w:rsid w:val="00BC4D34"/>
    <w:rsid w:val="00BD24AB"/>
    <w:rsid w:val="00BD270A"/>
    <w:rsid w:val="00BE195B"/>
    <w:rsid w:val="00BF18D3"/>
    <w:rsid w:val="00BF1E2C"/>
    <w:rsid w:val="00BF793D"/>
    <w:rsid w:val="00C00551"/>
    <w:rsid w:val="00C01161"/>
    <w:rsid w:val="00C02194"/>
    <w:rsid w:val="00C04BF3"/>
    <w:rsid w:val="00C076DE"/>
    <w:rsid w:val="00C14006"/>
    <w:rsid w:val="00C14408"/>
    <w:rsid w:val="00C25DA1"/>
    <w:rsid w:val="00C26B0E"/>
    <w:rsid w:val="00C31F8D"/>
    <w:rsid w:val="00C42069"/>
    <w:rsid w:val="00C65780"/>
    <w:rsid w:val="00C657D8"/>
    <w:rsid w:val="00C6589B"/>
    <w:rsid w:val="00C66B37"/>
    <w:rsid w:val="00C73AE8"/>
    <w:rsid w:val="00C75813"/>
    <w:rsid w:val="00C761FB"/>
    <w:rsid w:val="00C81E63"/>
    <w:rsid w:val="00C826F3"/>
    <w:rsid w:val="00C878F9"/>
    <w:rsid w:val="00C9009F"/>
    <w:rsid w:val="00C92685"/>
    <w:rsid w:val="00C95F3E"/>
    <w:rsid w:val="00C978AA"/>
    <w:rsid w:val="00CA16BA"/>
    <w:rsid w:val="00CA231A"/>
    <w:rsid w:val="00CA5339"/>
    <w:rsid w:val="00CB2EB8"/>
    <w:rsid w:val="00CB789B"/>
    <w:rsid w:val="00CC42CE"/>
    <w:rsid w:val="00CC6858"/>
    <w:rsid w:val="00CD0739"/>
    <w:rsid w:val="00CD1D59"/>
    <w:rsid w:val="00CD1DB8"/>
    <w:rsid w:val="00CD2238"/>
    <w:rsid w:val="00CD283E"/>
    <w:rsid w:val="00CD4383"/>
    <w:rsid w:val="00CE14F4"/>
    <w:rsid w:val="00CE46FA"/>
    <w:rsid w:val="00CF1EA7"/>
    <w:rsid w:val="00CF37B5"/>
    <w:rsid w:val="00D00E93"/>
    <w:rsid w:val="00D03CE8"/>
    <w:rsid w:val="00D052FF"/>
    <w:rsid w:val="00D1389A"/>
    <w:rsid w:val="00D14C7B"/>
    <w:rsid w:val="00D215C9"/>
    <w:rsid w:val="00D24269"/>
    <w:rsid w:val="00D3718B"/>
    <w:rsid w:val="00D419D9"/>
    <w:rsid w:val="00D426EF"/>
    <w:rsid w:val="00D43098"/>
    <w:rsid w:val="00D45B97"/>
    <w:rsid w:val="00D46670"/>
    <w:rsid w:val="00D50596"/>
    <w:rsid w:val="00D578A4"/>
    <w:rsid w:val="00D60C1F"/>
    <w:rsid w:val="00D61BA7"/>
    <w:rsid w:val="00D65EC2"/>
    <w:rsid w:val="00D6720B"/>
    <w:rsid w:val="00D74C0A"/>
    <w:rsid w:val="00D7550E"/>
    <w:rsid w:val="00D80FFD"/>
    <w:rsid w:val="00D82EDA"/>
    <w:rsid w:val="00D90852"/>
    <w:rsid w:val="00D94EB6"/>
    <w:rsid w:val="00D9572E"/>
    <w:rsid w:val="00D958E6"/>
    <w:rsid w:val="00D95F38"/>
    <w:rsid w:val="00D96B5E"/>
    <w:rsid w:val="00D978B2"/>
    <w:rsid w:val="00DA3917"/>
    <w:rsid w:val="00DA3A1F"/>
    <w:rsid w:val="00DA62BF"/>
    <w:rsid w:val="00DA6369"/>
    <w:rsid w:val="00DA71A4"/>
    <w:rsid w:val="00DB79C9"/>
    <w:rsid w:val="00DC0575"/>
    <w:rsid w:val="00DC1347"/>
    <w:rsid w:val="00DC47F1"/>
    <w:rsid w:val="00DD42B8"/>
    <w:rsid w:val="00DD433C"/>
    <w:rsid w:val="00DD696D"/>
    <w:rsid w:val="00DE1E76"/>
    <w:rsid w:val="00DF22F6"/>
    <w:rsid w:val="00DF27EB"/>
    <w:rsid w:val="00DF72B2"/>
    <w:rsid w:val="00E02708"/>
    <w:rsid w:val="00E02E32"/>
    <w:rsid w:val="00E074FE"/>
    <w:rsid w:val="00E10576"/>
    <w:rsid w:val="00E13248"/>
    <w:rsid w:val="00E15AF4"/>
    <w:rsid w:val="00E218E1"/>
    <w:rsid w:val="00E30632"/>
    <w:rsid w:val="00E31816"/>
    <w:rsid w:val="00E349DF"/>
    <w:rsid w:val="00E41045"/>
    <w:rsid w:val="00E51DF5"/>
    <w:rsid w:val="00E51E9A"/>
    <w:rsid w:val="00E55C4F"/>
    <w:rsid w:val="00E6284C"/>
    <w:rsid w:val="00E62E7F"/>
    <w:rsid w:val="00E7578A"/>
    <w:rsid w:val="00E75B62"/>
    <w:rsid w:val="00E82CBD"/>
    <w:rsid w:val="00E84A10"/>
    <w:rsid w:val="00E872DD"/>
    <w:rsid w:val="00E87E02"/>
    <w:rsid w:val="00E96DC8"/>
    <w:rsid w:val="00E96E2D"/>
    <w:rsid w:val="00EA1B22"/>
    <w:rsid w:val="00EA2EF1"/>
    <w:rsid w:val="00EA4F1F"/>
    <w:rsid w:val="00EA6331"/>
    <w:rsid w:val="00EA6D16"/>
    <w:rsid w:val="00EC55AE"/>
    <w:rsid w:val="00EC7B77"/>
    <w:rsid w:val="00ED19D0"/>
    <w:rsid w:val="00ED30D3"/>
    <w:rsid w:val="00EE251E"/>
    <w:rsid w:val="00F015E7"/>
    <w:rsid w:val="00F04737"/>
    <w:rsid w:val="00F04B63"/>
    <w:rsid w:val="00F10C8A"/>
    <w:rsid w:val="00F16A1C"/>
    <w:rsid w:val="00F1713B"/>
    <w:rsid w:val="00F25997"/>
    <w:rsid w:val="00F260AA"/>
    <w:rsid w:val="00F40AC5"/>
    <w:rsid w:val="00F4105A"/>
    <w:rsid w:val="00F41AAE"/>
    <w:rsid w:val="00F47278"/>
    <w:rsid w:val="00F5724E"/>
    <w:rsid w:val="00F62D55"/>
    <w:rsid w:val="00F63AFE"/>
    <w:rsid w:val="00F66224"/>
    <w:rsid w:val="00F66632"/>
    <w:rsid w:val="00F729C2"/>
    <w:rsid w:val="00F72C39"/>
    <w:rsid w:val="00F73322"/>
    <w:rsid w:val="00F7340B"/>
    <w:rsid w:val="00F7577B"/>
    <w:rsid w:val="00F757F9"/>
    <w:rsid w:val="00F7632B"/>
    <w:rsid w:val="00F76BCF"/>
    <w:rsid w:val="00F8317E"/>
    <w:rsid w:val="00F848D6"/>
    <w:rsid w:val="00F86EB8"/>
    <w:rsid w:val="00F90037"/>
    <w:rsid w:val="00F925D2"/>
    <w:rsid w:val="00F94173"/>
    <w:rsid w:val="00F943D9"/>
    <w:rsid w:val="00FA1168"/>
    <w:rsid w:val="00FB00BD"/>
    <w:rsid w:val="00FB021B"/>
    <w:rsid w:val="00FB2473"/>
    <w:rsid w:val="00FB410B"/>
    <w:rsid w:val="00FC3775"/>
    <w:rsid w:val="00FC46CA"/>
    <w:rsid w:val="00FD23DF"/>
    <w:rsid w:val="00FE43AD"/>
    <w:rsid w:val="00FF086B"/>
    <w:rsid w:val="00FF2A47"/>
    <w:rsid w:val="00FF3ACD"/>
    <w:rsid w:val="00FF739D"/>
    <w:rsid w:val="014A2884"/>
    <w:rsid w:val="014E2C6E"/>
    <w:rsid w:val="01895A15"/>
    <w:rsid w:val="01934ACE"/>
    <w:rsid w:val="01D45461"/>
    <w:rsid w:val="01D750A1"/>
    <w:rsid w:val="01E615A6"/>
    <w:rsid w:val="01FE0EA5"/>
    <w:rsid w:val="02284ADD"/>
    <w:rsid w:val="02691948"/>
    <w:rsid w:val="02881420"/>
    <w:rsid w:val="028E386C"/>
    <w:rsid w:val="02B12177"/>
    <w:rsid w:val="02B5695A"/>
    <w:rsid w:val="02C47392"/>
    <w:rsid w:val="02CF2436"/>
    <w:rsid w:val="02F96864"/>
    <w:rsid w:val="03073BEE"/>
    <w:rsid w:val="03624262"/>
    <w:rsid w:val="03807A8D"/>
    <w:rsid w:val="039D25C1"/>
    <w:rsid w:val="03DA4E73"/>
    <w:rsid w:val="03DA6A75"/>
    <w:rsid w:val="03E50403"/>
    <w:rsid w:val="040C24A1"/>
    <w:rsid w:val="04361ECC"/>
    <w:rsid w:val="043B4C5B"/>
    <w:rsid w:val="04472E1A"/>
    <w:rsid w:val="044E4A63"/>
    <w:rsid w:val="045828E2"/>
    <w:rsid w:val="04590BDE"/>
    <w:rsid w:val="049C52E1"/>
    <w:rsid w:val="049E70FA"/>
    <w:rsid w:val="04A32831"/>
    <w:rsid w:val="04C26FFF"/>
    <w:rsid w:val="04C65DBE"/>
    <w:rsid w:val="04DC6DDE"/>
    <w:rsid w:val="04F35656"/>
    <w:rsid w:val="050C3373"/>
    <w:rsid w:val="0519259C"/>
    <w:rsid w:val="05483AD3"/>
    <w:rsid w:val="055F574E"/>
    <w:rsid w:val="059C3C9B"/>
    <w:rsid w:val="05A86DB4"/>
    <w:rsid w:val="05B55B51"/>
    <w:rsid w:val="05F72E03"/>
    <w:rsid w:val="06031FE0"/>
    <w:rsid w:val="06115944"/>
    <w:rsid w:val="062861CB"/>
    <w:rsid w:val="065A5A7A"/>
    <w:rsid w:val="06647F76"/>
    <w:rsid w:val="06A10E73"/>
    <w:rsid w:val="06EF1DC7"/>
    <w:rsid w:val="073100D7"/>
    <w:rsid w:val="07424DCD"/>
    <w:rsid w:val="074827FD"/>
    <w:rsid w:val="076219C2"/>
    <w:rsid w:val="076241C2"/>
    <w:rsid w:val="077878E9"/>
    <w:rsid w:val="07D05C2B"/>
    <w:rsid w:val="07DE71E7"/>
    <w:rsid w:val="07ED0962"/>
    <w:rsid w:val="07ED0C6C"/>
    <w:rsid w:val="08070131"/>
    <w:rsid w:val="080E1154"/>
    <w:rsid w:val="080E60A3"/>
    <w:rsid w:val="086A77A0"/>
    <w:rsid w:val="086E4CD8"/>
    <w:rsid w:val="08886FAA"/>
    <w:rsid w:val="0889019F"/>
    <w:rsid w:val="089112ED"/>
    <w:rsid w:val="08AE0884"/>
    <w:rsid w:val="0912279D"/>
    <w:rsid w:val="091F30D6"/>
    <w:rsid w:val="09632F72"/>
    <w:rsid w:val="099112CF"/>
    <w:rsid w:val="09C20645"/>
    <w:rsid w:val="09C63218"/>
    <w:rsid w:val="09FC4BA8"/>
    <w:rsid w:val="0A0B4254"/>
    <w:rsid w:val="0A3479D3"/>
    <w:rsid w:val="0A636CB9"/>
    <w:rsid w:val="0A927275"/>
    <w:rsid w:val="0AB276E5"/>
    <w:rsid w:val="0AD428F5"/>
    <w:rsid w:val="0AE00732"/>
    <w:rsid w:val="0AEC5F5D"/>
    <w:rsid w:val="0B24640E"/>
    <w:rsid w:val="0B27418B"/>
    <w:rsid w:val="0B2C6897"/>
    <w:rsid w:val="0B945E6E"/>
    <w:rsid w:val="0B982852"/>
    <w:rsid w:val="0B995C7B"/>
    <w:rsid w:val="0B9E1C6F"/>
    <w:rsid w:val="0BE332CE"/>
    <w:rsid w:val="0C932295"/>
    <w:rsid w:val="0CC04842"/>
    <w:rsid w:val="0CF82AD8"/>
    <w:rsid w:val="0D016291"/>
    <w:rsid w:val="0D054F0B"/>
    <w:rsid w:val="0D232CDB"/>
    <w:rsid w:val="0D887163"/>
    <w:rsid w:val="0DA1246B"/>
    <w:rsid w:val="0DA66D9D"/>
    <w:rsid w:val="0DB61FD4"/>
    <w:rsid w:val="0DC671CC"/>
    <w:rsid w:val="0DD474C8"/>
    <w:rsid w:val="0DFC5BF8"/>
    <w:rsid w:val="0E4806A0"/>
    <w:rsid w:val="0E654122"/>
    <w:rsid w:val="0E7C37B6"/>
    <w:rsid w:val="0E7E0566"/>
    <w:rsid w:val="0E8F4247"/>
    <w:rsid w:val="0E907F81"/>
    <w:rsid w:val="0EA925F1"/>
    <w:rsid w:val="0F151FFC"/>
    <w:rsid w:val="0F1D7A2A"/>
    <w:rsid w:val="0F2015ED"/>
    <w:rsid w:val="0F3826C7"/>
    <w:rsid w:val="0F3C4EBE"/>
    <w:rsid w:val="0F4469EE"/>
    <w:rsid w:val="0F515C7A"/>
    <w:rsid w:val="0F9E30B5"/>
    <w:rsid w:val="0FA77648"/>
    <w:rsid w:val="0FB27425"/>
    <w:rsid w:val="0FC86EDF"/>
    <w:rsid w:val="103069CC"/>
    <w:rsid w:val="10321608"/>
    <w:rsid w:val="1037627A"/>
    <w:rsid w:val="106242B9"/>
    <w:rsid w:val="106B75D3"/>
    <w:rsid w:val="10A475D3"/>
    <w:rsid w:val="10AA2B31"/>
    <w:rsid w:val="10AE3F1C"/>
    <w:rsid w:val="10BF210B"/>
    <w:rsid w:val="10C1473A"/>
    <w:rsid w:val="10DF6979"/>
    <w:rsid w:val="10F772D2"/>
    <w:rsid w:val="11107D76"/>
    <w:rsid w:val="11852919"/>
    <w:rsid w:val="11BA57FF"/>
    <w:rsid w:val="11DD72C5"/>
    <w:rsid w:val="11E7434C"/>
    <w:rsid w:val="11F33019"/>
    <w:rsid w:val="123918A0"/>
    <w:rsid w:val="124720BF"/>
    <w:rsid w:val="125701A1"/>
    <w:rsid w:val="126560DB"/>
    <w:rsid w:val="12686A20"/>
    <w:rsid w:val="129648AA"/>
    <w:rsid w:val="1297114C"/>
    <w:rsid w:val="12DB012C"/>
    <w:rsid w:val="13952132"/>
    <w:rsid w:val="13A7425A"/>
    <w:rsid w:val="13AF402D"/>
    <w:rsid w:val="142A3D0F"/>
    <w:rsid w:val="14937E03"/>
    <w:rsid w:val="14AF52EE"/>
    <w:rsid w:val="14D3767B"/>
    <w:rsid w:val="154716B1"/>
    <w:rsid w:val="155F2379"/>
    <w:rsid w:val="158821A0"/>
    <w:rsid w:val="15BD7949"/>
    <w:rsid w:val="15C52669"/>
    <w:rsid w:val="15FA5079"/>
    <w:rsid w:val="16326366"/>
    <w:rsid w:val="1649585B"/>
    <w:rsid w:val="164E2D17"/>
    <w:rsid w:val="165E67B6"/>
    <w:rsid w:val="166819DD"/>
    <w:rsid w:val="166961E3"/>
    <w:rsid w:val="166A3899"/>
    <w:rsid w:val="169A1EB1"/>
    <w:rsid w:val="169A5D17"/>
    <w:rsid w:val="16D613F5"/>
    <w:rsid w:val="16FD65EA"/>
    <w:rsid w:val="1729491F"/>
    <w:rsid w:val="1742713E"/>
    <w:rsid w:val="174E0E4B"/>
    <w:rsid w:val="17652015"/>
    <w:rsid w:val="1793207F"/>
    <w:rsid w:val="17C6743D"/>
    <w:rsid w:val="17CA438B"/>
    <w:rsid w:val="17EA0A1A"/>
    <w:rsid w:val="182E6B59"/>
    <w:rsid w:val="18300B23"/>
    <w:rsid w:val="18331362"/>
    <w:rsid w:val="184B14B9"/>
    <w:rsid w:val="185A5BA0"/>
    <w:rsid w:val="18610CDC"/>
    <w:rsid w:val="18712193"/>
    <w:rsid w:val="18757805"/>
    <w:rsid w:val="18793906"/>
    <w:rsid w:val="187A7021"/>
    <w:rsid w:val="188E4B44"/>
    <w:rsid w:val="18B83278"/>
    <w:rsid w:val="190F7BF1"/>
    <w:rsid w:val="1926429E"/>
    <w:rsid w:val="194D2932"/>
    <w:rsid w:val="194F6D87"/>
    <w:rsid w:val="198343CA"/>
    <w:rsid w:val="1990656E"/>
    <w:rsid w:val="19BD0194"/>
    <w:rsid w:val="19D164AD"/>
    <w:rsid w:val="19D55ACF"/>
    <w:rsid w:val="19E73CA3"/>
    <w:rsid w:val="19F93196"/>
    <w:rsid w:val="19FD7601"/>
    <w:rsid w:val="1AC50AD0"/>
    <w:rsid w:val="1AE201E3"/>
    <w:rsid w:val="1AE91918"/>
    <w:rsid w:val="1B30162C"/>
    <w:rsid w:val="1B330931"/>
    <w:rsid w:val="1B4B17FC"/>
    <w:rsid w:val="1B866CAC"/>
    <w:rsid w:val="1B9C2FAF"/>
    <w:rsid w:val="1BBD7567"/>
    <w:rsid w:val="1BBD79CB"/>
    <w:rsid w:val="1BBE0033"/>
    <w:rsid w:val="1BE024EA"/>
    <w:rsid w:val="1BE5703B"/>
    <w:rsid w:val="1C5415CE"/>
    <w:rsid w:val="1C622223"/>
    <w:rsid w:val="1C6B0F1A"/>
    <w:rsid w:val="1C86543B"/>
    <w:rsid w:val="1C8C4D14"/>
    <w:rsid w:val="1CA56255"/>
    <w:rsid w:val="1CAB164D"/>
    <w:rsid w:val="1CBD5474"/>
    <w:rsid w:val="1CC81B5A"/>
    <w:rsid w:val="1CD0540C"/>
    <w:rsid w:val="1CD508CA"/>
    <w:rsid w:val="1D274690"/>
    <w:rsid w:val="1D3D2FC3"/>
    <w:rsid w:val="1D3E15EC"/>
    <w:rsid w:val="1D4F78E6"/>
    <w:rsid w:val="1E1C408D"/>
    <w:rsid w:val="1E6626FA"/>
    <w:rsid w:val="1E7F5DE2"/>
    <w:rsid w:val="1ECA481E"/>
    <w:rsid w:val="1F02678D"/>
    <w:rsid w:val="1F0D3824"/>
    <w:rsid w:val="1F1A3765"/>
    <w:rsid w:val="1F2F286E"/>
    <w:rsid w:val="1F6A593A"/>
    <w:rsid w:val="1F90450B"/>
    <w:rsid w:val="1F956E65"/>
    <w:rsid w:val="1FAC23CF"/>
    <w:rsid w:val="1FB61FD4"/>
    <w:rsid w:val="200077F3"/>
    <w:rsid w:val="20760A30"/>
    <w:rsid w:val="20C31F68"/>
    <w:rsid w:val="20CD7945"/>
    <w:rsid w:val="20DC5F09"/>
    <w:rsid w:val="20E902A1"/>
    <w:rsid w:val="211B36D5"/>
    <w:rsid w:val="212E1977"/>
    <w:rsid w:val="212E1C8C"/>
    <w:rsid w:val="2142760F"/>
    <w:rsid w:val="21475D71"/>
    <w:rsid w:val="215E7808"/>
    <w:rsid w:val="21B84A53"/>
    <w:rsid w:val="21BE4F5B"/>
    <w:rsid w:val="21EC5502"/>
    <w:rsid w:val="21F66939"/>
    <w:rsid w:val="21FC16C7"/>
    <w:rsid w:val="22073251"/>
    <w:rsid w:val="221955A0"/>
    <w:rsid w:val="221C369C"/>
    <w:rsid w:val="223D3F10"/>
    <w:rsid w:val="224E6164"/>
    <w:rsid w:val="226D7F6C"/>
    <w:rsid w:val="228C4BA7"/>
    <w:rsid w:val="22B91715"/>
    <w:rsid w:val="2309151A"/>
    <w:rsid w:val="233407E6"/>
    <w:rsid w:val="23472C07"/>
    <w:rsid w:val="23480ECB"/>
    <w:rsid w:val="238F0190"/>
    <w:rsid w:val="23934782"/>
    <w:rsid w:val="23A6613D"/>
    <w:rsid w:val="23BC6CFF"/>
    <w:rsid w:val="248F62A6"/>
    <w:rsid w:val="250F3673"/>
    <w:rsid w:val="25290E08"/>
    <w:rsid w:val="253128EE"/>
    <w:rsid w:val="256B7B2F"/>
    <w:rsid w:val="25B0635E"/>
    <w:rsid w:val="25B910F5"/>
    <w:rsid w:val="25C562E3"/>
    <w:rsid w:val="25DB14CF"/>
    <w:rsid w:val="25EB74E7"/>
    <w:rsid w:val="25EE6506"/>
    <w:rsid w:val="26140AF9"/>
    <w:rsid w:val="26315548"/>
    <w:rsid w:val="263712DD"/>
    <w:rsid w:val="263E2D7B"/>
    <w:rsid w:val="26446E62"/>
    <w:rsid w:val="26A13553"/>
    <w:rsid w:val="26B53530"/>
    <w:rsid w:val="26C70CDD"/>
    <w:rsid w:val="28213FE4"/>
    <w:rsid w:val="28270C1E"/>
    <w:rsid w:val="284D295F"/>
    <w:rsid w:val="28610884"/>
    <w:rsid w:val="286E16CA"/>
    <w:rsid w:val="28B70CF3"/>
    <w:rsid w:val="28EA087A"/>
    <w:rsid w:val="29394C06"/>
    <w:rsid w:val="295B126C"/>
    <w:rsid w:val="296B30DF"/>
    <w:rsid w:val="297939AC"/>
    <w:rsid w:val="2979531C"/>
    <w:rsid w:val="29812378"/>
    <w:rsid w:val="298D1074"/>
    <w:rsid w:val="29EF61A1"/>
    <w:rsid w:val="2A8D3BB3"/>
    <w:rsid w:val="2A931932"/>
    <w:rsid w:val="2AB2301D"/>
    <w:rsid w:val="2AB655EB"/>
    <w:rsid w:val="2AEE1419"/>
    <w:rsid w:val="2B454F22"/>
    <w:rsid w:val="2BB603C4"/>
    <w:rsid w:val="2BCB2BA4"/>
    <w:rsid w:val="2C2D0713"/>
    <w:rsid w:val="2C65745D"/>
    <w:rsid w:val="2C9F0988"/>
    <w:rsid w:val="2CCA2E9C"/>
    <w:rsid w:val="2CF24903"/>
    <w:rsid w:val="2D0F6B01"/>
    <w:rsid w:val="2D6E068B"/>
    <w:rsid w:val="2D6E5756"/>
    <w:rsid w:val="2DA57465"/>
    <w:rsid w:val="2E043F02"/>
    <w:rsid w:val="2E547031"/>
    <w:rsid w:val="2EF86046"/>
    <w:rsid w:val="2F4F1F8D"/>
    <w:rsid w:val="2F544FEB"/>
    <w:rsid w:val="2F637967"/>
    <w:rsid w:val="2F6571D5"/>
    <w:rsid w:val="2F7A0872"/>
    <w:rsid w:val="2F7C5846"/>
    <w:rsid w:val="2F9D3839"/>
    <w:rsid w:val="2F9F6C71"/>
    <w:rsid w:val="2FDB3000"/>
    <w:rsid w:val="2FDF726C"/>
    <w:rsid w:val="300C444A"/>
    <w:rsid w:val="305744B1"/>
    <w:rsid w:val="30651C43"/>
    <w:rsid w:val="30BB0A5A"/>
    <w:rsid w:val="30F921C6"/>
    <w:rsid w:val="311F1648"/>
    <w:rsid w:val="314D5985"/>
    <w:rsid w:val="315D6C81"/>
    <w:rsid w:val="31A517E2"/>
    <w:rsid w:val="31A96BB6"/>
    <w:rsid w:val="31AD0CA1"/>
    <w:rsid w:val="31AD669F"/>
    <w:rsid w:val="31CC2A31"/>
    <w:rsid w:val="321D581C"/>
    <w:rsid w:val="323B6619"/>
    <w:rsid w:val="326B7BD4"/>
    <w:rsid w:val="32AA6D21"/>
    <w:rsid w:val="32CB6F48"/>
    <w:rsid w:val="32DE3989"/>
    <w:rsid w:val="3300311F"/>
    <w:rsid w:val="332F4C8B"/>
    <w:rsid w:val="333F1C38"/>
    <w:rsid w:val="334B0623"/>
    <w:rsid w:val="33686F6B"/>
    <w:rsid w:val="33770C77"/>
    <w:rsid w:val="339E5333"/>
    <w:rsid w:val="33AB7C6C"/>
    <w:rsid w:val="33F734D7"/>
    <w:rsid w:val="34496BF1"/>
    <w:rsid w:val="34582FC4"/>
    <w:rsid w:val="345B429A"/>
    <w:rsid w:val="345C6C4A"/>
    <w:rsid w:val="34BB28B0"/>
    <w:rsid w:val="34EA5593"/>
    <w:rsid w:val="350D0944"/>
    <w:rsid w:val="3522698E"/>
    <w:rsid w:val="357C6CFE"/>
    <w:rsid w:val="35BF6BEA"/>
    <w:rsid w:val="35CB4BB3"/>
    <w:rsid w:val="35ED7BFB"/>
    <w:rsid w:val="35F9331B"/>
    <w:rsid w:val="360E59BF"/>
    <w:rsid w:val="364079C2"/>
    <w:rsid w:val="365E28A7"/>
    <w:rsid w:val="36700DBE"/>
    <w:rsid w:val="36925820"/>
    <w:rsid w:val="36DE10CA"/>
    <w:rsid w:val="36F45023"/>
    <w:rsid w:val="370568B4"/>
    <w:rsid w:val="37254E1D"/>
    <w:rsid w:val="37273E10"/>
    <w:rsid w:val="374455F9"/>
    <w:rsid w:val="37592762"/>
    <w:rsid w:val="379852A0"/>
    <w:rsid w:val="37B55702"/>
    <w:rsid w:val="37F37DEE"/>
    <w:rsid w:val="383E65A9"/>
    <w:rsid w:val="38402A50"/>
    <w:rsid w:val="384344D3"/>
    <w:rsid w:val="384E0683"/>
    <w:rsid w:val="385D0A2E"/>
    <w:rsid w:val="385F6C9F"/>
    <w:rsid w:val="386477AC"/>
    <w:rsid w:val="3886048C"/>
    <w:rsid w:val="38C27DF6"/>
    <w:rsid w:val="38EC5F48"/>
    <w:rsid w:val="38F058C1"/>
    <w:rsid w:val="38F734DA"/>
    <w:rsid w:val="3910125E"/>
    <w:rsid w:val="391B08D8"/>
    <w:rsid w:val="396F2735"/>
    <w:rsid w:val="397C586A"/>
    <w:rsid w:val="39DE50A0"/>
    <w:rsid w:val="39DE7E2F"/>
    <w:rsid w:val="3A192641"/>
    <w:rsid w:val="3A3179EE"/>
    <w:rsid w:val="3A952957"/>
    <w:rsid w:val="3AA6310A"/>
    <w:rsid w:val="3AC53EAD"/>
    <w:rsid w:val="3AD44EE6"/>
    <w:rsid w:val="3ADD50BB"/>
    <w:rsid w:val="3AE03026"/>
    <w:rsid w:val="3AEC3643"/>
    <w:rsid w:val="3AF83EE0"/>
    <w:rsid w:val="3AFC0CAA"/>
    <w:rsid w:val="3AFD44AA"/>
    <w:rsid w:val="3B06396E"/>
    <w:rsid w:val="3B251279"/>
    <w:rsid w:val="3B424545"/>
    <w:rsid w:val="3B5341A9"/>
    <w:rsid w:val="3B7364AD"/>
    <w:rsid w:val="3B864FF9"/>
    <w:rsid w:val="3B9052B1"/>
    <w:rsid w:val="3BE063D9"/>
    <w:rsid w:val="3C110DAC"/>
    <w:rsid w:val="3C2212C6"/>
    <w:rsid w:val="3C232705"/>
    <w:rsid w:val="3C3800F7"/>
    <w:rsid w:val="3C3A2213"/>
    <w:rsid w:val="3C431320"/>
    <w:rsid w:val="3C595D57"/>
    <w:rsid w:val="3C9A23CE"/>
    <w:rsid w:val="3CB80C06"/>
    <w:rsid w:val="3CD96A04"/>
    <w:rsid w:val="3CE74187"/>
    <w:rsid w:val="3D4E430F"/>
    <w:rsid w:val="3D680404"/>
    <w:rsid w:val="3D74783C"/>
    <w:rsid w:val="3DB35286"/>
    <w:rsid w:val="3DC456E6"/>
    <w:rsid w:val="3DFE6F85"/>
    <w:rsid w:val="3E4067A9"/>
    <w:rsid w:val="3E504D52"/>
    <w:rsid w:val="3EB23790"/>
    <w:rsid w:val="3EBA2645"/>
    <w:rsid w:val="3EBD1A8A"/>
    <w:rsid w:val="3EDB2CE7"/>
    <w:rsid w:val="3EEA5A20"/>
    <w:rsid w:val="3F0A2BC8"/>
    <w:rsid w:val="3F5465F5"/>
    <w:rsid w:val="3F5D4A98"/>
    <w:rsid w:val="3F6C112F"/>
    <w:rsid w:val="3F7E7E5C"/>
    <w:rsid w:val="3F9F16C8"/>
    <w:rsid w:val="3FCE064E"/>
    <w:rsid w:val="3FD80FD4"/>
    <w:rsid w:val="4011397A"/>
    <w:rsid w:val="40467887"/>
    <w:rsid w:val="40493C80"/>
    <w:rsid w:val="40816841"/>
    <w:rsid w:val="40955117"/>
    <w:rsid w:val="409872E2"/>
    <w:rsid w:val="40A95A1E"/>
    <w:rsid w:val="40B97EBB"/>
    <w:rsid w:val="40C52F3E"/>
    <w:rsid w:val="410705DA"/>
    <w:rsid w:val="41296DC8"/>
    <w:rsid w:val="412A5860"/>
    <w:rsid w:val="412E1951"/>
    <w:rsid w:val="413123E5"/>
    <w:rsid w:val="41354385"/>
    <w:rsid w:val="414C206B"/>
    <w:rsid w:val="41786687"/>
    <w:rsid w:val="41BB295C"/>
    <w:rsid w:val="41E570E0"/>
    <w:rsid w:val="42124073"/>
    <w:rsid w:val="42131902"/>
    <w:rsid w:val="421542A3"/>
    <w:rsid w:val="42195704"/>
    <w:rsid w:val="427061BD"/>
    <w:rsid w:val="42E24ED3"/>
    <w:rsid w:val="43245CB5"/>
    <w:rsid w:val="43346E69"/>
    <w:rsid w:val="433C187A"/>
    <w:rsid w:val="43755937"/>
    <w:rsid w:val="43A770BC"/>
    <w:rsid w:val="44022E18"/>
    <w:rsid w:val="440F2325"/>
    <w:rsid w:val="442D5ED1"/>
    <w:rsid w:val="443818AD"/>
    <w:rsid w:val="4486458F"/>
    <w:rsid w:val="44A02ADB"/>
    <w:rsid w:val="44D46842"/>
    <w:rsid w:val="44EC1885"/>
    <w:rsid w:val="44EE4491"/>
    <w:rsid w:val="45383515"/>
    <w:rsid w:val="456C4DB3"/>
    <w:rsid w:val="459B6D2C"/>
    <w:rsid w:val="459C373C"/>
    <w:rsid w:val="45E71F71"/>
    <w:rsid w:val="45F724B3"/>
    <w:rsid w:val="464A2405"/>
    <w:rsid w:val="46562A5A"/>
    <w:rsid w:val="467064B0"/>
    <w:rsid w:val="46F24BE8"/>
    <w:rsid w:val="470B1C8F"/>
    <w:rsid w:val="470D133B"/>
    <w:rsid w:val="473424C0"/>
    <w:rsid w:val="47841DBA"/>
    <w:rsid w:val="47C62F79"/>
    <w:rsid w:val="48085B49"/>
    <w:rsid w:val="48151B95"/>
    <w:rsid w:val="485B6C46"/>
    <w:rsid w:val="486F3D0E"/>
    <w:rsid w:val="48744123"/>
    <w:rsid w:val="487951E3"/>
    <w:rsid w:val="48C87A9E"/>
    <w:rsid w:val="48EC5E17"/>
    <w:rsid w:val="492F525E"/>
    <w:rsid w:val="49904770"/>
    <w:rsid w:val="49A52204"/>
    <w:rsid w:val="49E83317"/>
    <w:rsid w:val="49EF0B04"/>
    <w:rsid w:val="49F357B9"/>
    <w:rsid w:val="49FE0F21"/>
    <w:rsid w:val="4A201EF6"/>
    <w:rsid w:val="4A5B6625"/>
    <w:rsid w:val="4A68526F"/>
    <w:rsid w:val="4AA6424D"/>
    <w:rsid w:val="4AD14F9E"/>
    <w:rsid w:val="4AD36F68"/>
    <w:rsid w:val="4ADB0FDC"/>
    <w:rsid w:val="4AE259D8"/>
    <w:rsid w:val="4AF5018F"/>
    <w:rsid w:val="4B08782E"/>
    <w:rsid w:val="4B0D423D"/>
    <w:rsid w:val="4B632FF4"/>
    <w:rsid w:val="4B650DC4"/>
    <w:rsid w:val="4B9A5B4E"/>
    <w:rsid w:val="4B9D6431"/>
    <w:rsid w:val="4BDC6444"/>
    <w:rsid w:val="4BE3527E"/>
    <w:rsid w:val="4BEA5945"/>
    <w:rsid w:val="4BED4059"/>
    <w:rsid w:val="4BF22827"/>
    <w:rsid w:val="4BF22AEB"/>
    <w:rsid w:val="4C037104"/>
    <w:rsid w:val="4C084A0F"/>
    <w:rsid w:val="4C18790A"/>
    <w:rsid w:val="4C204A88"/>
    <w:rsid w:val="4C430405"/>
    <w:rsid w:val="4C5A1157"/>
    <w:rsid w:val="4C6D6F43"/>
    <w:rsid w:val="4C845869"/>
    <w:rsid w:val="4CB11074"/>
    <w:rsid w:val="4CB13B3B"/>
    <w:rsid w:val="4CEC57D7"/>
    <w:rsid w:val="4CEC60BF"/>
    <w:rsid w:val="4CFD651E"/>
    <w:rsid w:val="4CFF446B"/>
    <w:rsid w:val="4D467EC5"/>
    <w:rsid w:val="4D6F4C04"/>
    <w:rsid w:val="4D793C73"/>
    <w:rsid w:val="4D8153E9"/>
    <w:rsid w:val="4DB56EF5"/>
    <w:rsid w:val="4DD059E1"/>
    <w:rsid w:val="4DF3725F"/>
    <w:rsid w:val="4DF416CF"/>
    <w:rsid w:val="4E052B5A"/>
    <w:rsid w:val="4E116522"/>
    <w:rsid w:val="4E3611F3"/>
    <w:rsid w:val="4E3905F9"/>
    <w:rsid w:val="4EDC047E"/>
    <w:rsid w:val="4EE82D8A"/>
    <w:rsid w:val="4F1D46B5"/>
    <w:rsid w:val="4F2F7115"/>
    <w:rsid w:val="4F654E71"/>
    <w:rsid w:val="4F7510F8"/>
    <w:rsid w:val="50040EC3"/>
    <w:rsid w:val="500D2A2B"/>
    <w:rsid w:val="500E7A02"/>
    <w:rsid w:val="50770340"/>
    <w:rsid w:val="50AD54A8"/>
    <w:rsid w:val="50CF78FD"/>
    <w:rsid w:val="51421C86"/>
    <w:rsid w:val="515B3813"/>
    <w:rsid w:val="519C38F5"/>
    <w:rsid w:val="51AB7F73"/>
    <w:rsid w:val="520C15B0"/>
    <w:rsid w:val="522B1F9A"/>
    <w:rsid w:val="52DD4D80"/>
    <w:rsid w:val="53116202"/>
    <w:rsid w:val="535F3244"/>
    <w:rsid w:val="53681D5E"/>
    <w:rsid w:val="53867493"/>
    <w:rsid w:val="53D749B1"/>
    <w:rsid w:val="53E2646E"/>
    <w:rsid w:val="541444D8"/>
    <w:rsid w:val="54AC2DCA"/>
    <w:rsid w:val="54B95DED"/>
    <w:rsid w:val="54E526AA"/>
    <w:rsid w:val="54E72726"/>
    <w:rsid w:val="54FE4544"/>
    <w:rsid w:val="55706A8F"/>
    <w:rsid w:val="55811974"/>
    <w:rsid w:val="560E01AA"/>
    <w:rsid w:val="563C1E90"/>
    <w:rsid w:val="5670054E"/>
    <w:rsid w:val="56731C52"/>
    <w:rsid w:val="56992171"/>
    <w:rsid w:val="56C453C6"/>
    <w:rsid w:val="56CC311C"/>
    <w:rsid w:val="571E65D2"/>
    <w:rsid w:val="5737065C"/>
    <w:rsid w:val="573F6D00"/>
    <w:rsid w:val="577949F3"/>
    <w:rsid w:val="57AB5E65"/>
    <w:rsid w:val="57B960E8"/>
    <w:rsid w:val="581408D6"/>
    <w:rsid w:val="58315AF0"/>
    <w:rsid w:val="584F7E81"/>
    <w:rsid w:val="585427F8"/>
    <w:rsid w:val="5874634B"/>
    <w:rsid w:val="58AD474E"/>
    <w:rsid w:val="58FC43E9"/>
    <w:rsid w:val="59044790"/>
    <w:rsid w:val="5927612C"/>
    <w:rsid w:val="5934151A"/>
    <w:rsid w:val="594E777C"/>
    <w:rsid w:val="597638E0"/>
    <w:rsid w:val="597925F3"/>
    <w:rsid w:val="59913B3E"/>
    <w:rsid w:val="59B63CDD"/>
    <w:rsid w:val="59B83C0E"/>
    <w:rsid w:val="59E00D5A"/>
    <w:rsid w:val="59E777AE"/>
    <w:rsid w:val="59FA4FD3"/>
    <w:rsid w:val="59FF38D6"/>
    <w:rsid w:val="5A3F28C2"/>
    <w:rsid w:val="5A407A4A"/>
    <w:rsid w:val="5A410FBA"/>
    <w:rsid w:val="5A554182"/>
    <w:rsid w:val="5A5579DF"/>
    <w:rsid w:val="5A6776CD"/>
    <w:rsid w:val="5A783596"/>
    <w:rsid w:val="5AC32B34"/>
    <w:rsid w:val="5AC925F3"/>
    <w:rsid w:val="5ADA7FC9"/>
    <w:rsid w:val="5ADF5C9B"/>
    <w:rsid w:val="5AF00810"/>
    <w:rsid w:val="5B1909C7"/>
    <w:rsid w:val="5B670E45"/>
    <w:rsid w:val="5B8E7FDD"/>
    <w:rsid w:val="5B9F3E89"/>
    <w:rsid w:val="5BA72378"/>
    <w:rsid w:val="5BAC5F9E"/>
    <w:rsid w:val="5BE64E4C"/>
    <w:rsid w:val="5C04290F"/>
    <w:rsid w:val="5C1E58CC"/>
    <w:rsid w:val="5C4604A8"/>
    <w:rsid w:val="5CAC72C6"/>
    <w:rsid w:val="5CBB788E"/>
    <w:rsid w:val="5CBF6B17"/>
    <w:rsid w:val="5CCB7B02"/>
    <w:rsid w:val="5CF011F3"/>
    <w:rsid w:val="5D02723D"/>
    <w:rsid w:val="5D652585"/>
    <w:rsid w:val="5D8366CA"/>
    <w:rsid w:val="5D89462B"/>
    <w:rsid w:val="5DE46936"/>
    <w:rsid w:val="5E1F4838"/>
    <w:rsid w:val="5E241F90"/>
    <w:rsid w:val="5E283417"/>
    <w:rsid w:val="5E2D710C"/>
    <w:rsid w:val="5E315255"/>
    <w:rsid w:val="5E323B4E"/>
    <w:rsid w:val="5E3D2001"/>
    <w:rsid w:val="5E56533A"/>
    <w:rsid w:val="5E682F83"/>
    <w:rsid w:val="5E8C65DD"/>
    <w:rsid w:val="5E9923C0"/>
    <w:rsid w:val="5ED129BF"/>
    <w:rsid w:val="5EDB57ED"/>
    <w:rsid w:val="5EDF7927"/>
    <w:rsid w:val="5F00590C"/>
    <w:rsid w:val="5F2B6BC7"/>
    <w:rsid w:val="5F2E6A0B"/>
    <w:rsid w:val="5F390DE0"/>
    <w:rsid w:val="5F3D2055"/>
    <w:rsid w:val="5F465B03"/>
    <w:rsid w:val="5F4A25A6"/>
    <w:rsid w:val="5F4B7511"/>
    <w:rsid w:val="5F7B689F"/>
    <w:rsid w:val="60013BCB"/>
    <w:rsid w:val="600C2D0E"/>
    <w:rsid w:val="60116927"/>
    <w:rsid w:val="60196B59"/>
    <w:rsid w:val="601A575F"/>
    <w:rsid w:val="60220CB2"/>
    <w:rsid w:val="602D023D"/>
    <w:rsid w:val="60382379"/>
    <w:rsid w:val="603C445F"/>
    <w:rsid w:val="6046299D"/>
    <w:rsid w:val="60551DE8"/>
    <w:rsid w:val="60574C1D"/>
    <w:rsid w:val="605C2EE6"/>
    <w:rsid w:val="60753042"/>
    <w:rsid w:val="60813447"/>
    <w:rsid w:val="608B2FC0"/>
    <w:rsid w:val="60B11928"/>
    <w:rsid w:val="60D1764E"/>
    <w:rsid w:val="60D61A50"/>
    <w:rsid w:val="60D64607"/>
    <w:rsid w:val="6131633F"/>
    <w:rsid w:val="61320522"/>
    <w:rsid w:val="615456FB"/>
    <w:rsid w:val="6161027B"/>
    <w:rsid w:val="61693D2A"/>
    <w:rsid w:val="61EC4332"/>
    <w:rsid w:val="62670078"/>
    <w:rsid w:val="62786B67"/>
    <w:rsid w:val="628B4363"/>
    <w:rsid w:val="62AC4519"/>
    <w:rsid w:val="62DF188A"/>
    <w:rsid w:val="63055A43"/>
    <w:rsid w:val="633B3FEA"/>
    <w:rsid w:val="639570B0"/>
    <w:rsid w:val="63B82D47"/>
    <w:rsid w:val="64306084"/>
    <w:rsid w:val="644E64FD"/>
    <w:rsid w:val="64567379"/>
    <w:rsid w:val="647A2392"/>
    <w:rsid w:val="648570CD"/>
    <w:rsid w:val="648878D3"/>
    <w:rsid w:val="648B30C4"/>
    <w:rsid w:val="64C25C2B"/>
    <w:rsid w:val="64F56FB5"/>
    <w:rsid w:val="650403A7"/>
    <w:rsid w:val="65604DFE"/>
    <w:rsid w:val="65633B9E"/>
    <w:rsid w:val="656E68D3"/>
    <w:rsid w:val="65AB50CC"/>
    <w:rsid w:val="66084A4A"/>
    <w:rsid w:val="662C550A"/>
    <w:rsid w:val="663A30CA"/>
    <w:rsid w:val="66495ED8"/>
    <w:rsid w:val="6673792B"/>
    <w:rsid w:val="66833198"/>
    <w:rsid w:val="66855C4D"/>
    <w:rsid w:val="669C425A"/>
    <w:rsid w:val="66C814F3"/>
    <w:rsid w:val="66D71539"/>
    <w:rsid w:val="672A36B5"/>
    <w:rsid w:val="673E4820"/>
    <w:rsid w:val="673F5BC4"/>
    <w:rsid w:val="676976DD"/>
    <w:rsid w:val="682F44F1"/>
    <w:rsid w:val="68352BED"/>
    <w:rsid w:val="68357583"/>
    <w:rsid w:val="685E3EBD"/>
    <w:rsid w:val="6864524C"/>
    <w:rsid w:val="68792AA5"/>
    <w:rsid w:val="688022D1"/>
    <w:rsid w:val="68835B83"/>
    <w:rsid w:val="68A874AC"/>
    <w:rsid w:val="68DF6DD1"/>
    <w:rsid w:val="69386858"/>
    <w:rsid w:val="6954706E"/>
    <w:rsid w:val="695D757D"/>
    <w:rsid w:val="69851621"/>
    <w:rsid w:val="69E07AAB"/>
    <w:rsid w:val="69FC751A"/>
    <w:rsid w:val="6A024FDB"/>
    <w:rsid w:val="6A0647FB"/>
    <w:rsid w:val="6A0E0134"/>
    <w:rsid w:val="6A1D05BE"/>
    <w:rsid w:val="6A1E5A64"/>
    <w:rsid w:val="6A9D2A43"/>
    <w:rsid w:val="6ACD053E"/>
    <w:rsid w:val="6B160DAB"/>
    <w:rsid w:val="6B175404"/>
    <w:rsid w:val="6B196809"/>
    <w:rsid w:val="6B9433C6"/>
    <w:rsid w:val="6BA02A3F"/>
    <w:rsid w:val="6BDB6E99"/>
    <w:rsid w:val="6C3D486C"/>
    <w:rsid w:val="6C84412D"/>
    <w:rsid w:val="6CC111D3"/>
    <w:rsid w:val="6CC80867"/>
    <w:rsid w:val="6D0135A6"/>
    <w:rsid w:val="6D053927"/>
    <w:rsid w:val="6D097386"/>
    <w:rsid w:val="6D160F03"/>
    <w:rsid w:val="6D7A3A99"/>
    <w:rsid w:val="6DB54928"/>
    <w:rsid w:val="6DCB3237"/>
    <w:rsid w:val="6DCB474D"/>
    <w:rsid w:val="6DF309DC"/>
    <w:rsid w:val="6E1A6AD8"/>
    <w:rsid w:val="6E2B5F27"/>
    <w:rsid w:val="6E48798E"/>
    <w:rsid w:val="6E5C674A"/>
    <w:rsid w:val="6EAE211C"/>
    <w:rsid w:val="6EB04D47"/>
    <w:rsid w:val="6EC425A0"/>
    <w:rsid w:val="6EC62EE1"/>
    <w:rsid w:val="6ED24CBD"/>
    <w:rsid w:val="6EDF3ABD"/>
    <w:rsid w:val="6F03131A"/>
    <w:rsid w:val="6F1928EC"/>
    <w:rsid w:val="6F3B20FC"/>
    <w:rsid w:val="6F4155E7"/>
    <w:rsid w:val="6F6B5112"/>
    <w:rsid w:val="6F9D570E"/>
    <w:rsid w:val="6FBB6CC3"/>
    <w:rsid w:val="6FC0515F"/>
    <w:rsid w:val="6FE74B3C"/>
    <w:rsid w:val="6FEF5E76"/>
    <w:rsid w:val="702A0155"/>
    <w:rsid w:val="70464F46"/>
    <w:rsid w:val="706F3FA7"/>
    <w:rsid w:val="70855F29"/>
    <w:rsid w:val="70E7713D"/>
    <w:rsid w:val="70F046D5"/>
    <w:rsid w:val="711C66C3"/>
    <w:rsid w:val="7148437B"/>
    <w:rsid w:val="716317A6"/>
    <w:rsid w:val="719B0385"/>
    <w:rsid w:val="719F0472"/>
    <w:rsid w:val="71AA7173"/>
    <w:rsid w:val="71D338D8"/>
    <w:rsid w:val="71E553C5"/>
    <w:rsid w:val="7204269D"/>
    <w:rsid w:val="72120AF8"/>
    <w:rsid w:val="72167086"/>
    <w:rsid w:val="72204965"/>
    <w:rsid w:val="72367C59"/>
    <w:rsid w:val="723957D4"/>
    <w:rsid w:val="72401FA3"/>
    <w:rsid w:val="72414CAA"/>
    <w:rsid w:val="724A54B2"/>
    <w:rsid w:val="725330A4"/>
    <w:rsid w:val="725D6FAF"/>
    <w:rsid w:val="726458E9"/>
    <w:rsid w:val="72A03324"/>
    <w:rsid w:val="72CE7E91"/>
    <w:rsid w:val="72DB3113"/>
    <w:rsid w:val="72EA56FF"/>
    <w:rsid w:val="72EC4ABD"/>
    <w:rsid w:val="72F0405B"/>
    <w:rsid w:val="737C7103"/>
    <w:rsid w:val="73813156"/>
    <w:rsid w:val="738A1D8B"/>
    <w:rsid w:val="73953818"/>
    <w:rsid w:val="73FC6FFF"/>
    <w:rsid w:val="74061933"/>
    <w:rsid w:val="740E5173"/>
    <w:rsid w:val="740F48A6"/>
    <w:rsid w:val="740F4D80"/>
    <w:rsid w:val="742570D5"/>
    <w:rsid w:val="743E6C31"/>
    <w:rsid w:val="744E0E09"/>
    <w:rsid w:val="74580370"/>
    <w:rsid w:val="74727853"/>
    <w:rsid w:val="74800CAF"/>
    <w:rsid w:val="74843F48"/>
    <w:rsid w:val="7487654A"/>
    <w:rsid w:val="74885487"/>
    <w:rsid w:val="74952C09"/>
    <w:rsid w:val="74A23B64"/>
    <w:rsid w:val="74BD0011"/>
    <w:rsid w:val="74C059CD"/>
    <w:rsid w:val="74F508D1"/>
    <w:rsid w:val="75773704"/>
    <w:rsid w:val="757B26E4"/>
    <w:rsid w:val="75840CDB"/>
    <w:rsid w:val="75AC144D"/>
    <w:rsid w:val="75BE7799"/>
    <w:rsid w:val="75F77D32"/>
    <w:rsid w:val="760318BC"/>
    <w:rsid w:val="7616796A"/>
    <w:rsid w:val="76367647"/>
    <w:rsid w:val="766C3C49"/>
    <w:rsid w:val="76AC673B"/>
    <w:rsid w:val="76E063E5"/>
    <w:rsid w:val="770E7A76"/>
    <w:rsid w:val="779A0E3C"/>
    <w:rsid w:val="77A747E4"/>
    <w:rsid w:val="77CF1030"/>
    <w:rsid w:val="77FF1199"/>
    <w:rsid w:val="782F4F2E"/>
    <w:rsid w:val="78347ECD"/>
    <w:rsid w:val="786A2A29"/>
    <w:rsid w:val="786F6D59"/>
    <w:rsid w:val="78744E2F"/>
    <w:rsid w:val="78A83FA7"/>
    <w:rsid w:val="78B07023"/>
    <w:rsid w:val="78D36201"/>
    <w:rsid w:val="78DB5A19"/>
    <w:rsid w:val="78DE68BC"/>
    <w:rsid w:val="7921301A"/>
    <w:rsid w:val="7947274B"/>
    <w:rsid w:val="794C7A90"/>
    <w:rsid w:val="79614888"/>
    <w:rsid w:val="796A462F"/>
    <w:rsid w:val="796D2A75"/>
    <w:rsid w:val="79ED1667"/>
    <w:rsid w:val="79F10794"/>
    <w:rsid w:val="7A0643B5"/>
    <w:rsid w:val="7A2B4985"/>
    <w:rsid w:val="7A340367"/>
    <w:rsid w:val="7A7F0F0D"/>
    <w:rsid w:val="7AB314FA"/>
    <w:rsid w:val="7AE85423"/>
    <w:rsid w:val="7B095F0A"/>
    <w:rsid w:val="7B0F7299"/>
    <w:rsid w:val="7B333368"/>
    <w:rsid w:val="7B866F05"/>
    <w:rsid w:val="7BBD0AA3"/>
    <w:rsid w:val="7BD67C84"/>
    <w:rsid w:val="7BE32E4D"/>
    <w:rsid w:val="7BE631C6"/>
    <w:rsid w:val="7C126EFC"/>
    <w:rsid w:val="7C1C564D"/>
    <w:rsid w:val="7C233753"/>
    <w:rsid w:val="7C505C46"/>
    <w:rsid w:val="7C577134"/>
    <w:rsid w:val="7CB81233"/>
    <w:rsid w:val="7CC423B7"/>
    <w:rsid w:val="7CD253C3"/>
    <w:rsid w:val="7CEA5382"/>
    <w:rsid w:val="7D0A41DF"/>
    <w:rsid w:val="7D4E19E0"/>
    <w:rsid w:val="7D807FDA"/>
    <w:rsid w:val="7D9C5773"/>
    <w:rsid w:val="7DAE0FEB"/>
    <w:rsid w:val="7DB20C9C"/>
    <w:rsid w:val="7DF06F8A"/>
    <w:rsid w:val="7DF71A64"/>
    <w:rsid w:val="7E392890"/>
    <w:rsid w:val="7E754F32"/>
    <w:rsid w:val="7E99205F"/>
    <w:rsid w:val="7F005AC2"/>
    <w:rsid w:val="7F1A0267"/>
    <w:rsid w:val="7F4A6AF1"/>
    <w:rsid w:val="7F9360DA"/>
    <w:rsid w:val="7FC2395F"/>
    <w:rsid w:val="7FE15D8C"/>
    <w:rsid w:val="7FE40346"/>
    <w:rsid w:val="7FF5481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0" w:semiHidden="0" w:name="toc 4" w:locked="1"/>
    <w:lsdException w:qFormat="1" w:unhideWhenUsed="0" w:uiPriority="0" w:semiHidden="0"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qFormat="1" w:unhideWhenUsed="0" w:uiPriority="0" w:semiHidden="0" w:name="footnote text" w:locked="1"/>
    <w:lsdException w:qFormat="1" w:unhideWhenUsed="0"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qFormat="1" w:uiPriority="99" w:semiHidden="0"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iPriority="99"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semiHidden="0" w:name="Default Paragraph Font"/>
    <w:lsdException w:qFormat="1" w:unhideWhenUsed="0" w:uiPriority="0" w:semiHidden="0" w:name="Body Text" w:locked="1"/>
    <w:lsdException w:qFormat="1"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99" w:semiHidden="0" w:name="Body Text First Indent 2" w:locked="1"/>
    <w:lsdException w:uiPriority="99" w:name="Note Heading" w:locked="1"/>
    <w:lsdException w:uiPriority="99" w:name="Body Text 2" w:locked="1"/>
    <w:lsdException w:qFormat="1" w:uiPriority="99" w:semiHidden="0" w:name="Body Text 3" w:locked="1"/>
    <w:lsdException w:qFormat="1" w:unhideWhenUsed="0" w:uiPriority="99" w:semiHidden="0" w:name="Body Text Indent 2"/>
    <w:lsdException w:uiPriority="99" w:name="Body Text Indent 3" w:locked="1"/>
    <w:lsdException w:qFormat="1" w:uiPriority="99" w:semiHidden="0"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3">
    <w:name w:val="heading 1"/>
    <w:basedOn w:val="1"/>
    <w:next w:val="1"/>
    <w:link w:val="43"/>
    <w:qFormat/>
    <w:uiPriority w:val="99"/>
    <w:pPr>
      <w:keepNext/>
      <w:keepLines/>
      <w:spacing w:before="340" w:after="330" w:line="578" w:lineRule="auto"/>
      <w:outlineLvl w:val="0"/>
    </w:pPr>
    <w:rPr>
      <w:kern w:val="44"/>
      <w:sz w:val="36"/>
      <w:szCs w:val="36"/>
    </w:rPr>
  </w:style>
  <w:style w:type="paragraph" w:styleId="4">
    <w:name w:val="heading 2"/>
    <w:basedOn w:val="1"/>
    <w:next w:val="1"/>
    <w:link w:val="46"/>
    <w:qFormat/>
    <w:uiPriority w:val="99"/>
    <w:pPr>
      <w:keepNext/>
      <w:keepLines/>
      <w:spacing w:before="260" w:after="260" w:line="415" w:lineRule="auto"/>
      <w:ind w:firstLine="200" w:firstLineChars="200"/>
      <w:outlineLvl w:val="1"/>
    </w:pPr>
    <w:rPr>
      <w:rFonts w:ascii="Cambria" w:hAnsi="Cambria" w:cs="Cambria"/>
      <w:sz w:val="32"/>
      <w:szCs w:val="32"/>
    </w:rPr>
  </w:style>
  <w:style w:type="paragraph" w:styleId="5">
    <w:name w:val="heading 3"/>
    <w:basedOn w:val="1"/>
    <w:next w:val="1"/>
    <w:link w:val="47"/>
    <w:qFormat/>
    <w:uiPriority w:val="99"/>
    <w:pPr>
      <w:keepNext/>
      <w:keepLines/>
      <w:spacing w:before="260" w:after="260" w:line="415" w:lineRule="auto"/>
      <w:ind w:firstLine="200" w:firstLineChars="200"/>
      <w:outlineLvl w:val="2"/>
    </w:pPr>
    <w:rPr>
      <w:sz w:val="28"/>
      <w:szCs w:val="28"/>
    </w:rPr>
  </w:style>
  <w:style w:type="paragraph" w:styleId="6">
    <w:name w:val="heading 4"/>
    <w:basedOn w:val="1"/>
    <w:next w:val="1"/>
    <w:link w:val="48"/>
    <w:qFormat/>
    <w:uiPriority w:val="99"/>
    <w:pPr>
      <w:keepNext/>
      <w:keepLines/>
      <w:spacing w:before="280" w:after="290" w:line="377" w:lineRule="auto"/>
      <w:ind w:firstLine="200" w:firstLineChars="200"/>
      <w:outlineLvl w:val="3"/>
    </w:pPr>
    <w:rPr>
      <w:rFonts w:ascii="Cambria" w:hAnsi="Cambria" w:cs="Cambria"/>
      <w:sz w:val="28"/>
      <w:szCs w:val="28"/>
    </w:rPr>
  </w:style>
  <w:style w:type="paragraph" w:styleId="7">
    <w:name w:val="heading 5"/>
    <w:basedOn w:val="1"/>
    <w:next w:val="1"/>
    <w:link w:val="49"/>
    <w:qFormat/>
    <w:uiPriority w:val="99"/>
    <w:pPr>
      <w:keepNext/>
      <w:keepLines/>
      <w:spacing w:before="280" w:after="290" w:line="377" w:lineRule="auto"/>
      <w:ind w:firstLine="200" w:firstLineChars="200"/>
      <w:outlineLvl w:val="4"/>
    </w:pPr>
    <w:rPr>
      <w:b/>
      <w:bCs/>
      <w:sz w:val="24"/>
      <w:szCs w:val="24"/>
    </w:rPr>
  </w:style>
  <w:style w:type="paragraph" w:styleId="8">
    <w:name w:val="heading 6"/>
    <w:basedOn w:val="1"/>
    <w:next w:val="1"/>
    <w:link w:val="50"/>
    <w:qFormat/>
    <w:uiPriority w:val="99"/>
    <w:pPr>
      <w:keepNext/>
      <w:keepLines/>
      <w:spacing w:before="240" w:after="64" w:line="320" w:lineRule="auto"/>
      <w:outlineLvl w:val="5"/>
    </w:pPr>
    <w:rPr>
      <w:rFonts w:ascii="Cambria" w:hAnsi="Cambria" w:cs="Cambria"/>
      <w:b/>
      <w:bCs/>
      <w:sz w:val="24"/>
      <w:szCs w:val="24"/>
    </w:rPr>
  </w:style>
  <w:style w:type="paragraph" w:styleId="9">
    <w:name w:val="heading 7"/>
    <w:basedOn w:val="1"/>
    <w:next w:val="1"/>
    <w:link w:val="51"/>
    <w:qFormat/>
    <w:uiPriority w:val="99"/>
    <w:pPr>
      <w:keepNext/>
      <w:keepLines/>
      <w:spacing w:before="240" w:after="64" w:line="320" w:lineRule="auto"/>
      <w:outlineLvl w:val="6"/>
    </w:pPr>
    <w:rPr>
      <w:b/>
      <w:bCs/>
      <w:sz w:val="24"/>
      <w:szCs w:val="24"/>
    </w:rPr>
  </w:style>
  <w:style w:type="paragraph" w:styleId="10">
    <w:name w:val="heading 8"/>
    <w:basedOn w:val="1"/>
    <w:next w:val="1"/>
    <w:link w:val="52"/>
    <w:qFormat/>
    <w:uiPriority w:val="99"/>
    <w:pPr>
      <w:keepNext/>
      <w:keepLines/>
      <w:spacing w:before="240" w:after="64" w:line="320" w:lineRule="auto"/>
      <w:outlineLvl w:val="7"/>
    </w:pPr>
    <w:rPr>
      <w:rFonts w:ascii="Cambria" w:hAnsi="Cambria" w:cs="Cambria"/>
      <w:sz w:val="24"/>
      <w:szCs w:val="24"/>
    </w:rPr>
  </w:style>
  <w:style w:type="character" w:default="1" w:styleId="38">
    <w:name w:val="Default Paragraph Font"/>
    <w:unhideWhenUsed/>
    <w:qFormat/>
    <w:uiPriority w:val="1"/>
  </w:style>
  <w:style w:type="table" w:default="1" w:styleId="36">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table of figures"/>
    <w:basedOn w:val="1"/>
    <w:next w:val="1"/>
    <w:unhideWhenUsed/>
    <w:qFormat/>
    <w:locked/>
    <w:uiPriority w:val="99"/>
    <w:pPr>
      <w:ind w:left="200" w:leftChars="200" w:hanging="200" w:hangingChars="200"/>
    </w:pPr>
  </w:style>
  <w:style w:type="paragraph" w:styleId="11">
    <w:name w:val="Normal Indent"/>
    <w:basedOn w:val="1"/>
    <w:qFormat/>
    <w:locked/>
    <w:uiPriority w:val="0"/>
    <w:pPr>
      <w:widowControl/>
      <w:ind w:firstLine="420"/>
      <w:jc w:val="left"/>
    </w:pPr>
    <w:rPr>
      <w:rFonts w:ascii="Times New Roman" w:hAnsi="Times New Roman" w:eastAsia="宋体" w:cs="Times New Roman"/>
      <w:kern w:val="0"/>
      <w:sz w:val="20"/>
      <w:szCs w:val="20"/>
    </w:rPr>
  </w:style>
  <w:style w:type="paragraph" w:styleId="12">
    <w:name w:val="annotation text"/>
    <w:basedOn w:val="1"/>
    <w:link w:val="53"/>
    <w:semiHidden/>
    <w:qFormat/>
    <w:locked/>
    <w:uiPriority w:val="99"/>
    <w:pPr>
      <w:jc w:val="left"/>
    </w:pPr>
  </w:style>
  <w:style w:type="paragraph" w:styleId="13">
    <w:name w:val="Body Text 3"/>
    <w:basedOn w:val="1"/>
    <w:unhideWhenUsed/>
    <w:qFormat/>
    <w:locked/>
    <w:uiPriority w:val="99"/>
    <w:pPr>
      <w:spacing w:after="120"/>
    </w:pPr>
    <w:rPr>
      <w:sz w:val="16"/>
      <w:szCs w:val="16"/>
    </w:rPr>
  </w:style>
  <w:style w:type="paragraph" w:styleId="14">
    <w:name w:val="Body Text"/>
    <w:basedOn w:val="1"/>
    <w:next w:val="15"/>
    <w:qFormat/>
    <w:locked/>
    <w:uiPriority w:val="0"/>
    <w:pPr>
      <w:spacing w:line="460" w:lineRule="exact"/>
    </w:pPr>
    <w:rPr>
      <w:rFonts w:ascii="汉鼎简楷体" w:hAnsi="宋体" w:eastAsia="汉鼎简楷体"/>
      <w:b/>
      <w:bCs/>
      <w:spacing w:val="4"/>
      <w:sz w:val="24"/>
      <w:szCs w:val="20"/>
    </w:rPr>
  </w:style>
  <w:style w:type="paragraph" w:customStyle="1" w:styleId="15">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16">
    <w:name w:val="Body Text Indent"/>
    <w:basedOn w:val="1"/>
    <w:next w:val="11"/>
    <w:link w:val="54"/>
    <w:unhideWhenUsed/>
    <w:qFormat/>
    <w:locked/>
    <w:uiPriority w:val="99"/>
    <w:pPr>
      <w:spacing w:after="120"/>
      <w:ind w:left="420" w:leftChars="200"/>
    </w:pPr>
  </w:style>
  <w:style w:type="paragraph" w:styleId="17">
    <w:name w:val="List 2"/>
    <w:basedOn w:val="1"/>
    <w:unhideWhenUsed/>
    <w:qFormat/>
    <w:locked/>
    <w:uiPriority w:val="99"/>
    <w:pPr>
      <w:ind w:left="100" w:leftChars="200" w:hanging="200" w:hangingChars="200"/>
    </w:pPr>
  </w:style>
  <w:style w:type="paragraph" w:styleId="18">
    <w:name w:val="Block Text"/>
    <w:basedOn w:val="1"/>
    <w:unhideWhenUsed/>
    <w:qFormat/>
    <w:locked/>
    <w:uiPriority w:val="99"/>
    <w:pPr>
      <w:adjustRightInd w:val="0"/>
      <w:spacing w:before="100" w:beforeAutospacing="1" w:after="100" w:afterAutospacing="1"/>
      <w:ind w:left="420" w:right="33"/>
      <w:textAlignment w:val="baseline"/>
    </w:pPr>
    <w:rPr>
      <w:sz w:val="24"/>
      <w:szCs w:val="24"/>
    </w:rPr>
  </w:style>
  <w:style w:type="paragraph" w:styleId="19">
    <w:name w:val="toc 5"/>
    <w:basedOn w:val="1"/>
    <w:next w:val="1"/>
    <w:qFormat/>
    <w:locked/>
    <w:uiPriority w:val="0"/>
    <w:pPr>
      <w:ind w:left="1760"/>
      <w:jc w:val="left"/>
    </w:pPr>
    <w:rPr>
      <w:szCs w:val="21"/>
    </w:rPr>
  </w:style>
  <w:style w:type="paragraph" w:styleId="20">
    <w:name w:val="toc 3"/>
    <w:basedOn w:val="1"/>
    <w:next w:val="1"/>
    <w:semiHidden/>
    <w:qFormat/>
    <w:uiPriority w:val="99"/>
    <w:pPr>
      <w:ind w:left="420"/>
      <w:jc w:val="left"/>
    </w:pPr>
    <w:rPr>
      <w:rFonts w:ascii="Times New Roman" w:hAnsi="Times New Roman" w:cs="Times New Roman"/>
      <w:i/>
      <w:iCs/>
      <w:sz w:val="20"/>
      <w:szCs w:val="20"/>
    </w:rPr>
  </w:style>
  <w:style w:type="paragraph" w:styleId="21">
    <w:name w:val="Plain Text"/>
    <w:basedOn w:val="1"/>
    <w:next w:val="1"/>
    <w:link w:val="55"/>
    <w:qFormat/>
    <w:uiPriority w:val="0"/>
    <w:rPr>
      <w:rFonts w:ascii="宋体" w:hAnsi="Courier New" w:cs="宋体"/>
    </w:rPr>
  </w:style>
  <w:style w:type="paragraph" w:styleId="22">
    <w:name w:val="Date"/>
    <w:basedOn w:val="1"/>
    <w:next w:val="1"/>
    <w:link w:val="56"/>
    <w:qFormat/>
    <w:uiPriority w:val="99"/>
    <w:pPr>
      <w:ind w:left="100" w:leftChars="2500"/>
    </w:pPr>
  </w:style>
  <w:style w:type="paragraph" w:styleId="23">
    <w:name w:val="Body Text Indent 2"/>
    <w:basedOn w:val="1"/>
    <w:link w:val="57"/>
    <w:qFormat/>
    <w:uiPriority w:val="99"/>
    <w:pPr>
      <w:ind w:firstLine="562" w:firstLineChars="200"/>
    </w:pPr>
    <w:rPr>
      <w:rFonts w:ascii="仿宋_GB2312" w:hAnsi="Times New Roman" w:eastAsia="仿宋_GB2312" w:cs="仿宋_GB2312"/>
      <w:b/>
      <w:bCs/>
      <w:sz w:val="28"/>
      <w:szCs w:val="28"/>
    </w:rPr>
  </w:style>
  <w:style w:type="paragraph" w:styleId="24">
    <w:name w:val="Balloon Text"/>
    <w:basedOn w:val="1"/>
    <w:link w:val="58"/>
    <w:semiHidden/>
    <w:qFormat/>
    <w:uiPriority w:val="99"/>
    <w:rPr>
      <w:sz w:val="18"/>
      <w:szCs w:val="18"/>
    </w:rPr>
  </w:style>
  <w:style w:type="paragraph" w:styleId="25">
    <w:name w:val="footer"/>
    <w:basedOn w:val="1"/>
    <w:link w:val="59"/>
    <w:qFormat/>
    <w:uiPriority w:val="99"/>
    <w:pPr>
      <w:tabs>
        <w:tab w:val="center" w:pos="4153"/>
        <w:tab w:val="right" w:pos="8306"/>
      </w:tabs>
      <w:snapToGrid w:val="0"/>
      <w:jc w:val="left"/>
    </w:pPr>
    <w:rPr>
      <w:sz w:val="18"/>
      <w:szCs w:val="18"/>
    </w:rPr>
  </w:style>
  <w:style w:type="paragraph" w:styleId="26">
    <w:name w:val="header"/>
    <w:basedOn w:val="1"/>
    <w:link w:val="60"/>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semiHidden/>
    <w:qFormat/>
    <w:uiPriority w:val="99"/>
    <w:pPr>
      <w:tabs>
        <w:tab w:val="right" w:leader="dot" w:pos="8390"/>
      </w:tabs>
      <w:spacing w:before="120" w:after="120"/>
    </w:pPr>
    <w:rPr>
      <w:rFonts w:ascii="Times New Roman" w:hAnsi="Times New Roman" w:cs="Times New Roman"/>
      <w:b/>
      <w:bCs/>
      <w:caps/>
      <w:sz w:val="24"/>
      <w:szCs w:val="24"/>
    </w:rPr>
  </w:style>
  <w:style w:type="paragraph" w:styleId="28">
    <w:name w:val="toc 4"/>
    <w:basedOn w:val="1"/>
    <w:next w:val="1"/>
    <w:qFormat/>
    <w:locked/>
    <w:uiPriority w:val="0"/>
    <w:pPr>
      <w:tabs>
        <w:tab w:val="left" w:pos="1890"/>
        <w:tab w:val="right" w:leader="dot" w:pos="8296"/>
      </w:tabs>
      <w:ind w:left="630" w:leftChars="300"/>
    </w:pPr>
  </w:style>
  <w:style w:type="paragraph" w:styleId="29">
    <w:name w:val="footnote text"/>
    <w:basedOn w:val="1"/>
    <w:qFormat/>
    <w:locked/>
    <w:uiPriority w:val="0"/>
    <w:pPr>
      <w:snapToGrid w:val="0"/>
      <w:jc w:val="left"/>
    </w:pPr>
    <w:rPr>
      <w:sz w:val="18"/>
      <w:szCs w:val="18"/>
    </w:rPr>
  </w:style>
  <w:style w:type="paragraph" w:styleId="30">
    <w:name w:val="toc 2"/>
    <w:basedOn w:val="1"/>
    <w:next w:val="1"/>
    <w:semiHidden/>
    <w:qFormat/>
    <w:uiPriority w:val="99"/>
    <w:pPr>
      <w:ind w:left="210"/>
      <w:jc w:val="left"/>
    </w:pPr>
    <w:rPr>
      <w:rFonts w:ascii="Times New Roman" w:hAnsi="Times New Roman" w:cs="Times New Roman"/>
      <w:smallCaps/>
      <w:sz w:val="20"/>
      <w:szCs w:val="20"/>
    </w:rPr>
  </w:style>
  <w:style w:type="paragraph" w:styleId="3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2">
    <w:name w:val="Title"/>
    <w:basedOn w:val="1"/>
    <w:next w:val="1"/>
    <w:qFormat/>
    <w:locked/>
    <w:uiPriority w:val="0"/>
    <w:pPr>
      <w:widowControl/>
      <w:spacing w:before="240" w:beforeLines="0" w:beforeAutospacing="0" w:after="60" w:afterLines="0" w:afterAutospacing="0"/>
      <w:jc w:val="center"/>
      <w:outlineLvl w:val="0"/>
    </w:pPr>
    <w:rPr>
      <w:rFonts w:ascii="Arial" w:hAnsi="Arial"/>
      <w:b/>
      <w:kern w:val="0"/>
      <w:sz w:val="44"/>
    </w:rPr>
  </w:style>
  <w:style w:type="paragraph" w:styleId="33">
    <w:name w:val="annotation subject"/>
    <w:basedOn w:val="12"/>
    <w:next w:val="12"/>
    <w:link w:val="61"/>
    <w:semiHidden/>
    <w:qFormat/>
    <w:locked/>
    <w:uiPriority w:val="99"/>
    <w:rPr>
      <w:b/>
      <w:bCs/>
    </w:rPr>
  </w:style>
  <w:style w:type="paragraph" w:styleId="34">
    <w:name w:val="Body Text First Indent"/>
    <w:basedOn w:val="14"/>
    <w:qFormat/>
    <w:locked/>
    <w:uiPriority w:val="0"/>
    <w:pPr>
      <w:spacing w:line="312" w:lineRule="auto"/>
      <w:ind w:firstLine="420"/>
    </w:pPr>
  </w:style>
  <w:style w:type="paragraph" w:styleId="35">
    <w:name w:val="Body Text First Indent 2"/>
    <w:basedOn w:val="16"/>
    <w:next w:val="1"/>
    <w:qFormat/>
    <w:locked/>
    <w:uiPriority w:val="99"/>
    <w:pPr>
      <w:spacing w:after="0" w:line="480" w:lineRule="exact"/>
      <w:ind w:left="0" w:leftChars="0" w:firstLine="420" w:firstLineChars="200"/>
    </w:pPr>
    <w:rPr>
      <w:rFonts w:ascii="仿宋_GB2312" w:hAnsi="Calibri" w:eastAsia="仿宋_GB2312"/>
      <w:sz w:val="32"/>
    </w:rPr>
  </w:style>
  <w:style w:type="table" w:styleId="37">
    <w:name w:val="Table Grid"/>
    <w:basedOn w:val="36"/>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9">
    <w:name w:val="Strong"/>
    <w:basedOn w:val="38"/>
    <w:qFormat/>
    <w:uiPriority w:val="99"/>
    <w:rPr>
      <w:b/>
      <w:bCs/>
    </w:rPr>
  </w:style>
  <w:style w:type="character" w:styleId="40">
    <w:name w:val="page number"/>
    <w:basedOn w:val="38"/>
    <w:qFormat/>
    <w:uiPriority w:val="99"/>
  </w:style>
  <w:style w:type="character" w:styleId="41">
    <w:name w:val="Hyperlink"/>
    <w:basedOn w:val="38"/>
    <w:qFormat/>
    <w:uiPriority w:val="99"/>
    <w:rPr>
      <w:color w:val="0000FF"/>
      <w:u w:val="single"/>
    </w:rPr>
  </w:style>
  <w:style w:type="character" w:styleId="42">
    <w:name w:val="annotation reference"/>
    <w:basedOn w:val="38"/>
    <w:semiHidden/>
    <w:qFormat/>
    <w:locked/>
    <w:uiPriority w:val="99"/>
    <w:rPr>
      <w:sz w:val="21"/>
      <w:szCs w:val="21"/>
    </w:rPr>
  </w:style>
  <w:style w:type="character" w:customStyle="1" w:styleId="43">
    <w:name w:val="标题 1 Char"/>
    <w:basedOn w:val="38"/>
    <w:link w:val="3"/>
    <w:qFormat/>
    <w:locked/>
    <w:uiPriority w:val="99"/>
    <w:rPr>
      <w:rFonts w:ascii="Calibri" w:hAnsi="Calibri" w:eastAsia="宋体" w:cs="Calibri"/>
      <w:kern w:val="44"/>
      <w:sz w:val="44"/>
      <w:szCs w:val="44"/>
      <w:lang w:val="en-US" w:eastAsia="zh-CN"/>
    </w:rPr>
  </w:style>
  <w:style w:type="paragraph" w:customStyle="1" w:styleId="44">
    <w:name w:val="wang正文"/>
    <w:qFormat/>
    <w:uiPriority w:val="0"/>
    <w:pPr>
      <w:tabs>
        <w:tab w:val="left" w:pos="6840"/>
      </w:tabs>
      <w:topLinePunct/>
      <w:spacing w:line="300" w:lineRule="exact"/>
      <w:ind w:firstLine="420"/>
    </w:pPr>
    <w:rPr>
      <w:rFonts w:ascii="Times New Roman" w:hAnsi="Times New Roman" w:eastAsia="宋体" w:cs="Times New Roman"/>
      <w:kern w:val="2"/>
      <w:sz w:val="21"/>
      <w:szCs w:val="24"/>
      <w:lang w:val="en-US" w:eastAsia="zh-CN" w:bidi="ar-SA"/>
    </w:rPr>
  </w:style>
  <w:style w:type="paragraph" w:customStyle="1" w:styleId="45">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character" w:customStyle="1" w:styleId="46">
    <w:name w:val="标题 2 Char"/>
    <w:basedOn w:val="38"/>
    <w:link w:val="4"/>
    <w:qFormat/>
    <w:locked/>
    <w:uiPriority w:val="99"/>
    <w:rPr>
      <w:rFonts w:ascii="Cambria" w:hAnsi="Cambria" w:eastAsia="宋体" w:cs="Cambria"/>
      <w:kern w:val="2"/>
      <w:sz w:val="32"/>
      <w:szCs w:val="32"/>
      <w:lang w:val="en-US" w:eastAsia="zh-CN"/>
    </w:rPr>
  </w:style>
  <w:style w:type="character" w:customStyle="1" w:styleId="47">
    <w:name w:val="标题 3 Char"/>
    <w:basedOn w:val="38"/>
    <w:link w:val="5"/>
    <w:qFormat/>
    <w:locked/>
    <w:uiPriority w:val="99"/>
    <w:rPr>
      <w:rFonts w:ascii="Calibri" w:hAnsi="Calibri" w:eastAsia="宋体" w:cs="Calibri"/>
      <w:kern w:val="2"/>
      <w:sz w:val="32"/>
      <w:szCs w:val="32"/>
      <w:lang w:val="en-US" w:eastAsia="zh-CN"/>
    </w:rPr>
  </w:style>
  <w:style w:type="character" w:customStyle="1" w:styleId="48">
    <w:name w:val="标题 4 Char"/>
    <w:basedOn w:val="38"/>
    <w:link w:val="6"/>
    <w:qFormat/>
    <w:locked/>
    <w:uiPriority w:val="99"/>
    <w:rPr>
      <w:rFonts w:ascii="Cambria" w:hAnsi="Cambria" w:eastAsia="宋体" w:cs="Cambria"/>
      <w:kern w:val="2"/>
      <w:sz w:val="28"/>
      <w:szCs w:val="28"/>
      <w:lang w:val="en-US" w:eastAsia="zh-CN"/>
    </w:rPr>
  </w:style>
  <w:style w:type="character" w:customStyle="1" w:styleId="49">
    <w:name w:val="标题 5 Char"/>
    <w:basedOn w:val="38"/>
    <w:link w:val="7"/>
    <w:qFormat/>
    <w:locked/>
    <w:uiPriority w:val="99"/>
    <w:rPr>
      <w:rFonts w:ascii="Calibri" w:hAnsi="Calibri" w:eastAsia="宋体" w:cs="Calibri"/>
      <w:b/>
      <w:bCs/>
      <w:kern w:val="2"/>
      <w:sz w:val="28"/>
      <w:szCs w:val="28"/>
      <w:lang w:val="en-US" w:eastAsia="zh-CN"/>
    </w:rPr>
  </w:style>
  <w:style w:type="character" w:customStyle="1" w:styleId="50">
    <w:name w:val="标题 6 Char"/>
    <w:basedOn w:val="38"/>
    <w:link w:val="8"/>
    <w:qFormat/>
    <w:locked/>
    <w:uiPriority w:val="99"/>
    <w:rPr>
      <w:rFonts w:ascii="Cambria" w:hAnsi="Cambria" w:eastAsia="宋体" w:cs="Cambria"/>
      <w:b/>
      <w:bCs/>
      <w:kern w:val="2"/>
      <w:sz w:val="24"/>
      <w:szCs w:val="24"/>
      <w:lang w:val="en-US" w:eastAsia="zh-CN"/>
    </w:rPr>
  </w:style>
  <w:style w:type="character" w:customStyle="1" w:styleId="51">
    <w:name w:val="标题 7 Char"/>
    <w:basedOn w:val="38"/>
    <w:link w:val="9"/>
    <w:semiHidden/>
    <w:qFormat/>
    <w:locked/>
    <w:uiPriority w:val="99"/>
    <w:rPr>
      <w:rFonts w:ascii="Calibri" w:hAnsi="Calibri" w:eastAsia="宋体" w:cs="Calibri"/>
      <w:b/>
      <w:bCs/>
      <w:kern w:val="2"/>
      <w:sz w:val="24"/>
      <w:szCs w:val="24"/>
      <w:lang w:val="en-US" w:eastAsia="zh-CN"/>
    </w:rPr>
  </w:style>
  <w:style w:type="character" w:customStyle="1" w:styleId="52">
    <w:name w:val="标题 8 Char"/>
    <w:basedOn w:val="38"/>
    <w:link w:val="10"/>
    <w:semiHidden/>
    <w:qFormat/>
    <w:locked/>
    <w:uiPriority w:val="99"/>
    <w:rPr>
      <w:rFonts w:ascii="Cambria" w:hAnsi="Cambria" w:eastAsia="宋体" w:cs="Cambria"/>
      <w:kern w:val="2"/>
      <w:sz w:val="24"/>
      <w:szCs w:val="24"/>
      <w:lang w:val="en-US" w:eastAsia="zh-CN"/>
    </w:rPr>
  </w:style>
  <w:style w:type="character" w:customStyle="1" w:styleId="53">
    <w:name w:val="批注文字 Char"/>
    <w:basedOn w:val="38"/>
    <w:link w:val="12"/>
    <w:semiHidden/>
    <w:qFormat/>
    <w:uiPriority w:val="99"/>
    <w:rPr>
      <w:rFonts w:ascii="Calibri" w:hAnsi="Calibri" w:cs="Calibri"/>
      <w:szCs w:val="21"/>
    </w:rPr>
  </w:style>
  <w:style w:type="character" w:customStyle="1" w:styleId="54">
    <w:name w:val="正文文本缩进 Char"/>
    <w:basedOn w:val="38"/>
    <w:link w:val="16"/>
    <w:semiHidden/>
    <w:qFormat/>
    <w:uiPriority w:val="99"/>
    <w:rPr>
      <w:rFonts w:ascii="Calibri" w:hAnsi="Calibri" w:cs="Calibri"/>
      <w:kern w:val="2"/>
      <w:sz w:val="21"/>
      <w:szCs w:val="21"/>
    </w:rPr>
  </w:style>
  <w:style w:type="character" w:customStyle="1" w:styleId="55">
    <w:name w:val="纯文本 Char1"/>
    <w:basedOn w:val="38"/>
    <w:link w:val="21"/>
    <w:qFormat/>
    <w:uiPriority w:val="0"/>
    <w:rPr>
      <w:rFonts w:hint="eastAsia" w:ascii="宋体" w:hAnsi="Courier New" w:eastAsia="宋体" w:cs="Courier New"/>
      <w:kern w:val="2"/>
      <w:sz w:val="21"/>
      <w:szCs w:val="21"/>
    </w:rPr>
  </w:style>
  <w:style w:type="character" w:customStyle="1" w:styleId="56">
    <w:name w:val="日期 Char"/>
    <w:basedOn w:val="38"/>
    <w:link w:val="22"/>
    <w:qFormat/>
    <w:locked/>
    <w:uiPriority w:val="99"/>
    <w:rPr>
      <w:rFonts w:ascii="Calibri" w:hAnsi="Calibri" w:cs="Calibri"/>
      <w:kern w:val="2"/>
      <w:sz w:val="22"/>
      <w:szCs w:val="22"/>
    </w:rPr>
  </w:style>
  <w:style w:type="character" w:customStyle="1" w:styleId="57">
    <w:name w:val="正文文本缩进 2 Char"/>
    <w:basedOn w:val="38"/>
    <w:link w:val="23"/>
    <w:semiHidden/>
    <w:qFormat/>
    <w:locked/>
    <w:uiPriority w:val="99"/>
    <w:rPr>
      <w:rFonts w:ascii="Calibri" w:hAnsi="Calibri" w:cs="Calibri"/>
    </w:rPr>
  </w:style>
  <w:style w:type="character" w:customStyle="1" w:styleId="58">
    <w:name w:val="批注框文本 Char"/>
    <w:basedOn w:val="38"/>
    <w:link w:val="24"/>
    <w:semiHidden/>
    <w:qFormat/>
    <w:locked/>
    <w:uiPriority w:val="99"/>
    <w:rPr>
      <w:rFonts w:ascii="Calibri" w:hAnsi="Calibri" w:eastAsia="宋体" w:cs="Calibri"/>
      <w:kern w:val="2"/>
      <w:sz w:val="18"/>
      <w:szCs w:val="18"/>
      <w:lang w:val="en-US" w:eastAsia="zh-CN"/>
    </w:rPr>
  </w:style>
  <w:style w:type="character" w:customStyle="1" w:styleId="59">
    <w:name w:val="页脚 Char"/>
    <w:basedOn w:val="38"/>
    <w:link w:val="25"/>
    <w:qFormat/>
    <w:locked/>
    <w:uiPriority w:val="99"/>
    <w:rPr>
      <w:rFonts w:ascii="Calibri" w:hAnsi="Calibri" w:eastAsia="宋体" w:cs="Calibri"/>
      <w:kern w:val="2"/>
      <w:sz w:val="18"/>
      <w:szCs w:val="18"/>
      <w:lang w:val="en-US" w:eastAsia="zh-CN"/>
    </w:rPr>
  </w:style>
  <w:style w:type="character" w:customStyle="1" w:styleId="60">
    <w:name w:val="页眉 Char"/>
    <w:basedOn w:val="38"/>
    <w:link w:val="26"/>
    <w:qFormat/>
    <w:locked/>
    <w:uiPriority w:val="99"/>
    <w:rPr>
      <w:rFonts w:ascii="Calibri" w:hAnsi="Calibri" w:eastAsia="宋体" w:cs="Calibri"/>
      <w:kern w:val="2"/>
      <w:sz w:val="18"/>
      <w:szCs w:val="18"/>
      <w:lang w:val="en-US" w:eastAsia="zh-CN"/>
    </w:rPr>
  </w:style>
  <w:style w:type="character" w:customStyle="1" w:styleId="61">
    <w:name w:val="批注主题 Char"/>
    <w:basedOn w:val="53"/>
    <w:link w:val="33"/>
    <w:semiHidden/>
    <w:qFormat/>
    <w:uiPriority w:val="99"/>
    <w:rPr>
      <w:b/>
      <w:bCs/>
    </w:rPr>
  </w:style>
  <w:style w:type="character" w:customStyle="1" w:styleId="62">
    <w:name w:val="Footer Char1"/>
    <w:basedOn w:val="38"/>
    <w:semiHidden/>
    <w:qFormat/>
    <w:locked/>
    <w:uiPriority w:val="99"/>
    <w:rPr>
      <w:rFonts w:ascii="Calibri" w:hAnsi="Calibri" w:cs="Calibri"/>
      <w:sz w:val="18"/>
      <w:szCs w:val="18"/>
    </w:rPr>
  </w:style>
  <w:style w:type="character" w:customStyle="1" w:styleId="63">
    <w:name w:val="Balloon Text Char1"/>
    <w:basedOn w:val="38"/>
    <w:semiHidden/>
    <w:qFormat/>
    <w:locked/>
    <w:uiPriority w:val="99"/>
    <w:rPr>
      <w:rFonts w:ascii="Calibri" w:hAnsi="Calibri" w:cs="Calibri"/>
      <w:sz w:val="2"/>
      <w:szCs w:val="2"/>
    </w:rPr>
  </w:style>
  <w:style w:type="character" w:customStyle="1" w:styleId="64">
    <w:name w:val="需求正文 Char"/>
    <w:link w:val="65"/>
    <w:qFormat/>
    <w:locked/>
    <w:uiPriority w:val="99"/>
    <w:rPr>
      <w:kern w:val="23"/>
      <w:sz w:val="23"/>
      <w:szCs w:val="23"/>
    </w:rPr>
  </w:style>
  <w:style w:type="paragraph" w:customStyle="1" w:styleId="65">
    <w:name w:val="需求正文"/>
    <w:basedOn w:val="1"/>
    <w:link w:val="64"/>
    <w:qFormat/>
    <w:uiPriority w:val="99"/>
    <w:pPr>
      <w:topLinePunct/>
      <w:adjustRightInd w:val="0"/>
      <w:ind w:firstLine="459"/>
    </w:pPr>
    <w:rPr>
      <w:rFonts w:ascii="Times New Roman" w:hAnsi="Times New Roman" w:cs="Times New Roman"/>
      <w:kern w:val="23"/>
      <w:sz w:val="23"/>
      <w:szCs w:val="23"/>
    </w:rPr>
  </w:style>
  <w:style w:type="character" w:customStyle="1" w:styleId="66">
    <w:name w:val="Plain Text Char1"/>
    <w:basedOn w:val="38"/>
    <w:semiHidden/>
    <w:qFormat/>
    <w:locked/>
    <w:uiPriority w:val="99"/>
    <w:rPr>
      <w:rFonts w:ascii="宋体" w:hAnsi="Courier New" w:cs="宋体"/>
      <w:sz w:val="21"/>
      <w:szCs w:val="21"/>
    </w:rPr>
  </w:style>
  <w:style w:type="character" w:customStyle="1" w:styleId="67">
    <w:name w:val="无间隔 Char"/>
    <w:basedOn w:val="38"/>
    <w:link w:val="68"/>
    <w:qFormat/>
    <w:locked/>
    <w:uiPriority w:val="99"/>
    <w:rPr>
      <w:rFonts w:ascii="Calibri" w:hAnsi="Calibri" w:cs="Calibri"/>
      <w:sz w:val="22"/>
      <w:szCs w:val="22"/>
      <w:lang w:val="en-US" w:eastAsia="zh-CN" w:bidi="ar-SA"/>
    </w:rPr>
  </w:style>
  <w:style w:type="paragraph" w:customStyle="1" w:styleId="68">
    <w:name w:val="无间隔1"/>
    <w:link w:val="67"/>
    <w:qFormat/>
    <w:uiPriority w:val="99"/>
    <w:rPr>
      <w:rFonts w:ascii="Calibri" w:hAnsi="Calibri" w:eastAsia="宋体" w:cs="Calibri"/>
      <w:sz w:val="22"/>
      <w:szCs w:val="22"/>
      <w:lang w:val="en-US" w:eastAsia="zh-CN" w:bidi="ar-SA"/>
    </w:rPr>
  </w:style>
  <w:style w:type="character" w:customStyle="1" w:styleId="69">
    <w:name w:val="Header Char1"/>
    <w:basedOn w:val="38"/>
    <w:semiHidden/>
    <w:qFormat/>
    <w:locked/>
    <w:uiPriority w:val="99"/>
    <w:rPr>
      <w:rFonts w:ascii="Calibri" w:hAnsi="Calibri" w:cs="Calibri"/>
      <w:sz w:val="18"/>
      <w:szCs w:val="18"/>
    </w:rPr>
  </w:style>
  <w:style w:type="character" w:customStyle="1" w:styleId="70">
    <w:name w:val="纯文本 Char"/>
    <w:basedOn w:val="38"/>
    <w:qFormat/>
    <w:locked/>
    <w:uiPriority w:val="0"/>
    <w:rPr>
      <w:rFonts w:ascii="宋体" w:hAnsi="Courier New" w:eastAsia="宋体" w:cs="宋体"/>
      <w:kern w:val="2"/>
      <w:sz w:val="21"/>
      <w:szCs w:val="21"/>
      <w:lang w:val="en-US" w:eastAsia="zh-CN"/>
    </w:rPr>
  </w:style>
  <w:style w:type="paragraph" w:customStyle="1" w:styleId="71">
    <w:name w:val="TOC 标题"/>
    <w:basedOn w:val="3"/>
    <w:next w:val="1"/>
    <w:qFormat/>
    <w:uiPriority w:val="99"/>
    <w:pPr>
      <w:widowControl/>
      <w:spacing w:before="480" w:after="0" w:line="276" w:lineRule="auto"/>
      <w:jc w:val="left"/>
      <w:outlineLvl w:val="9"/>
    </w:pPr>
    <w:rPr>
      <w:rFonts w:ascii="Cambria" w:hAnsi="Cambria" w:cs="Cambria"/>
      <w:b/>
      <w:bCs/>
      <w:color w:val="365F91"/>
      <w:kern w:val="0"/>
      <w:sz w:val="28"/>
      <w:szCs w:val="28"/>
    </w:rPr>
  </w:style>
  <w:style w:type="paragraph" w:customStyle="1" w:styleId="72">
    <w:name w:val="列出段落"/>
    <w:basedOn w:val="1"/>
    <w:qFormat/>
    <w:uiPriority w:val="99"/>
    <w:pPr>
      <w:ind w:firstLine="420" w:firstLineChars="200"/>
    </w:pPr>
  </w:style>
  <w:style w:type="paragraph" w:customStyle="1" w:styleId="73">
    <w:name w:val="修订"/>
    <w:qFormat/>
    <w:uiPriority w:val="99"/>
    <w:rPr>
      <w:rFonts w:ascii="Calibri" w:hAnsi="Calibri" w:eastAsia="宋体" w:cs="Calibri"/>
      <w:kern w:val="2"/>
      <w:sz w:val="21"/>
      <w:szCs w:val="21"/>
      <w:lang w:val="en-US" w:eastAsia="zh-CN" w:bidi="ar-SA"/>
    </w:rPr>
  </w:style>
  <w:style w:type="paragraph" w:customStyle="1" w:styleId="74">
    <w:name w:val="样式 正文11 + 首行缩进:  2 字符"/>
    <w:basedOn w:val="1"/>
    <w:qFormat/>
    <w:uiPriority w:val="0"/>
    <w:pPr>
      <w:spacing w:line="500" w:lineRule="exact"/>
      <w:ind w:firstLine="560" w:firstLineChars="200"/>
    </w:pPr>
    <w:rPr>
      <w:rFonts w:ascii="宋体" w:hAnsi="宋体" w:eastAsia="宋体" w:cs="宋体"/>
      <w:color w:val="FF0000"/>
      <w:sz w:val="28"/>
      <w:szCs w:val="20"/>
    </w:rPr>
  </w:style>
  <w:style w:type="paragraph" w:customStyle="1" w:styleId="75">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character" w:customStyle="1" w:styleId="76">
    <w:name w:val="font31"/>
    <w:basedOn w:val="38"/>
    <w:qFormat/>
    <w:uiPriority w:val="0"/>
    <w:rPr>
      <w:rFonts w:hint="eastAsia" w:ascii="宋体" w:hAnsi="宋体" w:eastAsia="宋体" w:cs="宋体"/>
      <w:color w:val="000000"/>
      <w:sz w:val="22"/>
      <w:szCs w:val="22"/>
      <w:u w:val="none"/>
    </w:rPr>
  </w:style>
  <w:style w:type="paragraph" w:customStyle="1" w:styleId="77">
    <w:name w:val="List Paragraph"/>
    <w:basedOn w:val="1"/>
    <w:qFormat/>
    <w:uiPriority w:val="34"/>
    <w:pPr>
      <w:ind w:firstLine="420" w:firstLineChars="200"/>
    </w:pPr>
  </w:style>
  <w:style w:type="paragraph" w:customStyle="1" w:styleId="78">
    <w:name w:val="Table Paragraph"/>
    <w:basedOn w:val="1"/>
    <w:qFormat/>
    <w:uiPriority w:val="1"/>
    <w:pPr>
      <w:jc w:val="left"/>
    </w:pPr>
    <w:rPr>
      <w:kern w:val="0"/>
      <w:sz w:val="22"/>
      <w:lang w:eastAsia="en-US"/>
    </w:rPr>
  </w:style>
  <w:style w:type="paragraph" w:customStyle="1" w:styleId="79">
    <w:name w:val="_Style 6"/>
    <w:basedOn w:val="3"/>
    <w:next w:val="1"/>
    <w:qFormat/>
    <w:uiPriority w:val="0"/>
    <w:pPr>
      <w:outlineLvl w:val="9"/>
    </w:pPr>
  </w:style>
  <w:style w:type="paragraph" w:customStyle="1" w:styleId="80">
    <w:name w:val="WPSOffice手动目录 1"/>
    <w:qFormat/>
    <w:uiPriority w:val="0"/>
    <w:pPr>
      <w:ind w:leftChars="0"/>
    </w:pPr>
    <w:rPr>
      <w:rFonts w:ascii="Times New Roman" w:hAnsi="Times New Roman" w:eastAsia="宋体" w:cs="Times New Roman"/>
      <w:sz w:val="20"/>
      <w:szCs w:val="20"/>
    </w:rPr>
  </w:style>
  <w:style w:type="paragraph" w:customStyle="1" w:styleId="81">
    <w:name w:val="Body text|1"/>
    <w:basedOn w:val="1"/>
    <w:qFormat/>
    <w:uiPriority w:val="0"/>
    <w:pPr>
      <w:widowControl w:val="0"/>
      <w:shd w:val="clear" w:color="auto" w:fill="auto"/>
      <w:spacing w:line="480" w:lineRule="auto"/>
    </w:pPr>
    <w:rPr>
      <w:rFonts w:ascii="宋体" w:hAnsi="宋体" w:eastAsia="宋体" w:cs="宋体"/>
      <w:sz w:val="20"/>
      <w:szCs w:val="20"/>
      <w:u w:val="none"/>
      <w:lang w:val="zh-TW" w:eastAsia="zh-TW" w:bidi="zh-TW"/>
    </w:rPr>
  </w:style>
  <w:style w:type="paragraph" w:customStyle="1" w:styleId="82">
    <w:name w:val="Heading #4|1"/>
    <w:basedOn w:val="1"/>
    <w:qFormat/>
    <w:uiPriority w:val="0"/>
    <w:pPr>
      <w:widowControl w:val="0"/>
      <w:shd w:val="clear" w:color="auto" w:fill="auto"/>
      <w:spacing w:after="200"/>
      <w:jc w:val="center"/>
      <w:outlineLvl w:val="3"/>
    </w:pPr>
    <w:rPr>
      <w:rFonts w:ascii="宋体" w:hAnsi="宋体" w:eastAsia="宋体" w:cs="宋体"/>
      <w:b/>
      <w:bCs/>
      <w:sz w:val="28"/>
      <w:szCs w:val="28"/>
      <w:u w:val="none"/>
      <w:shd w:val="clear" w:color="auto" w:fill="auto"/>
      <w:lang w:val="zh-TW" w:eastAsia="zh-TW" w:bidi="zh-TW"/>
    </w:rPr>
  </w:style>
  <w:style w:type="paragraph" w:customStyle="1" w:styleId="83">
    <w:name w:val="Other|1"/>
    <w:basedOn w:val="1"/>
    <w:qFormat/>
    <w:uiPriority w:val="0"/>
    <w:pPr>
      <w:widowControl w:val="0"/>
      <w:shd w:val="clear" w:color="auto" w:fill="auto"/>
      <w:spacing w:after="600" w:line="480" w:lineRule="auto"/>
    </w:pPr>
    <w:rPr>
      <w:rFonts w:ascii="宋体" w:hAnsi="宋体" w:eastAsia="宋体" w:cs="宋体"/>
      <w:b/>
      <w:bCs/>
      <w:sz w:val="32"/>
      <w:szCs w:val="32"/>
      <w:u w:val="none"/>
      <w:shd w:val="clear" w:color="auto" w:fill="auto"/>
      <w:lang w:val="zh-TW" w:eastAsia="zh-TW" w:bidi="zh-TW"/>
    </w:rPr>
  </w:style>
  <w:style w:type="paragraph" w:customStyle="1" w:styleId="84">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85">
    <w:name w:val="Header or footer|1"/>
    <w:basedOn w:val="1"/>
    <w:qFormat/>
    <w:uiPriority w:val="0"/>
    <w:pPr>
      <w:widowControl w:val="0"/>
      <w:shd w:val="clear" w:color="auto" w:fill="auto"/>
    </w:pPr>
    <w:rPr>
      <w:sz w:val="18"/>
      <w:szCs w:val="18"/>
      <w:u w:val="none"/>
      <w:shd w:val="clear" w:color="auto" w:fill="auto"/>
      <w:lang w:val="zh-TW" w:eastAsia="zh-TW" w:bidi="zh-TW"/>
    </w:rPr>
  </w:style>
  <w:style w:type="paragraph" w:customStyle="1" w:styleId="86">
    <w:name w:val="Body text|3"/>
    <w:basedOn w:val="1"/>
    <w:qFormat/>
    <w:uiPriority w:val="0"/>
    <w:pPr>
      <w:widowControl w:val="0"/>
      <w:shd w:val="clear" w:color="auto" w:fill="auto"/>
      <w:spacing w:after="600" w:line="480" w:lineRule="auto"/>
    </w:pPr>
    <w:rPr>
      <w:rFonts w:ascii="宋体" w:hAnsi="宋体" w:eastAsia="宋体" w:cs="宋体"/>
      <w:b/>
      <w:bCs/>
      <w:sz w:val="32"/>
      <w:szCs w:val="32"/>
      <w:u w:val="none"/>
      <w:shd w:val="clear" w:color="auto" w:fill="auto"/>
      <w:lang w:val="zh-TW" w:eastAsia="zh-TW" w:bidi="zh-TW"/>
    </w:rPr>
  </w:style>
  <w:style w:type="paragraph" w:customStyle="1" w:styleId="87">
    <w:name w:val="Body text|2"/>
    <w:basedOn w:val="1"/>
    <w:qFormat/>
    <w:uiPriority w:val="0"/>
    <w:pPr>
      <w:widowControl w:val="0"/>
      <w:shd w:val="clear" w:color="auto" w:fill="auto"/>
      <w:spacing w:line="406" w:lineRule="exact"/>
      <w:ind w:firstLine="560"/>
    </w:pPr>
    <w:rPr>
      <w:rFonts w:ascii="宋体" w:hAnsi="宋体" w:eastAsia="宋体" w:cs="宋体"/>
      <w:u w:val="none"/>
      <w:shd w:val="clear" w:color="auto" w:fill="auto"/>
      <w:lang w:val="zh-TW" w:eastAsia="zh-TW" w:bidi="zh-TW"/>
    </w:rPr>
  </w:style>
  <w:style w:type="paragraph" w:customStyle="1" w:styleId="88">
    <w:name w:val="Heading 2"/>
    <w:basedOn w:val="1"/>
    <w:qFormat/>
    <w:uiPriority w:val="1"/>
    <w:pPr>
      <w:ind w:left="100" w:right="102"/>
      <w:outlineLvl w:val="2"/>
    </w:pPr>
    <w:rPr>
      <w:rFonts w:ascii="Microsoft JhengHei" w:hAnsi="Microsoft JhengHei" w:eastAsia="Microsoft JhengHei" w:cs="Microsoft JhengHei"/>
      <w:b/>
      <w:bCs/>
      <w:sz w:val="32"/>
      <w:szCs w:val="32"/>
    </w:rPr>
  </w:style>
  <w:style w:type="table" w:customStyle="1" w:styleId="89">
    <w:name w:val="Table Normal"/>
    <w:semiHidden/>
    <w:unhideWhenUsed/>
    <w:qFormat/>
    <w:uiPriority w:val="2"/>
    <w:tblPr>
      <w:tblCellMar>
        <w:top w:w="0" w:type="dxa"/>
        <w:left w:w="0" w:type="dxa"/>
        <w:bottom w:w="0" w:type="dxa"/>
        <w:right w:w="0" w:type="dxa"/>
      </w:tblCellMar>
    </w:tblPr>
  </w:style>
  <w:style w:type="paragraph" w:customStyle="1" w:styleId="90">
    <w:name w:val="Heading 3"/>
    <w:basedOn w:val="1"/>
    <w:qFormat/>
    <w:uiPriority w:val="1"/>
    <w:pPr>
      <w:ind w:left="237" w:right="21"/>
      <w:outlineLvl w:val="3"/>
    </w:pPr>
    <w:rPr>
      <w:sz w:val="28"/>
      <w:szCs w:val="28"/>
    </w:rPr>
  </w:style>
  <w:style w:type="paragraph" w:customStyle="1" w:styleId="91">
    <w:name w:val="Heading 4"/>
    <w:basedOn w:val="1"/>
    <w:qFormat/>
    <w:uiPriority w:val="1"/>
    <w:pPr>
      <w:ind w:left="522" w:right="21"/>
      <w:outlineLvl w:val="4"/>
    </w:pPr>
    <w:rPr>
      <w:rFonts w:ascii="Times New Roman" w:hAnsi="Times New Roman" w:eastAsia="Times New Roman" w:cs="Times New Roman"/>
      <w:b/>
      <w:bCs/>
      <w:sz w:val="21"/>
      <w:szCs w:val="21"/>
    </w:rPr>
  </w:style>
  <w:style w:type="paragraph" w:customStyle="1" w:styleId="92">
    <w:name w:val="Normal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3">
    <w:name w:val="正文 首行缩进:  2 字符"/>
    <w:basedOn w:val="1"/>
    <w:qFormat/>
    <w:uiPriority w:val="0"/>
    <w:pPr>
      <w:ind w:firstLine="579" w:firstLineChars="200"/>
    </w:pPr>
    <w:rPr>
      <w:rFonts w:cs="宋体"/>
      <w:sz w:val="28"/>
      <w:szCs w:val="20"/>
    </w:rPr>
  </w:style>
  <w:style w:type="paragraph" w:customStyle="1" w:styleId="94">
    <w:name w:val="正文（缩进）"/>
    <w:basedOn w:val="1"/>
    <w:qFormat/>
    <w:uiPriority w:val="0"/>
    <w:pPr>
      <w:spacing w:before="50" w:after="50"/>
      <w:ind w:firstLine="20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1.xml"/><Relationship Id="rId16" Type="http://schemas.openxmlformats.org/officeDocument/2006/relationships/header" Target="header4.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110</Pages>
  <Words>8482</Words>
  <Characters>9622</Characters>
  <Lines>309</Lines>
  <Paragraphs>87</Paragraphs>
  <TotalTime>178</TotalTime>
  <ScaleCrop>false</ScaleCrop>
  <LinksUpToDate>false</LinksUpToDate>
  <CharactersWithSpaces>10215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2020-08-24T01:38:00Z</dcterms:created>
  <dc:creator>dk</dc:creator>
  <cp:lastModifiedBy>Administrator</cp:lastModifiedBy>
  <cp:lastPrinted>2021-02-18T03:02:00Z</cp:lastPrinted>
  <dcterms:modified xsi:type="dcterms:W3CDTF">2024-12-20T07:44:00Z</dcterms:modified>
  <dc:title>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6CF187C135F7459783E4E5C710723868_13</vt:lpwstr>
  </property>
</Properties>
</file>