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3AFF8C6">
      <w:pPr>
        <w:widowControl/>
        <w:adjustRightInd w:val="0"/>
        <w:snapToGrid w:val="0"/>
        <w:spacing w:line="360" w:lineRule="auto"/>
        <w:rPr>
          <w:rFonts w:hint="eastAsia" w:ascii="宋体" w:hAnsi="宋体" w:cs="宋体"/>
        </w:rPr>
      </w:pPr>
    </w:p>
    <w:p w14:paraId="324FB20C">
      <w:pPr>
        <w:adjustRightInd w:val="0"/>
        <w:snapToGrid w:val="0"/>
        <w:spacing w:line="360" w:lineRule="auto"/>
        <w:rPr>
          <w:rFonts w:hint="eastAsia" w:ascii="宋体" w:hAnsi="宋体" w:cs="宋体"/>
          <w:sz w:val="24"/>
        </w:rPr>
      </w:pPr>
    </w:p>
    <w:p w14:paraId="0B006FE5">
      <w:pPr>
        <w:adjustRightInd w:val="0"/>
        <w:snapToGrid w:val="0"/>
        <w:spacing w:line="360" w:lineRule="auto"/>
        <w:rPr>
          <w:rFonts w:hint="eastAsia" w:ascii="宋体" w:hAnsi="宋体" w:cs="宋体"/>
          <w:sz w:val="24"/>
        </w:rPr>
      </w:pPr>
      <w:r>
        <w:rPr>
          <w:rFonts w:hint="eastAsia" w:ascii="宋体" w:hAnsi="宋体" w:cs="宋体"/>
          <w:sz w:val="24"/>
        </w:rPr>
        <w:t>采购单位：同意发售招标文件，加盖公章和骑缝章。      （盖章）</w:t>
      </w:r>
    </w:p>
    <w:p w14:paraId="0E4161F6">
      <w:pPr>
        <w:adjustRightInd w:val="0"/>
        <w:snapToGrid w:val="0"/>
        <w:spacing w:line="360" w:lineRule="auto"/>
        <w:rPr>
          <w:rFonts w:hint="eastAsia" w:ascii="宋体" w:hAnsi="宋体" w:cs="宋体"/>
          <w:sz w:val="24"/>
        </w:rPr>
      </w:pPr>
      <w:r>
        <w:rPr>
          <w:rFonts w:hint="eastAsia" w:ascii="宋体" w:hAnsi="宋体" w:cs="宋体"/>
          <w:sz w:val="24"/>
        </w:rPr>
        <w:t xml:space="preserve">   </w:t>
      </w:r>
    </w:p>
    <w:p w14:paraId="0EBF6713">
      <w:pPr>
        <w:adjustRightInd w:val="0"/>
        <w:snapToGrid w:val="0"/>
        <w:spacing w:line="360" w:lineRule="auto"/>
        <w:rPr>
          <w:rFonts w:hint="eastAsia" w:ascii="宋体" w:hAnsi="宋体" w:cs="宋体"/>
          <w:sz w:val="24"/>
        </w:rPr>
      </w:pPr>
      <w:r>
        <w:rPr>
          <w:rFonts w:hint="eastAsia" w:ascii="宋体" w:hAnsi="宋体" w:cs="宋体"/>
          <w:sz w:val="24"/>
        </w:rPr>
        <w:t>法定代表人或授权委托人签字（盖章）：</w:t>
      </w:r>
    </w:p>
    <w:p w14:paraId="0B7EEE69">
      <w:pPr>
        <w:adjustRightInd w:val="0"/>
        <w:snapToGrid w:val="0"/>
        <w:spacing w:line="360" w:lineRule="auto"/>
        <w:rPr>
          <w:rFonts w:hint="eastAsia" w:ascii="宋体" w:hAnsi="宋体" w:cs="宋体"/>
          <w:sz w:val="24"/>
        </w:rPr>
      </w:pPr>
    </w:p>
    <w:p w14:paraId="7D64FFD0">
      <w:pPr>
        <w:adjustRightInd w:val="0"/>
        <w:snapToGrid w:val="0"/>
        <w:spacing w:line="360" w:lineRule="auto"/>
        <w:rPr>
          <w:rFonts w:hint="eastAsia" w:ascii="宋体" w:hAnsi="宋体" w:cs="宋体"/>
          <w:sz w:val="24"/>
          <w:lang w:val="zh-CN"/>
        </w:rPr>
      </w:pPr>
      <w:r>
        <w:rPr>
          <w:rFonts w:hint="eastAsia" w:ascii="宋体" w:hAnsi="宋体" w:cs="宋体"/>
          <w:sz w:val="24"/>
          <w:lang w:val="zh-CN"/>
        </w:rPr>
        <w:t>确认日期：</w:t>
      </w:r>
      <w:r>
        <w:rPr>
          <w:rFonts w:hint="eastAsia" w:ascii="宋体" w:hAnsi="宋体" w:cs="宋体"/>
          <w:sz w:val="24"/>
        </w:rPr>
        <w:t xml:space="preserve">    年    月    日</w:t>
      </w:r>
    </w:p>
    <w:p w14:paraId="587AD5A3">
      <w:pPr>
        <w:pStyle w:val="25"/>
        <w:shd w:val="clear" w:color="auto" w:fill="FFFFFF"/>
        <w:spacing w:before="0" w:beforeAutospacing="0" w:after="0" w:afterAutospacing="0" w:line="360" w:lineRule="auto"/>
        <w:jc w:val="center"/>
        <w:rPr>
          <w:rFonts w:hint="eastAsia"/>
          <w:b/>
          <w:bCs/>
        </w:rPr>
      </w:pPr>
    </w:p>
    <w:p w14:paraId="53CE878E">
      <w:pPr>
        <w:pStyle w:val="25"/>
        <w:shd w:val="clear" w:color="auto" w:fill="FFFFFF"/>
        <w:spacing w:before="0" w:beforeAutospacing="0" w:after="0" w:afterAutospacing="0" w:line="360" w:lineRule="auto"/>
        <w:jc w:val="both"/>
        <w:rPr>
          <w:rStyle w:val="17"/>
          <w:rFonts w:hint="eastAsia"/>
          <w:sz w:val="30"/>
          <w:szCs w:val="30"/>
        </w:rPr>
      </w:pPr>
      <w:r>
        <w:rPr>
          <w:rStyle w:val="17"/>
          <w:rFonts w:hint="eastAsia"/>
          <w:sz w:val="30"/>
          <w:szCs w:val="30"/>
        </w:rPr>
        <w:t xml:space="preserve">     </w:t>
      </w:r>
    </w:p>
    <w:p w14:paraId="270565FD">
      <w:pPr>
        <w:pStyle w:val="25"/>
        <w:shd w:val="clear" w:color="auto" w:fill="FFFFFF"/>
        <w:spacing w:before="0" w:beforeAutospacing="0" w:after="0" w:afterAutospacing="0" w:line="360" w:lineRule="auto"/>
        <w:jc w:val="center"/>
        <w:rPr>
          <w:rStyle w:val="17"/>
          <w:rFonts w:hint="eastAsia"/>
          <w:bCs w:val="0"/>
          <w:sz w:val="84"/>
          <w:szCs w:val="84"/>
        </w:rPr>
      </w:pPr>
      <w:r>
        <w:rPr>
          <w:rStyle w:val="17"/>
          <w:rFonts w:hint="eastAsia"/>
          <w:bCs w:val="0"/>
          <w:sz w:val="84"/>
          <w:szCs w:val="84"/>
        </w:rPr>
        <w:t>招 标 文 件</w:t>
      </w:r>
    </w:p>
    <w:p w14:paraId="14393F2B">
      <w:pPr>
        <w:pStyle w:val="25"/>
        <w:shd w:val="clear" w:color="auto" w:fill="FFFFFF"/>
        <w:spacing w:before="0" w:beforeAutospacing="0" w:after="0" w:afterAutospacing="0" w:line="360" w:lineRule="auto"/>
        <w:jc w:val="center"/>
        <w:rPr>
          <w:rStyle w:val="17"/>
          <w:rFonts w:hint="eastAsia"/>
          <w:bCs w:val="0"/>
          <w:sz w:val="84"/>
          <w:szCs w:val="84"/>
        </w:rPr>
      </w:pPr>
    </w:p>
    <w:p w14:paraId="17313D2C">
      <w:pPr>
        <w:spacing w:line="360" w:lineRule="auto"/>
        <w:rPr>
          <w:rStyle w:val="17"/>
          <w:rFonts w:hint="eastAsia" w:ascii="宋体" w:hAnsi="宋体" w:cs="宋体"/>
          <w:sz w:val="30"/>
          <w:szCs w:val="30"/>
        </w:rPr>
      </w:pPr>
    </w:p>
    <w:p w14:paraId="04EB7F8E">
      <w:pPr>
        <w:spacing w:line="360" w:lineRule="auto"/>
        <w:rPr>
          <w:rFonts w:hint="default" w:ascii="宋体" w:hAnsi="宋体" w:eastAsia="宋体" w:cs="宋体"/>
          <w:b/>
          <w:bCs/>
          <w:sz w:val="44"/>
          <w:szCs w:val="44"/>
          <w:lang w:val="en-US" w:eastAsia="zh-CN"/>
        </w:rPr>
      </w:pPr>
      <w:r>
        <w:rPr>
          <w:rStyle w:val="17"/>
          <w:rFonts w:hint="eastAsia" w:ascii="宋体" w:hAnsi="宋体" w:cs="宋体"/>
          <w:sz w:val="30"/>
          <w:szCs w:val="30"/>
        </w:rPr>
        <w:t>采购项目编号：</w:t>
      </w:r>
      <w:r>
        <w:rPr>
          <w:rStyle w:val="17"/>
          <w:rFonts w:hint="eastAsia" w:ascii="宋体" w:hAnsi="宋体" w:cs="宋体"/>
          <w:sz w:val="30"/>
          <w:szCs w:val="30"/>
          <w:lang w:val="en-US" w:eastAsia="zh-CN"/>
        </w:rPr>
        <w:t>采购计划-[2025]-00021号-JAZC2025-001</w:t>
      </w:r>
    </w:p>
    <w:p w14:paraId="5C7C31F2">
      <w:pPr>
        <w:spacing w:line="360" w:lineRule="auto"/>
        <w:rPr>
          <w:rStyle w:val="17"/>
          <w:rFonts w:hint="eastAsia" w:ascii="宋体" w:hAnsi="宋体" w:cs="宋体"/>
          <w:sz w:val="32"/>
          <w:szCs w:val="32"/>
        </w:rPr>
      </w:pPr>
      <w:r>
        <w:rPr>
          <w:rStyle w:val="17"/>
          <w:rFonts w:hint="eastAsia" w:ascii="宋体" w:hAnsi="宋体" w:cs="宋体"/>
          <w:sz w:val="30"/>
          <w:szCs w:val="30"/>
        </w:rPr>
        <w:t>采购项目名称：集安市医院异地新建项目购置弱电系统及其附属设备项目类别：货物类</w:t>
      </w:r>
    </w:p>
    <w:p w14:paraId="6A2897F7">
      <w:pPr>
        <w:pStyle w:val="25"/>
        <w:shd w:val="clear" w:color="auto" w:fill="FFFFFF"/>
        <w:spacing w:before="0" w:beforeAutospacing="0" w:after="0" w:afterAutospacing="0" w:line="360" w:lineRule="auto"/>
        <w:jc w:val="center"/>
        <w:rPr>
          <w:rStyle w:val="17"/>
          <w:rFonts w:hint="eastAsia"/>
          <w:sz w:val="32"/>
          <w:szCs w:val="32"/>
        </w:rPr>
      </w:pPr>
    </w:p>
    <w:p w14:paraId="3235D83F">
      <w:pPr>
        <w:adjustRightInd w:val="0"/>
        <w:snapToGrid w:val="0"/>
        <w:spacing w:line="360" w:lineRule="auto"/>
        <w:ind w:right="-48" w:rightChars="-23" w:firstLine="1446" w:firstLineChars="200"/>
        <w:rPr>
          <w:rFonts w:hint="eastAsia" w:ascii="宋体" w:hAnsi="宋体" w:cs="宋体"/>
          <w:b/>
          <w:sz w:val="72"/>
          <w:szCs w:val="72"/>
        </w:rPr>
      </w:pPr>
    </w:p>
    <w:p w14:paraId="1A68545C">
      <w:pPr>
        <w:adjustRightInd w:val="0"/>
        <w:snapToGrid w:val="0"/>
        <w:spacing w:line="360" w:lineRule="auto"/>
        <w:ind w:right="-48" w:rightChars="-23" w:firstLine="1446" w:firstLineChars="200"/>
        <w:rPr>
          <w:rFonts w:hint="eastAsia" w:ascii="宋体" w:hAnsi="宋体" w:cs="宋体"/>
          <w:b/>
          <w:sz w:val="72"/>
          <w:szCs w:val="72"/>
        </w:rPr>
      </w:pPr>
    </w:p>
    <w:p w14:paraId="49BD77E7">
      <w:pPr>
        <w:adjustRightInd w:val="0"/>
        <w:snapToGrid w:val="0"/>
        <w:spacing w:line="360" w:lineRule="auto"/>
        <w:ind w:right="-48" w:rightChars="-23" w:firstLine="1446" w:firstLineChars="200"/>
        <w:rPr>
          <w:rFonts w:hint="eastAsia" w:ascii="宋体" w:hAnsi="宋体" w:cs="宋体"/>
          <w:b/>
          <w:sz w:val="72"/>
          <w:szCs w:val="72"/>
        </w:rPr>
      </w:pPr>
      <w:r>
        <w:rPr>
          <w:rFonts w:hint="eastAsia" w:ascii="宋体" w:hAnsi="宋体" w:cs="宋体"/>
          <w:b/>
          <w:sz w:val="72"/>
          <w:szCs w:val="72"/>
        </w:rPr>
        <w:t>集安市政府采购中心</w:t>
      </w:r>
    </w:p>
    <w:p w14:paraId="43B040A8">
      <w:pPr>
        <w:pStyle w:val="25"/>
        <w:shd w:val="clear" w:color="auto" w:fill="FFFFFF"/>
        <w:spacing w:before="0" w:beforeAutospacing="0" w:after="0" w:afterAutospacing="0" w:line="360" w:lineRule="auto"/>
        <w:rPr>
          <w:rStyle w:val="17"/>
          <w:rFonts w:hint="eastAsia"/>
          <w:sz w:val="72"/>
          <w:szCs w:val="72"/>
        </w:rPr>
      </w:pPr>
    </w:p>
    <w:p w14:paraId="2700491D">
      <w:pPr>
        <w:spacing w:line="360" w:lineRule="auto"/>
        <w:rPr>
          <w:rFonts w:hint="eastAsia" w:ascii="宋体" w:hAnsi="宋体" w:cs="宋体"/>
        </w:rPr>
      </w:pPr>
    </w:p>
    <w:p w14:paraId="2E857F11">
      <w:pPr>
        <w:spacing w:line="360" w:lineRule="auto"/>
        <w:rPr>
          <w:rFonts w:hint="eastAsia" w:ascii="宋体" w:hAnsi="宋体" w:cs="宋体"/>
        </w:rPr>
      </w:pPr>
    </w:p>
    <w:p w14:paraId="0323EE5A">
      <w:pPr>
        <w:spacing w:line="360" w:lineRule="auto"/>
        <w:jc w:val="center"/>
        <w:rPr>
          <w:rFonts w:hint="eastAsia" w:ascii="宋体" w:hAnsi="宋体" w:cs="宋体"/>
          <w:b/>
          <w:bCs/>
          <w:sz w:val="44"/>
          <w:szCs w:val="44"/>
        </w:rPr>
      </w:pPr>
    </w:p>
    <w:p w14:paraId="6EA3FAA5">
      <w:pPr>
        <w:pStyle w:val="26"/>
        <w:shd w:val="clear" w:color="auto" w:fill="FFFFFF"/>
        <w:spacing w:beforeAutospacing="0" w:afterAutospacing="0" w:line="360" w:lineRule="auto"/>
        <w:ind w:firstLine="723" w:firstLineChars="200"/>
        <w:jc w:val="center"/>
        <w:rPr>
          <w:rStyle w:val="17"/>
          <w:rFonts w:hint="eastAsia"/>
          <w:sz w:val="36"/>
          <w:szCs w:val="36"/>
        </w:rPr>
      </w:pPr>
    </w:p>
    <w:p w14:paraId="33E20998">
      <w:pPr>
        <w:pStyle w:val="26"/>
        <w:shd w:val="clear" w:color="auto" w:fill="FFFFFF"/>
        <w:spacing w:beforeAutospacing="0" w:afterAutospacing="0" w:line="360" w:lineRule="auto"/>
        <w:ind w:firstLine="723" w:firstLineChars="200"/>
        <w:jc w:val="center"/>
        <w:rPr>
          <w:rStyle w:val="17"/>
          <w:rFonts w:hint="eastAsia"/>
          <w:sz w:val="36"/>
          <w:szCs w:val="36"/>
        </w:rPr>
      </w:pPr>
      <w:r>
        <w:rPr>
          <w:rStyle w:val="17"/>
          <w:rFonts w:hint="eastAsia"/>
          <w:sz w:val="36"/>
          <w:szCs w:val="36"/>
        </w:rPr>
        <w:t>目  录</w:t>
      </w:r>
    </w:p>
    <w:p w14:paraId="5A6C13FC">
      <w:pPr>
        <w:pStyle w:val="26"/>
        <w:shd w:val="clear" w:color="auto" w:fill="FFFFFF"/>
        <w:spacing w:beforeAutospacing="0" w:afterAutospacing="0" w:line="360" w:lineRule="auto"/>
        <w:jc w:val="center"/>
        <w:rPr>
          <w:rStyle w:val="17"/>
          <w:rFonts w:hint="eastAsia"/>
          <w:sz w:val="36"/>
          <w:szCs w:val="36"/>
        </w:rPr>
      </w:pPr>
    </w:p>
    <w:p w14:paraId="2F7709E1">
      <w:pPr>
        <w:pStyle w:val="26"/>
        <w:shd w:val="clear" w:color="auto" w:fill="FFFFFF"/>
        <w:spacing w:beforeAutospacing="0" w:afterAutospacing="0" w:line="360" w:lineRule="auto"/>
        <w:rPr>
          <w:rStyle w:val="17"/>
          <w:rFonts w:hint="eastAsia"/>
          <w:b w:val="0"/>
          <w:sz w:val="32"/>
          <w:szCs w:val="32"/>
        </w:rPr>
      </w:pPr>
      <w:r>
        <w:rPr>
          <w:rStyle w:val="17"/>
          <w:rFonts w:hint="eastAsia"/>
          <w:b w:val="0"/>
          <w:sz w:val="32"/>
          <w:szCs w:val="32"/>
        </w:rPr>
        <w:t>第一章  投标邀请</w:t>
      </w:r>
    </w:p>
    <w:p w14:paraId="08351FF5">
      <w:pPr>
        <w:pStyle w:val="26"/>
        <w:shd w:val="clear" w:color="auto" w:fill="FFFFFF"/>
        <w:spacing w:beforeAutospacing="0" w:afterAutospacing="0" w:line="360" w:lineRule="auto"/>
        <w:rPr>
          <w:rStyle w:val="17"/>
          <w:rFonts w:hint="eastAsia"/>
          <w:b w:val="0"/>
          <w:sz w:val="32"/>
          <w:szCs w:val="32"/>
        </w:rPr>
      </w:pPr>
      <w:r>
        <w:rPr>
          <w:rStyle w:val="17"/>
          <w:rFonts w:hint="eastAsia"/>
          <w:b w:val="0"/>
          <w:sz w:val="32"/>
          <w:szCs w:val="32"/>
        </w:rPr>
        <w:t>第二章  项目招标需求</w:t>
      </w:r>
    </w:p>
    <w:p w14:paraId="4A2D406A">
      <w:pPr>
        <w:pStyle w:val="26"/>
        <w:shd w:val="clear" w:color="auto" w:fill="FFFFFF"/>
        <w:spacing w:beforeAutospacing="0" w:afterAutospacing="0" w:line="360" w:lineRule="auto"/>
        <w:rPr>
          <w:rStyle w:val="17"/>
          <w:rFonts w:hint="eastAsia"/>
          <w:b w:val="0"/>
          <w:sz w:val="32"/>
          <w:szCs w:val="32"/>
        </w:rPr>
      </w:pPr>
      <w:r>
        <w:rPr>
          <w:rStyle w:val="17"/>
          <w:rFonts w:hint="eastAsia"/>
          <w:b w:val="0"/>
          <w:sz w:val="32"/>
          <w:szCs w:val="32"/>
        </w:rPr>
        <w:t>第三章  资格审查方法与标准</w:t>
      </w:r>
    </w:p>
    <w:p w14:paraId="454CA9D7">
      <w:pPr>
        <w:pStyle w:val="26"/>
        <w:shd w:val="clear" w:color="auto" w:fill="FFFFFF"/>
        <w:spacing w:beforeAutospacing="0" w:afterAutospacing="0" w:line="360" w:lineRule="auto"/>
        <w:rPr>
          <w:rStyle w:val="17"/>
          <w:rFonts w:hint="eastAsia"/>
          <w:b w:val="0"/>
          <w:sz w:val="32"/>
          <w:szCs w:val="32"/>
        </w:rPr>
      </w:pPr>
      <w:r>
        <w:rPr>
          <w:rStyle w:val="17"/>
          <w:rFonts w:hint="eastAsia"/>
          <w:b w:val="0"/>
          <w:sz w:val="32"/>
          <w:szCs w:val="32"/>
        </w:rPr>
        <w:t>第四章  评标方法、程序与标准</w:t>
      </w:r>
    </w:p>
    <w:p w14:paraId="1A639263">
      <w:pPr>
        <w:pStyle w:val="26"/>
        <w:shd w:val="clear" w:color="auto" w:fill="FFFFFF"/>
        <w:spacing w:beforeAutospacing="0" w:afterAutospacing="0" w:line="360" w:lineRule="auto"/>
        <w:rPr>
          <w:rStyle w:val="17"/>
          <w:rFonts w:hint="eastAsia"/>
          <w:b w:val="0"/>
          <w:sz w:val="32"/>
          <w:szCs w:val="32"/>
        </w:rPr>
      </w:pPr>
      <w:r>
        <w:rPr>
          <w:rStyle w:val="17"/>
          <w:rFonts w:hint="eastAsia"/>
          <w:b w:val="0"/>
          <w:sz w:val="32"/>
          <w:szCs w:val="32"/>
        </w:rPr>
        <w:t>第五章  投标人须知</w:t>
      </w:r>
    </w:p>
    <w:p w14:paraId="75EFB856">
      <w:pPr>
        <w:pStyle w:val="26"/>
        <w:shd w:val="clear" w:color="auto" w:fill="FFFFFF"/>
        <w:spacing w:beforeAutospacing="0" w:afterAutospacing="0" w:line="360" w:lineRule="auto"/>
        <w:rPr>
          <w:rStyle w:val="17"/>
          <w:rFonts w:hint="eastAsia"/>
          <w:b w:val="0"/>
          <w:sz w:val="32"/>
          <w:szCs w:val="32"/>
        </w:rPr>
      </w:pPr>
      <w:r>
        <w:rPr>
          <w:rStyle w:val="17"/>
          <w:rFonts w:hint="eastAsia"/>
          <w:b w:val="0"/>
          <w:sz w:val="32"/>
          <w:szCs w:val="32"/>
        </w:rPr>
        <w:t>第六章  合同文本</w:t>
      </w:r>
    </w:p>
    <w:p w14:paraId="3637566F">
      <w:pPr>
        <w:pStyle w:val="26"/>
        <w:shd w:val="clear" w:color="auto" w:fill="FFFFFF"/>
        <w:spacing w:beforeAutospacing="0" w:afterAutospacing="0" w:line="360" w:lineRule="auto"/>
        <w:rPr>
          <w:rStyle w:val="17"/>
          <w:rFonts w:hint="eastAsia"/>
          <w:b w:val="0"/>
          <w:sz w:val="32"/>
          <w:szCs w:val="32"/>
        </w:rPr>
      </w:pPr>
      <w:r>
        <w:rPr>
          <w:rStyle w:val="17"/>
          <w:rFonts w:hint="eastAsia"/>
          <w:b w:val="0"/>
          <w:sz w:val="32"/>
          <w:szCs w:val="32"/>
        </w:rPr>
        <w:t>第七章  投标文件格式</w:t>
      </w:r>
    </w:p>
    <w:p w14:paraId="68B08518">
      <w:pPr>
        <w:pStyle w:val="26"/>
        <w:shd w:val="clear" w:color="auto" w:fill="FFFFFF"/>
        <w:spacing w:beforeAutospacing="0" w:afterAutospacing="0" w:line="360" w:lineRule="auto"/>
        <w:rPr>
          <w:rStyle w:val="17"/>
          <w:rFonts w:hint="eastAsia"/>
          <w:b w:val="0"/>
          <w:sz w:val="32"/>
          <w:szCs w:val="32"/>
        </w:rPr>
      </w:pPr>
      <w:r>
        <w:rPr>
          <w:rStyle w:val="17"/>
          <w:rFonts w:hint="eastAsia"/>
          <w:b w:val="0"/>
          <w:sz w:val="32"/>
          <w:szCs w:val="32"/>
        </w:rPr>
        <w:t>第八章  附件</w:t>
      </w:r>
    </w:p>
    <w:p w14:paraId="79E38453">
      <w:pPr>
        <w:pStyle w:val="3"/>
        <w:spacing w:line="360" w:lineRule="auto"/>
        <w:jc w:val="center"/>
        <w:rPr>
          <w:rStyle w:val="17"/>
          <w:rFonts w:hint="eastAsia" w:ascii="宋体" w:hAnsi="宋体" w:cs="宋体"/>
          <w:b/>
          <w:bCs/>
          <w:sz w:val="36"/>
          <w:szCs w:val="36"/>
        </w:rPr>
        <w:sectPr>
          <w:footerReference r:id="rId3" w:type="default"/>
          <w:pgSz w:w="11906" w:h="16838"/>
          <w:pgMar w:top="1440" w:right="1466" w:bottom="1440" w:left="1440" w:header="624" w:footer="803" w:gutter="0"/>
          <w:cols w:space="425" w:num="1"/>
          <w:docGrid w:type="lines" w:linePitch="312" w:charSpace="0"/>
        </w:sectPr>
      </w:pPr>
    </w:p>
    <w:p w14:paraId="62B5B5AC">
      <w:pPr>
        <w:pStyle w:val="3"/>
        <w:spacing w:line="360" w:lineRule="auto"/>
        <w:jc w:val="center"/>
        <w:rPr>
          <w:rStyle w:val="17"/>
          <w:rFonts w:hint="eastAsia" w:ascii="宋体" w:hAnsi="宋体" w:cs="宋体"/>
          <w:b/>
          <w:bCs/>
          <w:sz w:val="36"/>
          <w:szCs w:val="36"/>
        </w:rPr>
      </w:pPr>
      <w:r>
        <w:rPr>
          <w:rStyle w:val="17"/>
          <w:rFonts w:hint="eastAsia" w:ascii="宋体" w:hAnsi="宋体" w:cs="宋体"/>
          <w:b w:val="0"/>
          <w:bCs w:val="0"/>
          <w:sz w:val="36"/>
          <w:szCs w:val="36"/>
        </w:rPr>
        <w:t>第一章  投标邀请</w:t>
      </w:r>
    </w:p>
    <w:p w14:paraId="31CC3DB0">
      <w:pPr>
        <w:spacing w:line="500" w:lineRule="exact"/>
        <w:ind w:firstLine="528" w:firstLineChars="200"/>
        <w:rPr>
          <w:rStyle w:val="17"/>
          <w:rFonts w:hint="eastAsia" w:ascii="仿宋" w:hAnsi="仿宋" w:eastAsia="仿宋" w:cs="仿宋"/>
          <w:color w:val="000000"/>
          <w:sz w:val="28"/>
          <w:szCs w:val="28"/>
          <w:lang w:val="en-US" w:eastAsia="zh-CN"/>
        </w:rPr>
      </w:pPr>
      <w:bookmarkStart w:id="0" w:name="_Toc35393621"/>
      <w:bookmarkStart w:id="1" w:name="_Toc28359079"/>
      <w:bookmarkStart w:id="2" w:name="_Toc28359002"/>
      <w:bookmarkStart w:id="3" w:name="_Toc35393790"/>
      <w:bookmarkStart w:id="4" w:name="_Hlk24379207"/>
      <w:r>
        <w:rPr>
          <w:rStyle w:val="17"/>
          <w:rFonts w:hint="eastAsia" w:ascii="仿宋" w:hAnsi="仿宋" w:eastAsia="仿宋" w:cs="仿宋"/>
          <w:color w:val="000000"/>
          <w:sz w:val="28"/>
          <w:szCs w:val="28"/>
          <w:lang w:val="en-US" w:eastAsia="zh-CN"/>
        </w:rPr>
        <w:t>项目概况</w:t>
      </w:r>
    </w:p>
    <w:p w14:paraId="6BD9A4DC">
      <w:pPr>
        <w:spacing w:line="500" w:lineRule="exact"/>
        <w:ind w:firstLine="528" w:firstLineChars="200"/>
        <w:rPr>
          <w:color w:val="000000"/>
          <w:highlight w:val="none"/>
        </w:rPr>
      </w:pPr>
      <w:r>
        <w:rPr>
          <w:rFonts w:hint="eastAsia" w:ascii="仿宋" w:hAnsi="仿宋" w:eastAsia="仿宋" w:cs="仿宋"/>
          <w:b/>
          <w:bCs w:val="0"/>
          <w:sz w:val="28"/>
          <w:szCs w:val="28"/>
        </w:rPr>
        <w:t>集安市医院异地新建项目购置弱电系统及其附属设备</w:t>
      </w:r>
      <w:r>
        <w:rPr>
          <w:rFonts w:hint="eastAsia" w:ascii="仿宋" w:hAnsi="仿宋" w:eastAsia="仿宋"/>
          <w:color w:val="000000"/>
          <w:sz w:val="28"/>
          <w:szCs w:val="28"/>
        </w:rPr>
        <w:t>采购项目的潜在供应商</w:t>
      </w:r>
      <w:r>
        <w:rPr>
          <w:rFonts w:hint="eastAsia" w:ascii="仿宋" w:hAnsi="仿宋" w:eastAsia="仿宋"/>
          <w:color w:val="000000"/>
          <w:sz w:val="28"/>
          <w:szCs w:val="28"/>
          <w:lang w:eastAsia="zh-CN"/>
        </w:rPr>
        <w:t>应在</w:t>
      </w:r>
      <w:r>
        <w:rPr>
          <w:rFonts w:hint="eastAsia" w:ascii="仿宋" w:hAnsi="仿宋" w:eastAsia="仿宋" w:cs="仿宋"/>
          <w:sz w:val="28"/>
          <w:szCs w:val="28"/>
        </w:rPr>
        <w:t>政采云平台（https://www.zcygov.cn）获取（下载）</w:t>
      </w:r>
      <w:r>
        <w:rPr>
          <w:rFonts w:hint="eastAsia" w:ascii="仿宋" w:hAnsi="仿宋" w:eastAsia="仿宋" w:cs="仿宋"/>
          <w:bCs/>
          <w:kern w:val="0"/>
          <w:sz w:val="28"/>
          <w:szCs w:val="28"/>
          <w:lang w:bidi="ar"/>
        </w:rPr>
        <w:t>采购文件</w:t>
      </w:r>
      <w:r>
        <w:rPr>
          <w:rFonts w:hint="eastAsia" w:ascii="仿宋" w:hAnsi="仿宋" w:eastAsia="仿宋" w:cs="仿宋"/>
          <w:sz w:val="28"/>
          <w:szCs w:val="28"/>
        </w:rPr>
        <w:t>，并于</w:t>
      </w:r>
      <w:r>
        <w:rPr>
          <w:rFonts w:hint="eastAsia" w:ascii="仿宋" w:hAnsi="仿宋" w:eastAsia="仿宋" w:cs="仿宋"/>
          <w:sz w:val="28"/>
          <w:szCs w:val="28"/>
          <w:highlight w:val="none"/>
        </w:rPr>
        <w:t>202</w:t>
      </w:r>
      <w:r>
        <w:rPr>
          <w:rFonts w:hint="eastAsia" w:ascii="仿宋" w:hAnsi="仿宋" w:eastAsia="仿宋" w:cs="仿宋"/>
          <w:sz w:val="28"/>
          <w:szCs w:val="28"/>
          <w:highlight w:val="none"/>
          <w:lang w:val="en-US" w:eastAsia="zh-CN"/>
        </w:rPr>
        <w:t>5</w:t>
      </w:r>
      <w:r>
        <w:rPr>
          <w:rFonts w:hint="eastAsia" w:ascii="仿宋" w:hAnsi="仿宋" w:eastAsia="仿宋" w:cs="仿宋"/>
          <w:sz w:val="28"/>
          <w:szCs w:val="28"/>
          <w:highlight w:val="none"/>
        </w:rPr>
        <w:t>年</w:t>
      </w:r>
      <w:r>
        <w:rPr>
          <w:rFonts w:hint="eastAsia" w:ascii="仿宋" w:hAnsi="仿宋" w:eastAsia="仿宋" w:cs="仿宋"/>
          <w:sz w:val="28"/>
          <w:szCs w:val="28"/>
          <w:highlight w:val="none"/>
          <w:lang w:val="en-US" w:eastAsia="zh-CN"/>
        </w:rPr>
        <w:t xml:space="preserve"> 4 </w:t>
      </w:r>
      <w:r>
        <w:rPr>
          <w:rFonts w:hint="eastAsia" w:ascii="仿宋" w:hAnsi="仿宋" w:eastAsia="仿宋" w:cs="仿宋"/>
          <w:sz w:val="28"/>
          <w:szCs w:val="28"/>
          <w:highlight w:val="none"/>
        </w:rPr>
        <w:t>月</w:t>
      </w:r>
      <w:r>
        <w:rPr>
          <w:rFonts w:hint="eastAsia" w:ascii="仿宋" w:hAnsi="仿宋" w:eastAsia="仿宋" w:cs="仿宋"/>
          <w:sz w:val="28"/>
          <w:szCs w:val="28"/>
          <w:highlight w:val="none"/>
          <w:lang w:val="en-US" w:eastAsia="zh-CN"/>
        </w:rPr>
        <w:t xml:space="preserve"> 23 </w:t>
      </w:r>
      <w:r>
        <w:rPr>
          <w:rFonts w:hint="eastAsia" w:ascii="仿宋" w:hAnsi="仿宋" w:eastAsia="仿宋" w:cs="仿宋"/>
          <w:sz w:val="28"/>
          <w:szCs w:val="28"/>
          <w:highlight w:val="none"/>
        </w:rPr>
        <w:t>日</w:t>
      </w:r>
      <w:r>
        <w:rPr>
          <w:rFonts w:hint="eastAsia" w:ascii="仿宋" w:hAnsi="仿宋" w:eastAsia="仿宋" w:cs="仿宋"/>
          <w:sz w:val="28"/>
          <w:szCs w:val="28"/>
          <w:highlight w:val="none"/>
          <w:lang w:val="en-US" w:eastAsia="zh-CN"/>
        </w:rPr>
        <w:t xml:space="preserve"> 9 </w:t>
      </w:r>
      <w:r>
        <w:rPr>
          <w:rFonts w:hint="eastAsia" w:ascii="仿宋" w:hAnsi="仿宋" w:eastAsia="仿宋" w:cs="仿宋"/>
          <w:sz w:val="28"/>
          <w:szCs w:val="28"/>
          <w:highlight w:val="none"/>
        </w:rPr>
        <w:t>时</w:t>
      </w:r>
      <w:r>
        <w:rPr>
          <w:rFonts w:hint="eastAsia" w:ascii="仿宋" w:hAnsi="仿宋" w:eastAsia="仿宋" w:cs="仿宋"/>
          <w:sz w:val="28"/>
          <w:szCs w:val="28"/>
          <w:highlight w:val="none"/>
          <w:lang w:val="en-US" w:eastAsia="zh-CN"/>
        </w:rPr>
        <w:t xml:space="preserve"> 00 </w:t>
      </w:r>
      <w:r>
        <w:rPr>
          <w:rFonts w:hint="eastAsia" w:ascii="仿宋" w:hAnsi="仿宋" w:eastAsia="仿宋" w:cs="仿宋"/>
          <w:sz w:val="28"/>
          <w:szCs w:val="28"/>
          <w:highlight w:val="none"/>
        </w:rPr>
        <w:t>分（北京时间）前递交响应文件。</w:t>
      </w:r>
    </w:p>
    <w:p w14:paraId="6EC48058">
      <w:pPr>
        <w:keepNext/>
        <w:keepLines/>
        <w:spacing w:line="360" w:lineRule="auto"/>
        <w:outlineLvl w:val="1"/>
        <w:rPr>
          <w:rFonts w:hint="eastAsia" w:asciiTheme="majorEastAsia" w:hAnsiTheme="majorEastAsia" w:eastAsiaTheme="majorEastAsia" w:cstheme="majorEastAsia"/>
          <w:bCs/>
          <w:sz w:val="24"/>
        </w:rPr>
      </w:pPr>
      <w:r>
        <w:rPr>
          <w:rFonts w:hint="eastAsia" w:asciiTheme="majorEastAsia" w:hAnsiTheme="majorEastAsia" w:eastAsiaTheme="majorEastAsia" w:cstheme="majorEastAsia"/>
          <w:bCs/>
          <w:sz w:val="24"/>
        </w:rPr>
        <w:t>一、项目基本情况</w:t>
      </w:r>
      <w:bookmarkEnd w:id="0"/>
      <w:bookmarkEnd w:id="1"/>
      <w:bookmarkEnd w:id="2"/>
      <w:bookmarkEnd w:id="3"/>
    </w:p>
    <w:p w14:paraId="0B026556">
      <w:pPr>
        <w:spacing w:line="360" w:lineRule="auto"/>
        <w:ind w:firstLine="448" w:firstLineChars="200"/>
        <w:rPr>
          <w:rFonts w:hint="default" w:asciiTheme="majorEastAsia" w:hAnsiTheme="majorEastAsia" w:eastAsiaTheme="majorEastAsia" w:cstheme="majorEastAsia"/>
          <w:b/>
          <w:bCs/>
          <w:sz w:val="24"/>
          <w:lang w:val="en-US" w:eastAsia="zh-CN"/>
        </w:rPr>
      </w:pPr>
      <w:r>
        <w:rPr>
          <w:rFonts w:hint="eastAsia" w:asciiTheme="majorEastAsia" w:hAnsiTheme="majorEastAsia" w:eastAsiaTheme="majorEastAsia" w:cstheme="majorEastAsia"/>
          <w:b/>
          <w:bCs/>
          <w:sz w:val="24"/>
        </w:rPr>
        <w:t>1.项目编号：</w:t>
      </w:r>
      <w:r>
        <w:rPr>
          <w:rFonts w:hint="eastAsia" w:asciiTheme="majorEastAsia" w:hAnsiTheme="majorEastAsia" w:eastAsiaTheme="majorEastAsia" w:cstheme="majorEastAsia"/>
          <w:b/>
          <w:bCs/>
          <w:sz w:val="24"/>
          <w:lang w:val="en-US" w:eastAsia="zh-CN"/>
        </w:rPr>
        <w:t>采购计划-[2025]-00021号-JAZC2025-001</w:t>
      </w:r>
    </w:p>
    <w:p w14:paraId="226F1A50">
      <w:pPr>
        <w:spacing w:line="360" w:lineRule="auto"/>
        <w:ind w:firstLine="448" w:firstLineChars="200"/>
        <w:rPr>
          <w:rFonts w:hint="eastAsia" w:asciiTheme="majorEastAsia" w:hAnsiTheme="majorEastAsia" w:eastAsiaTheme="majorEastAsia" w:cstheme="majorEastAsia"/>
          <w:bCs/>
          <w:sz w:val="24"/>
        </w:rPr>
      </w:pPr>
      <w:r>
        <w:rPr>
          <w:rFonts w:hint="eastAsia" w:asciiTheme="majorEastAsia" w:hAnsiTheme="majorEastAsia" w:eastAsiaTheme="majorEastAsia" w:cstheme="majorEastAsia"/>
          <w:b/>
          <w:bCs/>
          <w:sz w:val="24"/>
        </w:rPr>
        <w:t>2.项目名称：</w:t>
      </w:r>
      <w:r>
        <w:rPr>
          <w:rFonts w:hint="eastAsia" w:asciiTheme="majorEastAsia" w:hAnsiTheme="majorEastAsia" w:eastAsiaTheme="majorEastAsia" w:cstheme="majorEastAsia"/>
          <w:bCs/>
          <w:sz w:val="24"/>
        </w:rPr>
        <w:t>集安市医院</w:t>
      </w:r>
      <w:bookmarkStart w:id="30" w:name="_GoBack"/>
      <w:bookmarkEnd w:id="30"/>
      <w:r>
        <w:rPr>
          <w:rFonts w:hint="eastAsia" w:asciiTheme="majorEastAsia" w:hAnsiTheme="majorEastAsia" w:eastAsiaTheme="majorEastAsia" w:cstheme="majorEastAsia"/>
          <w:bCs/>
          <w:sz w:val="24"/>
        </w:rPr>
        <w:t>异地新建项目购置弱电系统及其附属设备</w:t>
      </w:r>
    </w:p>
    <w:bookmarkEnd w:id="4"/>
    <w:p w14:paraId="31C02DA9">
      <w:pPr>
        <w:spacing w:line="360" w:lineRule="auto"/>
        <w:ind w:firstLine="448" w:firstLineChars="200"/>
        <w:rPr>
          <w:rFonts w:hint="eastAsia" w:asciiTheme="majorEastAsia" w:hAnsiTheme="majorEastAsia" w:eastAsiaTheme="majorEastAsia" w:cstheme="majorEastAsia"/>
          <w:sz w:val="24"/>
          <w:u w:val="single"/>
        </w:rPr>
      </w:pPr>
      <w:r>
        <w:rPr>
          <w:rFonts w:hint="eastAsia" w:asciiTheme="majorEastAsia" w:hAnsiTheme="majorEastAsia" w:eastAsiaTheme="majorEastAsia" w:cstheme="majorEastAsia"/>
          <w:b/>
          <w:bCs/>
          <w:sz w:val="24"/>
        </w:rPr>
        <w:t>3.预算金额：</w:t>
      </w:r>
      <w:r>
        <w:rPr>
          <w:rFonts w:hint="eastAsia" w:asciiTheme="majorEastAsia" w:hAnsiTheme="majorEastAsia" w:eastAsiaTheme="majorEastAsia" w:cstheme="majorEastAsia"/>
          <w:bCs/>
          <w:sz w:val="24"/>
        </w:rPr>
        <w:t>286万元</w:t>
      </w:r>
    </w:p>
    <w:p w14:paraId="3D7BC28E">
      <w:pPr>
        <w:spacing w:line="360" w:lineRule="auto"/>
        <w:ind w:firstLine="448" w:firstLineChars="200"/>
        <w:rPr>
          <w:rFonts w:hint="eastAsia" w:asciiTheme="majorEastAsia" w:hAnsiTheme="majorEastAsia" w:eastAsiaTheme="majorEastAsia" w:cstheme="majorEastAsia"/>
          <w:b/>
          <w:bCs/>
          <w:sz w:val="24"/>
        </w:rPr>
      </w:pPr>
      <w:r>
        <w:rPr>
          <w:rFonts w:hint="eastAsia" w:asciiTheme="majorEastAsia" w:hAnsiTheme="majorEastAsia" w:eastAsiaTheme="majorEastAsia" w:cstheme="majorEastAsia"/>
          <w:b/>
          <w:bCs/>
          <w:sz w:val="24"/>
        </w:rPr>
        <w:t>4.最高限价：</w:t>
      </w:r>
      <w:r>
        <w:rPr>
          <w:rFonts w:hint="eastAsia" w:asciiTheme="majorEastAsia" w:hAnsiTheme="majorEastAsia" w:eastAsiaTheme="majorEastAsia" w:cstheme="majorEastAsia"/>
          <w:bCs/>
          <w:sz w:val="24"/>
        </w:rPr>
        <w:t xml:space="preserve">286万元 </w:t>
      </w:r>
    </w:p>
    <w:p w14:paraId="406E5B35">
      <w:pPr>
        <w:spacing w:line="360" w:lineRule="auto"/>
        <w:ind w:firstLine="448" w:firstLineChars="200"/>
        <w:rPr>
          <w:rFonts w:hint="eastAsia" w:asciiTheme="majorEastAsia" w:hAnsiTheme="majorEastAsia" w:eastAsiaTheme="majorEastAsia" w:cstheme="majorEastAsia"/>
          <w:b/>
          <w:bCs/>
          <w:sz w:val="24"/>
        </w:rPr>
      </w:pPr>
      <w:r>
        <w:rPr>
          <w:rFonts w:hint="eastAsia" w:asciiTheme="majorEastAsia" w:hAnsiTheme="majorEastAsia" w:eastAsiaTheme="majorEastAsia" w:cstheme="majorEastAsia"/>
          <w:b/>
          <w:bCs/>
          <w:sz w:val="24"/>
        </w:rPr>
        <w:t>5.采购需求：</w:t>
      </w:r>
    </w:p>
    <w:tbl>
      <w:tblPr>
        <w:tblStyle w:val="15"/>
        <w:tblW w:w="9225" w:type="dxa"/>
        <w:tblInd w:w="4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308"/>
        <w:gridCol w:w="1700"/>
        <w:gridCol w:w="4217"/>
      </w:tblGrid>
      <w:tr w14:paraId="0B3FAA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308" w:type="dxa"/>
            <w:vAlign w:val="center"/>
          </w:tcPr>
          <w:p w14:paraId="2E8B9C07">
            <w:pPr>
              <w:spacing w:line="360" w:lineRule="auto"/>
              <w:jc w:val="center"/>
              <w:rPr>
                <w:rFonts w:hint="eastAsia" w:asciiTheme="majorEastAsia" w:hAnsiTheme="majorEastAsia" w:eastAsiaTheme="majorEastAsia" w:cstheme="majorEastAsia"/>
                <w:b/>
                <w:bCs/>
                <w:sz w:val="24"/>
              </w:rPr>
            </w:pPr>
            <w:r>
              <w:rPr>
                <w:rFonts w:hint="eastAsia" w:asciiTheme="majorEastAsia" w:hAnsiTheme="majorEastAsia" w:eastAsiaTheme="majorEastAsia" w:cstheme="majorEastAsia"/>
                <w:b/>
                <w:bCs/>
                <w:sz w:val="24"/>
              </w:rPr>
              <w:t>采购标的名称</w:t>
            </w:r>
          </w:p>
        </w:tc>
        <w:tc>
          <w:tcPr>
            <w:tcW w:w="1700" w:type="dxa"/>
            <w:vAlign w:val="center"/>
          </w:tcPr>
          <w:p w14:paraId="70FF79E0">
            <w:pPr>
              <w:spacing w:line="360" w:lineRule="auto"/>
              <w:jc w:val="center"/>
              <w:rPr>
                <w:rFonts w:hint="eastAsia" w:asciiTheme="majorEastAsia" w:hAnsiTheme="majorEastAsia" w:eastAsiaTheme="majorEastAsia" w:cstheme="majorEastAsia"/>
                <w:b/>
                <w:bCs/>
                <w:sz w:val="24"/>
              </w:rPr>
            </w:pPr>
            <w:r>
              <w:rPr>
                <w:rFonts w:hint="eastAsia" w:asciiTheme="majorEastAsia" w:hAnsiTheme="majorEastAsia" w:eastAsiaTheme="majorEastAsia" w:cstheme="majorEastAsia"/>
                <w:b/>
                <w:bCs/>
                <w:sz w:val="24"/>
              </w:rPr>
              <w:t>数量</w:t>
            </w:r>
          </w:p>
        </w:tc>
        <w:tc>
          <w:tcPr>
            <w:tcW w:w="4217" w:type="dxa"/>
            <w:vAlign w:val="center"/>
          </w:tcPr>
          <w:p w14:paraId="2B87AEB5">
            <w:pPr>
              <w:spacing w:line="360" w:lineRule="auto"/>
              <w:ind w:firstLine="672" w:firstLineChars="300"/>
              <w:rPr>
                <w:rFonts w:hint="eastAsia" w:asciiTheme="majorEastAsia" w:hAnsiTheme="majorEastAsia" w:eastAsiaTheme="majorEastAsia" w:cstheme="majorEastAsia"/>
                <w:b/>
                <w:bCs/>
                <w:sz w:val="24"/>
              </w:rPr>
            </w:pPr>
            <w:r>
              <w:rPr>
                <w:rFonts w:hint="eastAsia" w:asciiTheme="majorEastAsia" w:hAnsiTheme="majorEastAsia" w:eastAsiaTheme="majorEastAsia" w:cstheme="majorEastAsia"/>
                <w:b/>
                <w:bCs/>
                <w:sz w:val="24"/>
              </w:rPr>
              <w:t>简要技术需求或服务要求</w:t>
            </w:r>
          </w:p>
        </w:tc>
      </w:tr>
      <w:tr w14:paraId="64D809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1" w:hRule="atLeast"/>
        </w:trPr>
        <w:tc>
          <w:tcPr>
            <w:tcW w:w="3308" w:type="dxa"/>
            <w:vAlign w:val="center"/>
          </w:tcPr>
          <w:p w14:paraId="42FFF6D3">
            <w:pPr>
              <w:spacing w:line="360" w:lineRule="auto"/>
              <w:jc w:val="center"/>
              <w:rPr>
                <w:rFonts w:hint="eastAsia" w:asciiTheme="majorEastAsia" w:hAnsiTheme="majorEastAsia" w:eastAsiaTheme="majorEastAsia" w:cstheme="majorEastAsia"/>
                <w:sz w:val="24"/>
              </w:rPr>
            </w:pPr>
            <w:bookmarkStart w:id="5" w:name="_Toc28359081"/>
            <w:bookmarkStart w:id="6" w:name="_Toc28359004"/>
            <w:r>
              <w:rPr>
                <w:rFonts w:hint="eastAsia" w:asciiTheme="majorEastAsia" w:hAnsiTheme="majorEastAsia" w:eastAsiaTheme="majorEastAsia" w:cstheme="majorEastAsia"/>
                <w:bCs/>
                <w:sz w:val="24"/>
              </w:rPr>
              <w:t>集安市医院异地新建项目购置弱电系统及其附属设备</w:t>
            </w:r>
          </w:p>
        </w:tc>
        <w:tc>
          <w:tcPr>
            <w:tcW w:w="1700" w:type="dxa"/>
            <w:vAlign w:val="center"/>
          </w:tcPr>
          <w:p w14:paraId="46E2BD7F">
            <w:pPr>
              <w:spacing w:line="360" w:lineRule="auto"/>
              <w:jc w:val="center"/>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1批</w:t>
            </w:r>
          </w:p>
        </w:tc>
        <w:tc>
          <w:tcPr>
            <w:tcW w:w="4217" w:type="dxa"/>
            <w:vAlign w:val="center"/>
          </w:tcPr>
          <w:p w14:paraId="148380FF">
            <w:pPr>
              <w:spacing w:line="360" w:lineRule="auto"/>
              <w:jc w:val="center"/>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lang w:eastAsia="zh-CN"/>
              </w:rPr>
              <w:t>弱电系统及附属设备</w:t>
            </w:r>
            <w:r>
              <w:rPr>
                <w:rFonts w:hint="eastAsia" w:asciiTheme="majorEastAsia" w:hAnsiTheme="majorEastAsia" w:eastAsiaTheme="majorEastAsia" w:cstheme="majorEastAsia"/>
                <w:sz w:val="24"/>
              </w:rPr>
              <w:t>（详见招标文件）</w:t>
            </w:r>
          </w:p>
        </w:tc>
      </w:tr>
    </w:tbl>
    <w:p w14:paraId="47EA5CF6">
      <w:pPr>
        <w:spacing w:line="360" w:lineRule="auto"/>
        <w:ind w:firstLine="448" w:firstLineChars="200"/>
        <w:rPr>
          <w:rFonts w:hint="eastAsia" w:asciiTheme="majorEastAsia" w:hAnsiTheme="majorEastAsia" w:eastAsiaTheme="majorEastAsia" w:cstheme="majorEastAsia"/>
          <w:b/>
          <w:bCs/>
          <w:sz w:val="24"/>
        </w:rPr>
      </w:pPr>
      <w:r>
        <w:rPr>
          <w:rFonts w:hint="eastAsia" w:asciiTheme="majorEastAsia" w:hAnsiTheme="majorEastAsia" w:eastAsiaTheme="majorEastAsia" w:cstheme="majorEastAsia"/>
          <w:b/>
          <w:bCs/>
          <w:sz w:val="24"/>
        </w:rPr>
        <w:t>6、合同履行期限：</w:t>
      </w:r>
      <w:r>
        <w:rPr>
          <w:rFonts w:hint="eastAsia" w:asciiTheme="majorEastAsia" w:hAnsiTheme="majorEastAsia" w:eastAsiaTheme="majorEastAsia" w:cstheme="majorEastAsia"/>
          <w:bCs/>
          <w:sz w:val="24"/>
        </w:rPr>
        <w:t>签订合同8个月完成。</w:t>
      </w:r>
    </w:p>
    <w:p w14:paraId="5EDA8D01">
      <w:pPr>
        <w:spacing w:line="360" w:lineRule="auto"/>
        <w:ind w:firstLine="448" w:firstLineChars="200"/>
        <w:rPr>
          <w:rFonts w:hint="eastAsia" w:asciiTheme="majorEastAsia" w:hAnsiTheme="majorEastAsia" w:eastAsiaTheme="majorEastAsia" w:cstheme="majorEastAsia"/>
          <w:b/>
          <w:bCs/>
          <w:sz w:val="24"/>
        </w:rPr>
      </w:pPr>
      <w:r>
        <w:rPr>
          <w:rFonts w:hint="eastAsia" w:asciiTheme="majorEastAsia" w:hAnsiTheme="majorEastAsia" w:eastAsiaTheme="majorEastAsia" w:cstheme="majorEastAsia"/>
          <w:b/>
          <w:bCs/>
          <w:sz w:val="24"/>
        </w:rPr>
        <w:t>7、本项目（否）接受联合体投标。</w:t>
      </w:r>
    </w:p>
    <w:p w14:paraId="1A64A5DB">
      <w:pPr>
        <w:keepNext/>
        <w:keepLines/>
        <w:spacing w:line="360" w:lineRule="auto"/>
        <w:outlineLvl w:val="1"/>
        <w:rPr>
          <w:rFonts w:hint="eastAsia" w:asciiTheme="majorEastAsia" w:hAnsiTheme="majorEastAsia" w:eastAsiaTheme="majorEastAsia" w:cstheme="majorEastAsia"/>
          <w:bCs/>
          <w:sz w:val="24"/>
        </w:rPr>
      </w:pPr>
      <w:r>
        <w:rPr>
          <w:rFonts w:hint="eastAsia" w:asciiTheme="majorEastAsia" w:hAnsiTheme="majorEastAsia" w:eastAsiaTheme="majorEastAsia" w:cstheme="majorEastAsia"/>
          <w:bCs/>
          <w:sz w:val="24"/>
        </w:rPr>
        <w:t>二、申请人的资格要求：</w:t>
      </w:r>
    </w:p>
    <w:p w14:paraId="0CF97500">
      <w:pPr>
        <w:spacing w:line="360" w:lineRule="auto"/>
        <w:ind w:firstLine="448"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1.满足《中华人民共和国政府采购法》第二十二条规定；</w:t>
      </w:r>
    </w:p>
    <w:p w14:paraId="19ED3E10">
      <w:pPr>
        <w:spacing w:line="360" w:lineRule="auto"/>
        <w:ind w:firstLine="448"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2.落实政府采购政策需满足的资格要求：本项目非专门面向中小企业</w:t>
      </w:r>
      <w:r>
        <w:rPr>
          <w:rFonts w:hint="eastAsia" w:asciiTheme="majorEastAsia" w:hAnsiTheme="majorEastAsia" w:eastAsiaTheme="majorEastAsia" w:cstheme="majorEastAsia"/>
          <w:sz w:val="24"/>
          <w:lang w:eastAsia="zh-CN"/>
        </w:rPr>
        <w:t>采购</w:t>
      </w:r>
      <w:r>
        <w:rPr>
          <w:rFonts w:hint="eastAsia" w:asciiTheme="majorEastAsia" w:hAnsiTheme="majorEastAsia" w:eastAsiaTheme="majorEastAsia" w:cstheme="majorEastAsia"/>
          <w:sz w:val="24"/>
        </w:rPr>
        <w:t>；</w:t>
      </w:r>
    </w:p>
    <w:p w14:paraId="69D62935">
      <w:pPr>
        <w:spacing w:line="360" w:lineRule="auto"/>
        <w:ind w:firstLine="448"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lang w:val="en-US" w:eastAsia="zh-CN"/>
        </w:rPr>
        <w:t>3</w:t>
      </w:r>
      <w:r>
        <w:rPr>
          <w:rFonts w:hint="eastAsia" w:asciiTheme="majorEastAsia" w:hAnsiTheme="majorEastAsia" w:eastAsiaTheme="majorEastAsia" w:cstheme="majorEastAsia"/>
          <w:sz w:val="24"/>
        </w:rPr>
        <w:t>.项目的特定资格要求：无。</w:t>
      </w:r>
    </w:p>
    <w:bookmarkEnd w:id="5"/>
    <w:bookmarkEnd w:id="6"/>
    <w:p w14:paraId="5C92B503">
      <w:pPr>
        <w:pStyle w:val="4"/>
        <w:numPr>
          <w:ilvl w:val="0"/>
          <w:numId w:val="0"/>
        </w:numPr>
        <w:spacing w:before="0" w:after="0" w:line="500" w:lineRule="exact"/>
        <w:rPr>
          <w:rFonts w:hint="eastAsia" w:ascii="仿宋" w:hAnsi="仿宋" w:eastAsia="仿宋" w:cs="仿宋"/>
          <w:b w:val="0"/>
          <w:bCs w:val="0"/>
          <w:color w:val="auto"/>
          <w:kern w:val="0"/>
          <w:sz w:val="28"/>
          <w:szCs w:val="28"/>
          <w:highlight w:val="yellow"/>
          <w:lang w:val="en-US" w:eastAsia="zh-CN" w:bidi="ar"/>
        </w:rPr>
      </w:pPr>
      <w:bookmarkStart w:id="7" w:name="_Toc35393631"/>
      <w:bookmarkStart w:id="8" w:name="_Toc35393800"/>
      <w:bookmarkStart w:id="9" w:name="_Toc35393795"/>
      <w:bookmarkStart w:id="10" w:name="_Toc35393626"/>
      <w:r>
        <w:rPr>
          <w:rFonts w:hint="eastAsia" w:ascii="黑体" w:hAnsi="黑体" w:cs="宋体"/>
          <w:b w:val="0"/>
          <w:color w:val="000000"/>
          <w:sz w:val="28"/>
          <w:szCs w:val="28"/>
        </w:rPr>
        <w:t>三、获取采购文件</w:t>
      </w:r>
      <w:bookmarkEnd w:id="7"/>
      <w:bookmarkEnd w:id="8"/>
    </w:p>
    <w:p w14:paraId="264F3365">
      <w:pPr>
        <w:keepNext w:val="0"/>
        <w:keepLines w:val="0"/>
        <w:pageBreakBefore w:val="0"/>
        <w:widowControl w:val="0"/>
        <w:kinsoku/>
        <w:wordWrap/>
        <w:overflowPunct/>
        <w:topLinePunct w:val="0"/>
        <w:autoSpaceDE w:val="0"/>
        <w:autoSpaceDN/>
        <w:bidi w:val="0"/>
        <w:adjustRightInd/>
        <w:snapToGrid/>
        <w:spacing w:line="440" w:lineRule="exact"/>
        <w:ind w:firstLine="528" w:firstLineChars="200"/>
        <w:textAlignment w:val="auto"/>
        <w:rPr>
          <w:rFonts w:hint="eastAsia" w:ascii="仿宋" w:hAnsi="仿宋" w:eastAsia="仿宋" w:cs="仿宋"/>
          <w:color w:val="auto"/>
          <w:kern w:val="0"/>
          <w:sz w:val="28"/>
          <w:szCs w:val="28"/>
          <w:highlight w:val="none"/>
          <w:lang w:val="en-US" w:eastAsia="zh-CN" w:bidi="ar"/>
        </w:rPr>
      </w:pPr>
      <w:r>
        <w:rPr>
          <w:rFonts w:hint="eastAsia" w:ascii="仿宋" w:hAnsi="仿宋" w:eastAsia="仿宋" w:cs="仿宋"/>
          <w:b w:val="0"/>
          <w:bCs w:val="0"/>
          <w:color w:val="auto"/>
          <w:kern w:val="0"/>
          <w:sz w:val="28"/>
          <w:szCs w:val="28"/>
          <w:highlight w:val="none"/>
          <w:lang w:val="en-US" w:eastAsia="zh-CN" w:bidi="ar"/>
        </w:rPr>
        <w:t xml:space="preserve">1、 时间：2025年 3 月 31 日至2025年 4 月 8 </w:t>
      </w:r>
      <w:r>
        <w:rPr>
          <w:rFonts w:hint="eastAsia" w:ascii="仿宋" w:hAnsi="仿宋" w:eastAsia="仿宋" w:cs="仿宋"/>
          <w:color w:val="auto"/>
          <w:kern w:val="0"/>
          <w:sz w:val="28"/>
          <w:szCs w:val="28"/>
          <w:highlight w:val="none"/>
          <w:lang w:val="en-US" w:eastAsia="zh-CN" w:bidi="ar"/>
        </w:rPr>
        <w:t>日，每天上午8时30分至下午16时30分（北京时间，法定节假日除外）；</w:t>
      </w:r>
    </w:p>
    <w:p w14:paraId="1B88634B">
      <w:pPr>
        <w:keepNext w:val="0"/>
        <w:keepLines w:val="0"/>
        <w:pageBreakBefore w:val="0"/>
        <w:widowControl w:val="0"/>
        <w:kinsoku/>
        <w:wordWrap/>
        <w:overflowPunct/>
        <w:topLinePunct w:val="0"/>
        <w:autoSpaceDE w:val="0"/>
        <w:autoSpaceDN/>
        <w:bidi w:val="0"/>
        <w:adjustRightInd/>
        <w:snapToGrid/>
        <w:spacing w:line="440" w:lineRule="exact"/>
        <w:ind w:firstLine="528" w:firstLineChars="200"/>
        <w:textAlignment w:val="auto"/>
        <w:rPr>
          <w:rFonts w:hint="eastAsia" w:ascii="仿宋" w:hAnsi="仿宋" w:eastAsia="仿宋" w:cs="仿宋"/>
          <w:color w:val="auto"/>
          <w:kern w:val="0"/>
          <w:sz w:val="28"/>
          <w:szCs w:val="28"/>
          <w:highlight w:val="none"/>
          <w:lang w:val="en-US" w:eastAsia="zh-CN" w:bidi="ar"/>
        </w:rPr>
      </w:pPr>
      <w:r>
        <w:rPr>
          <w:rFonts w:hint="eastAsia" w:ascii="仿宋" w:hAnsi="仿宋" w:eastAsia="仿宋" w:cs="仿宋"/>
          <w:color w:val="auto"/>
          <w:kern w:val="0"/>
          <w:sz w:val="28"/>
          <w:szCs w:val="28"/>
          <w:highlight w:val="none"/>
          <w:lang w:val="en-US" w:eastAsia="zh-CN" w:bidi="ar"/>
        </w:rPr>
        <w:t>2、 地点：政采云平台；</w:t>
      </w:r>
    </w:p>
    <w:p w14:paraId="0ECF5131">
      <w:pPr>
        <w:keepNext w:val="0"/>
        <w:keepLines w:val="0"/>
        <w:pageBreakBefore w:val="0"/>
        <w:widowControl w:val="0"/>
        <w:kinsoku/>
        <w:wordWrap/>
        <w:overflowPunct/>
        <w:topLinePunct w:val="0"/>
        <w:autoSpaceDE w:val="0"/>
        <w:autoSpaceDN/>
        <w:bidi w:val="0"/>
        <w:adjustRightInd/>
        <w:snapToGrid/>
        <w:spacing w:line="440" w:lineRule="exact"/>
        <w:ind w:firstLine="528" w:firstLineChars="200"/>
        <w:textAlignment w:val="auto"/>
        <w:rPr>
          <w:rFonts w:hint="eastAsia" w:ascii="仿宋" w:hAnsi="仿宋" w:eastAsia="仿宋" w:cs="仿宋"/>
          <w:color w:val="auto"/>
          <w:kern w:val="0"/>
          <w:sz w:val="28"/>
          <w:szCs w:val="28"/>
          <w:highlight w:val="none"/>
          <w:lang w:val="en-US" w:eastAsia="zh-CN" w:bidi="ar"/>
        </w:rPr>
      </w:pPr>
      <w:r>
        <w:rPr>
          <w:rFonts w:hint="eastAsia" w:ascii="仿宋" w:hAnsi="仿宋" w:eastAsia="仿宋" w:cs="仿宋"/>
          <w:color w:val="auto"/>
          <w:kern w:val="0"/>
          <w:sz w:val="28"/>
          <w:szCs w:val="28"/>
          <w:highlight w:val="none"/>
          <w:lang w:val="en-US" w:eastAsia="zh-CN" w:bidi="ar"/>
        </w:rPr>
        <w:t>3、 方式：供应商登录政采云平台 https://www.zcygov.cn/在线申请获取采购文件（进入“项目采购”应用，在获取采购文件菜单中选择项目，申请获取采购文件），其他途径获取的招标文件开标时一律按无效投标处理）；</w:t>
      </w:r>
    </w:p>
    <w:p w14:paraId="3E15FFF9">
      <w:pPr>
        <w:keepNext w:val="0"/>
        <w:keepLines w:val="0"/>
        <w:pageBreakBefore w:val="0"/>
        <w:widowControl w:val="0"/>
        <w:kinsoku/>
        <w:wordWrap/>
        <w:overflowPunct/>
        <w:topLinePunct w:val="0"/>
        <w:autoSpaceDE w:val="0"/>
        <w:autoSpaceDN/>
        <w:bidi w:val="0"/>
        <w:adjustRightInd/>
        <w:snapToGrid/>
        <w:spacing w:line="440" w:lineRule="exact"/>
        <w:ind w:firstLine="264" w:firstLineChars="100"/>
        <w:textAlignment w:val="auto"/>
        <w:rPr>
          <w:rFonts w:hint="eastAsia" w:ascii="仿宋" w:hAnsi="仿宋" w:eastAsia="仿宋" w:cs="仿宋"/>
          <w:color w:val="auto"/>
          <w:kern w:val="0"/>
          <w:sz w:val="28"/>
          <w:szCs w:val="28"/>
          <w:highlight w:val="none"/>
          <w:lang w:val="zh-CN" w:eastAsia="zh-CN" w:bidi="ar"/>
        </w:rPr>
      </w:pPr>
      <w:r>
        <w:rPr>
          <w:rFonts w:hint="eastAsia" w:ascii="仿宋" w:hAnsi="仿宋" w:eastAsia="仿宋" w:cs="仿宋"/>
          <w:color w:val="auto"/>
          <w:kern w:val="0"/>
          <w:sz w:val="28"/>
          <w:szCs w:val="28"/>
          <w:highlight w:val="none"/>
          <w:lang w:val="en-US" w:eastAsia="zh-CN" w:bidi="ar"/>
        </w:rPr>
        <w:t xml:space="preserve"> 4、售价：免费获取。</w:t>
      </w:r>
    </w:p>
    <w:p w14:paraId="532A70C0">
      <w:pPr>
        <w:pStyle w:val="9"/>
        <w:tabs>
          <w:tab w:val="left" w:pos="3570"/>
        </w:tabs>
        <w:adjustRightInd w:val="0"/>
        <w:snapToGrid w:val="0"/>
        <w:spacing w:line="500" w:lineRule="exact"/>
        <w:ind w:firstLine="264" w:firstLineChars="100"/>
        <w:rPr>
          <w:rFonts w:hint="eastAsia" w:ascii="仿宋" w:hAnsi="仿宋" w:eastAsia="仿宋" w:cs="宋体"/>
          <w:color w:val="000000"/>
          <w:sz w:val="28"/>
          <w:szCs w:val="28"/>
          <w:u w:val="single"/>
        </w:rPr>
      </w:pPr>
      <w:r>
        <w:rPr>
          <w:rFonts w:hint="eastAsia" w:ascii="仿宋" w:hAnsi="仿宋" w:eastAsia="仿宋"/>
          <w:b w:val="0"/>
          <w:color w:val="000000"/>
          <w:sz w:val="28"/>
          <w:szCs w:val="28"/>
        </w:rPr>
        <w:t>本项目不接受联合体投标。</w:t>
      </w:r>
    </w:p>
    <w:p w14:paraId="5CEE869E">
      <w:pPr>
        <w:widowControl/>
        <w:spacing w:before="100" w:beforeAutospacing="1" w:after="100" w:afterAutospacing="1" w:line="275" w:lineRule="atLeast"/>
        <w:jc w:val="left"/>
        <w:rPr>
          <w:rFonts w:hint="eastAsia" w:ascii="仿宋" w:hAnsi="仿宋" w:eastAsia="仿宋" w:cs="仿宋"/>
          <w:color w:val="000000"/>
          <w:kern w:val="0"/>
          <w:sz w:val="28"/>
          <w:szCs w:val="28"/>
          <w:lang w:eastAsia="zh-CN"/>
        </w:rPr>
      </w:pPr>
      <w:bookmarkStart w:id="11" w:name="_Toc28359016"/>
      <w:bookmarkStart w:id="12" w:name="_Toc35393633"/>
      <w:bookmarkStart w:id="13" w:name="_Toc28359093"/>
      <w:bookmarkStart w:id="14" w:name="_Toc35393802"/>
      <w:r>
        <w:rPr>
          <w:rFonts w:hint="eastAsia" w:ascii="仿宋" w:hAnsi="仿宋" w:eastAsia="仿宋" w:cs="仿宋"/>
          <w:color w:val="000000"/>
          <w:kern w:val="0"/>
          <w:sz w:val="28"/>
          <w:szCs w:val="28"/>
        </w:rPr>
        <w:t>四、</w:t>
      </w:r>
      <w:r>
        <w:rPr>
          <w:rFonts w:hint="eastAsia" w:ascii="仿宋" w:hAnsi="仿宋" w:eastAsia="仿宋" w:cs="仿宋"/>
          <w:color w:val="000000"/>
          <w:kern w:val="0"/>
          <w:sz w:val="28"/>
          <w:szCs w:val="28"/>
          <w:lang w:eastAsia="zh-CN"/>
        </w:rPr>
        <w:t>响应文件的递交</w:t>
      </w:r>
    </w:p>
    <w:p w14:paraId="010EDD5D">
      <w:pPr>
        <w:spacing w:line="360" w:lineRule="auto"/>
        <w:ind w:firstLine="528" w:firstLineChars="200"/>
        <w:rPr>
          <w:rFonts w:hint="eastAsia" w:ascii="仿宋" w:hAnsi="仿宋" w:eastAsia="仿宋" w:cs="仿宋"/>
          <w:sz w:val="28"/>
          <w:szCs w:val="28"/>
          <w:highlight w:val="none"/>
        </w:rPr>
      </w:pPr>
      <w:r>
        <w:rPr>
          <w:rFonts w:hint="eastAsia" w:ascii="仿宋" w:hAnsi="仿宋" w:eastAsia="仿宋" w:cs="仿宋"/>
          <w:b/>
          <w:bCs/>
          <w:color w:val="000000"/>
          <w:kern w:val="0"/>
          <w:sz w:val="28"/>
          <w:szCs w:val="28"/>
        </w:rPr>
        <w:t>1.截止时间</w:t>
      </w:r>
      <w:r>
        <w:rPr>
          <w:rFonts w:hint="eastAsia" w:ascii="仿宋" w:hAnsi="仿宋" w:eastAsia="仿宋" w:cs="仿宋"/>
          <w:b/>
          <w:bCs/>
          <w:color w:val="000000"/>
          <w:kern w:val="0"/>
          <w:sz w:val="28"/>
          <w:szCs w:val="28"/>
          <w:lang w:eastAsia="zh-CN"/>
        </w:rPr>
        <w:t>：</w:t>
      </w:r>
      <w:r>
        <w:rPr>
          <w:rFonts w:hint="eastAsia" w:ascii="仿宋" w:hAnsi="仿宋" w:eastAsia="仿宋" w:cs="仿宋"/>
          <w:sz w:val="28"/>
          <w:szCs w:val="28"/>
          <w:highlight w:val="none"/>
        </w:rPr>
        <w:t>202</w:t>
      </w:r>
      <w:r>
        <w:rPr>
          <w:rFonts w:hint="eastAsia" w:ascii="仿宋" w:hAnsi="仿宋" w:eastAsia="仿宋" w:cs="仿宋"/>
          <w:sz w:val="28"/>
          <w:szCs w:val="28"/>
          <w:highlight w:val="none"/>
          <w:lang w:val="en-US" w:eastAsia="zh-CN"/>
        </w:rPr>
        <w:t>5</w:t>
      </w:r>
      <w:r>
        <w:rPr>
          <w:rFonts w:hint="eastAsia" w:ascii="仿宋" w:hAnsi="仿宋" w:eastAsia="仿宋" w:cs="仿宋"/>
          <w:sz w:val="28"/>
          <w:szCs w:val="28"/>
          <w:highlight w:val="none"/>
        </w:rPr>
        <w:t>年</w:t>
      </w:r>
      <w:r>
        <w:rPr>
          <w:rFonts w:hint="eastAsia" w:ascii="仿宋" w:hAnsi="仿宋" w:eastAsia="仿宋" w:cs="仿宋"/>
          <w:sz w:val="28"/>
          <w:szCs w:val="28"/>
          <w:highlight w:val="none"/>
          <w:lang w:val="en-US" w:eastAsia="zh-CN"/>
        </w:rPr>
        <w:t xml:space="preserve"> 4 </w:t>
      </w:r>
      <w:r>
        <w:rPr>
          <w:rFonts w:hint="eastAsia" w:ascii="仿宋" w:hAnsi="仿宋" w:eastAsia="仿宋" w:cs="仿宋"/>
          <w:sz w:val="28"/>
          <w:szCs w:val="28"/>
          <w:highlight w:val="none"/>
        </w:rPr>
        <w:t>月</w:t>
      </w:r>
      <w:r>
        <w:rPr>
          <w:rFonts w:hint="eastAsia" w:ascii="仿宋" w:hAnsi="仿宋" w:eastAsia="仿宋" w:cs="仿宋"/>
          <w:sz w:val="28"/>
          <w:szCs w:val="28"/>
          <w:highlight w:val="none"/>
          <w:lang w:val="en-US" w:eastAsia="zh-CN"/>
        </w:rPr>
        <w:t xml:space="preserve"> 23 </w:t>
      </w:r>
      <w:r>
        <w:rPr>
          <w:rFonts w:hint="eastAsia" w:ascii="仿宋" w:hAnsi="仿宋" w:eastAsia="仿宋" w:cs="仿宋"/>
          <w:sz w:val="28"/>
          <w:szCs w:val="28"/>
          <w:highlight w:val="none"/>
        </w:rPr>
        <w:t>日09时</w:t>
      </w:r>
      <w:r>
        <w:rPr>
          <w:rFonts w:hint="eastAsia" w:ascii="仿宋" w:hAnsi="仿宋" w:eastAsia="仿宋" w:cs="仿宋"/>
          <w:sz w:val="28"/>
          <w:szCs w:val="28"/>
          <w:highlight w:val="none"/>
          <w:lang w:val="en-US" w:eastAsia="zh-CN"/>
        </w:rPr>
        <w:t>0</w:t>
      </w:r>
      <w:r>
        <w:rPr>
          <w:rFonts w:hint="eastAsia" w:ascii="仿宋" w:hAnsi="仿宋" w:eastAsia="仿宋" w:cs="仿宋"/>
          <w:sz w:val="28"/>
          <w:szCs w:val="28"/>
          <w:highlight w:val="none"/>
        </w:rPr>
        <w:t>0分（北京时间）；</w:t>
      </w:r>
    </w:p>
    <w:p w14:paraId="29B9036D">
      <w:pPr>
        <w:spacing w:line="360" w:lineRule="auto"/>
        <w:ind w:firstLine="528" w:firstLineChars="200"/>
        <w:rPr>
          <w:rFonts w:hint="eastAsia" w:ascii="仿宋" w:hAnsi="仿宋" w:eastAsia="仿宋" w:cs="仿宋"/>
          <w:sz w:val="28"/>
          <w:szCs w:val="28"/>
          <w:highlight w:val="none"/>
        </w:rPr>
      </w:pPr>
      <w:r>
        <w:rPr>
          <w:rFonts w:hint="eastAsia" w:ascii="仿宋" w:hAnsi="仿宋" w:eastAsia="仿宋" w:cs="仿宋"/>
          <w:sz w:val="28"/>
          <w:szCs w:val="28"/>
          <w:highlight w:val="none"/>
        </w:rPr>
        <w:t>2.地点：政府采购云平台（</w:t>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HYPERLINK "https://www.zcygov.cn"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https://www.zcygov.cn</w:t>
      </w:r>
      <w:r>
        <w:rPr>
          <w:rFonts w:hint="eastAsia" w:ascii="仿宋" w:hAnsi="仿宋" w:eastAsia="仿宋" w:cs="仿宋"/>
          <w:sz w:val="28"/>
          <w:szCs w:val="28"/>
          <w:highlight w:val="none"/>
        </w:rPr>
        <w:fldChar w:fldCharType="end"/>
      </w:r>
      <w:r>
        <w:rPr>
          <w:rFonts w:hint="eastAsia" w:ascii="仿宋" w:hAnsi="仿宋" w:eastAsia="仿宋" w:cs="仿宋"/>
          <w:sz w:val="28"/>
          <w:szCs w:val="28"/>
          <w:highlight w:val="none"/>
        </w:rPr>
        <w:t>）进行解密</w:t>
      </w:r>
    </w:p>
    <w:bookmarkEnd w:id="11"/>
    <w:bookmarkEnd w:id="12"/>
    <w:bookmarkEnd w:id="13"/>
    <w:bookmarkEnd w:id="14"/>
    <w:p w14:paraId="063F7917">
      <w:pPr>
        <w:spacing w:line="360" w:lineRule="auto"/>
        <w:rPr>
          <w:rFonts w:hint="eastAsia" w:ascii="仿宋" w:hAnsi="仿宋" w:eastAsia="仿宋" w:cs="仿宋"/>
          <w:sz w:val="28"/>
          <w:szCs w:val="28"/>
          <w:highlight w:val="none"/>
          <w:lang w:eastAsia="zh-CN"/>
        </w:rPr>
      </w:pPr>
      <w:bookmarkStart w:id="15" w:name="_Toc35393803"/>
      <w:bookmarkStart w:id="16" w:name="_Toc28359094"/>
      <w:bookmarkStart w:id="17" w:name="_Toc35393634"/>
      <w:bookmarkStart w:id="18" w:name="_Toc28359017"/>
      <w:r>
        <w:rPr>
          <w:rFonts w:hint="eastAsia" w:ascii="仿宋" w:hAnsi="仿宋" w:eastAsia="仿宋" w:cs="仿宋"/>
          <w:sz w:val="28"/>
          <w:szCs w:val="28"/>
          <w:highlight w:val="none"/>
          <w:lang w:eastAsia="zh-CN"/>
        </w:rPr>
        <w:t>五、开启</w:t>
      </w:r>
    </w:p>
    <w:p w14:paraId="614DB6E7">
      <w:pPr>
        <w:spacing w:line="360" w:lineRule="auto"/>
        <w:ind w:firstLine="528" w:firstLineChars="200"/>
        <w:rPr>
          <w:rFonts w:hint="eastAsia" w:ascii="仿宋" w:hAnsi="仿宋" w:eastAsia="仿宋" w:cs="仿宋"/>
          <w:sz w:val="28"/>
          <w:szCs w:val="28"/>
          <w:highlight w:val="none"/>
        </w:rPr>
      </w:pPr>
      <w:r>
        <w:rPr>
          <w:rFonts w:hint="eastAsia" w:ascii="仿宋" w:hAnsi="仿宋" w:eastAsia="仿宋" w:cs="仿宋"/>
          <w:sz w:val="28"/>
          <w:szCs w:val="28"/>
          <w:highlight w:val="none"/>
        </w:rPr>
        <w:t>1.时间：202</w:t>
      </w:r>
      <w:r>
        <w:rPr>
          <w:rFonts w:hint="eastAsia" w:ascii="仿宋" w:hAnsi="仿宋" w:eastAsia="仿宋" w:cs="仿宋"/>
          <w:sz w:val="28"/>
          <w:szCs w:val="28"/>
          <w:highlight w:val="none"/>
          <w:lang w:val="en-US" w:eastAsia="zh-CN"/>
        </w:rPr>
        <w:t>5</w:t>
      </w:r>
      <w:r>
        <w:rPr>
          <w:rFonts w:hint="eastAsia" w:ascii="仿宋" w:hAnsi="仿宋" w:eastAsia="仿宋" w:cs="仿宋"/>
          <w:sz w:val="28"/>
          <w:szCs w:val="28"/>
          <w:highlight w:val="none"/>
        </w:rPr>
        <w:t>年</w:t>
      </w:r>
      <w:r>
        <w:rPr>
          <w:rFonts w:hint="eastAsia" w:ascii="仿宋" w:hAnsi="仿宋" w:eastAsia="仿宋" w:cs="仿宋"/>
          <w:sz w:val="28"/>
          <w:szCs w:val="28"/>
          <w:highlight w:val="none"/>
          <w:lang w:val="en-US" w:eastAsia="zh-CN"/>
        </w:rPr>
        <w:t xml:space="preserve"> 4 </w:t>
      </w:r>
      <w:r>
        <w:rPr>
          <w:rFonts w:hint="eastAsia" w:ascii="仿宋" w:hAnsi="仿宋" w:eastAsia="仿宋" w:cs="仿宋"/>
          <w:sz w:val="28"/>
          <w:szCs w:val="28"/>
          <w:highlight w:val="none"/>
        </w:rPr>
        <w:t>月</w:t>
      </w:r>
      <w:r>
        <w:rPr>
          <w:rFonts w:hint="eastAsia" w:ascii="仿宋" w:hAnsi="仿宋" w:eastAsia="仿宋" w:cs="仿宋"/>
          <w:sz w:val="28"/>
          <w:szCs w:val="28"/>
          <w:highlight w:val="none"/>
          <w:lang w:val="en-US" w:eastAsia="zh-CN"/>
        </w:rPr>
        <w:t xml:space="preserve"> 23 </w:t>
      </w:r>
      <w:r>
        <w:rPr>
          <w:rFonts w:hint="eastAsia" w:ascii="仿宋" w:hAnsi="仿宋" w:eastAsia="仿宋" w:cs="仿宋"/>
          <w:sz w:val="28"/>
          <w:szCs w:val="28"/>
          <w:highlight w:val="none"/>
        </w:rPr>
        <w:t>日09时</w:t>
      </w:r>
      <w:r>
        <w:rPr>
          <w:rFonts w:hint="eastAsia" w:ascii="仿宋" w:hAnsi="仿宋" w:eastAsia="仿宋" w:cs="仿宋"/>
          <w:sz w:val="28"/>
          <w:szCs w:val="28"/>
          <w:highlight w:val="none"/>
          <w:lang w:val="en-US" w:eastAsia="zh-CN"/>
        </w:rPr>
        <w:t>0</w:t>
      </w:r>
      <w:r>
        <w:rPr>
          <w:rFonts w:hint="eastAsia" w:ascii="仿宋" w:hAnsi="仿宋" w:eastAsia="仿宋" w:cs="仿宋"/>
          <w:sz w:val="28"/>
          <w:szCs w:val="28"/>
          <w:highlight w:val="none"/>
        </w:rPr>
        <w:t>0分（北京时间）；</w:t>
      </w:r>
    </w:p>
    <w:p w14:paraId="13D837B3">
      <w:pPr>
        <w:pStyle w:val="7"/>
        <w:spacing w:line="360" w:lineRule="auto"/>
        <w:ind w:firstLine="528" w:firstLineChars="200"/>
        <w:rPr>
          <w:rFonts w:ascii="Times New Roman" w:hAnsi="Times New Roman" w:eastAsia="仿宋"/>
          <w:color w:val="000000"/>
          <w:kern w:val="0"/>
          <w:sz w:val="28"/>
          <w:szCs w:val="28"/>
          <w:highlight w:val="yellow"/>
        </w:rPr>
      </w:pPr>
      <w:r>
        <w:rPr>
          <w:rFonts w:hint="eastAsia" w:ascii="仿宋" w:hAnsi="仿宋" w:eastAsia="仿宋" w:cs="仿宋"/>
          <w:sz w:val="28"/>
          <w:szCs w:val="28"/>
          <w:highlight w:val="none"/>
        </w:rPr>
        <w:t>2.地点：</w:t>
      </w:r>
      <w:r>
        <w:rPr>
          <w:rFonts w:ascii="Times New Roman" w:hAnsi="Times New Roman" w:eastAsia="仿宋"/>
          <w:color w:val="000000"/>
          <w:kern w:val="0"/>
          <w:sz w:val="28"/>
          <w:szCs w:val="28"/>
          <w:highlight w:val="none"/>
        </w:rPr>
        <w:t xml:space="preserve">通化市公共资源交易中心（通化市政府采购中心）第 </w:t>
      </w:r>
      <w:r>
        <w:rPr>
          <w:rFonts w:hint="eastAsia" w:eastAsia="仿宋"/>
          <w:color w:val="000000"/>
          <w:kern w:val="0"/>
          <w:sz w:val="28"/>
          <w:szCs w:val="28"/>
          <w:highlight w:val="none"/>
          <w:lang w:val="en-US" w:eastAsia="zh-CN"/>
        </w:rPr>
        <w:t>二</w:t>
      </w:r>
      <w:r>
        <w:rPr>
          <w:rFonts w:hint="eastAsia" w:ascii="Times New Roman" w:hAnsi="Times New Roman" w:eastAsia="仿宋"/>
          <w:color w:val="000000"/>
          <w:kern w:val="0"/>
          <w:sz w:val="28"/>
          <w:szCs w:val="28"/>
          <w:highlight w:val="none"/>
          <w:lang w:val="en-US" w:eastAsia="zh-CN"/>
        </w:rPr>
        <w:t xml:space="preserve"> </w:t>
      </w:r>
      <w:r>
        <w:rPr>
          <w:rFonts w:ascii="Times New Roman" w:hAnsi="Times New Roman" w:eastAsia="仿宋"/>
          <w:color w:val="000000"/>
          <w:kern w:val="0"/>
          <w:sz w:val="28"/>
          <w:szCs w:val="28"/>
          <w:highlight w:val="none"/>
        </w:rPr>
        <w:t>开标室。</w:t>
      </w:r>
    </w:p>
    <w:p w14:paraId="04CD23C4">
      <w:pPr>
        <w:pStyle w:val="7"/>
        <w:spacing w:line="360" w:lineRule="auto"/>
        <w:ind w:firstLine="528" w:firstLineChars="200"/>
        <w:rPr>
          <w:rFonts w:hint="eastAsia" w:ascii="仿宋" w:hAnsi="仿宋" w:eastAsia="仿宋" w:cs="仿宋"/>
          <w:sz w:val="28"/>
          <w:szCs w:val="28"/>
        </w:rPr>
      </w:pPr>
      <w:r>
        <w:rPr>
          <w:rFonts w:hint="eastAsia" w:ascii="仿宋" w:hAnsi="仿宋" w:eastAsia="仿宋" w:cs="仿宋"/>
          <w:sz w:val="28"/>
          <w:szCs w:val="28"/>
          <w:lang w:val="en-US" w:eastAsia="zh-CN"/>
        </w:rPr>
        <w:t>3</w:t>
      </w:r>
      <w:r>
        <w:rPr>
          <w:rFonts w:hint="eastAsia" w:ascii="仿宋" w:hAnsi="仿宋" w:eastAsia="仿宋" w:cs="仿宋"/>
          <w:sz w:val="28"/>
          <w:szCs w:val="28"/>
        </w:rPr>
        <w:t>．开标方式：开标采用视频直播方式进行。各投标供应商请于开标前30分钟内（不可提前加入）加入</w:t>
      </w:r>
      <w:r>
        <w:rPr>
          <w:rFonts w:hint="eastAsia" w:ascii="仿宋" w:hAnsi="仿宋" w:eastAsia="仿宋" w:cs="仿宋"/>
          <w:sz w:val="28"/>
          <w:szCs w:val="28"/>
          <w:lang w:val="en-US" w:eastAsia="zh-CN"/>
        </w:rPr>
        <w:t xml:space="preserve">  </w:t>
      </w:r>
      <w:r>
        <w:rPr>
          <w:rFonts w:hint="eastAsia" w:ascii="仿宋" w:hAnsi="仿宋" w:eastAsia="仿宋" w:cs="仿宋"/>
          <w:sz w:val="28"/>
          <w:szCs w:val="28"/>
        </w:rPr>
        <w:t>696053912</w:t>
      </w:r>
      <w:r>
        <w:rPr>
          <w:rFonts w:hint="eastAsia" w:ascii="仿宋" w:hAnsi="仿宋" w:eastAsia="仿宋" w:cs="仿宋"/>
          <w:sz w:val="28"/>
          <w:szCs w:val="28"/>
          <w:lang w:val="en-US" w:eastAsia="zh-CN"/>
        </w:rPr>
        <w:t xml:space="preserve"> </w:t>
      </w:r>
      <w:r>
        <w:rPr>
          <w:rFonts w:hint="eastAsia" w:ascii="仿宋" w:hAnsi="仿宋" w:eastAsia="仿宋" w:cs="仿宋"/>
          <w:sz w:val="28"/>
          <w:szCs w:val="28"/>
        </w:rPr>
        <w:t>（开标直播QQ工作群组）</w:t>
      </w:r>
    </w:p>
    <w:p w14:paraId="7F547404">
      <w:pPr>
        <w:pStyle w:val="7"/>
        <w:spacing w:line="360" w:lineRule="auto"/>
        <w:ind w:firstLine="528" w:firstLineChars="200"/>
        <w:rPr>
          <w:rFonts w:hint="eastAsia" w:ascii="仿宋" w:hAnsi="仿宋" w:eastAsia="仿宋" w:cs="仿宋"/>
          <w:sz w:val="28"/>
          <w:szCs w:val="28"/>
        </w:rPr>
      </w:pPr>
      <w:r>
        <w:rPr>
          <w:rFonts w:hint="eastAsia" w:ascii="仿宋" w:hAnsi="仿宋" w:eastAsia="仿宋" w:cs="仿宋"/>
          <w:sz w:val="28"/>
          <w:szCs w:val="28"/>
          <w:lang w:val="en-US" w:eastAsia="zh-CN"/>
        </w:rPr>
        <w:t>4</w:t>
      </w:r>
      <w:r>
        <w:rPr>
          <w:rFonts w:hint="eastAsia" w:ascii="仿宋" w:hAnsi="仿宋" w:eastAsia="仿宋" w:cs="仿宋"/>
          <w:sz w:val="28"/>
          <w:szCs w:val="28"/>
        </w:rPr>
        <w:t>.电子投标文件解密期限及方式：投标供应商无需到达开标现场。投标文件提交截止时间后30分钟内，投标供应商持制作该电子投标文件的同一CA数字证书（企业锁）登录政采云平台https://www.zcygov.cn/网站，远程对所投采购包投标文件进行解密（各投标供应商开标前及网上开评系统公布投标人名单前，不要提前进行远程解密；具体解密时间在开标直播QQ工作群，代理机构项目负责人会进行文字通知）。因供应商自身原因未能成功解密的，视为逾期未提交投标文件。</w:t>
      </w:r>
    </w:p>
    <w:p w14:paraId="5648A2C1">
      <w:pPr>
        <w:pStyle w:val="4"/>
        <w:numPr>
          <w:ilvl w:val="0"/>
          <w:numId w:val="0"/>
        </w:numPr>
        <w:spacing w:before="0" w:after="0" w:line="500" w:lineRule="exact"/>
        <w:rPr>
          <w:rFonts w:hint="eastAsia" w:ascii="仿宋" w:hAnsi="仿宋" w:eastAsia="仿宋" w:cs="仿宋"/>
          <w:b w:val="0"/>
          <w:color w:val="000000"/>
          <w:sz w:val="28"/>
          <w:szCs w:val="28"/>
        </w:rPr>
      </w:pPr>
      <w:r>
        <w:rPr>
          <w:rFonts w:hint="eastAsia" w:ascii="仿宋" w:hAnsi="仿宋" w:eastAsia="仿宋" w:cs="仿宋"/>
          <w:b w:val="0"/>
          <w:color w:val="000000"/>
          <w:sz w:val="28"/>
          <w:szCs w:val="28"/>
          <w:lang w:eastAsia="zh-CN"/>
        </w:rPr>
        <w:t>六</w:t>
      </w:r>
      <w:r>
        <w:rPr>
          <w:rFonts w:hint="eastAsia" w:ascii="仿宋" w:hAnsi="仿宋" w:eastAsia="仿宋" w:cs="仿宋"/>
          <w:b w:val="0"/>
          <w:color w:val="000000"/>
          <w:sz w:val="28"/>
          <w:szCs w:val="28"/>
        </w:rPr>
        <w:t>、公告期限</w:t>
      </w:r>
      <w:bookmarkEnd w:id="15"/>
      <w:bookmarkEnd w:id="16"/>
      <w:bookmarkEnd w:id="17"/>
      <w:bookmarkEnd w:id="18"/>
    </w:p>
    <w:p w14:paraId="3F430560">
      <w:pPr>
        <w:spacing w:line="500" w:lineRule="exact"/>
        <w:ind w:firstLine="528" w:firstLineChars="200"/>
        <w:rPr>
          <w:rFonts w:ascii="仿宋" w:hAnsi="仿宋" w:eastAsia="仿宋" w:cs="宋体"/>
          <w:color w:val="000000"/>
          <w:kern w:val="0"/>
          <w:sz w:val="28"/>
          <w:szCs w:val="28"/>
        </w:rPr>
      </w:pPr>
      <w:r>
        <w:rPr>
          <w:rFonts w:hint="eastAsia" w:ascii="仿宋" w:hAnsi="仿宋" w:eastAsia="仿宋" w:cs="宋体"/>
          <w:color w:val="000000"/>
          <w:kern w:val="0"/>
          <w:sz w:val="28"/>
          <w:szCs w:val="28"/>
        </w:rPr>
        <w:t>自本公告发布之日起5个工作日。</w:t>
      </w:r>
    </w:p>
    <w:p w14:paraId="629BAF8E">
      <w:pPr>
        <w:keepNext/>
        <w:keepLines/>
        <w:spacing w:line="360" w:lineRule="auto"/>
        <w:outlineLvl w:val="1"/>
        <w:rPr>
          <w:rFonts w:hint="eastAsia" w:asciiTheme="majorEastAsia" w:hAnsiTheme="majorEastAsia" w:eastAsiaTheme="majorEastAsia" w:cstheme="majorEastAsia"/>
          <w:bCs/>
          <w:sz w:val="24"/>
        </w:rPr>
      </w:pPr>
      <w:r>
        <w:rPr>
          <w:rFonts w:hint="eastAsia" w:asciiTheme="majorEastAsia" w:hAnsiTheme="majorEastAsia" w:eastAsiaTheme="majorEastAsia" w:cstheme="majorEastAsia"/>
          <w:bCs/>
          <w:sz w:val="24"/>
          <w:lang w:eastAsia="zh-CN"/>
        </w:rPr>
        <w:t>七</w:t>
      </w:r>
      <w:r>
        <w:rPr>
          <w:rFonts w:hint="eastAsia" w:asciiTheme="majorEastAsia" w:hAnsiTheme="majorEastAsia" w:eastAsiaTheme="majorEastAsia" w:cstheme="majorEastAsia"/>
          <w:bCs/>
          <w:sz w:val="24"/>
        </w:rPr>
        <w:t>、其他补充事宜</w:t>
      </w:r>
      <w:bookmarkEnd w:id="9"/>
      <w:bookmarkEnd w:id="10"/>
    </w:p>
    <w:p w14:paraId="18B8F0CF">
      <w:pPr>
        <w:widowControl/>
        <w:spacing w:line="360" w:lineRule="auto"/>
        <w:ind w:firstLine="528" w:firstLineChars="200"/>
        <w:rPr>
          <w:rFonts w:hint="eastAsia" w:ascii="仿宋" w:hAnsi="仿宋" w:eastAsia="仿宋" w:cs="仿宋"/>
          <w:sz w:val="28"/>
          <w:szCs w:val="28"/>
        </w:rPr>
      </w:pPr>
      <w:r>
        <w:rPr>
          <w:rFonts w:hint="eastAsia" w:ascii="仿宋" w:hAnsi="仿宋" w:eastAsia="仿宋" w:cs="仿宋"/>
          <w:sz w:val="28"/>
          <w:szCs w:val="28"/>
        </w:rPr>
        <w:t>1.公告发布媒介：本次公告在政采云平台（同步推送到吉林省政府采购网）、中国</w:t>
      </w:r>
      <w:r>
        <w:rPr>
          <w:rFonts w:hint="eastAsia" w:ascii="仿宋" w:hAnsi="仿宋" w:eastAsia="仿宋" w:cs="仿宋"/>
          <w:sz w:val="28"/>
          <w:szCs w:val="28"/>
          <w:lang w:eastAsia="zh-CN"/>
        </w:rPr>
        <w:t>政府采购网</w:t>
      </w:r>
      <w:r>
        <w:rPr>
          <w:rFonts w:hint="eastAsia" w:ascii="仿宋" w:hAnsi="仿宋" w:eastAsia="仿宋" w:cs="仿宋"/>
          <w:sz w:val="28"/>
          <w:szCs w:val="28"/>
        </w:rPr>
        <w:t>同时发布。</w:t>
      </w:r>
    </w:p>
    <w:p w14:paraId="28811D8C">
      <w:pPr>
        <w:widowControl/>
        <w:spacing w:line="360" w:lineRule="auto"/>
        <w:ind w:firstLine="528" w:firstLineChars="200"/>
        <w:rPr>
          <w:rFonts w:hint="eastAsia" w:ascii="仿宋" w:hAnsi="仿宋" w:eastAsia="仿宋" w:cs="仿宋"/>
          <w:sz w:val="28"/>
          <w:szCs w:val="28"/>
        </w:rPr>
      </w:pPr>
      <w:r>
        <w:rPr>
          <w:rFonts w:hint="eastAsia" w:ascii="仿宋" w:hAnsi="仿宋" w:eastAsia="仿宋" w:cs="仿宋"/>
          <w:sz w:val="28"/>
          <w:szCs w:val="28"/>
        </w:rPr>
        <w:t>2.现场考察时间和地点：本项目不组织现场考察。</w:t>
      </w:r>
    </w:p>
    <w:p w14:paraId="013B2EFC">
      <w:pPr>
        <w:widowControl/>
        <w:spacing w:line="360" w:lineRule="auto"/>
        <w:ind w:firstLine="528" w:firstLineChars="200"/>
        <w:rPr>
          <w:rFonts w:hint="eastAsia" w:ascii="仿宋" w:hAnsi="仿宋" w:eastAsia="仿宋" w:cs="仿宋"/>
          <w:sz w:val="28"/>
          <w:szCs w:val="28"/>
        </w:rPr>
      </w:pPr>
      <w:r>
        <w:rPr>
          <w:rFonts w:hint="eastAsia" w:ascii="仿宋" w:hAnsi="仿宋" w:eastAsia="仿宋" w:cs="仿宋"/>
          <w:sz w:val="28"/>
          <w:szCs w:val="28"/>
        </w:rPr>
        <w:t>3.开标前答疑会时间和地点：本项目不组织开标前答疑会。</w:t>
      </w:r>
    </w:p>
    <w:p w14:paraId="10EC8B44">
      <w:pPr>
        <w:spacing w:line="360" w:lineRule="auto"/>
        <w:ind w:firstLine="528" w:firstLineChars="200"/>
        <w:rPr>
          <w:rFonts w:hint="eastAsia" w:ascii="仿宋" w:hAnsi="仿宋" w:eastAsia="仿宋" w:cs="仿宋"/>
          <w:sz w:val="28"/>
          <w:szCs w:val="28"/>
        </w:rPr>
      </w:pPr>
      <w:r>
        <w:rPr>
          <w:rFonts w:hint="eastAsia" w:ascii="仿宋" w:hAnsi="仿宋" w:eastAsia="仿宋" w:cs="仿宋"/>
          <w:sz w:val="28"/>
          <w:szCs w:val="28"/>
        </w:rPr>
        <w:t>4.若对项目采购电子交易系统操作有疑问，可登录“政采云”平台，点击右侧咨询小采，获取采小蜜智能服务管家帮助，或拨打政采云服务热线95763获取热线服务帮助。</w:t>
      </w:r>
    </w:p>
    <w:p w14:paraId="51FFD22A">
      <w:pPr>
        <w:spacing w:line="360" w:lineRule="auto"/>
        <w:ind w:firstLine="528" w:firstLineChars="200"/>
        <w:rPr>
          <w:rFonts w:hint="eastAsia" w:ascii="仿宋" w:hAnsi="仿宋" w:eastAsia="仿宋" w:cs="仿宋"/>
          <w:b/>
          <w:sz w:val="28"/>
          <w:szCs w:val="28"/>
        </w:rPr>
      </w:pPr>
      <w:r>
        <w:rPr>
          <w:rFonts w:hint="eastAsia" w:ascii="仿宋" w:hAnsi="仿宋" w:eastAsia="仿宋" w:cs="仿宋"/>
          <w:b/>
          <w:sz w:val="28"/>
          <w:szCs w:val="28"/>
          <w:lang w:val="en-US" w:eastAsia="zh-CN"/>
        </w:rPr>
        <w:t>5</w:t>
      </w:r>
      <w:r>
        <w:rPr>
          <w:rFonts w:hint="eastAsia" w:ascii="仿宋" w:hAnsi="仿宋" w:eastAsia="仿宋" w:cs="仿宋"/>
          <w:b/>
          <w:sz w:val="28"/>
          <w:szCs w:val="28"/>
        </w:rPr>
        <w:t>.本项目需要落实的政府采购政策</w:t>
      </w:r>
    </w:p>
    <w:p w14:paraId="2BAB6428">
      <w:pPr>
        <w:spacing w:line="360" w:lineRule="auto"/>
        <w:ind w:firstLine="528" w:firstLineChars="200"/>
        <w:rPr>
          <w:rFonts w:hint="eastAsia" w:ascii="仿宋" w:hAnsi="仿宋" w:eastAsia="仿宋" w:cs="仿宋"/>
          <w:bCs/>
          <w:sz w:val="28"/>
          <w:szCs w:val="28"/>
        </w:rPr>
      </w:pPr>
      <w:r>
        <w:rPr>
          <w:rFonts w:hint="eastAsia" w:ascii="仿宋" w:hAnsi="仿宋" w:eastAsia="仿宋" w:cs="仿宋"/>
          <w:bCs/>
          <w:sz w:val="28"/>
          <w:szCs w:val="28"/>
          <w:lang w:val="en-US" w:eastAsia="zh-CN"/>
        </w:rPr>
        <w:t>5</w:t>
      </w:r>
      <w:r>
        <w:rPr>
          <w:rFonts w:hint="eastAsia" w:ascii="仿宋" w:hAnsi="仿宋" w:eastAsia="仿宋" w:cs="仿宋"/>
          <w:bCs/>
          <w:sz w:val="28"/>
          <w:szCs w:val="28"/>
        </w:rPr>
        <w:t>.1政府采购强制、优先采购节能产品政策；</w:t>
      </w:r>
    </w:p>
    <w:p w14:paraId="7E517735">
      <w:pPr>
        <w:spacing w:line="360" w:lineRule="auto"/>
        <w:ind w:firstLine="528" w:firstLineChars="200"/>
        <w:rPr>
          <w:rFonts w:hint="eastAsia" w:ascii="仿宋" w:hAnsi="仿宋" w:eastAsia="仿宋" w:cs="仿宋"/>
          <w:bCs/>
          <w:sz w:val="28"/>
          <w:szCs w:val="28"/>
        </w:rPr>
      </w:pPr>
      <w:r>
        <w:rPr>
          <w:rFonts w:hint="eastAsia" w:ascii="仿宋" w:hAnsi="仿宋" w:eastAsia="仿宋" w:cs="仿宋"/>
          <w:bCs/>
          <w:sz w:val="28"/>
          <w:szCs w:val="28"/>
          <w:lang w:val="en-US" w:eastAsia="zh-CN"/>
        </w:rPr>
        <w:t>5</w:t>
      </w:r>
      <w:r>
        <w:rPr>
          <w:rFonts w:hint="eastAsia" w:ascii="仿宋" w:hAnsi="仿宋" w:eastAsia="仿宋" w:cs="仿宋"/>
          <w:bCs/>
          <w:sz w:val="28"/>
          <w:szCs w:val="28"/>
        </w:rPr>
        <w:t>.2政府采购优先采购环保产品政策；</w:t>
      </w:r>
    </w:p>
    <w:p w14:paraId="038776D1">
      <w:pPr>
        <w:spacing w:line="360" w:lineRule="auto"/>
        <w:ind w:firstLine="528" w:firstLineChars="200"/>
        <w:rPr>
          <w:rFonts w:hint="eastAsia" w:ascii="仿宋" w:hAnsi="仿宋" w:eastAsia="仿宋" w:cs="仿宋"/>
          <w:bCs/>
          <w:sz w:val="28"/>
          <w:szCs w:val="28"/>
        </w:rPr>
      </w:pPr>
      <w:r>
        <w:rPr>
          <w:rFonts w:hint="eastAsia" w:ascii="仿宋" w:hAnsi="仿宋" w:eastAsia="仿宋" w:cs="仿宋"/>
          <w:bCs/>
          <w:sz w:val="28"/>
          <w:szCs w:val="28"/>
          <w:lang w:val="en-US" w:eastAsia="zh-CN"/>
        </w:rPr>
        <w:t>5</w:t>
      </w:r>
      <w:r>
        <w:rPr>
          <w:rFonts w:hint="eastAsia" w:ascii="仿宋" w:hAnsi="仿宋" w:eastAsia="仿宋" w:cs="仿宋"/>
          <w:bCs/>
          <w:sz w:val="28"/>
          <w:szCs w:val="28"/>
        </w:rPr>
        <w:t>.3政府采购促进中小企业发展（监狱企业、残疾人福利性单位视同小微企业）政策；</w:t>
      </w:r>
      <w:bookmarkStart w:id="19" w:name="_Toc35393627"/>
      <w:bookmarkStart w:id="20" w:name="_Toc28359085"/>
      <w:bookmarkStart w:id="21" w:name="_Toc28359008"/>
      <w:bookmarkStart w:id="22" w:name="_Toc35393796"/>
    </w:p>
    <w:p w14:paraId="380BB53F">
      <w:pPr>
        <w:spacing w:line="360" w:lineRule="auto"/>
        <w:ind w:firstLine="528" w:firstLineChars="200"/>
        <w:rPr>
          <w:rFonts w:hint="eastAsia" w:ascii="仿宋" w:hAnsi="仿宋" w:eastAsia="仿宋" w:cs="仿宋"/>
          <w:bCs/>
          <w:sz w:val="28"/>
          <w:szCs w:val="28"/>
        </w:rPr>
      </w:pPr>
      <w:r>
        <w:rPr>
          <w:rFonts w:hint="eastAsia" w:ascii="仿宋" w:hAnsi="仿宋" w:eastAsia="仿宋" w:cs="仿宋"/>
          <w:bCs/>
          <w:sz w:val="28"/>
          <w:szCs w:val="28"/>
          <w:lang w:val="en-US" w:eastAsia="zh-CN"/>
        </w:rPr>
        <w:t>5</w:t>
      </w:r>
      <w:r>
        <w:rPr>
          <w:rFonts w:hint="eastAsia" w:ascii="仿宋" w:hAnsi="仿宋" w:eastAsia="仿宋" w:cs="仿宋"/>
          <w:bCs/>
          <w:sz w:val="28"/>
          <w:szCs w:val="28"/>
        </w:rPr>
        <w:t>.4政府采购支持脱贫攻坚政策。</w:t>
      </w:r>
    </w:p>
    <w:p w14:paraId="01C240D1">
      <w:pPr>
        <w:keepNext/>
        <w:keepLines/>
        <w:spacing w:line="360" w:lineRule="auto"/>
        <w:outlineLvl w:val="1"/>
        <w:rPr>
          <w:rFonts w:hint="eastAsia" w:ascii="仿宋" w:hAnsi="仿宋" w:eastAsia="仿宋" w:cs="仿宋"/>
          <w:bCs/>
          <w:sz w:val="28"/>
          <w:szCs w:val="28"/>
        </w:rPr>
      </w:pPr>
      <w:r>
        <w:rPr>
          <w:rFonts w:hint="eastAsia" w:ascii="仿宋" w:hAnsi="仿宋" w:eastAsia="仿宋" w:cs="仿宋"/>
          <w:bCs/>
          <w:sz w:val="28"/>
          <w:szCs w:val="28"/>
          <w:lang w:eastAsia="zh-CN"/>
        </w:rPr>
        <w:t>八</w:t>
      </w:r>
      <w:r>
        <w:rPr>
          <w:rFonts w:hint="eastAsia" w:ascii="仿宋" w:hAnsi="仿宋" w:eastAsia="仿宋" w:cs="仿宋"/>
          <w:bCs/>
          <w:sz w:val="28"/>
          <w:szCs w:val="28"/>
        </w:rPr>
        <w:t>、对本次招标提出询问，请按以下方式联系</w:t>
      </w:r>
      <w:bookmarkEnd w:id="19"/>
      <w:bookmarkEnd w:id="20"/>
      <w:bookmarkEnd w:id="21"/>
      <w:bookmarkEnd w:id="22"/>
    </w:p>
    <w:p w14:paraId="7E524FFD">
      <w:pPr>
        <w:widowControl/>
        <w:spacing w:line="360" w:lineRule="auto"/>
        <w:jc w:val="left"/>
        <w:rPr>
          <w:rFonts w:hint="eastAsia" w:ascii="仿宋" w:hAnsi="仿宋" w:eastAsia="仿宋" w:cs="仿宋"/>
          <w:sz w:val="28"/>
          <w:szCs w:val="28"/>
        </w:rPr>
      </w:pPr>
      <w:r>
        <w:rPr>
          <w:rFonts w:hint="eastAsia" w:ascii="仿宋" w:hAnsi="仿宋" w:eastAsia="仿宋" w:cs="仿宋"/>
          <w:sz w:val="28"/>
          <w:szCs w:val="28"/>
        </w:rPr>
        <w:t>　　</w:t>
      </w:r>
      <w:bookmarkStart w:id="23" w:name="_Toc28359009"/>
      <w:bookmarkStart w:id="24" w:name="_Toc28359086"/>
      <w:r>
        <w:rPr>
          <w:rFonts w:hint="eastAsia" w:ascii="仿宋" w:hAnsi="仿宋" w:eastAsia="仿宋" w:cs="仿宋"/>
          <w:b/>
          <w:bCs/>
          <w:sz w:val="28"/>
          <w:szCs w:val="28"/>
        </w:rPr>
        <w:t>1.采购人信息</w:t>
      </w:r>
    </w:p>
    <w:p w14:paraId="408336DE">
      <w:pPr>
        <w:spacing w:line="500" w:lineRule="exact"/>
        <w:ind w:firstLine="528" w:firstLineChars="200"/>
        <w:jc w:val="left"/>
        <w:rPr>
          <w:rFonts w:hint="eastAsia" w:ascii="仿宋" w:hAnsi="仿宋" w:eastAsia="仿宋" w:cs="仿宋"/>
          <w:sz w:val="28"/>
          <w:szCs w:val="28"/>
        </w:rPr>
      </w:pPr>
      <w:r>
        <w:rPr>
          <w:rFonts w:hint="eastAsia" w:ascii="仿宋" w:hAnsi="仿宋" w:eastAsia="仿宋" w:cs="仿宋"/>
          <w:sz w:val="28"/>
          <w:szCs w:val="28"/>
        </w:rPr>
        <w:t>名 称：集安市医院</w:t>
      </w:r>
    </w:p>
    <w:p w14:paraId="59881C8E">
      <w:pPr>
        <w:spacing w:line="500" w:lineRule="exact"/>
        <w:ind w:firstLine="528" w:firstLineChars="200"/>
        <w:jc w:val="left"/>
        <w:rPr>
          <w:rFonts w:hint="eastAsia" w:ascii="仿宋" w:hAnsi="仿宋" w:eastAsia="仿宋" w:cs="仿宋"/>
          <w:sz w:val="28"/>
          <w:szCs w:val="28"/>
          <w:lang w:val="en-US" w:eastAsia="zh-CN"/>
        </w:rPr>
      </w:pPr>
      <w:r>
        <w:rPr>
          <w:rFonts w:hint="eastAsia" w:ascii="仿宋" w:hAnsi="仿宋" w:eastAsia="仿宋" w:cs="仿宋"/>
          <w:sz w:val="28"/>
          <w:szCs w:val="28"/>
        </w:rPr>
        <w:t>地址：集安市</w:t>
      </w:r>
      <w:r>
        <w:rPr>
          <w:rFonts w:hint="eastAsia" w:ascii="仿宋" w:hAnsi="仿宋" w:eastAsia="仿宋" w:cs="仿宋"/>
          <w:sz w:val="28"/>
          <w:szCs w:val="28"/>
          <w:lang w:eastAsia="zh-CN"/>
        </w:rPr>
        <w:t>迎宾路</w:t>
      </w:r>
      <w:r>
        <w:rPr>
          <w:rFonts w:hint="eastAsia" w:ascii="仿宋" w:hAnsi="仿宋" w:eastAsia="仿宋" w:cs="仿宋"/>
          <w:sz w:val="28"/>
          <w:szCs w:val="28"/>
          <w:lang w:val="en-US" w:eastAsia="zh-CN"/>
        </w:rPr>
        <w:t>111号</w:t>
      </w:r>
    </w:p>
    <w:p w14:paraId="50B328F6">
      <w:pPr>
        <w:spacing w:line="500" w:lineRule="exact"/>
        <w:ind w:firstLine="528" w:firstLineChars="200"/>
        <w:jc w:val="left"/>
        <w:rPr>
          <w:rFonts w:hint="eastAsia" w:ascii="仿宋" w:hAnsi="仿宋" w:eastAsia="仿宋" w:cs="仿宋"/>
          <w:sz w:val="28"/>
          <w:szCs w:val="28"/>
          <w:lang w:eastAsia="zh-CN"/>
        </w:rPr>
      </w:pPr>
      <w:r>
        <w:rPr>
          <w:rFonts w:hint="eastAsia" w:ascii="仿宋" w:hAnsi="仿宋" w:eastAsia="仿宋" w:cs="仿宋"/>
          <w:sz w:val="28"/>
          <w:szCs w:val="28"/>
        </w:rPr>
        <w:t>联系人：</w:t>
      </w:r>
      <w:r>
        <w:rPr>
          <w:rFonts w:hint="eastAsia" w:ascii="仿宋" w:hAnsi="仿宋" w:eastAsia="仿宋" w:cs="仿宋"/>
          <w:sz w:val="28"/>
          <w:szCs w:val="28"/>
          <w:lang w:eastAsia="zh-CN"/>
        </w:rPr>
        <w:t>曹立红</w:t>
      </w:r>
    </w:p>
    <w:p w14:paraId="61FD9228">
      <w:pPr>
        <w:spacing w:line="500" w:lineRule="exact"/>
        <w:ind w:firstLine="528" w:firstLineChars="200"/>
        <w:jc w:val="left"/>
        <w:rPr>
          <w:rFonts w:hint="eastAsia" w:ascii="仿宋" w:hAnsi="仿宋" w:eastAsia="仿宋" w:cs="仿宋"/>
          <w:sz w:val="28"/>
          <w:szCs w:val="28"/>
          <w:lang w:val="en-US" w:eastAsia="zh-CN"/>
        </w:rPr>
      </w:pPr>
      <w:r>
        <w:rPr>
          <w:rFonts w:hint="eastAsia" w:ascii="仿宋" w:hAnsi="仿宋" w:eastAsia="仿宋" w:cs="仿宋"/>
          <w:sz w:val="28"/>
          <w:szCs w:val="28"/>
        </w:rPr>
        <w:t>联系电话：</w:t>
      </w:r>
      <w:r>
        <w:rPr>
          <w:rFonts w:hint="eastAsia" w:ascii="仿宋" w:hAnsi="仿宋" w:eastAsia="仿宋" w:cs="仿宋"/>
          <w:sz w:val="28"/>
          <w:szCs w:val="28"/>
          <w:lang w:val="en-US" w:eastAsia="zh-CN"/>
        </w:rPr>
        <w:t>0435-6229335</w:t>
      </w:r>
    </w:p>
    <w:p w14:paraId="481DFBAD">
      <w:pPr>
        <w:spacing w:line="360" w:lineRule="auto"/>
        <w:ind w:firstLine="528" w:firstLineChars="200"/>
        <w:jc w:val="left"/>
        <w:rPr>
          <w:rFonts w:hint="eastAsia" w:ascii="仿宋" w:hAnsi="仿宋" w:eastAsia="仿宋" w:cs="仿宋"/>
          <w:b/>
          <w:bCs/>
          <w:sz w:val="28"/>
          <w:szCs w:val="28"/>
        </w:rPr>
      </w:pPr>
      <w:r>
        <w:rPr>
          <w:rFonts w:hint="eastAsia" w:ascii="仿宋" w:hAnsi="仿宋" w:eastAsia="仿宋" w:cs="仿宋"/>
          <w:b/>
          <w:bCs/>
          <w:sz w:val="28"/>
          <w:szCs w:val="28"/>
        </w:rPr>
        <w:t>2.采购代理机构信息</w:t>
      </w:r>
      <w:bookmarkEnd w:id="23"/>
      <w:bookmarkEnd w:id="24"/>
    </w:p>
    <w:p w14:paraId="6976BD27">
      <w:pPr>
        <w:spacing w:line="360" w:lineRule="auto"/>
        <w:ind w:firstLine="528" w:firstLineChars="200"/>
        <w:rPr>
          <w:rFonts w:hint="eastAsia" w:ascii="仿宋" w:hAnsi="仿宋" w:eastAsia="仿宋" w:cs="仿宋"/>
          <w:sz w:val="28"/>
          <w:szCs w:val="28"/>
        </w:rPr>
      </w:pPr>
      <w:r>
        <w:rPr>
          <w:rFonts w:hint="eastAsia" w:ascii="仿宋" w:hAnsi="仿宋" w:eastAsia="仿宋" w:cs="仿宋"/>
          <w:sz w:val="28"/>
          <w:szCs w:val="28"/>
        </w:rPr>
        <w:t>名 称：集安市政府采购中心　　</w:t>
      </w:r>
    </w:p>
    <w:p w14:paraId="3D3D0417">
      <w:pPr>
        <w:spacing w:line="360" w:lineRule="auto"/>
        <w:ind w:firstLine="528" w:firstLineChars="200"/>
        <w:rPr>
          <w:rFonts w:hint="eastAsia" w:ascii="仿宋" w:hAnsi="仿宋" w:eastAsia="仿宋" w:cs="仿宋"/>
          <w:sz w:val="28"/>
          <w:szCs w:val="28"/>
        </w:rPr>
      </w:pPr>
      <w:r>
        <w:rPr>
          <w:rFonts w:hint="eastAsia" w:ascii="仿宋" w:hAnsi="仿宋" w:eastAsia="仿宋" w:cs="仿宋"/>
          <w:sz w:val="28"/>
          <w:szCs w:val="28"/>
        </w:rPr>
        <w:t>地　址：集安市沿江路2699号</w:t>
      </w:r>
    </w:p>
    <w:p w14:paraId="5D23EA05">
      <w:pPr>
        <w:spacing w:line="360" w:lineRule="auto"/>
        <w:ind w:firstLine="528" w:firstLineChars="200"/>
        <w:rPr>
          <w:rFonts w:hint="eastAsia" w:ascii="仿宋" w:hAnsi="仿宋" w:eastAsia="仿宋" w:cs="仿宋"/>
          <w:sz w:val="28"/>
          <w:szCs w:val="28"/>
          <w:u w:val="single"/>
        </w:rPr>
      </w:pPr>
      <w:r>
        <w:rPr>
          <w:rFonts w:hint="eastAsia" w:ascii="仿宋" w:hAnsi="仿宋" w:eastAsia="仿宋" w:cs="仿宋"/>
          <w:sz w:val="28"/>
          <w:szCs w:val="28"/>
        </w:rPr>
        <w:t>联系方式：</w:t>
      </w:r>
      <w:bookmarkStart w:id="25" w:name="_Toc28359010"/>
      <w:bookmarkStart w:id="26" w:name="_Toc28359087"/>
      <w:r>
        <w:rPr>
          <w:rFonts w:hint="eastAsia" w:ascii="仿宋" w:hAnsi="仿宋" w:eastAsia="仿宋" w:cs="仿宋"/>
          <w:sz w:val="28"/>
          <w:szCs w:val="28"/>
        </w:rPr>
        <w:t>0435-6222381</w:t>
      </w:r>
    </w:p>
    <w:bookmarkEnd w:id="25"/>
    <w:bookmarkEnd w:id="26"/>
    <w:p w14:paraId="13320483">
      <w:pPr>
        <w:spacing w:line="360" w:lineRule="auto"/>
        <w:ind w:firstLine="528" w:firstLineChars="200"/>
        <w:rPr>
          <w:rFonts w:hint="eastAsia" w:ascii="仿宋" w:hAnsi="仿宋" w:eastAsia="仿宋" w:cs="仿宋"/>
          <w:sz w:val="28"/>
          <w:szCs w:val="28"/>
          <w:lang w:eastAsia="zh-CN"/>
        </w:rPr>
      </w:pPr>
      <w:r>
        <w:rPr>
          <w:rFonts w:hint="eastAsia" w:ascii="仿宋" w:hAnsi="仿宋" w:eastAsia="仿宋" w:cs="仿宋"/>
          <w:sz w:val="28"/>
          <w:szCs w:val="28"/>
        </w:rPr>
        <w:t xml:space="preserve">联系人：徐建成  </w:t>
      </w:r>
      <w:r>
        <w:rPr>
          <w:rFonts w:hint="eastAsia" w:ascii="仿宋" w:hAnsi="仿宋" w:eastAsia="仿宋" w:cs="仿宋"/>
          <w:sz w:val="28"/>
          <w:szCs w:val="28"/>
          <w:lang w:eastAsia="zh-CN"/>
        </w:rPr>
        <w:t>杜知铭</w:t>
      </w:r>
    </w:p>
    <w:p w14:paraId="290C21B9">
      <w:pPr>
        <w:ind w:firstLine="753" w:firstLineChars="285"/>
        <w:rPr>
          <w:rFonts w:hint="eastAsia" w:ascii="仿宋" w:hAnsi="仿宋" w:eastAsia="仿宋" w:cs="仿宋"/>
          <w:b/>
          <w:snapToGrid w:val="0"/>
          <w:color w:val="000000"/>
          <w:kern w:val="0"/>
          <w:sz w:val="28"/>
          <w:szCs w:val="28"/>
          <w:lang w:val="en-US" w:eastAsia="zh-CN"/>
        </w:rPr>
      </w:pPr>
      <w:r>
        <w:rPr>
          <w:rFonts w:hint="eastAsia" w:ascii="仿宋" w:hAnsi="仿宋" w:eastAsia="仿宋" w:cs="仿宋"/>
          <w:b/>
          <w:bCs/>
          <w:sz w:val="28"/>
          <w:szCs w:val="28"/>
        </w:rPr>
        <w:t>3.技术服务</w:t>
      </w:r>
      <w:r>
        <w:rPr>
          <w:rFonts w:hint="eastAsia" w:ascii="仿宋" w:hAnsi="仿宋" w:eastAsia="仿宋" w:cs="仿宋"/>
          <w:b/>
          <w:bCs/>
          <w:sz w:val="28"/>
          <w:szCs w:val="28"/>
          <w:lang w:eastAsia="zh-CN"/>
        </w:rPr>
        <w:t>：</w:t>
      </w:r>
      <w:r>
        <w:rPr>
          <w:rFonts w:hint="eastAsia" w:ascii="仿宋" w:hAnsi="仿宋" w:eastAsia="仿宋" w:cs="仿宋"/>
          <w:color w:val="000000"/>
          <w:sz w:val="28"/>
          <w:szCs w:val="28"/>
          <w:lang w:val="en-US" w:eastAsia="zh-CN"/>
        </w:rPr>
        <w:t>95763</w:t>
      </w:r>
    </w:p>
    <w:p w14:paraId="307E98AF">
      <w:pPr>
        <w:spacing w:line="360" w:lineRule="auto"/>
        <w:rPr>
          <w:rStyle w:val="17"/>
          <w:rFonts w:hint="eastAsia" w:ascii="宋体" w:hAnsi="宋体" w:cs="宋体"/>
          <w:sz w:val="36"/>
          <w:szCs w:val="36"/>
        </w:rPr>
        <w:sectPr>
          <w:headerReference r:id="rId5" w:type="first"/>
          <w:footerReference r:id="rId7" w:type="first"/>
          <w:headerReference r:id="rId4" w:type="default"/>
          <w:footerReference r:id="rId6" w:type="default"/>
          <w:pgSz w:w="11907" w:h="16840"/>
          <w:pgMar w:top="1440" w:right="1803" w:bottom="1440" w:left="1803" w:header="851" w:footer="850" w:gutter="0"/>
          <w:cols w:space="720" w:num="1"/>
          <w:titlePg/>
          <w:docGrid w:type="linesAndChars" w:linePitch="312" w:charSpace="-3473"/>
        </w:sectPr>
      </w:pPr>
    </w:p>
    <w:p w14:paraId="7DD61190">
      <w:pPr>
        <w:spacing w:line="360" w:lineRule="auto"/>
        <w:ind w:firstLine="2064" w:firstLineChars="600"/>
        <w:rPr>
          <w:rStyle w:val="17"/>
          <w:rFonts w:hint="eastAsia" w:ascii="宋体" w:hAnsi="宋体" w:cs="宋体"/>
          <w:sz w:val="36"/>
          <w:szCs w:val="36"/>
        </w:rPr>
      </w:pPr>
      <w:r>
        <w:rPr>
          <w:rStyle w:val="17"/>
          <w:rFonts w:hint="eastAsia" w:ascii="宋体" w:hAnsi="宋体" w:cs="宋体"/>
          <w:sz w:val="36"/>
          <w:szCs w:val="36"/>
        </w:rPr>
        <w:t>第二章、 项目招标需求</w:t>
      </w:r>
    </w:p>
    <w:p w14:paraId="657642CF">
      <w:pPr>
        <w:spacing w:line="360" w:lineRule="auto"/>
        <w:ind w:firstLine="528" w:firstLineChars="200"/>
        <w:rPr>
          <w:rFonts w:hint="eastAsia" w:eastAsia="宋体"/>
          <w:sz w:val="28"/>
          <w:szCs w:val="28"/>
          <w:lang w:eastAsia="zh-CN"/>
        </w:rPr>
      </w:pPr>
      <w:r>
        <w:rPr>
          <w:rFonts w:hint="eastAsia"/>
          <w:sz w:val="28"/>
          <w:szCs w:val="28"/>
          <w:lang w:eastAsia="zh-CN"/>
        </w:rPr>
        <w:t>一、</w:t>
      </w:r>
      <w:r>
        <w:rPr>
          <w:rFonts w:hint="eastAsia"/>
          <w:sz w:val="28"/>
          <w:szCs w:val="28"/>
        </w:rPr>
        <w:t>本项目采购需求</w:t>
      </w:r>
      <w:r>
        <w:rPr>
          <w:rFonts w:hint="eastAsia"/>
          <w:sz w:val="28"/>
          <w:szCs w:val="28"/>
          <w:lang w:eastAsia="zh-CN"/>
        </w:rPr>
        <w:t>及技术参数</w:t>
      </w:r>
    </w:p>
    <w:p w14:paraId="53955AB9">
      <w:r>
        <w:rPr>
          <w:rFonts w:hint="eastAsia"/>
          <w:sz w:val="28"/>
          <w:szCs w:val="28"/>
        </w:rPr>
        <w:t>（一）总体需求</w:t>
      </w:r>
    </w:p>
    <w:tbl>
      <w:tblPr>
        <w:tblStyle w:val="15"/>
        <w:tblW w:w="4815" w:type="pct"/>
        <w:tblInd w:w="0" w:type="dxa"/>
        <w:tblLayout w:type="autofit"/>
        <w:tblCellMar>
          <w:top w:w="0" w:type="dxa"/>
          <w:left w:w="108" w:type="dxa"/>
          <w:bottom w:w="0" w:type="dxa"/>
          <w:right w:w="108" w:type="dxa"/>
        </w:tblCellMar>
      </w:tblPr>
      <w:tblGrid>
        <w:gridCol w:w="829"/>
        <w:gridCol w:w="2934"/>
        <w:gridCol w:w="1470"/>
        <w:gridCol w:w="2969"/>
      </w:tblGrid>
      <w:tr w14:paraId="2D2E98C7">
        <w:tblPrEx>
          <w:tblCellMar>
            <w:top w:w="0" w:type="dxa"/>
            <w:left w:w="108" w:type="dxa"/>
            <w:bottom w:w="0" w:type="dxa"/>
            <w:right w:w="108" w:type="dxa"/>
          </w:tblCellMar>
        </w:tblPrEx>
        <w:trPr>
          <w:trHeight w:val="691" w:hRule="atLeast"/>
        </w:trPr>
        <w:tc>
          <w:tcPr>
            <w:tcW w:w="5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FC6563">
            <w:pPr>
              <w:widowControl/>
              <w:jc w:val="center"/>
              <w:textAlignment w:val="center"/>
              <w:rPr>
                <w:rFonts w:hint="eastAsia" w:ascii="宋体" w:hAnsi="宋体" w:cs="宋体"/>
                <w:szCs w:val="21"/>
              </w:rPr>
            </w:pPr>
            <w:r>
              <w:rPr>
                <w:rFonts w:hint="eastAsia" w:ascii="宋体" w:hAnsi="宋体" w:cs="宋体"/>
                <w:kern w:val="0"/>
                <w:szCs w:val="21"/>
                <w:lang w:bidi="ar"/>
              </w:rPr>
              <w:t>序号</w:t>
            </w:r>
          </w:p>
        </w:tc>
        <w:tc>
          <w:tcPr>
            <w:tcW w:w="178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5AF31F">
            <w:pPr>
              <w:widowControl/>
              <w:jc w:val="center"/>
              <w:textAlignment w:val="center"/>
              <w:rPr>
                <w:rFonts w:hint="eastAsia" w:ascii="宋体" w:hAnsi="宋体" w:cs="宋体"/>
                <w:szCs w:val="21"/>
              </w:rPr>
            </w:pPr>
            <w:r>
              <w:rPr>
                <w:rFonts w:hint="eastAsia" w:ascii="宋体" w:hAnsi="宋体" w:cs="宋体"/>
                <w:kern w:val="0"/>
                <w:szCs w:val="21"/>
                <w:lang w:bidi="ar"/>
              </w:rPr>
              <w:t>采购标的名称</w:t>
            </w:r>
          </w:p>
        </w:tc>
        <w:tc>
          <w:tcPr>
            <w:tcW w:w="89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745B53">
            <w:pPr>
              <w:widowControl/>
              <w:jc w:val="center"/>
              <w:textAlignment w:val="center"/>
              <w:rPr>
                <w:rFonts w:hint="eastAsia" w:ascii="宋体" w:hAnsi="宋体" w:cs="宋体"/>
                <w:szCs w:val="21"/>
              </w:rPr>
            </w:pPr>
            <w:r>
              <w:rPr>
                <w:rFonts w:hint="eastAsia" w:ascii="宋体" w:hAnsi="宋体" w:cs="宋体"/>
                <w:kern w:val="0"/>
                <w:szCs w:val="21"/>
                <w:lang w:bidi="ar"/>
              </w:rPr>
              <w:t>数量</w:t>
            </w:r>
          </w:p>
        </w:tc>
        <w:tc>
          <w:tcPr>
            <w:tcW w:w="180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D6D2FD">
            <w:pPr>
              <w:widowControl/>
              <w:jc w:val="center"/>
              <w:textAlignment w:val="center"/>
              <w:rPr>
                <w:rFonts w:hint="eastAsia" w:ascii="宋体" w:hAnsi="宋体" w:cs="宋体"/>
                <w:szCs w:val="21"/>
              </w:rPr>
            </w:pPr>
            <w:r>
              <w:rPr>
                <w:rFonts w:hint="eastAsia" w:ascii="宋体" w:hAnsi="宋体" w:cs="宋体"/>
                <w:kern w:val="0"/>
                <w:szCs w:val="21"/>
                <w:lang w:bidi="ar"/>
              </w:rPr>
              <w:t>简要技术需求或服务要求</w:t>
            </w:r>
          </w:p>
        </w:tc>
      </w:tr>
      <w:tr w14:paraId="647729E4">
        <w:tblPrEx>
          <w:tblCellMar>
            <w:top w:w="0" w:type="dxa"/>
            <w:left w:w="108" w:type="dxa"/>
            <w:bottom w:w="0" w:type="dxa"/>
            <w:right w:w="108" w:type="dxa"/>
          </w:tblCellMar>
        </w:tblPrEx>
        <w:trPr>
          <w:trHeight w:val="691" w:hRule="atLeast"/>
        </w:trPr>
        <w:tc>
          <w:tcPr>
            <w:tcW w:w="5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188186">
            <w:pPr>
              <w:widowControl/>
              <w:jc w:val="center"/>
              <w:textAlignment w:val="center"/>
              <w:rPr>
                <w:rFonts w:hint="eastAsia" w:ascii="宋体" w:hAnsi="宋体" w:cs="宋体"/>
                <w:szCs w:val="21"/>
              </w:rPr>
            </w:pPr>
            <w:r>
              <w:rPr>
                <w:rFonts w:hint="eastAsia" w:ascii="宋体" w:hAnsi="宋体" w:cs="宋体"/>
                <w:kern w:val="0"/>
                <w:szCs w:val="21"/>
                <w:lang w:bidi="ar"/>
              </w:rPr>
              <w:t>1</w:t>
            </w:r>
          </w:p>
        </w:tc>
        <w:tc>
          <w:tcPr>
            <w:tcW w:w="178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22242A">
            <w:pPr>
              <w:widowControl/>
              <w:jc w:val="center"/>
              <w:textAlignment w:val="center"/>
              <w:rPr>
                <w:rFonts w:hint="eastAsia" w:ascii="宋体" w:hAnsi="宋体" w:cs="宋体"/>
                <w:szCs w:val="21"/>
              </w:rPr>
            </w:pPr>
            <w:r>
              <w:rPr>
                <w:rFonts w:hint="eastAsia" w:ascii="宋体" w:hAnsi="宋体" w:cs="宋体"/>
                <w:kern w:val="0"/>
                <w:szCs w:val="21"/>
                <w:lang w:bidi="ar"/>
              </w:rPr>
              <w:t>网络设备</w:t>
            </w:r>
          </w:p>
        </w:tc>
        <w:tc>
          <w:tcPr>
            <w:tcW w:w="89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E3D226">
            <w:pPr>
              <w:widowControl/>
              <w:jc w:val="center"/>
              <w:textAlignment w:val="center"/>
              <w:rPr>
                <w:rFonts w:hint="eastAsia" w:ascii="宋体" w:hAnsi="宋体" w:cs="宋体"/>
                <w:szCs w:val="21"/>
              </w:rPr>
            </w:pPr>
            <w:r>
              <w:rPr>
                <w:rFonts w:hint="eastAsia" w:ascii="宋体" w:hAnsi="宋体" w:cs="宋体"/>
                <w:kern w:val="0"/>
                <w:szCs w:val="21"/>
                <w:lang w:bidi="ar"/>
              </w:rPr>
              <w:t>1套</w:t>
            </w:r>
          </w:p>
        </w:tc>
        <w:tc>
          <w:tcPr>
            <w:tcW w:w="180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8A0955">
            <w:pPr>
              <w:jc w:val="center"/>
              <w:rPr>
                <w:rFonts w:hint="eastAsia" w:ascii="宋体" w:hAnsi="宋体" w:cs="宋体"/>
                <w:szCs w:val="21"/>
              </w:rPr>
            </w:pPr>
            <w:r>
              <w:rPr>
                <w:rFonts w:hint="eastAsia" w:ascii="宋体" w:hAnsi="宋体" w:cs="宋体"/>
                <w:szCs w:val="21"/>
              </w:rPr>
              <w:t>包括设备安装、调试</w:t>
            </w:r>
          </w:p>
        </w:tc>
      </w:tr>
      <w:tr w14:paraId="4D5B2009">
        <w:tblPrEx>
          <w:tblCellMar>
            <w:top w:w="0" w:type="dxa"/>
            <w:left w:w="108" w:type="dxa"/>
            <w:bottom w:w="0" w:type="dxa"/>
            <w:right w:w="108" w:type="dxa"/>
          </w:tblCellMar>
        </w:tblPrEx>
        <w:trPr>
          <w:trHeight w:val="729" w:hRule="atLeast"/>
        </w:trPr>
        <w:tc>
          <w:tcPr>
            <w:tcW w:w="5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689105">
            <w:pPr>
              <w:widowControl/>
              <w:jc w:val="center"/>
              <w:textAlignment w:val="center"/>
              <w:rPr>
                <w:rFonts w:hint="eastAsia" w:ascii="宋体" w:hAnsi="宋体" w:cs="宋体"/>
                <w:szCs w:val="21"/>
              </w:rPr>
            </w:pPr>
            <w:r>
              <w:rPr>
                <w:rFonts w:hint="eastAsia" w:ascii="宋体" w:hAnsi="宋体" w:cs="宋体"/>
                <w:kern w:val="0"/>
                <w:szCs w:val="21"/>
                <w:lang w:bidi="ar"/>
              </w:rPr>
              <w:t>2</w:t>
            </w:r>
          </w:p>
        </w:tc>
        <w:tc>
          <w:tcPr>
            <w:tcW w:w="178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97B040">
            <w:pPr>
              <w:widowControl/>
              <w:jc w:val="center"/>
              <w:textAlignment w:val="center"/>
              <w:rPr>
                <w:rFonts w:hint="eastAsia" w:ascii="宋体" w:hAnsi="宋体" w:cs="宋体"/>
                <w:szCs w:val="21"/>
              </w:rPr>
            </w:pPr>
            <w:r>
              <w:rPr>
                <w:rFonts w:hint="eastAsia" w:ascii="宋体" w:hAnsi="宋体" w:cs="宋体"/>
                <w:kern w:val="0"/>
                <w:szCs w:val="21"/>
                <w:lang w:bidi="ar"/>
              </w:rPr>
              <w:t>监控平台系统</w:t>
            </w:r>
          </w:p>
        </w:tc>
        <w:tc>
          <w:tcPr>
            <w:tcW w:w="89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8316FA">
            <w:pPr>
              <w:widowControl/>
              <w:jc w:val="center"/>
              <w:textAlignment w:val="center"/>
              <w:rPr>
                <w:rFonts w:hint="eastAsia" w:ascii="宋体" w:hAnsi="宋体" w:cs="宋体"/>
                <w:szCs w:val="21"/>
              </w:rPr>
            </w:pPr>
            <w:r>
              <w:rPr>
                <w:rFonts w:hint="eastAsia" w:ascii="宋体" w:hAnsi="宋体" w:cs="宋体"/>
                <w:kern w:val="0"/>
                <w:szCs w:val="21"/>
                <w:lang w:bidi="ar"/>
              </w:rPr>
              <w:t>1套</w:t>
            </w:r>
          </w:p>
        </w:tc>
        <w:tc>
          <w:tcPr>
            <w:tcW w:w="18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986C61">
            <w:pPr>
              <w:jc w:val="center"/>
              <w:rPr>
                <w:rFonts w:hint="eastAsia" w:ascii="宋体" w:hAnsi="宋体" w:cs="宋体"/>
                <w:szCs w:val="21"/>
              </w:rPr>
            </w:pPr>
            <w:r>
              <w:rPr>
                <w:rFonts w:hint="eastAsia" w:ascii="宋体" w:hAnsi="宋体" w:cs="宋体"/>
                <w:szCs w:val="21"/>
              </w:rPr>
              <w:t>包括设备安装、调试</w:t>
            </w:r>
          </w:p>
        </w:tc>
      </w:tr>
      <w:tr w14:paraId="456BD78E">
        <w:tblPrEx>
          <w:tblCellMar>
            <w:top w:w="0" w:type="dxa"/>
            <w:left w:w="108" w:type="dxa"/>
            <w:bottom w:w="0" w:type="dxa"/>
            <w:right w:w="108" w:type="dxa"/>
          </w:tblCellMar>
        </w:tblPrEx>
        <w:trPr>
          <w:trHeight w:val="691" w:hRule="atLeast"/>
        </w:trPr>
        <w:tc>
          <w:tcPr>
            <w:tcW w:w="5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CA7795">
            <w:pPr>
              <w:widowControl/>
              <w:jc w:val="center"/>
              <w:textAlignment w:val="center"/>
              <w:rPr>
                <w:rFonts w:hint="eastAsia" w:ascii="宋体" w:hAnsi="宋体" w:cs="宋体"/>
                <w:szCs w:val="21"/>
              </w:rPr>
            </w:pPr>
            <w:r>
              <w:rPr>
                <w:rFonts w:hint="eastAsia" w:ascii="宋体" w:hAnsi="宋体" w:cs="宋体"/>
                <w:kern w:val="0"/>
                <w:szCs w:val="21"/>
                <w:lang w:bidi="ar"/>
              </w:rPr>
              <w:t>3</w:t>
            </w:r>
          </w:p>
        </w:tc>
        <w:tc>
          <w:tcPr>
            <w:tcW w:w="178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2CF152">
            <w:pPr>
              <w:widowControl/>
              <w:jc w:val="center"/>
              <w:textAlignment w:val="center"/>
              <w:rPr>
                <w:rFonts w:hint="eastAsia" w:ascii="宋体" w:hAnsi="宋体" w:cs="宋体"/>
                <w:szCs w:val="21"/>
              </w:rPr>
            </w:pPr>
            <w:r>
              <w:rPr>
                <w:rFonts w:hint="eastAsia" w:ascii="宋体" w:hAnsi="宋体" w:cs="宋体"/>
                <w:kern w:val="0"/>
                <w:szCs w:val="21"/>
                <w:lang w:bidi="ar"/>
              </w:rPr>
              <w:t>排队叫号和信息发布系统</w:t>
            </w:r>
          </w:p>
        </w:tc>
        <w:tc>
          <w:tcPr>
            <w:tcW w:w="89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B1B842">
            <w:pPr>
              <w:widowControl/>
              <w:jc w:val="center"/>
              <w:textAlignment w:val="center"/>
              <w:rPr>
                <w:rFonts w:hint="eastAsia" w:ascii="宋体" w:hAnsi="宋体" w:cs="宋体"/>
                <w:szCs w:val="21"/>
              </w:rPr>
            </w:pPr>
            <w:r>
              <w:rPr>
                <w:rFonts w:hint="eastAsia" w:ascii="宋体" w:hAnsi="宋体" w:cs="宋体"/>
                <w:kern w:val="0"/>
                <w:szCs w:val="21"/>
                <w:lang w:bidi="ar"/>
              </w:rPr>
              <w:t>1套</w:t>
            </w:r>
          </w:p>
        </w:tc>
        <w:tc>
          <w:tcPr>
            <w:tcW w:w="18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E29E67">
            <w:pPr>
              <w:jc w:val="center"/>
              <w:rPr>
                <w:rFonts w:hint="eastAsia" w:ascii="宋体" w:hAnsi="宋体" w:cs="宋体"/>
                <w:szCs w:val="21"/>
              </w:rPr>
            </w:pPr>
            <w:r>
              <w:rPr>
                <w:rFonts w:hint="eastAsia" w:ascii="宋体" w:hAnsi="宋体" w:cs="宋体"/>
                <w:szCs w:val="21"/>
              </w:rPr>
              <w:t>包括设备安装、调试</w:t>
            </w:r>
          </w:p>
        </w:tc>
      </w:tr>
      <w:tr w14:paraId="054BABB0">
        <w:tblPrEx>
          <w:tblCellMar>
            <w:top w:w="0" w:type="dxa"/>
            <w:left w:w="108" w:type="dxa"/>
            <w:bottom w:w="0" w:type="dxa"/>
            <w:right w:w="108" w:type="dxa"/>
          </w:tblCellMar>
        </w:tblPrEx>
        <w:trPr>
          <w:trHeight w:val="691" w:hRule="atLeast"/>
        </w:trPr>
        <w:tc>
          <w:tcPr>
            <w:tcW w:w="5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51473C">
            <w:pPr>
              <w:widowControl/>
              <w:jc w:val="center"/>
              <w:textAlignment w:val="center"/>
              <w:rPr>
                <w:rFonts w:hint="eastAsia" w:ascii="宋体" w:hAnsi="宋体" w:cs="宋体"/>
                <w:szCs w:val="21"/>
              </w:rPr>
            </w:pPr>
            <w:r>
              <w:rPr>
                <w:rFonts w:hint="eastAsia" w:ascii="宋体" w:hAnsi="宋体" w:cs="宋体"/>
                <w:kern w:val="0"/>
                <w:szCs w:val="21"/>
                <w:lang w:bidi="ar"/>
              </w:rPr>
              <w:t>4</w:t>
            </w:r>
          </w:p>
        </w:tc>
        <w:tc>
          <w:tcPr>
            <w:tcW w:w="178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C58626">
            <w:pPr>
              <w:widowControl/>
              <w:jc w:val="center"/>
              <w:textAlignment w:val="center"/>
              <w:rPr>
                <w:rFonts w:hint="eastAsia" w:ascii="宋体" w:hAnsi="宋体" w:cs="宋体"/>
                <w:szCs w:val="21"/>
              </w:rPr>
            </w:pPr>
            <w:r>
              <w:rPr>
                <w:rFonts w:hint="eastAsia" w:ascii="宋体" w:hAnsi="宋体" w:cs="宋体"/>
                <w:kern w:val="0"/>
                <w:szCs w:val="21"/>
                <w:lang w:bidi="ar"/>
              </w:rPr>
              <w:t>时钟系统</w:t>
            </w:r>
          </w:p>
        </w:tc>
        <w:tc>
          <w:tcPr>
            <w:tcW w:w="89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2F52C1">
            <w:pPr>
              <w:widowControl/>
              <w:jc w:val="center"/>
              <w:textAlignment w:val="center"/>
              <w:rPr>
                <w:rFonts w:hint="eastAsia" w:ascii="宋体" w:hAnsi="宋体" w:cs="宋体"/>
                <w:szCs w:val="21"/>
              </w:rPr>
            </w:pPr>
            <w:r>
              <w:rPr>
                <w:rFonts w:hint="eastAsia" w:ascii="宋体" w:hAnsi="宋体" w:cs="宋体"/>
                <w:kern w:val="0"/>
                <w:szCs w:val="21"/>
                <w:lang w:bidi="ar"/>
              </w:rPr>
              <w:t>1套</w:t>
            </w:r>
          </w:p>
        </w:tc>
        <w:tc>
          <w:tcPr>
            <w:tcW w:w="180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34E303">
            <w:pPr>
              <w:jc w:val="center"/>
              <w:rPr>
                <w:rFonts w:hint="eastAsia" w:ascii="宋体" w:hAnsi="宋体" w:cs="宋体"/>
                <w:szCs w:val="21"/>
              </w:rPr>
            </w:pPr>
            <w:r>
              <w:rPr>
                <w:rFonts w:hint="eastAsia" w:ascii="宋体" w:hAnsi="宋体" w:cs="宋体"/>
                <w:szCs w:val="21"/>
              </w:rPr>
              <w:t>包括设备安装、调试</w:t>
            </w:r>
          </w:p>
        </w:tc>
      </w:tr>
      <w:tr w14:paraId="7AED5103">
        <w:tblPrEx>
          <w:tblCellMar>
            <w:top w:w="0" w:type="dxa"/>
            <w:left w:w="108" w:type="dxa"/>
            <w:bottom w:w="0" w:type="dxa"/>
            <w:right w:w="108" w:type="dxa"/>
          </w:tblCellMar>
        </w:tblPrEx>
        <w:trPr>
          <w:trHeight w:val="625" w:hRule="atLeast"/>
        </w:trPr>
        <w:tc>
          <w:tcPr>
            <w:tcW w:w="5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95CEC5">
            <w:pPr>
              <w:widowControl/>
              <w:jc w:val="center"/>
              <w:textAlignment w:val="center"/>
              <w:rPr>
                <w:rFonts w:hint="eastAsia" w:ascii="宋体" w:hAnsi="宋体" w:cs="宋体"/>
                <w:szCs w:val="21"/>
              </w:rPr>
            </w:pPr>
            <w:r>
              <w:rPr>
                <w:rFonts w:hint="eastAsia" w:ascii="宋体" w:hAnsi="宋体" w:cs="宋体"/>
                <w:kern w:val="0"/>
                <w:szCs w:val="21"/>
                <w:lang w:bidi="ar"/>
              </w:rPr>
              <w:t>5</w:t>
            </w:r>
          </w:p>
        </w:tc>
        <w:tc>
          <w:tcPr>
            <w:tcW w:w="178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B8F9C4">
            <w:pPr>
              <w:widowControl/>
              <w:jc w:val="center"/>
              <w:textAlignment w:val="center"/>
              <w:rPr>
                <w:rFonts w:hint="eastAsia" w:ascii="宋体" w:hAnsi="宋体" w:cs="宋体"/>
                <w:szCs w:val="21"/>
              </w:rPr>
            </w:pPr>
            <w:r>
              <w:rPr>
                <w:rFonts w:hint="eastAsia" w:ascii="宋体" w:hAnsi="宋体" w:cs="宋体"/>
                <w:kern w:val="0"/>
                <w:szCs w:val="21"/>
                <w:lang w:bidi="ar"/>
              </w:rPr>
              <w:t>会议系统及大屏</w:t>
            </w:r>
          </w:p>
        </w:tc>
        <w:tc>
          <w:tcPr>
            <w:tcW w:w="89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829B71">
            <w:pPr>
              <w:widowControl/>
              <w:jc w:val="center"/>
              <w:textAlignment w:val="center"/>
              <w:rPr>
                <w:rFonts w:hint="eastAsia" w:ascii="宋体" w:hAnsi="宋体" w:cs="宋体"/>
                <w:szCs w:val="21"/>
              </w:rPr>
            </w:pPr>
            <w:r>
              <w:rPr>
                <w:rFonts w:hint="eastAsia" w:ascii="宋体" w:hAnsi="宋体" w:cs="宋体"/>
                <w:kern w:val="0"/>
                <w:szCs w:val="21"/>
                <w:lang w:bidi="ar"/>
              </w:rPr>
              <w:t>1套</w:t>
            </w:r>
          </w:p>
        </w:tc>
        <w:tc>
          <w:tcPr>
            <w:tcW w:w="18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121E70">
            <w:pPr>
              <w:jc w:val="center"/>
              <w:rPr>
                <w:rFonts w:hint="eastAsia" w:ascii="宋体" w:hAnsi="宋体" w:cs="宋体"/>
                <w:szCs w:val="21"/>
              </w:rPr>
            </w:pPr>
            <w:r>
              <w:rPr>
                <w:rFonts w:hint="eastAsia" w:ascii="宋体" w:hAnsi="宋体" w:cs="宋体"/>
                <w:szCs w:val="21"/>
              </w:rPr>
              <w:t>包括设备安装、调试</w:t>
            </w:r>
          </w:p>
        </w:tc>
      </w:tr>
    </w:tbl>
    <w:p w14:paraId="419D16DA"/>
    <w:p w14:paraId="26F4E43C">
      <w:pPr>
        <w:spacing w:line="480" w:lineRule="exact"/>
        <w:ind w:firstLine="528" w:firstLineChars="200"/>
        <w:rPr>
          <w:rFonts w:hint="eastAsia" w:cs="宋体" w:asciiTheme="minorEastAsia" w:hAnsiTheme="minorEastAsia" w:eastAsiaTheme="minorEastAsia"/>
          <w:bCs/>
          <w:sz w:val="28"/>
          <w:szCs w:val="28"/>
        </w:rPr>
      </w:pPr>
      <w:r>
        <w:rPr>
          <w:rFonts w:hint="eastAsia" w:cs="宋体" w:asciiTheme="minorEastAsia" w:hAnsiTheme="minorEastAsia" w:eastAsiaTheme="minorEastAsia"/>
          <w:bCs/>
          <w:sz w:val="28"/>
          <w:szCs w:val="28"/>
        </w:rPr>
        <w:t>（二）具体项目及技术参数</w:t>
      </w:r>
    </w:p>
    <w:tbl>
      <w:tblPr>
        <w:tblStyle w:val="15"/>
        <w:tblW w:w="8078" w:type="dxa"/>
        <w:tblInd w:w="113" w:type="dxa"/>
        <w:tblLayout w:type="fixed"/>
        <w:tblCellMar>
          <w:top w:w="0" w:type="dxa"/>
          <w:left w:w="108" w:type="dxa"/>
          <w:bottom w:w="0" w:type="dxa"/>
          <w:right w:w="108" w:type="dxa"/>
        </w:tblCellMar>
      </w:tblPr>
      <w:tblGrid>
        <w:gridCol w:w="1080"/>
        <w:gridCol w:w="1325"/>
        <w:gridCol w:w="3515"/>
        <w:gridCol w:w="981"/>
        <w:gridCol w:w="1177"/>
      </w:tblGrid>
      <w:tr w14:paraId="10FD0C8B">
        <w:tblPrEx>
          <w:tblCellMar>
            <w:top w:w="0" w:type="dxa"/>
            <w:left w:w="108" w:type="dxa"/>
            <w:bottom w:w="0" w:type="dxa"/>
            <w:right w:w="108" w:type="dxa"/>
          </w:tblCellMar>
        </w:tblPrEx>
        <w:trPr>
          <w:trHeight w:val="280" w:hRule="atLeast"/>
        </w:trPr>
        <w:tc>
          <w:tcPr>
            <w:tcW w:w="2405" w:type="dxa"/>
            <w:gridSpan w:val="2"/>
            <w:tcBorders>
              <w:top w:val="single" w:color="auto" w:sz="4" w:space="0"/>
              <w:left w:val="single" w:color="auto" w:sz="4" w:space="0"/>
              <w:bottom w:val="single" w:color="auto" w:sz="4" w:space="0"/>
              <w:right w:val="nil"/>
            </w:tcBorders>
            <w:shd w:val="clear" w:color="000000" w:fill="AEAAAA"/>
            <w:noWrap/>
            <w:vAlign w:val="center"/>
          </w:tcPr>
          <w:p w14:paraId="70379B48">
            <w:pPr>
              <w:widowControl/>
              <w:jc w:val="left"/>
              <w:rPr>
                <w:rFonts w:hint="eastAsia" w:ascii="宋体" w:hAnsi="宋体" w:cs="宋体"/>
                <w:b/>
                <w:bCs/>
                <w:kern w:val="0"/>
                <w:sz w:val="20"/>
                <w:szCs w:val="20"/>
              </w:rPr>
            </w:pPr>
            <w:r>
              <w:rPr>
                <w:rFonts w:hint="eastAsia" w:ascii="宋体" w:hAnsi="宋体" w:cs="宋体"/>
                <w:b/>
                <w:bCs/>
                <w:kern w:val="0"/>
                <w:sz w:val="20"/>
                <w:szCs w:val="20"/>
              </w:rPr>
              <w:t>一.网络设备</w:t>
            </w:r>
          </w:p>
        </w:tc>
        <w:tc>
          <w:tcPr>
            <w:tcW w:w="4496" w:type="dxa"/>
            <w:gridSpan w:val="2"/>
            <w:tcBorders>
              <w:top w:val="single" w:color="auto" w:sz="4" w:space="0"/>
              <w:left w:val="single" w:color="auto" w:sz="4" w:space="0"/>
              <w:bottom w:val="single" w:color="auto" w:sz="4" w:space="0"/>
              <w:right w:val="nil"/>
            </w:tcBorders>
            <w:shd w:val="clear" w:color="000000" w:fill="AEAAAA"/>
            <w:noWrap/>
            <w:vAlign w:val="center"/>
          </w:tcPr>
          <w:p w14:paraId="768B898C">
            <w:pPr>
              <w:widowControl/>
              <w:jc w:val="left"/>
              <w:rPr>
                <w:rFonts w:hint="eastAsia" w:ascii="宋体" w:hAnsi="宋体" w:cs="宋体"/>
                <w:b/>
                <w:bCs/>
                <w:kern w:val="0"/>
                <w:sz w:val="20"/>
                <w:szCs w:val="20"/>
              </w:rPr>
            </w:pPr>
            <w:r>
              <w:rPr>
                <w:rFonts w:hint="eastAsia" w:ascii="宋体" w:hAnsi="宋体" w:cs="宋体"/>
                <w:b/>
                <w:bCs/>
                <w:kern w:val="0"/>
                <w:sz w:val="20"/>
                <w:szCs w:val="20"/>
              </w:rPr>
              <w:t>　</w:t>
            </w:r>
          </w:p>
        </w:tc>
        <w:tc>
          <w:tcPr>
            <w:tcW w:w="1177" w:type="dxa"/>
            <w:tcBorders>
              <w:top w:val="single" w:color="auto" w:sz="4" w:space="0"/>
              <w:left w:val="nil"/>
              <w:bottom w:val="single" w:color="auto" w:sz="4" w:space="0"/>
              <w:right w:val="nil"/>
            </w:tcBorders>
            <w:shd w:val="clear" w:color="000000" w:fill="AEAAAA"/>
            <w:noWrap/>
            <w:vAlign w:val="center"/>
          </w:tcPr>
          <w:p w14:paraId="71F7AC8B">
            <w:pPr>
              <w:widowControl/>
              <w:jc w:val="center"/>
              <w:rPr>
                <w:rFonts w:hint="eastAsia" w:ascii="宋体" w:hAnsi="宋体" w:cs="宋体"/>
                <w:kern w:val="0"/>
                <w:sz w:val="20"/>
                <w:szCs w:val="20"/>
              </w:rPr>
            </w:pPr>
            <w:r>
              <w:rPr>
                <w:rFonts w:hint="eastAsia" w:ascii="宋体" w:hAnsi="宋体" w:cs="宋体"/>
                <w:kern w:val="0"/>
                <w:sz w:val="20"/>
                <w:szCs w:val="20"/>
              </w:rPr>
              <w:t>　</w:t>
            </w:r>
          </w:p>
        </w:tc>
      </w:tr>
      <w:tr w14:paraId="728747A0">
        <w:tblPrEx>
          <w:tblCellMar>
            <w:top w:w="0" w:type="dxa"/>
            <w:left w:w="108" w:type="dxa"/>
            <w:bottom w:w="0" w:type="dxa"/>
            <w:right w:w="108" w:type="dxa"/>
          </w:tblCellMar>
        </w:tblPrEx>
        <w:trPr>
          <w:trHeight w:val="28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5289EEE9">
            <w:pPr>
              <w:widowControl/>
              <w:jc w:val="center"/>
              <w:rPr>
                <w:rFonts w:hint="eastAsia" w:ascii="宋体" w:hAnsi="宋体" w:cs="宋体"/>
                <w:b/>
                <w:bCs/>
                <w:kern w:val="0"/>
                <w:sz w:val="20"/>
                <w:szCs w:val="20"/>
              </w:rPr>
            </w:pPr>
            <w:r>
              <w:rPr>
                <w:rFonts w:hint="eastAsia" w:ascii="宋体" w:hAnsi="宋体" w:cs="宋体"/>
                <w:b/>
                <w:bCs/>
                <w:kern w:val="0"/>
                <w:sz w:val="20"/>
                <w:szCs w:val="20"/>
              </w:rPr>
              <w:t xml:space="preserve">序号 </w:t>
            </w:r>
          </w:p>
        </w:tc>
        <w:tc>
          <w:tcPr>
            <w:tcW w:w="1325" w:type="dxa"/>
            <w:tcBorders>
              <w:top w:val="nil"/>
              <w:left w:val="nil"/>
              <w:bottom w:val="single" w:color="auto" w:sz="4" w:space="0"/>
              <w:right w:val="single" w:color="auto" w:sz="4" w:space="0"/>
            </w:tcBorders>
            <w:shd w:val="clear" w:color="auto" w:fill="auto"/>
            <w:noWrap/>
            <w:vAlign w:val="center"/>
          </w:tcPr>
          <w:p w14:paraId="74A86AD8">
            <w:pPr>
              <w:widowControl/>
              <w:jc w:val="left"/>
              <w:rPr>
                <w:rFonts w:hint="eastAsia" w:ascii="宋体" w:hAnsi="宋体" w:cs="宋体"/>
                <w:b/>
                <w:bCs/>
                <w:kern w:val="0"/>
                <w:sz w:val="20"/>
                <w:szCs w:val="20"/>
              </w:rPr>
            </w:pPr>
            <w:r>
              <w:rPr>
                <w:rFonts w:hint="eastAsia" w:ascii="宋体" w:hAnsi="宋体" w:cs="宋体"/>
                <w:b/>
                <w:bCs/>
                <w:kern w:val="0"/>
                <w:sz w:val="20"/>
                <w:szCs w:val="20"/>
              </w:rPr>
              <w:t>货物名称</w:t>
            </w:r>
          </w:p>
        </w:tc>
        <w:tc>
          <w:tcPr>
            <w:tcW w:w="3515" w:type="dxa"/>
            <w:tcBorders>
              <w:top w:val="nil"/>
              <w:left w:val="nil"/>
              <w:bottom w:val="single" w:color="auto" w:sz="4" w:space="0"/>
              <w:right w:val="single" w:color="auto" w:sz="4" w:space="0"/>
            </w:tcBorders>
            <w:shd w:val="clear" w:color="auto" w:fill="auto"/>
            <w:noWrap/>
            <w:vAlign w:val="center"/>
          </w:tcPr>
          <w:p w14:paraId="531D90A1">
            <w:pPr>
              <w:widowControl/>
              <w:jc w:val="left"/>
              <w:rPr>
                <w:rFonts w:hint="eastAsia" w:ascii="宋体" w:hAnsi="宋体" w:cs="宋体"/>
                <w:b/>
                <w:bCs/>
                <w:kern w:val="0"/>
                <w:sz w:val="20"/>
                <w:szCs w:val="20"/>
              </w:rPr>
            </w:pPr>
            <w:r>
              <w:rPr>
                <w:rFonts w:hint="eastAsia" w:ascii="宋体" w:hAnsi="宋体" w:cs="宋体"/>
                <w:b/>
                <w:bCs/>
                <w:kern w:val="0"/>
                <w:sz w:val="20"/>
                <w:szCs w:val="20"/>
              </w:rPr>
              <w:t>主要功能配置及技术指标要求</w:t>
            </w:r>
          </w:p>
        </w:tc>
        <w:tc>
          <w:tcPr>
            <w:tcW w:w="981" w:type="dxa"/>
            <w:tcBorders>
              <w:top w:val="nil"/>
              <w:left w:val="nil"/>
              <w:bottom w:val="single" w:color="auto" w:sz="4" w:space="0"/>
              <w:right w:val="single" w:color="auto" w:sz="4" w:space="0"/>
            </w:tcBorders>
            <w:shd w:val="clear" w:color="auto" w:fill="auto"/>
            <w:noWrap/>
            <w:vAlign w:val="center"/>
          </w:tcPr>
          <w:p w14:paraId="4D011B15">
            <w:pPr>
              <w:widowControl/>
              <w:jc w:val="center"/>
              <w:rPr>
                <w:rFonts w:hint="eastAsia" w:ascii="宋体" w:hAnsi="宋体" w:cs="宋体"/>
                <w:b/>
                <w:bCs/>
                <w:kern w:val="0"/>
                <w:sz w:val="20"/>
                <w:szCs w:val="20"/>
              </w:rPr>
            </w:pPr>
            <w:r>
              <w:rPr>
                <w:rFonts w:hint="eastAsia" w:ascii="宋体" w:hAnsi="宋体" w:cs="宋体"/>
                <w:b/>
                <w:bCs/>
                <w:kern w:val="0"/>
                <w:sz w:val="20"/>
                <w:szCs w:val="20"/>
              </w:rPr>
              <w:t>单位</w:t>
            </w:r>
          </w:p>
        </w:tc>
        <w:tc>
          <w:tcPr>
            <w:tcW w:w="1177" w:type="dxa"/>
            <w:tcBorders>
              <w:top w:val="nil"/>
              <w:left w:val="nil"/>
              <w:bottom w:val="single" w:color="auto" w:sz="4" w:space="0"/>
              <w:right w:val="single" w:color="auto" w:sz="4" w:space="0"/>
            </w:tcBorders>
            <w:shd w:val="clear" w:color="auto" w:fill="auto"/>
            <w:noWrap/>
            <w:vAlign w:val="center"/>
          </w:tcPr>
          <w:p w14:paraId="71C04B1F">
            <w:pPr>
              <w:widowControl/>
              <w:jc w:val="center"/>
              <w:rPr>
                <w:rFonts w:hint="eastAsia" w:ascii="宋体" w:hAnsi="宋体" w:cs="宋体"/>
                <w:b/>
                <w:bCs/>
                <w:kern w:val="0"/>
                <w:sz w:val="20"/>
                <w:szCs w:val="20"/>
              </w:rPr>
            </w:pPr>
            <w:r>
              <w:rPr>
                <w:rFonts w:hint="eastAsia" w:ascii="宋体" w:hAnsi="宋体" w:cs="宋体"/>
                <w:b/>
                <w:bCs/>
                <w:kern w:val="0"/>
                <w:sz w:val="20"/>
                <w:szCs w:val="20"/>
              </w:rPr>
              <w:t>数量</w:t>
            </w:r>
          </w:p>
        </w:tc>
      </w:tr>
      <w:tr w14:paraId="61C92CAD">
        <w:tblPrEx>
          <w:tblCellMar>
            <w:top w:w="0" w:type="dxa"/>
            <w:left w:w="108" w:type="dxa"/>
            <w:bottom w:w="0" w:type="dxa"/>
            <w:right w:w="108" w:type="dxa"/>
          </w:tblCellMar>
        </w:tblPrEx>
        <w:trPr>
          <w:trHeight w:val="2340" w:hRule="atLeast"/>
        </w:trPr>
        <w:tc>
          <w:tcPr>
            <w:tcW w:w="1080" w:type="dxa"/>
            <w:tcBorders>
              <w:top w:val="nil"/>
              <w:left w:val="single" w:color="auto" w:sz="4" w:space="0"/>
              <w:bottom w:val="single" w:color="auto" w:sz="4" w:space="0"/>
              <w:right w:val="single" w:color="auto" w:sz="4" w:space="0"/>
            </w:tcBorders>
            <w:shd w:val="clear" w:color="auto" w:fill="auto"/>
            <w:vAlign w:val="center"/>
          </w:tcPr>
          <w:p w14:paraId="74FD52AB">
            <w:pPr>
              <w:widowControl/>
              <w:jc w:val="center"/>
              <w:rPr>
                <w:rFonts w:hint="eastAsia" w:ascii="宋体" w:hAnsi="宋体" w:cs="宋体"/>
                <w:kern w:val="0"/>
                <w:sz w:val="20"/>
                <w:szCs w:val="20"/>
              </w:rPr>
            </w:pPr>
            <w:r>
              <w:rPr>
                <w:rFonts w:hint="eastAsia" w:ascii="宋体" w:hAnsi="宋体" w:cs="宋体"/>
                <w:kern w:val="0"/>
                <w:sz w:val="20"/>
                <w:szCs w:val="20"/>
              </w:rPr>
              <w:t>1</w:t>
            </w:r>
          </w:p>
        </w:tc>
        <w:tc>
          <w:tcPr>
            <w:tcW w:w="1325" w:type="dxa"/>
            <w:tcBorders>
              <w:top w:val="nil"/>
              <w:left w:val="nil"/>
              <w:bottom w:val="single" w:color="auto" w:sz="4" w:space="0"/>
              <w:right w:val="single" w:color="auto" w:sz="4" w:space="0"/>
            </w:tcBorders>
            <w:shd w:val="clear" w:color="auto" w:fill="auto"/>
            <w:vAlign w:val="center"/>
          </w:tcPr>
          <w:p w14:paraId="7F5825B2">
            <w:pPr>
              <w:widowControl/>
              <w:jc w:val="left"/>
              <w:rPr>
                <w:rFonts w:hint="eastAsia" w:ascii="宋体" w:hAnsi="宋体" w:cs="宋体"/>
                <w:kern w:val="0"/>
                <w:sz w:val="20"/>
                <w:szCs w:val="20"/>
              </w:rPr>
            </w:pPr>
            <w:r>
              <w:rPr>
                <w:rFonts w:hint="eastAsia" w:ascii="宋体" w:hAnsi="宋体" w:cs="宋体"/>
                <w:kern w:val="0"/>
                <w:sz w:val="20"/>
                <w:szCs w:val="20"/>
              </w:rPr>
              <w:t>外网核心交换机</w:t>
            </w:r>
          </w:p>
        </w:tc>
        <w:tc>
          <w:tcPr>
            <w:tcW w:w="3515" w:type="dxa"/>
            <w:tcBorders>
              <w:top w:val="nil"/>
              <w:left w:val="nil"/>
              <w:bottom w:val="single" w:color="auto" w:sz="4" w:space="0"/>
              <w:right w:val="single" w:color="auto" w:sz="4" w:space="0"/>
            </w:tcBorders>
            <w:shd w:val="clear" w:color="auto" w:fill="auto"/>
            <w:vAlign w:val="center"/>
          </w:tcPr>
          <w:p w14:paraId="04B239DA">
            <w:pPr>
              <w:widowControl/>
              <w:jc w:val="left"/>
              <w:rPr>
                <w:rFonts w:hint="eastAsia" w:ascii="宋体" w:hAnsi="宋体" w:cs="宋体"/>
                <w:kern w:val="0"/>
                <w:sz w:val="20"/>
                <w:szCs w:val="20"/>
              </w:rPr>
            </w:pPr>
            <w:r>
              <w:rPr>
                <w:rFonts w:hint="eastAsia" w:ascii="宋体" w:hAnsi="宋体" w:cs="宋体"/>
                <w:kern w:val="0"/>
                <w:sz w:val="20"/>
                <w:szCs w:val="20"/>
              </w:rPr>
              <w:t>1.采用全分布式转发处理架构，主控引擎与业务板卡完全物理分离；主控引擎槽位数≥2个，业务槽位数≥3个，电源槽位数≥2个；</w:t>
            </w:r>
            <w:r>
              <w:rPr>
                <w:rFonts w:hint="eastAsia" w:ascii="宋体" w:hAnsi="宋体" w:cs="宋体"/>
                <w:kern w:val="0"/>
                <w:sz w:val="20"/>
                <w:szCs w:val="20"/>
              </w:rPr>
              <w:br w:type="textWrapping"/>
            </w:r>
            <w:r>
              <w:rPr>
                <w:rFonts w:hint="eastAsia" w:ascii="宋体" w:hAnsi="宋体" w:cs="宋体"/>
                <w:kern w:val="0"/>
                <w:sz w:val="20"/>
                <w:szCs w:val="20"/>
              </w:rPr>
              <w:t>2.交换容量≥200Tbps，包转发性能≥38000Mpps；</w:t>
            </w:r>
            <w:r>
              <w:rPr>
                <w:rFonts w:hint="eastAsia" w:ascii="宋体" w:hAnsi="宋体" w:cs="宋体"/>
                <w:kern w:val="0"/>
                <w:sz w:val="20"/>
                <w:szCs w:val="20"/>
              </w:rPr>
              <w:br w:type="textWrapping"/>
            </w:r>
            <w:r>
              <w:rPr>
                <w:rFonts w:hint="eastAsia" w:ascii="宋体" w:hAnsi="宋体" w:cs="宋体"/>
                <w:kern w:val="0"/>
                <w:sz w:val="20"/>
                <w:szCs w:val="20"/>
              </w:rPr>
              <w:t>3.支持N:1虚拟化：可将2台物理设备虚拟化为1台逻辑设备，虚拟组内设备具备统一的二层及三层转发表项，统一的管理界面，并可实现跨设备链路聚合；</w:t>
            </w:r>
            <w:r>
              <w:rPr>
                <w:rFonts w:hint="eastAsia" w:ascii="宋体" w:hAnsi="宋体" w:cs="宋体"/>
                <w:kern w:val="0"/>
                <w:sz w:val="20"/>
                <w:szCs w:val="20"/>
              </w:rPr>
              <w:br w:type="textWrapping"/>
            </w:r>
            <w:r>
              <w:rPr>
                <w:rFonts w:hint="eastAsia" w:ascii="宋体" w:hAnsi="宋体" w:cs="宋体"/>
                <w:kern w:val="0"/>
                <w:sz w:val="20"/>
                <w:szCs w:val="20"/>
              </w:rPr>
              <w:t>4.支持VXLAN二三层分布式网关，支持EVPN；</w:t>
            </w:r>
            <w:r>
              <w:rPr>
                <w:rFonts w:hint="eastAsia" w:ascii="宋体" w:hAnsi="宋体" w:cs="宋体"/>
                <w:kern w:val="0"/>
                <w:sz w:val="20"/>
                <w:szCs w:val="20"/>
              </w:rPr>
              <w:br w:type="textWrapping"/>
            </w:r>
            <w:r>
              <w:rPr>
                <w:rFonts w:hint="eastAsia" w:ascii="宋体" w:hAnsi="宋体" w:cs="宋体"/>
                <w:kern w:val="0"/>
                <w:sz w:val="20"/>
                <w:szCs w:val="20"/>
              </w:rPr>
              <w:t>5.支持静态路由、RIP、RIPng、OSPF、OSPFv3、BGP、BGP4+、ISIS、ISISv6；</w:t>
            </w:r>
            <w:r>
              <w:rPr>
                <w:rFonts w:hint="eastAsia" w:ascii="宋体" w:hAnsi="宋体" w:cs="宋体"/>
                <w:kern w:val="0"/>
                <w:sz w:val="20"/>
                <w:szCs w:val="20"/>
              </w:rPr>
              <w:br w:type="textWrapping"/>
            </w:r>
            <w:r>
              <w:rPr>
                <w:rFonts w:hint="eastAsia" w:ascii="宋体" w:hAnsi="宋体" w:cs="宋体"/>
                <w:kern w:val="0"/>
                <w:sz w:val="20"/>
                <w:szCs w:val="20"/>
              </w:rPr>
              <w:t>6.单台配置：主控引擎≥2个、电源数量≥2个，≥40个千兆电口、≥16个千兆光口、≥16个万兆光口。</w:t>
            </w:r>
          </w:p>
        </w:tc>
        <w:tc>
          <w:tcPr>
            <w:tcW w:w="981" w:type="dxa"/>
            <w:tcBorders>
              <w:top w:val="nil"/>
              <w:left w:val="nil"/>
              <w:bottom w:val="single" w:color="auto" w:sz="4" w:space="0"/>
              <w:right w:val="single" w:color="auto" w:sz="4" w:space="0"/>
            </w:tcBorders>
            <w:shd w:val="clear" w:color="auto" w:fill="auto"/>
            <w:noWrap/>
            <w:vAlign w:val="center"/>
          </w:tcPr>
          <w:p w14:paraId="381BD003">
            <w:pPr>
              <w:widowControl/>
              <w:jc w:val="center"/>
              <w:rPr>
                <w:rFonts w:hint="eastAsia" w:ascii="宋体" w:hAnsi="宋体" w:cs="宋体"/>
                <w:kern w:val="0"/>
                <w:sz w:val="20"/>
                <w:szCs w:val="20"/>
              </w:rPr>
            </w:pPr>
            <w:r>
              <w:rPr>
                <w:rFonts w:hint="eastAsia" w:ascii="宋体" w:hAnsi="宋体" w:cs="宋体"/>
                <w:kern w:val="0"/>
                <w:sz w:val="20"/>
                <w:szCs w:val="20"/>
              </w:rPr>
              <w:t>台</w:t>
            </w:r>
          </w:p>
        </w:tc>
        <w:tc>
          <w:tcPr>
            <w:tcW w:w="1177" w:type="dxa"/>
            <w:tcBorders>
              <w:top w:val="nil"/>
              <w:left w:val="nil"/>
              <w:bottom w:val="single" w:color="auto" w:sz="4" w:space="0"/>
              <w:right w:val="single" w:color="auto" w:sz="4" w:space="0"/>
            </w:tcBorders>
            <w:shd w:val="clear" w:color="auto" w:fill="auto"/>
            <w:vAlign w:val="center"/>
          </w:tcPr>
          <w:p w14:paraId="36A748C7">
            <w:pPr>
              <w:widowControl/>
              <w:jc w:val="center"/>
              <w:rPr>
                <w:rFonts w:hint="eastAsia" w:ascii="宋体" w:hAnsi="宋体" w:cs="宋体"/>
                <w:kern w:val="0"/>
                <w:sz w:val="20"/>
                <w:szCs w:val="20"/>
              </w:rPr>
            </w:pPr>
            <w:r>
              <w:rPr>
                <w:rFonts w:hint="eastAsia" w:ascii="宋体" w:hAnsi="宋体" w:cs="宋体"/>
                <w:kern w:val="0"/>
                <w:sz w:val="20"/>
                <w:szCs w:val="20"/>
              </w:rPr>
              <w:t>1</w:t>
            </w:r>
          </w:p>
        </w:tc>
      </w:tr>
      <w:tr w14:paraId="4FB23930">
        <w:tblPrEx>
          <w:tblCellMar>
            <w:top w:w="0" w:type="dxa"/>
            <w:left w:w="108" w:type="dxa"/>
            <w:bottom w:w="0" w:type="dxa"/>
            <w:right w:w="108" w:type="dxa"/>
          </w:tblCellMar>
        </w:tblPrEx>
        <w:trPr>
          <w:trHeight w:val="983" w:hRule="atLeast"/>
        </w:trPr>
        <w:tc>
          <w:tcPr>
            <w:tcW w:w="1080" w:type="dxa"/>
            <w:tcBorders>
              <w:top w:val="nil"/>
              <w:left w:val="single" w:color="auto" w:sz="4" w:space="0"/>
              <w:bottom w:val="single" w:color="auto" w:sz="4" w:space="0"/>
              <w:right w:val="single" w:color="auto" w:sz="4" w:space="0"/>
            </w:tcBorders>
            <w:shd w:val="clear" w:color="auto" w:fill="auto"/>
            <w:vAlign w:val="center"/>
          </w:tcPr>
          <w:p w14:paraId="2AB5A850">
            <w:pPr>
              <w:widowControl/>
              <w:jc w:val="center"/>
              <w:rPr>
                <w:rFonts w:hint="eastAsia" w:ascii="宋体" w:hAnsi="宋体" w:cs="宋体"/>
                <w:kern w:val="0"/>
                <w:sz w:val="20"/>
                <w:szCs w:val="20"/>
              </w:rPr>
            </w:pPr>
            <w:r>
              <w:rPr>
                <w:rFonts w:hint="eastAsia" w:ascii="宋体" w:hAnsi="宋体" w:cs="宋体"/>
                <w:kern w:val="0"/>
                <w:sz w:val="20"/>
                <w:szCs w:val="20"/>
              </w:rPr>
              <w:t>2</w:t>
            </w:r>
          </w:p>
        </w:tc>
        <w:tc>
          <w:tcPr>
            <w:tcW w:w="1325" w:type="dxa"/>
            <w:tcBorders>
              <w:top w:val="nil"/>
              <w:left w:val="nil"/>
              <w:bottom w:val="single" w:color="auto" w:sz="4" w:space="0"/>
              <w:right w:val="single" w:color="auto" w:sz="4" w:space="0"/>
            </w:tcBorders>
            <w:shd w:val="clear" w:color="auto" w:fill="auto"/>
            <w:vAlign w:val="center"/>
          </w:tcPr>
          <w:p w14:paraId="065B52D3">
            <w:pPr>
              <w:widowControl/>
              <w:jc w:val="left"/>
              <w:rPr>
                <w:rFonts w:hint="eastAsia" w:ascii="宋体" w:hAnsi="宋体" w:cs="宋体"/>
                <w:kern w:val="0"/>
                <w:sz w:val="20"/>
                <w:szCs w:val="20"/>
              </w:rPr>
            </w:pPr>
            <w:r>
              <w:rPr>
                <w:rFonts w:hint="eastAsia" w:ascii="宋体" w:hAnsi="宋体" w:cs="宋体"/>
                <w:kern w:val="0"/>
                <w:sz w:val="20"/>
                <w:szCs w:val="20"/>
              </w:rPr>
              <w:t>外网出口网关</w:t>
            </w:r>
          </w:p>
        </w:tc>
        <w:tc>
          <w:tcPr>
            <w:tcW w:w="3515" w:type="dxa"/>
            <w:tcBorders>
              <w:top w:val="nil"/>
              <w:left w:val="nil"/>
              <w:bottom w:val="single" w:color="auto" w:sz="4" w:space="0"/>
              <w:right w:val="single" w:color="auto" w:sz="4" w:space="0"/>
            </w:tcBorders>
            <w:shd w:val="clear" w:color="auto" w:fill="auto"/>
            <w:vAlign w:val="center"/>
          </w:tcPr>
          <w:p w14:paraId="20D5E870">
            <w:pPr>
              <w:widowControl/>
              <w:jc w:val="left"/>
              <w:rPr>
                <w:rFonts w:hint="eastAsia" w:ascii="宋体" w:hAnsi="宋体" w:cs="宋体"/>
                <w:kern w:val="0"/>
                <w:sz w:val="20"/>
                <w:szCs w:val="20"/>
              </w:rPr>
            </w:pPr>
            <w:r>
              <w:rPr>
                <w:rFonts w:hint="eastAsia" w:ascii="宋体" w:hAnsi="宋体" w:cs="宋体"/>
                <w:kern w:val="0"/>
                <w:sz w:val="20"/>
                <w:szCs w:val="20"/>
              </w:rPr>
              <w:t>1.多核架构，千兆电口≥4个，千兆光口≥2个，业务扩展插槽≥2个，支持并实配冗余电源；接入终端数≥3000个；</w:t>
            </w:r>
            <w:r>
              <w:rPr>
                <w:rFonts w:hint="eastAsia" w:ascii="宋体" w:hAnsi="宋体" w:cs="宋体"/>
                <w:kern w:val="0"/>
                <w:sz w:val="20"/>
                <w:szCs w:val="20"/>
              </w:rPr>
              <w:br w:type="textWrapping"/>
            </w:r>
            <w:r>
              <w:rPr>
                <w:rFonts w:hint="eastAsia" w:ascii="宋体" w:hAnsi="宋体" w:cs="宋体"/>
                <w:kern w:val="0"/>
                <w:sz w:val="20"/>
                <w:szCs w:val="20"/>
              </w:rPr>
              <w:t>2.支持基于报文五元组过滤，ASPF状态过滤、MAC地址过滤、URL过滤、AV防病毒、APR、基于域防火墙、IPS等；</w:t>
            </w:r>
            <w:r>
              <w:rPr>
                <w:rFonts w:hint="eastAsia" w:ascii="宋体" w:hAnsi="宋体" w:cs="宋体"/>
                <w:kern w:val="0"/>
                <w:sz w:val="20"/>
                <w:szCs w:val="20"/>
              </w:rPr>
              <w:br w:type="textWrapping"/>
            </w:r>
            <w:r>
              <w:rPr>
                <w:rFonts w:hint="eastAsia" w:ascii="宋体" w:hAnsi="宋体" w:cs="宋体"/>
                <w:kern w:val="0"/>
                <w:sz w:val="20"/>
                <w:szCs w:val="20"/>
              </w:rPr>
              <w:t>3.支持多运营商链路负载均衡功能，可基于带宽等多种方式；</w:t>
            </w:r>
            <w:r>
              <w:rPr>
                <w:rFonts w:hint="eastAsia" w:ascii="宋体" w:hAnsi="宋体" w:cs="宋体"/>
                <w:kern w:val="0"/>
                <w:sz w:val="20"/>
                <w:szCs w:val="20"/>
              </w:rPr>
              <w:br w:type="textWrapping"/>
            </w:r>
            <w:r>
              <w:rPr>
                <w:rFonts w:hint="eastAsia" w:ascii="宋体" w:hAnsi="宋体" w:cs="宋体"/>
                <w:kern w:val="0"/>
                <w:sz w:val="20"/>
                <w:szCs w:val="20"/>
              </w:rPr>
              <w:t>4.支持行为审计功能，包含不限于邮件审计、IM上下线审计、FTP内容审计、论坛发帖内容审计等；</w:t>
            </w:r>
            <w:r>
              <w:rPr>
                <w:rFonts w:hint="eastAsia" w:ascii="宋体" w:hAnsi="宋体" w:cs="宋体"/>
                <w:kern w:val="0"/>
                <w:sz w:val="20"/>
                <w:szCs w:val="20"/>
              </w:rPr>
              <w:br w:type="textWrapping"/>
            </w:r>
            <w:r>
              <w:rPr>
                <w:rFonts w:hint="eastAsia" w:ascii="宋体" w:hAnsi="宋体" w:cs="宋体"/>
                <w:kern w:val="0"/>
                <w:sz w:val="20"/>
                <w:szCs w:val="20"/>
              </w:rPr>
              <w:t>5.支持状态检测防火墙，支持TCP/UDP/ICMP/IP分片包等报文过滤；</w:t>
            </w:r>
            <w:r>
              <w:rPr>
                <w:rFonts w:hint="eastAsia" w:ascii="宋体" w:hAnsi="宋体" w:cs="宋体"/>
                <w:kern w:val="0"/>
                <w:sz w:val="20"/>
                <w:szCs w:val="20"/>
              </w:rPr>
              <w:br w:type="textWrapping"/>
            </w:r>
            <w:r>
              <w:rPr>
                <w:rFonts w:hint="eastAsia" w:ascii="宋体" w:hAnsi="宋体" w:cs="宋体"/>
                <w:kern w:val="0"/>
                <w:sz w:val="20"/>
                <w:szCs w:val="20"/>
              </w:rPr>
              <w:t>6.支持VPN功能，包含SSL和IPSec VPN；</w:t>
            </w:r>
          </w:p>
        </w:tc>
        <w:tc>
          <w:tcPr>
            <w:tcW w:w="981" w:type="dxa"/>
            <w:tcBorders>
              <w:top w:val="nil"/>
              <w:left w:val="nil"/>
              <w:bottom w:val="single" w:color="auto" w:sz="4" w:space="0"/>
              <w:right w:val="single" w:color="auto" w:sz="4" w:space="0"/>
            </w:tcBorders>
            <w:shd w:val="clear" w:color="auto" w:fill="auto"/>
            <w:noWrap/>
            <w:vAlign w:val="center"/>
          </w:tcPr>
          <w:p w14:paraId="4F969542">
            <w:pPr>
              <w:widowControl/>
              <w:jc w:val="center"/>
              <w:rPr>
                <w:rFonts w:hint="eastAsia" w:ascii="宋体" w:hAnsi="宋体" w:cs="宋体"/>
                <w:kern w:val="0"/>
                <w:sz w:val="20"/>
                <w:szCs w:val="20"/>
              </w:rPr>
            </w:pPr>
            <w:r>
              <w:rPr>
                <w:rFonts w:hint="eastAsia" w:ascii="宋体" w:hAnsi="宋体" w:cs="宋体"/>
                <w:kern w:val="0"/>
                <w:sz w:val="20"/>
                <w:szCs w:val="20"/>
              </w:rPr>
              <w:t>台</w:t>
            </w:r>
          </w:p>
        </w:tc>
        <w:tc>
          <w:tcPr>
            <w:tcW w:w="1177" w:type="dxa"/>
            <w:tcBorders>
              <w:top w:val="nil"/>
              <w:left w:val="nil"/>
              <w:bottom w:val="single" w:color="auto" w:sz="4" w:space="0"/>
              <w:right w:val="single" w:color="auto" w:sz="4" w:space="0"/>
            </w:tcBorders>
            <w:shd w:val="clear" w:color="auto" w:fill="auto"/>
            <w:vAlign w:val="center"/>
          </w:tcPr>
          <w:p w14:paraId="0435BEA1">
            <w:pPr>
              <w:widowControl/>
              <w:jc w:val="center"/>
              <w:rPr>
                <w:rFonts w:hint="eastAsia" w:ascii="宋体" w:hAnsi="宋体" w:cs="宋体"/>
                <w:kern w:val="0"/>
                <w:sz w:val="20"/>
                <w:szCs w:val="20"/>
              </w:rPr>
            </w:pPr>
            <w:r>
              <w:rPr>
                <w:rFonts w:hint="eastAsia" w:ascii="宋体" w:hAnsi="宋体" w:cs="宋体"/>
                <w:kern w:val="0"/>
                <w:sz w:val="20"/>
                <w:szCs w:val="20"/>
              </w:rPr>
              <w:t>1</w:t>
            </w:r>
          </w:p>
        </w:tc>
      </w:tr>
      <w:tr w14:paraId="5EDA64BE">
        <w:tblPrEx>
          <w:tblCellMar>
            <w:top w:w="0" w:type="dxa"/>
            <w:left w:w="108" w:type="dxa"/>
            <w:bottom w:w="0" w:type="dxa"/>
            <w:right w:w="108" w:type="dxa"/>
          </w:tblCellMar>
        </w:tblPrEx>
        <w:trPr>
          <w:trHeight w:val="2340" w:hRule="atLeast"/>
        </w:trPr>
        <w:tc>
          <w:tcPr>
            <w:tcW w:w="1080" w:type="dxa"/>
            <w:tcBorders>
              <w:top w:val="nil"/>
              <w:left w:val="single" w:color="auto" w:sz="4" w:space="0"/>
              <w:bottom w:val="single" w:color="auto" w:sz="4" w:space="0"/>
              <w:right w:val="single" w:color="auto" w:sz="4" w:space="0"/>
            </w:tcBorders>
            <w:shd w:val="clear" w:color="auto" w:fill="auto"/>
            <w:vAlign w:val="center"/>
          </w:tcPr>
          <w:p w14:paraId="3969D393">
            <w:pPr>
              <w:widowControl/>
              <w:jc w:val="center"/>
              <w:rPr>
                <w:rFonts w:hint="eastAsia" w:ascii="宋体" w:hAnsi="宋体" w:cs="宋体"/>
                <w:kern w:val="0"/>
                <w:sz w:val="20"/>
                <w:szCs w:val="20"/>
              </w:rPr>
            </w:pPr>
            <w:r>
              <w:rPr>
                <w:rFonts w:hint="eastAsia" w:ascii="宋体" w:hAnsi="宋体" w:cs="宋体"/>
                <w:kern w:val="0"/>
                <w:sz w:val="20"/>
                <w:szCs w:val="20"/>
              </w:rPr>
              <w:t>3</w:t>
            </w:r>
          </w:p>
        </w:tc>
        <w:tc>
          <w:tcPr>
            <w:tcW w:w="1325" w:type="dxa"/>
            <w:tcBorders>
              <w:top w:val="nil"/>
              <w:left w:val="nil"/>
              <w:bottom w:val="single" w:color="auto" w:sz="4" w:space="0"/>
              <w:right w:val="single" w:color="auto" w:sz="4" w:space="0"/>
            </w:tcBorders>
            <w:shd w:val="clear" w:color="auto" w:fill="auto"/>
            <w:vAlign w:val="center"/>
          </w:tcPr>
          <w:p w14:paraId="6CA86DB1">
            <w:pPr>
              <w:widowControl/>
              <w:jc w:val="left"/>
              <w:rPr>
                <w:rFonts w:hint="eastAsia" w:ascii="宋体" w:hAnsi="宋体" w:cs="宋体"/>
                <w:kern w:val="0"/>
                <w:sz w:val="20"/>
                <w:szCs w:val="20"/>
              </w:rPr>
            </w:pPr>
            <w:r>
              <w:rPr>
                <w:rFonts w:hint="eastAsia" w:ascii="宋体" w:hAnsi="宋体" w:cs="宋体"/>
                <w:kern w:val="0"/>
                <w:sz w:val="20"/>
                <w:szCs w:val="20"/>
              </w:rPr>
              <w:t>设备网核心交换机</w:t>
            </w:r>
          </w:p>
        </w:tc>
        <w:tc>
          <w:tcPr>
            <w:tcW w:w="3515" w:type="dxa"/>
            <w:tcBorders>
              <w:top w:val="nil"/>
              <w:left w:val="nil"/>
              <w:bottom w:val="single" w:color="auto" w:sz="4" w:space="0"/>
              <w:right w:val="single" w:color="auto" w:sz="4" w:space="0"/>
            </w:tcBorders>
            <w:shd w:val="clear" w:color="auto" w:fill="auto"/>
            <w:vAlign w:val="center"/>
          </w:tcPr>
          <w:p w14:paraId="4A014C70">
            <w:pPr>
              <w:widowControl/>
              <w:jc w:val="left"/>
              <w:rPr>
                <w:rFonts w:hint="eastAsia" w:ascii="宋体" w:hAnsi="宋体" w:cs="宋体"/>
                <w:kern w:val="0"/>
                <w:sz w:val="20"/>
                <w:szCs w:val="20"/>
              </w:rPr>
            </w:pPr>
            <w:r>
              <w:rPr>
                <w:rFonts w:hint="eastAsia" w:ascii="宋体" w:hAnsi="宋体" w:cs="宋体"/>
                <w:kern w:val="0"/>
                <w:sz w:val="20"/>
                <w:szCs w:val="20"/>
              </w:rPr>
              <w:t>1.采用全分布式转发处理架构，主控引擎与业务板卡完全物理分离；主控引擎槽位数≥2个，业务槽位数≥3个，电源槽位数≥2个；</w:t>
            </w:r>
            <w:r>
              <w:rPr>
                <w:rFonts w:hint="eastAsia" w:ascii="宋体" w:hAnsi="宋体" w:cs="宋体"/>
                <w:kern w:val="0"/>
                <w:sz w:val="20"/>
                <w:szCs w:val="20"/>
              </w:rPr>
              <w:br w:type="textWrapping"/>
            </w:r>
            <w:r>
              <w:rPr>
                <w:rFonts w:hint="eastAsia" w:ascii="宋体" w:hAnsi="宋体" w:cs="宋体"/>
                <w:kern w:val="0"/>
                <w:sz w:val="20"/>
                <w:szCs w:val="20"/>
              </w:rPr>
              <w:t>2.交换容量≥200Tbps，包转发性能≥38000Mpps；</w:t>
            </w:r>
            <w:r>
              <w:rPr>
                <w:rFonts w:hint="eastAsia" w:ascii="宋体" w:hAnsi="宋体" w:cs="宋体"/>
                <w:kern w:val="0"/>
                <w:sz w:val="20"/>
                <w:szCs w:val="20"/>
              </w:rPr>
              <w:br w:type="textWrapping"/>
            </w:r>
            <w:r>
              <w:rPr>
                <w:rFonts w:hint="eastAsia" w:ascii="宋体" w:hAnsi="宋体" w:cs="宋体"/>
                <w:kern w:val="0"/>
                <w:sz w:val="20"/>
                <w:szCs w:val="20"/>
              </w:rPr>
              <w:t>3.支持N:1虚拟化：可将2台物理设备虚拟化为1台逻辑设备，虚拟组内设备具备统一的二层及三层转发表项，统一的管理界面，并可实现跨设备链路聚合；</w:t>
            </w:r>
            <w:r>
              <w:rPr>
                <w:rFonts w:hint="eastAsia" w:ascii="宋体" w:hAnsi="宋体" w:cs="宋体"/>
                <w:kern w:val="0"/>
                <w:sz w:val="20"/>
                <w:szCs w:val="20"/>
              </w:rPr>
              <w:br w:type="textWrapping"/>
            </w:r>
            <w:r>
              <w:rPr>
                <w:rFonts w:hint="eastAsia" w:ascii="宋体" w:hAnsi="宋体" w:cs="宋体"/>
                <w:kern w:val="0"/>
                <w:sz w:val="20"/>
                <w:szCs w:val="20"/>
              </w:rPr>
              <w:t>4.支持VXLAN二三层分布式网关，支持EVPN；</w:t>
            </w:r>
            <w:r>
              <w:rPr>
                <w:rFonts w:hint="eastAsia" w:ascii="宋体" w:hAnsi="宋体" w:cs="宋体"/>
                <w:kern w:val="0"/>
                <w:sz w:val="20"/>
                <w:szCs w:val="20"/>
              </w:rPr>
              <w:br w:type="textWrapping"/>
            </w:r>
            <w:r>
              <w:rPr>
                <w:rFonts w:hint="eastAsia" w:ascii="宋体" w:hAnsi="宋体" w:cs="宋体"/>
                <w:kern w:val="0"/>
                <w:sz w:val="20"/>
                <w:szCs w:val="20"/>
              </w:rPr>
              <w:t>5.支持静态路由、RIP、RIPng、OSPF、OSPFv3、BGP、BGP4+、ISIS、ISISv6；</w:t>
            </w:r>
            <w:r>
              <w:rPr>
                <w:rFonts w:hint="eastAsia" w:ascii="宋体" w:hAnsi="宋体" w:cs="宋体"/>
                <w:kern w:val="0"/>
                <w:sz w:val="20"/>
                <w:szCs w:val="20"/>
              </w:rPr>
              <w:br w:type="textWrapping"/>
            </w:r>
            <w:r>
              <w:rPr>
                <w:rFonts w:hint="eastAsia" w:ascii="宋体" w:hAnsi="宋体" w:cs="宋体"/>
                <w:kern w:val="0"/>
                <w:sz w:val="20"/>
                <w:szCs w:val="20"/>
              </w:rPr>
              <w:t>6.单台配置：主控引擎≥2个、电源数量≥2个，≥40个千兆电口、≥16个千兆光口、≥16个万兆光口。</w:t>
            </w:r>
          </w:p>
        </w:tc>
        <w:tc>
          <w:tcPr>
            <w:tcW w:w="981" w:type="dxa"/>
            <w:tcBorders>
              <w:top w:val="nil"/>
              <w:left w:val="nil"/>
              <w:bottom w:val="single" w:color="auto" w:sz="4" w:space="0"/>
              <w:right w:val="single" w:color="auto" w:sz="4" w:space="0"/>
            </w:tcBorders>
            <w:shd w:val="clear" w:color="auto" w:fill="auto"/>
            <w:noWrap/>
            <w:vAlign w:val="center"/>
          </w:tcPr>
          <w:p w14:paraId="0DC3BD77">
            <w:pPr>
              <w:widowControl/>
              <w:jc w:val="center"/>
              <w:rPr>
                <w:rFonts w:hint="eastAsia" w:ascii="宋体" w:hAnsi="宋体" w:cs="宋体"/>
                <w:kern w:val="0"/>
                <w:sz w:val="20"/>
                <w:szCs w:val="20"/>
              </w:rPr>
            </w:pPr>
            <w:r>
              <w:rPr>
                <w:rFonts w:hint="eastAsia" w:ascii="宋体" w:hAnsi="宋体" w:cs="宋体"/>
                <w:kern w:val="0"/>
                <w:sz w:val="20"/>
                <w:szCs w:val="20"/>
              </w:rPr>
              <w:t>台</w:t>
            </w:r>
          </w:p>
        </w:tc>
        <w:tc>
          <w:tcPr>
            <w:tcW w:w="1177" w:type="dxa"/>
            <w:tcBorders>
              <w:top w:val="nil"/>
              <w:left w:val="nil"/>
              <w:bottom w:val="single" w:color="auto" w:sz="4" w:space="0"/>
              <w:right w:val="single" w:color="auto" w:sz="4" w:space="0"/>
            </w:tcBorders>
            <w:shd w:val="clear" w:color="auto" w:fill="auto"/>
            <w:vAlign w:val="center"/>
          </w:tcPr>
          <w:p w14:paraId="383BF86C">
            <w:pPr>
              <w:widowControl/>
              <w:jc w:val="center"/>
              <w:rPr>
                <w:rFonts w:hint="eastAsia" w:ascii="宋体" w:hAnsi="宋体" w:cs="宋体"/>
                <w:kern w:val="0"/>
                <w:sz w:val="20"/>
                <w:szCs w:val="20"/>
              </w:rPr>
            </w:pPr>
            <w:r>
              <w:rPr>
                <w:rFonts w:hint="eastAsia" w:ascii="宋体" w:hAnsi="宋体" w:cs="宋体"/>
                <w:kern w:val="0"/>
                <w:sz w:val="20"/>
                <w:szCs w:val="20"/>
              </w:rPr>
              <w:t>1</w:t>
            </w:r>
          </w:p>
        </w:tc>
      </w:tr>
      <w:tr w14:paraId="7EB93C0C">
        <w:tblPrEx>
          <w:tblCellMar>
            <w:top w:w="0" w:type="dxa"/>
            <w:left w:w="108" w:type="dxa"/>
            <w:bottom w:w="0" w:type="dxa"/>
            <w:right w:w="108" w:type="dxa"/>
          </w:tblCellMar>
        </w:tblPrEx>
        <w:trPr>
          <w:trHeight w:val="2080" w:hRule="atLeast"/>
        </w:trPr>
        <w:tc>
          <w:tcPr>
            <w:tcW w:w="1080" w:type="dxa"/>
            <w:tcBorders>
              <w:top w:val="nil"/>
              <w:left w:val="single" w:color="auto" w:sz="4" w:space="0"/>
              <w:bottom w:val="single" w:color="auto" w:sz="4" w:space="0"/>
              <w:right w:val="single" w:color="auto" w:sz="4" w:space="0"/>
            </w:tcBorders>
            <w:shd w:val="clear" w:color="auto" w:fill="auto"/>
            <w:vAlign w:val="center"/>
          </w:tcPr>
          <w:p w14:paraId="04803490">
            <w:pPr>
              <w:widowControl/>
              <w:jc w:val="center"/>
              <w:rPr>
                <w:rFonts w:hint="eastAsia" w:ascii="宋体" w:hAnsi="宋体" w:cs="宋体"/>
                <w:kern w:val="0"/>
                <w:sz w:val="20"/>
                <w:szCs w:val="20"/>
              </w:rPr>
            </w:pPr>
            <w:r>
              <w:rPr>
                <w:rFonts w:hint="eastAsia" w:ascii="宋体" w:hAnsi="宋体" w:cs="宋体"/>
                <w:kern w:val="0"/>
                <w:sz w:val="20"/>
                <w:szCs w:val="20"/>
              </w:rPr>
              <w:t>4</w:t>
            </w:r>
          </w:p>
        </w:tc>
        <w:tc>
          <w:tcPr>
            <w:tcW w:w="1325" w:type="dxa"/>
            <w:tcBorders>
              <w:top w:val="nil"/>
              <w:left w:val="nil"/>
              <w:bottom w:val="single" w:color="auto" w:sz="4" w:space="0"/>
              <w:right w:val="single" w:color="auto" w:sz="4" w:space="0"/>
            </w:tcBorders>
            <w:shd w:val="clear" w:color="auto" w:fill="auto"/>
            <w:vAlign w:val="center"/>
          </w:tcPr>
          <w:p w14:paraId="2CE24B3F">
            <w:pPr>
              <w:widowControl/>
              <w:jc w:val="left"/>
              <w:rPr>
                <w:rFonts w:hint="eastAsia" w:ascii="宋体" w:hAnsi="宋体" w:cs="宋体"/>
                <w:kern w:val="0"/>
                <w:sz w:val="20"/>
                <w:szCs w:val="20"/>
              </w:rPr>
            </w:pPr>
            <w:r>
              <w:rPr>
                <w:rFonts w:hint="eastAsia" w:ascii="宋体" w:hAnsi="宋体" w:cs="宋体"/>
                <w:kern w:val="0"/>
                <w:sz w:val="20"/>
                <w:szCs w:val="20"/>
              </w:rPr>
              <w:t>24口全光汇聚交换机</w:t>
            </w:r>
          </w:p>
        </w:tc>
        <w:tc>
          <w:tcPr>
            <w:tcW w:w="3515" w:type="dxa"/>
            <w:tcBorders>
              <w:top w:val="nil"/>
              <w:left w:val="nil"/>
              <w:bottom w:val="single" w:color="auto" w:sz="4" w:space="0"/>
              <w:right w:val="single" w:color="auto" w:sz="4" w:space="0"/>
            </w:tcBorders>
            <w:shd w:val="clear" w:color="auto" w:fill="auto"/>
            <w:vAlign w:val="center"/>
          </w:tcPr>
          <w:p w14:paraId="0CA75FF9">
            <w:pPr>
              <w:widowControl/>
              <w:jc w:val="left"/>
              <w:rPr>
                <w:rFonts w:hint="eastAsia" w:ascii="宋体" w:hAnsi="宋体" w:cs="宋体"/>
                <w:kern w:val="0"/>
                <w:sz w:val="20"/>
                <w:szCs w:val="20"/>
              </w:rPr>
            </w:pPr>
            <w:r>
              <w:rPr>
                <w:rFonts w:hint="eastAsia" w:ascii="宋体" w:hAnsi="宋体" w:cs="宋体"/>
                <w:kern w:val="0"/>
                <w:sz w:val="20"/>
                <w:szCs w:val="20"/>
              </w:rPr>
              <w:t>1.交换容量≥2.4Tbps,转发性能≥640Mpps；(均以官网最小值为准）</w:t>
            </w:r>
            <w:r>
              <w:rPr>
                <w:rFonts w:hint="eastAsia" w:ascii="宋体" w:hAnsi="宋体" w:cs="宋体"/>
                <w:kern w:val="0"/>
                <w:sz w:val="20"/>
                <w:szCs w:val="20"/>
              </w:rPr>
              <w:br w:type="textWrapping"/>
            </w:r>
            <w:r>
              <w:rPr>
                <w:rFonts w:hint="eastAsia" w:ascii="宋体" w:hAnsi="宋体" w:cs="宋体"/>
                <w:kern w:val="0"/>
                <w:sz w:val="20"/>
                <w:szCs w:val="20"/>
              </w:rPr>
              <w:t>2.扩展插槽≥1个；</w:t>
            </w:r>
            <w:r>
              <w:rPr>
                <w:rFonts w:hint="eastAsia" w:ascii="宋体" w:hAnsi="宋体" w:cs="宋体"/>
                <w:kern w:val="0"/>
                <w:sz w:val="20"/>
                <w:szCs w:val="20"/>
              </w:rPr>
              <w:br w:type="textWrapping"/>
            </w:r>
            <w:r>
              <w:rPr>
                <w:rFonts w:hint="eastAsia" w:ascii="宋体" w:hAnsi="宋体" w:cs="宋体"/>
                <w:kern w:val="0"/>
                <w:sz w:val="20"/>
                <w:szCs w:val="20"/>
              </w:rPr>
              <w:t>3.支持命令行接口（CLI），Telnet，Console口进行配置；支持SNMP，支持WEB网管。</w:t>
            </w:r>
            <w:r>
              <w:rPr>
                <w:rFonts w:hint="eastAsia" w:ascii="宋体" w:hAnsi="宋体" w:cs="宋体"/>
                <w:kern w:val="0"/>
                <w:sz w:val="20"/>
                <w:szCs w:val="20"/>
              </w:rPr>
              <w:br w:type="textWrapping"/>
            </w:r>
            <w:r>
              <w:rPr>
                <w:rFonts w:hint="eastAsia" w:ascii="宋体" w:hAnsi="宋体" w:cs="宋体"/>
                <w:kern w:val="0"/>
                <w:sz w:val="20"/>
                <w:szCs w:val="20"/>
              </w:rPr>
              <w:t>4.链路聚合：支持端口聚合、静态聚合、动态聚合。</w:t>
            </w:r>
            <w:r>
              <w:rPr>
                <w:rFonts w:hint="eastAsia" w:ascii="宋体" w:hAnsi="宋体" w:cs="宋体"/>
                <w:kern w:val="0"/>
                <w:sz w:val="20"/>
                <w:szCs w:val="20"/>
              </w:rPr>
              <w:br w:type="textWrapping"/>
            </w:r>
            <w:r>
              <w:rPr>
                <w:rFonts w:hint="eastAsia" w:ascii="宋体" w:hAnsi="宋体" w:cs="宋体"/>
                <w:kern w:val="0"/>
                <w:sz w:val="20"/>
                <w:szCs w:val="20"/>
              </w:rPr>
              <w:t>5.支持基于端口的VLAN、支持基于IP、MAC的VLAN划分等。</w:t>
            </w:r>
            <w:r>
              <w:rPr>
                <w:rFonts w:hint="eastAsia" w:ascii="宋体" w:hAnsi="宋体" w:cs="宋体"/>
                <w:kern w:val="0"/>
                <w:sz w:val="20"/>
                <w:szCs w:val="20"/>
              </w:rPr>
              <w:br w:type="textWrapping"/>
            </w:r>
            <w:r>
              <w:rPr>
                <w:rFonts w:hint="eastAsia" w:ascii="宋体" w:hAnsi="宋体" w:cs="宋体"/>
                <w:kern w:val="0"/>
                <w:sz w:val="20"/>
                <w:szCs w:val="20"/>
              </w:rPr>
              <w:t>6.支持静态路由;支持支持RIPv1/v2，RIPng;支持OSPFv1/v2，OSPFv3；支持BGP4，BGP4+ for IPv6;</w:t>
            </w:r>
            <w:r>
              <w:rPr>
                <w:rFonts w:hint="eastAsia" w:ascii="宋体" w:hAnsi="宋体" w:cs="宋体"/>
                <w:kern w:val="0"/>
                <w:sz w:val="20"/>
                <w:szCs w:val="20"/>
              </w:rPr>
              <w:br w:type="textWrapping"/>
            </w:r>
            <w:r>
              <w:rPr>
                <w:rFonts w:hint="eastAsia" w:ascii="宋体" w:hAnsi="宋体" w:cs="宋体"/>
                <w:kern w:val="0"/>
                <w:sz w:val="20"/>
                <w:szCs w:val="20"/>
              </w:rPr>
              <w:t>7.每台配置：冗余电源，千兆光口≥24个，千兆电口≥4个，万兆光口≥4个。</w:t>
            </w:r>
          </w:p>
        </w:tc>
        <w:tc>
          <w:tcPr>
            <w:tcW w:w="981" w:type="dxa"/>
            <w:tcBorders>
              <w:top w:val="nil"/>
              <w:left w:val="nil"/>
              <w:bottom w:val="single" w:color="auto" w:sz="4" w:space="0"/>
              <w:right w:val="single" w:color="auto" w:sz="4" w:space="0"/>
            </w:tcBorders>
            <w:shd w:val="clear" w:color="auto" w:fill="auto"/>
            <w:noWrap/>
            <w:vAlign w:val="center"/>
          </w:tcPr>
          <w:p w14:paraId="5DAA299A">
            <w:pPr>
              <w:widowControl/>
              <w:jc w:val="center"/>
              <w:rPr>
                <w:rFonts w:hint="eastAsia" w:ascii="宋体" w:hAnsi="宋体" w:cs="宋体"/>
                <w:kern w:val="0"/>
                <w:sz w:val="20"/>
                <w:szCs w:val="20"/>
              </w:rPr>
            </w:pPr>
            <w:r>
              <w:rPr>
                <w:rFonts w:hint="eastAsia" w:ascii="宋体" w:hAnsi="宋体" w:cs="宋体"/>
                <w:kern w:val="0"/>
                <w:sz w:val="20"/>
                <w:szCs w:val="20"/>
              </w:rPr>
              <w:t>台</w:t>
            </w:r>
          </w:p>
        </w:tc>
        <w:tc>
          <w:tcPr>
            <w:tcW w:w="1177" w:type="dxa"/>
            <w:tcBorders>
              <w:top w:val="nil"/>
              <w:left w:val="nil"/>
              <w:bottom w:val="single" w:color="auto" w:sz="4" w:space="0"/>
              <w:right w:val="single" w:color="auto" w:sz="4" w:space="0"/>
            </w:tcBorders>
            <w:shd w:val="clear" w:color="auto" w:fill="auto"/>
            <w:vAlign w:val="center"/>
          </w:tcPr>
          <w:p w14:paraId="751BDD1D">
            <w:pPr>
              <w:widowControl/>
              <w:jc w:val="center"/>
              <w:rPr>
                <w:rFonts w:hint="eastAsia" w:ascii="宋体" w:hAnsi="宋体" w:cs="宋体"/>
                <w:kern w:val="0"/>
                <w:sz w:val="20"/>
                <w:szCs w:val="20"/>
              </w:rPr>
            </w:pPr>
            <w:r>
              <w:rPr>
                <w:rFonts w:hint="eastAsia" w:ascii="宋体" w:hAnsi="宋体" w:cs="宋体"/>
                <w:kern w:val="0"/>
                <w:sz w:val="20"/>
                <w:szCs w:val="20"/>
              </w:rPr>
              <w:t>6</w:t>
            </w:r>
          </w:p>
        </w:tc>
      </w:tr>
      <w:tr w14:paraId="6310A153">
        <w:tblPrEx>
          <w:tblCellMar>
            <w:top w:w="0" w:type="dxa"/>
            <w:left w:w="108" w:type="dxa"/>
            <w:bottom w:w="0" w:type="dxa"/>
            <w:right w:w="108" w:type="dxa"/>
          </w:tblCellMar>
        </w:tblPrEx>
        <w:trPr>
          <w:trHeight w:val="280" w:hRule="atLeast"/>
        </w:trPr>
        <w:tc>
          <w:tcPr>
            <w:tcW w:w="1080" w:type="dxa"/>
            <w:tcBorders>
              <w:top w:val="nil"/>
              <w:left w:val="single" w:color="auto" w:sz="4" w:space="0"/>
              <w:bottom w:val="single" w:color="auto" w:sz="4" w:space="0"/>
              <w:right w:val="single" w:color="auto" w:sz="4" w:space="0"/>
            </w:tcBorders>
            <w:shd w:val="clear" w:color="auto" w:fill="auto"/>
            <w:vAlign w:val="center"/>
          </w:tcPr>
          <w:p w14:paraId="3C0219D2">
            <w:pPr>
              <w:widowControl/>
              <w:jc w:val="center"/>
              <w:rPr>
                <w:rFonts w:hint="eastAsia" w:ascii="宋体" w:hAnsi="宋体" w:cs="宋体"/>
                <w:kern w:val="0"/>
                <w:sz w:val="20"/>
                <w:szCs w:val="20"/>
              </w:rPr>
            </w:pPr>
            <w:r>
              <w:rPr>
                <w:rFonts w:hint="eastAsia" w:ascii="宋体" w:hAnsi="宋体" w:cs="宋体"/>
                <w:kern w:val="0"/>
                <w:sz w:val="20"/>
                <w:szCs w:val="20"/>
              </w:rPr>
              <w:t>5</w:t>
            </w:r>
          </w:p>
        </w:tc>
        <w:tc>
          <w:tcPr>
            <w:tcW w:w="1325" w:type="dxa"/>
            <w:tcBorders>
              <w:top w:val="nil"/>
              <w:left w:val="nil"/>
              <w:bottom w:val="single" w:color="auto" w:sz="4" w:space="0"/>
              <w:right w:val="single" w:color="auto" w:sz="4" w:space="0"/>
            </w:tcBorders>
            <w:shd w:val="clear" w:color="auto" w:fill="auto"/>
            <w:vAlign w:val="center"/>
          </w:tcPr>
          <w:p w14:paraId="4C922862">
            <w:pPr>
              <w:widowControl/>
              <w:jc w:val="left"/>
              <w:rPr>
                <w:rFonts w:hint="eastAsia" w:ascii="宋体" w:hAnsi="宋体" w:cs="宋体"/>
                <w:kern w:val="0"/>
                <w:sz w:val="20"/>
                <w:szCs w:val="20"/>
              </w:rPr>
            </w:pPr>
            <w:r>
              <w:rPr>
                <w:rFonts w:hint="eastAsia" w:ascii="宋体" w:hAnsi="宋体" w:cs="宋体"/>
                <w:kern w:val="0"/>
                <w:sz w:val="20"/>
                <w:szCs w:val="20"/>
              </w:rPr>
              <w:t>万兆光模块</w:t>
            </w:r>
          </w:p>
        </w:tc>
        <w:tc>
          <w:tcPr>
            <w:tcW w:w="3515" w:type="dxa"/>
            <w:tcBorders>
              <w:top w:val="nil"/>
              <w:left w:val="nil"/>
              <w:bottom w:val="single" w:color="auto" w:sz="4" w:space="0"/>
              <w:right w:val="single" w:color="auto" w:sz="4" w:space="0"/>
            </w:tcBorders>
            <w:shd w:val="clear" w:color="auto" w:fill="auto"/>
            <w:vAlign w:val="center"/>
          </w:tcPr>
          <w:p w14:paraId="72A6040D">
            <w:pPr>
              <w:widowControl/>
              <w:jc w:val="left"/>
              <w:rPr>
                <w:rFonts w:hint="eastAsia" w:ascii="宋体" w:hAnsi="宋体" w:cs="宋体"/>
                <w:kern w:val="0"/>
                <w:sz w:val="20"/>
                <w:szCs w:val="20"/>
              </w:rPr>
            </w:pPr>
            <w:r>
              <w:rPr>
                <w:rFonts w:hint="eastAsia" w:ascii="宋体" w:hAnsi="宋体" w:cs="宋体"/>
                <w:kern w:val="0"/>
                <w:sz w:val="20"/>
                <w:szCs w:val="20"/>
              </w:rPr>
              <w:t>万兆LC接口模块，适用于SFP+接口，多模</w:t>
            </w:r>
          </w:p>
        </w:tc>
        <w:tc>
          <w:tcPr>
            <w:tcW w:w="981" w:type="dxa"/>
            <w:tcBorders>
              <w:top w:val="nil"/>
              <w:left w:val="nil"/>
              <w:bottom w:val="single" w:color="auto" w:sz="4" w:space="0"/>
              <w:right w:val="single" w:color="auto" w:sz="4" w:space="0"/>
            </w:tcBorders>
            <w:shd w:val="clear" w:color="auto" w:fill="auto"/>
            <w:noWrap/>
            <w:vAlign w:val="center"/>
          </w:tcPr>
          <w:p w14:paraId="51DDEFA7">
            <w:pPr>
              <w:widowControl/>
              <w:jc w:val="center"/>
              <w:rPr>
                <w:rFonts w:hint="eastAsia" w:ascii="宋体" w:hAnsi="宋体" w:cs="宋体"/>
                <w:kern w:val="0"/>
                <w:sz w:val="20"/>
                <w:szCs w:val="20"/>
              </w:rPr>
            </w:pPr>
            <w:r>
              <w:rPr>
                <w:rFonts w:hint="eastAsia" w:ascii="宋体" w:hAnsi="宋体" w:cs="宋体"/>
                <w:kern w:val="0"/>
                <w:sz w:val="20"/>
                <w:szCs w:val="20"/>
              </w:rPr>
              <w:t>台</w:t>
            </w:r>
          </w:p>
        </w:tc>
        <w:tc>
          <w:tcPr>
            <w:tcW w:w="1177" w:type="dxa"/>
            <w:tcBorders>
              <w:top w:val="nil"/>
              <w:left w:val="nil"/>
              <w:bottom w:val="single" w:color="auto" w:sz="4" w:space="0"/>
              <w:right w:val="single" w:color="auto" w:sz="4" w:space="0"/>
            </w:tcBorders>
            <w:shd w:val="clear" w:color="auto" w:fill="auto"/>
            <w:vAlign w:val="center"/>
          </w:tcPr>
          <w:p w14:paraId="4D927F8C">
            <w:pPr>
              <w:widowControl/>
              <w:jc w:val="center"/>
              <w:rPr>
                <w:rFonts w:hint="eastAsia" w:ascii="宋体" w:hAnsi="宋体" w:cs="宋体"/>
                <w:kern w:val="0"/>
                <w:sz w:val="20"/>
                <w:szCs w:val="20"/>
              </w:rPr>
            </w:pPr>
            <w:r>
              <w:rPr>
                <w:rFonts w:hint="eastAsia" w:ascii="宋体" w:hAnsi="宋体" w:cs="宋体"/>
                <w:kern w:val="0"/>
                <w:sz w:val="20"/>
                <w:szCs w:val="20"/>
              </w:rPr>
              <w:t>24</w:t>
            </w:r>
          </w:p>
        </w:tc>
      </w:tr>
      <w:tr w14:paraId="30906F0D">
        <w:tblPrEx>
          <w:tblCellMar>
            <w:top w:w="0" w:type="dxa"/>
            <w:left w:w="108" w:type="dxa"/>
            <w:bottom w:w="0" w:type="dxa"/>
            <w:right w:w="108" w:type="dxa"/>
          </w:tblCellMar>
        </w:tblPrEx>
        <w:trPr>
          <w:trHeight w:val="280" w:hRule="atLeast"/>
        </w:trPr>
        <w:tc>
          <w:tcPr>
            <w:tcW w:w="1080" w:type="dxa"/>
            <w:tcBorders>
              <w:top w:val="nil"/>
              <w:left w:val="single" w:color="auto" w:sz="4" w:space="0"/>
              <w:bottom w:val="single" w:color="auto" w:sz="4" w:space="0"/>
              <w:right w:val="single" w:color="auto" w:sz="4" w:space="0"/>
            </w:tcBorders>
            <w:shd w:val="clear" w:color="auto" w:fill="auto"/>
            <w:vAlign w:val="center"/>
          </w:tcPr>
          <w:p w14:paraId="382BBBAE">
            <w:pPr>
              <w:widowControl/>
              <w:jc w:val="center"/>
              <w:rPr>
                <w:rFonts w:hint="eastAsia" w:ascii="宋体" w:hAnsi="宋体" w:cs="宋体"/>
                <w:kern w:val="0"/>
                <w:sz w:val="20"/>
                <w:szCs w:val="20"/>
              </w:rPr>
            </w:pPr>
            <w:r>
              <w:rPr>
                <w:rFonts w:hint="eastAsia" w:ascii="宋体" w:hAnsi="宋体" w:cs="宋体"/>
                <w:kern w:val="0"/>
                <w:sz w:val="20"/>
                <w:szCs w:val="20"/>
              </w:rPr>
              <w:t>6</w:t>
            </w:r>
          </w:p>
        </w:tc>
        <w:tc>
          <w:tcPr>
            <w:tcW w:w="1325" w:type="dxa"/>
            <w:tcBorders>
              <w:top w:val="nil"/>
              <w:left w:val="nil"/>
              <w:bottom w:val="single" w:color="auto" w:sz="4" w:space="0"/>
              <w:right w:val="single" w:color="auto" w:sz="4" w:space="0"/>
            </w:tcBorders>
            <w:shd w:val="clear" w:color="auto" w:fill="auto"/>
            <w:vAlign w:val="center"/>
          </w:tcPr>
          <w:p w14:paraId="3AAFA0F5">
            <w:pPr>
              <w:widowControl/>
              <w:jc w:val="left"/>
              <w:rPr>
                <w:rFonts w:hint="eastAsia" w:ascii="宋体" w:hAnsi="宋体" w:cs="宋体"/>
                <w:kern w:val="0"/>
                <w:sz w:val="20"/>
                <w:szCs w:val="20"/>
              </w:rPr>
            </w:pPr>
            <w:r>
              <w:rPr>
                <w:rFonts w:hint="eastAsia" w:ascii="宋体" w:hAnsi="宋体" w:cs="宋体"/>
                <w:kern w:val="0"/>
                <w:sz w:val="20"/>
                <w:szCs w:val="20"/>
              </w:rPr>
              <w:t>千兆单模光模块</w:t>
            </w:r>
          </w:p>
        </w:tc>
        <w:tc>
          <w:tcPr>
            <w:tcW w:w="3515" w:type="dxa"/>
            <w:tcBorders>
              <w:top w:val="nil"/>
              <w:left w:val="nil"/>
              <w:bottom w:val="single" w:color="auto" w:sz="4" w:space="0"/>
              <w:right w:val="single" w:color="auto" w:sz="4" w:space="0"/>
            </w:tcBorders>
            <w:shd w:val="clear" w:color="auto" w:fill="auto"/>
            <w:vAlign w:val="center"/>
          </w:tcPr>
          <w:p w14:paraId="55708AA6">
            <w:pPr>
              <w:widowControl/>
              <w:jc w:val="left"/>
              <w:rPr>
                <w:rFonts w:hint="eastAsia" w:ascii="宋体" w:hAnsi="宋体" w:cs="宋体"/>
                <w:kern w:val="0"/>
                <w:sz w:val="20"/>
                <w:szCs w:val="20"/>
              </w:rPr>
            </w:pPr>
            <w:r>
              <w:rPr>
                <w:rFonts w:hint="eastAsia" w:ascii="宋体" w:hAnsi="宋体" w:cs="宋体"/>
                <w:kern w:val="0"/>
                <w:sz w:val="20"/>
                <w:szCs w:val="20"/>
              </w:rPr>
              <w:t>千兆单芯单模光模块，要求和交换机同一品牌，AB端成对使用，A端模块</w:t>
            </w:r>
          </w:p>
        </w:tc>
        <w:tc>
          <w:tcPr>
            <w:tcW w:w="981" w:type="dxa"/>
            <w:tcBorders>
              <w:top w:val="nil"/>
              <w:left w:val="nil"/>
              <w:bottom w:val="single" w:color="auto" w:sz="4" w:space="0"/>
              <w:right w:val="single" w:color="auto" w:sz="4" w:space="0"/>
            </w:tcBorders>
            <w:shd w:val="clear" w:color="auto" w:fill="auto"/>
            <w:noWrap/>
            <w:vAlign w:val="center"/>
          </w:tcPr>
          <w:p w14:paraId="76BD7854">
            <w:pPr>
              <w:widowControl/>
              <w:jc w:val="center"/>
              <w:rPr>
                <w:rFonts w:hint="eastAsia" w:ascii="宋体" w:hAnsi="宋体" w:cs="宋体"/>
                <w:kern w:val="0"/>
                <w:sz w:val="20"/>
                <w:szCs w:val="20"/>
              </w:rPr>
            </w:pPr>
            <w:r>
              <w:rPr>
                <w:rFonts w:hint="eastAsia" w:ascii="宋体" w:hAnsi="宋体" w:cs="宋体"/>
                <w:kern w:val="0"/>
                <w:sz w:val="20"/>
                <w:szCs w:val="20"/>
              </w:rPr>
              <w:t>台</w:t>
            </w:r>
          </w:p>
        </w:tc>
        <w:tc>
          <w:tcPr>
            <w:tcW w:w="1177" w:type="dxa"/>
            <w:tcBorders>
              <w:top w:val="nil"/>
              <w:left w:val="nil"/>
              <w:bottom w:val="single" w:color="auto" w:sz="4" w:space="0"/>
              <w:right w:val="single" w:color="auto" w:sz="4" w:space="0"/>
            </w:tcBorders>
            <w:shd w:val="clear" w:color="auto" w:fill="auto"/>
            <w:vAlign w:val="center"/>
          </w:tcPr>
          <w:p w14:paraId="5D4CFDBD">
            <w:pPr>
              <w:widowControl/>
              <w:jc w:val="center"/>
              <w:rPr>
                <w:rFonts w:hint="eastAsia" w:ascii="宋体" w:hAnsi="宋体" w:cs="宋体"/>
                <w:kern w:val="0"/>
                <w:sz w:val="20"/>
                <w:szCs w:val="20"/>
              </w:rPr>
            </w:pPr>
            <w:r>
              <w:rPr>
                <w:rFonts w:hint="eastAsia" w:ascii="宋体" w:hAnsi="宋体" w:cs="宋体"/>
                <w:kern w:val="0"/>
                <w:sz w:val="20"/>
                <w:szCs w:val="20"/>
              </w:rPr>
              <w:t>150</w:t>
            </w:r>
          </w:p>
        </w:tc>
      </w:tr>
      <w:tr w14:paraId="02896ED9">
        <w:tblPrEx>
          <w:tblCellMar>
            <w:top w:w="0" w:type="dxa"/>
            <w:left w:w="108" w:type="dxa"/>
            <w:bottom w:w="0" w:type="dxa"/>
            <w:right w:w="108" w:type="dxa"/>
          </w:tblCellMar>
        </w:tblPrEx>
        <w:trPr>
          <w:trHeight w:val="280" w:hRule="atLeast"/>
        </w:trPr>
        <w:tc>
          <w:tcPr>
            <w:tcW w:w="1080" w:type="dxa"/>
            <w:tcBorders>
              <w:top w:val="nil"/>
              <w:left w:val="single" w:color="auto" w:sz="4" w:space="0"/>
              <w:bottom w:val="single" w:color="auto" w:sz="4" w:space="0"/>
              <w:right w:val="single" w:color="auto" w:sz="4" w:space="0"/>
            </w:tcBorders>
            <w:shd w:val="clear" w:color="auto" w:fill="auto"/>
            <w:vAlign w:val="center"/>
          </w:tcPr>
          <w:p w14:paraId="7646FC3D">
            <w:pPr>
              <w:widowControl/>
              <w:jc w:val="center"/>
              <w:rPr>
                <w:rFonts w:hint="eastAsia" w:ascii="宋体" w:hAnsi="宋体" w:cs="宋体"/>
                <w:kern w:val="0"/>
                <w:sz w:val="20"/>
                <w:szCs w:val="20"/>
              </w:rPr>
            </w:pPr>
            <w:r>
              <w:rPr>
                <w:rFonts w:hint="eastAsia" w:ascii="宋体" w:hAnsi="宋体" w:cs="宋体"/>
                <w:kern w:val="0"/>
                <w:sz w:val="20"/>
                <w:szCs w:val="20"/>
              </w:rPr>
              <w:t>7</w:t>
            </w:r>
          </w:p>
        </w:tc>
        <w:tc>
          <w:tcPr>
            <w:tcW w:w="1325" w:type="dxa"/>
            <w:tcBorders>
              <w:top w:val="nil"/>
              <w:left w:val="nil"/>
              <w:bottom w:val="single" w:color="auto" w:sz="4" w:space="0"/>
              <w:right w:val="single" w:color="auto" w:sz="4" w:space="0"/>
            </w:tcBorders>
            <w:shd w:val="clear" w:color="auto" w:fill="auto"/>
            <w:vAlign w:val="center"/>
          </w:tcPr>
          <w:p w14:paraId="271535E9">
            <w:pPr>
              <w:widowControl/>
              <w:jc w:val="left"/>
              <w:rPr>
                <w:rFonts w:hint="eastAsia" w:ascii="宋体" w:hAnsi="宋体" w:cs="宋体"/>
                <w:kern w:val="0"/>
                <w:sz w:val="20"/>
                <w:szCs w:val="20"/>
              </w:rPr>
            </w:pPr>
            <w:r>
              <w:rPr>
                <w:rFonts w:hint="eastAsia" w:ascii="宋体" w:hAnsi="宋体" w:cs="宋体"/>
                <w:kern w:val="0"/>
                <w:sz w:val="20"/>
                <w:szCs w:val="20"/>
              </w:rPr>
              <w:t>千兆单模光模块</w:t>
            </w:r>
          </w:p>
        </w:tc>
        <w:tc>
          <w:tcPr>
            <w:tcW w:w="3515" w:type="dxa"/>
            <w:tcBorders>
              <w:top w:val="nil"/>
              <w:left w:val="nil"/>
              <w:bottom w:val="single" w:color="auto" w:sz="4" w:space="0"/>
              <w:right w:val="single" w:color="auto" w:sz="4" w:space="0"/>
            </w:tcBorders>
            <w:shd w:val="clear" w:color="auto" w:fill="auto"/>
            <w:vAlign w:val="center"/>
          </w:tcPr>
          <w:p w14:paraId="49110F73">
            <w:pPr>
              <w:widowControl/>
              <w:jc w:val="left"/>
              <w:rPr>
                <w:rFonts w:hint="eastAsia" w:ascii="宋体" w:hAnsi="宋体" w:cs="宋体"/>
                <w:kern w:val="0"/>
                <w:sz w:val="20"/>
                <w:szCs w:val="20"/>
              </w:rPr>
            </w:pPr>
            <w:r>
              <w:rPr>
                <w:rFonts w:hint="eastAsia" w:ascii="宋体" w:hAnsi="宋体" w:cs="宋体"/>
                <w:kern w:val="0"/>
                <w:sz w:val="20"/>
                <w:szCs w:val="20"/>
              </w:rPr>
              <w:t>千兆单芯单模光模块，要求和交换机同一品牌，AB端成对使用，B端模块</w:t>
            </w:r>
          </w:p>
        </w:tc>
        <w:tc>
          <w:tcPr>
            <w:tcW w:w="981" w:type="dxa"/>
            <w:tcBorders>
              <w:top w:val="nil"/>
              <w:left w:val="nil"/>
              <w:bottom w:val="single" w:color="auto" w:sz="4" w:space="0"/>
              <w:right w:val="single" w:color="auto" w:sz="4" w:space="0"/>
            </w:tcBorders>
            <w:shd w:val="clear" w:color="auto" w:fill="auto"/>
            <w:noWrap/>
            <w:vAlign w:val="center"/>
          </w:tcPr>
          <w:p w14:paraId="145056A0">
            <w:pPr>
              <w:widowControl/>
              <w:jc w:val="center"/>
              <w:rPr>
                <w:rFonts w:hint="eastAsia" w:ascii="宋体" w:hAnsi="宋体" w:cs="宋体"/>
                <w:kern w:val="0"/>
                <w:sz w:val="20"/>
                <w:szCs w:val="20"/>
              </w:rPr>
            </w:pPr>
            <w:r>
              <w:rPr>
                <w:rFonts w:hint="eastAsia" w:ascii="宋体" w:hAnsi="宋体" w:cs="宋体"/>
                <w:kern w:val="0"/>
                <w:sz w:val="20"/>
                <w:szCs w:val="20"/>
              </w:rPr>
              <w:t>台</w:t>
            </w:r>
          </w:p>
        </w:tc>
        <w:tc>
          <w:tcPr>
            <w:tcW w:w="1177" w:type="dxa"/>
            <w:tcBorders>
              <w:top w:val="nil"/>
              <w:left w:val="nil"/>
              <w:bottom w:val="single" w:color="auto" w:sz="4" w:space="0"/>
              <w:right w:val="single" w:color="auto" w:sz="4" w:space="0"/>
            </w:tcBorders>
            <w:shd w:val="clear" w:color="auto" w:fill="auto"/>
            <w:vAlign w:val="center"/>
          </w:tcPr>
          <w:p w14:paraId="58CA2F56">
            <w:pPr>
              <w:widowControl/>
              <w:jc w:val="center"/>
              <w:rPr>
                <w:rFonts w:hint="eastAsia" w:ascii="宋体" w:hAnsi="宋体" w:cs="宋体"/>
                <w:kern w:val="0"/>
                <w:sz w:val="20"/>
                <w:szCs w:val="20"/>
              </w:rPr>
            </w:pPr>
            <w:r>
              <w:rPr>
                <w:rFonts w:hint="eastAsia" w:ascii="宋体" w:hAnsi="宋体" w:cs="宋体"/>
                <w:kern w:val="0"/>
                <w:sz w:val="20"/>
                <w:szCs w:val="20"/>
              </w:rPr>
              <w:t>150</w:t>
            </w:r>
          </w:p>
        </w:tc>
      </w:tr>
      <w:tr w14:paraId="7ED8CD9F">
        <w:tblPrEx>
          <w:tblCellMar>
            <w:top w:w="0" w:type="dxa"/>
            <w:left w:w="108" w:type="dxa"/>
            <w:bottom w:w="0" w:type="dxa"/>
            <w:right w:w="108" w:type="dxa"/>
          </w:tblCellMar>
        </w:tblPrEx>
        <w:trPr>
          <w:trHeight w:val="2080" w:hRule="atLeast"/>
        </w:trPr>
        <w:tc>
          <w:tcPr>
            <w:tcW w:w="1080" w:type="dxa"/>
            <w:tcBorders>
              <w:top w:val="nil"/>
              <w:left w:val="single" w:color="auto" w:sz="4" w:space="0"/>
              <w:bottom w:val="single" w:color="auto" w:sz="4" w:space="0"/>
              <w:right w:val="single" w:color="auto" w:sz="4" w:space="0"/>
            </w:tcBorders>
            <w:shd w:val="clear" w:color="auto" w:fill="auto"/>
            <w:vAlign w:val="center"/>
          </w:tcPr>
          <w:p w14:paraId="5DC5C733">
            <w:pPr>
              <w:widowControl/>
              <w:jc w:val="center"/>
              <w:rPr>
                <w:rFonts w:hint="eastAsia" w:ascii="宋体" w:hAnsi="宋体" w:cs="宋体"/>
                <w:kern w:val="0"/>
                <w:sz w:val="20"/>
                <w:szCs w:val="20"/>
              </w:rPr>
            </w:pPr>
            <w:r>
              <w:rPr>
                <w:rFonts w:hint="eastAsia" w:ascii="宋体" w:hAnsi="宋体" w:cs="宋体"/>
                <w:kern w:val="0"/>
                <w:sz w:val="20"/>
                <w:szCs w:val="20"/>
              </w:rPr>
              <w:t>8</w:t>
            </w:r>
          </w:p>
        </w:tc>
        <w:tc>
          <w:tcPr>
            <w:tcW w:w="1325" w:type="dxa"/>
            <w:tcBorders>
              <w:top w:val="nil"/>
              <w:left w:val="nil"/>
              <w:bottom w:val="single" w:color="auto" w:sz="4" w:space="0"/>
              <w:right w:val="single" w:color="auto" w:sz="4" w:space="0"/>
            </w:tcBorders>
            <w:shd w:val="clear" w:color="auto" w:fill="auto"/>
            <w:vAlign w:val="center"/>
          </w:tcPr>
          <w:p w14:paraId="08AAC93A">
            <w:pPr>
              <w:widowControl/>
              <w:jc w:val="left"/>
              <w:rPr>
                <w:rFonts w:hint="eastAsia" w:ascii="宋体" w:hAnsi="宋体" w:cs="宋体"/>
                <w:kern w:val="0"/>
                <w:sz w:val="20"/>
                <w:szCs w:val="20"/>
              </w:rPr>
            </w:pPr>
            <w:r>
              <w:rPr>
                <w:rFonts w:hint="eastAsia" w:ascii="宋体" w:hAnsi="宋体" w:cs="宋体"/>
                <w:kern w:val="0"/>
                <w:sz w:val="20"/>
                <w:szCs w:val="20"/>
              </w:rPr>
              <w:t>48口接入交换机</w:t>
            </w:r>
          </w:p>
        </w:tc>
        <w:tc>
          <w:tcPr>
            <w:tcW w:w="3515" w:type="dxa"/>
            <w:tcBorders>
              <w:top w:val="nil"/>
              <w:left w:val="nil"/>
              <w:bottom w:val="single" w:color="auto" w:sz="4" w:space="0"/>
              <w:right w:val="single" w:color="auto" w:sz="4" w:space="0"/>
            </w:tcBorders>
            <w:shd w:val="clear" w:color="auto" w:fill="auto"/>
            <w:vAlign w:val="center"/>
          </w:tcPr>
          <w:p w14:paraId="19815D55">
            <w:pPr>
              <w:widowControl/>
              <w:jc w:val="left"/>
              <w:rPr>
                <w:rFonts w:hint="eastAsia" w:ascii="宋体" w:hAnsi="宋体" w:cs="宋体"/>
                <w:kern w:val="0"/>
                <w:sz w:val="20"/>
                <w:szCs w:val="20"/>
              </w:rPr>
            </w:pPr>
            <w:r>
              <w:rPr>
                <w:rFonts w:hint="eastAsia" w:ascii="宋体" w:hAnsi="宋体" w:cs="宋体"/>
                <w:kern w:val="0"/>
                <w:sz w:val="20"/>
                <w:szCs w:val="20"/>
              </w:rPr>
              <w:t>1.固化10/100/1000M以太网端口≥48个，固化1G SFP+光接口≥4个；</w:t>
            </w:r>
            <w:r>
              <w:rPr>
                <w:rFonts w:hint="eastAsia" w:ascii="宋体" w:hAnsi="宋体" w:cs="宋体"/>
                <w:kern w:val="0"/>
                <w:sz w:val="20"/>
                <w:szCs w:val="20"/>
              </w:rPr>
              <w:br w:type="textWrapping"/>
            </w:r>
            <w:r>
              <w:rPr>
                <w:rFonts w:hint="eastAsia" w:ascii="宋体" w:hAnsi="宋体" w:cs="宋体"/>
                <w:kern w:val="0"/>
                <w:sz w:val="20"/>
                <w:szCs w:val="20"/>
              </w:rPr>
              <w:t>2.交换容量≥430Gbps/4.3Tbps，包转发率≥160Mpps；</w:t>
            </w:r>
            <w:r>
              <w:rPr>
                <w:rFonts w:hint="eastAsia" w:ascii="宋体" w:hAnsi="宋体" w:cs="宋体"/>
                <w:kern w:val="0"/>
                <w:sz w:val="20"/>
                <w:szCs w:val="20"/>
              </w:rPr>
              <w:br w:type="textWrapping"/>
            </w:r>
            <w:r>
              <w:rPr>
                <w:rFonts w:hint="eastAsia" w:ascii="宋体" w:hAnsi="宋体" w:cs="宋体"/>
                <w:kern w:val="0"/>
                <w:sz w:val="20"/>
                <w:szCs w:val="20"/>
              </w:rPr>
              <w:t>3.支持本地负载分担，流量可以均匀负载分担到各个堆叠链路；</w:t>
            </w:r>
            <w:r>
              <w:rPr>
                <w:rFonts w:hint="eastAsia" w:ascii="宋体" w:hAnsi="宋体" w:cs="宋体"/>
                <w:kern w:val="0"/>
                <w:sz w:val="20"/>
                <w:szCs w:val="20"/>
              </w:rPr>
              <w:br w:type="textWrapping"/>
            </w:r>
            <w:r>
              <w:rPr>
                <w:rFonts w:hint="eastAsia" w:ascii="宋体" w:hAnsi="宋体" w:cs="宋体"/>
                <w:kern w:val="0"/>
                <w:sz w:val="20"/>
                <w:szCs w:val="20"/>
              </w:rPr>
              <w:t>4.支持基于端口的VLAN，支持基于协议的VLAN；支持基于MAC的VLAN；</w:t>
            </w:r>
            <w:r>
              <w:rPr>
                <w:rFonts w:hint="eastAsia" w:ascii="宋体" w:hAnsi="宋体" w:cs="宋体"/>
                <w:kern w:val="0"/>
                <w:sz w:val="20"/>
                <w:szCs w:val="20"/>
              </w:rPr>
              <w:br w:type="textWrapping"/>
            </w:r>
            <w:r>
              <w:rPr>
                <w:rFonts w:hint="eastAsia" w:ascii="宋体" w:hAnsi="宋体" w:cs="宋体"/>
                <w:kern w:val="0"/>
                <w:sz w:val="20"/>
                <w:szCs w:val="20"/>
              </w:rPr>
              <w:t>5.支持链路聚合基本功能及聚合零丢包；支持远程镜像、流镜像、端口镜像；</w:t>
            </w:r>
            <w:r>
              <w:rPr>
                <w:rFonts w:hint="eastAsia" w:ascii="宋体" w:hAnsi="宋体" w:cs="宋体"/>
                <w:kern w:val="0"/>
                <w:sz w:val="20"/>
                <w:szCs w:val="20"/>
              </w:rPr>
              <w:br w:type="textWrapping"/>
            </w:r>
            <w:r>
              <w:rPr>
                <w:rFonts w:hint="eastAsia" w:ascii="宋体" w:hAnsi="宋体" w:cs="宋体"/>
                <w:kern w:val="0"/>
                <w:sz w:val="20"/>
                <w:szCs w:val="20"/>
              </w:rPr>
              <w:t>6.支持IGMP Snooping v1/v2/v3，MLD Snooping v1/v2</w:t>
            </w:r>
            <w:r>
              <w:rPr>
                <w:rFonts w:hint="eastAsia" w:ascii="宋体" w:hAnsi="宋体" w:cs="宋体"/>
                <w:kern w:val="0"/>
                <w:sz w:val="20"/>
                <w:szCs w:val="20"/>
              </w:rPr>
              <w:br w:type="textWrapping"/>
            </w:r>
            <w:r>
              <w:rPr>
                <w:rFonts w:hint="eastAsia" w:ascii="宋体" w:hAnsi="宋体" w:cs="宋体"/>
                <w:kern w:val="0"/>
                <w:sz w:val="20"/>
                <w:szCs w:val="20"/>
              </w:rPr>
              <w:t>7.支持基于端口和VLAN的 ACL；支持802.1x认证，支持集中式MAC地址认证；</w:t>
            </w:r>
            <w:r>
              <w:rPr>
                <w:rFonts w:hint="eastAsia" w:ascii="宋体" w:hAnsi="宋体" w:cs="宋体"/>
                <w:kern w:val="0"/>
                <w:sz w:val="20"/>
                <w:szCs w:val="20"/>
              </w:rPr>
              <w:br w:type="textWrapping"/>
            </w:r>
            <w:r>
              <w:rPr>
                <w:rFonts w:hint="eastAsia" w:ascii="宋体" w:hAnsi="宋体" w:cs="宋体"/>
                <w:kern w:val="0"/>
                <w:sz w:val="20"/>
                <w:szCs w:val="20"/>
              </w:rPr>
              <w:t>8.支持SNMP V1/V2/V3、RMON、SSHV2；</w:t>
            </w:r>
          </w:p>
        </w:tc>
        <w:tc>
          <w:tcPr>
            <w:tcW w:w="981" w:type="dxa"/>
            <w:tcBorders>
              <w:top w:val="nil"/>
              <w:left w:val="nil"/>
              <w:bottom w:val="single" w:color="auto" w:sz="4" w:space="0"/>
              <w:right w:val="single" w:color="auto" w:sz="4" w:space="0"/>
            </w:tcBorders>
            <w:shd w:val="clear" w:color="auto" w:fill="auto"/>
            <w:noWrap/>
            <w:vAlign w:val="center"/>
          </w:tcPr>
          <w:p w14:paraId="0192C0EA">
            <w:pPr>
              <w:widowControl/>
              <w:jc w:val="center"/>
              <w:rPr>
                <w:rFonts w:hint="eastAsia" w:ascii="宋体" w:hAnsi="宋体" w:cs="宋体"/>
                <w:kern w:val="0"/>
                <w:sz w:val="20"/>
                <w:szCs w:val="20"/>
              </w:rPr>
            </w:pPr>
            <w:r>
              <w:rPr>
                <w:rFonts w:hint="eastAsia" w:ascii="宋体" w:hAnsi="宋体" w:cs="宋体"/>
                <w:kern w:val="0"/>
                <w:sz w:val="20"/>
                <w:szCs w:val="20"/>
              </w:rPr>
              <w:t>台</w:t>
            </w:r>
          </w:p>
        </w:tc>
        <w:tc>
          <w:tcPr>
            <w:tcW w:w="1177" w:type="dxa"/>
            <w:tcBorders>
              <w:top w:val="nil"/>
              <w:left w:val="nil"/>
              <w:bottom w:val="single" w:color="auto" w:sz="4" w:space="0"/>
              <w:right w:val="single" w:color="auto" w:sz="4" w:space="0"/>
            </w:tcBorders>
            <w:shd w:val="clear" w:color="auto" w:fill="auto"/>
            <w:vAlign w:val="center"/>
          </w:tcPr>
          <w:p w14:paraId="54390445">
            <w:pPr>
              <w:widowControl/>
              <w:jc w:val="center"/>
              <w:rPr>
                <w:rFonts w:hint="eastAsia" w:ascii="宋体" w:hAnsi="宋体" w:cs="宋体"/>
                <w:kern w:val="0"/>
                <w:sz w:val="20"/>
                <w:szCs w:val="20"/>
              </w:rPr>
            </w:pPr>
            <w:r>
              <w:rPr>
                <w:rFonts w:hint="eastAsia" w:ascii="宋体" w:hAnsi="宋体" w:cs="宋体"/>
                <w:kern w:val="0"/>
                <w:sz w:val="20"/>
                <w:szCs w:val="20"/>
              </w:rPr>
              <w:t>41</w:t>
            </w:r>
          </w:p>
        </w:tc>
      </w:tr>
      <w:tr w14:paraId="7F49BC5D">
        <w:tblPrEx>
          <w:tblCellMar>
            <w:top w:w="0" w:type="dxa"/>
            <w:left w:w="108" w:type="dxa"/>
            <w:bottom w:w="0" w:type="dxa"/>
            <w:right w:w="108" w:type="dxa"/>
          </w:tblCellMar>
        </w:tblPrEx>
        <w:trPr>
          <w:trHeight w:val="2080" w:hRule="atLeast"/>
        </w:trPr>
        <w:tc>
          <w:tcPr>
            <w:tcW w:w="1080" w:type="dxa"/>
            <w:tcBorders>
              <w:top w:val="nil"/>
              <w:left w:val="single" w:color="auto" w:sz="4" w:space="0"/>
              <w:bottom w:val="single" w:color="auto" w:sz="4" w:space="0"/>
              <w:right w:val="single" w:color="auto" w:sz="4" w:space="0"/>
            </w:tcBorders>
            <w:shd w:val="clear" w:color="auto" w:fill="auto"/>
            <w:vAlign w:val="center"/>
          </w:tcPr>
          <w:p w14:paraId="2C21119D">
            <w:pPr>
              <w:widowControl/>
              <w:jc w:val="center"/>
              <w:rPr>
                <w:rFonts w:hint="eastAsia" w:ascii="宋体" w:hAnsi="宋体" w:cs="宋体"/>
                <w:kern w:val="0"/>
                <w:sz w:val="20"/>
                <w:szCs w:val="20"/>
              </w:rPr>
            </w:pPr>
            <w:r>
              <w:rPr>
                <w:rFonts w:hint="eastAsia" w:ascii="宋体" w:hAnsi="宋体" w:cs="宋体"/>
                <w:kern w:val="0"/>
                <w:sz w:val="20"/>
                <w:szCs w:val="20"/>
              </w:rPr>
              <w:t>9</w:t>
            </w:r>
          </w:p>
        </w:tc>
        <w:tc>
          <w:tcPr>
            <w:tcW w:w="1325" w:type="dxa"/>
            <w:tcBorders>
              <w:top w:val="nil"/>
              <w:left w:val="nil"/>
              <w:bottom w:val="single" w:color="auto" w:sz="4" w:space="0"/>
              <w:right w:val="single" w:color="auto" w:sz="4" w:space="0"/>
            </w:tcBorders>
            <w:shd w:val="clear" w:color="auto" w:fill="auto"/>
            <w:vAlign w:val="center"/>
          </w:tcPr>
          <w:p w14:paraId="4FB5D74A">
            <w:pPr>
              <w:widowControl/>
              <w:jc w:val="left"/>
              <w:rPr>
                <w:rFonts w:hint="eastAsia" w:ascii="宋体" w:hAnsi="宋体" w:cs="宋体"/>
                <w:kern w:val="0"/>
                <w:sz w:val="20"/>
                <w:szCs w:val="20"/>
              </w:rPr>
            </w:pPr>
            <w:r>
              <w:rPr>
                <w:rFonts w:hint="eastAsia" w:ascii="宋体" w:hAnsi="宋体" w:cs="宋体"/>
                <w:kern w:val="0"/>
                <w:sz w:val="20"/>
                <w:szCs w:val="20"/>
              </w:rPr>
              <w:t>24口接入交换机</w:t>
            </w:r>
          </w:p>
        </w:tc>
        <w:tc>
          <w:tcPr>
            <w:tcW w:w="3515" w:type="dxa"/>
            <w:tcBorders>
              <w:top w:val="nil"/>
              <w:left w:val="nil"/>
              <w:bottom w:val="single" w:color="auto" w:sz="4" w:space="0"/>
              <w:right w:val="single" w:color="auto" w:sz="4" w:space="0"/>
            </w:tcBorders>
            <w:shd w:val="clear" w:color="auto" w:fill="auto"/>
            <w:vAlign w:val="center"/>
          </w:tcPr>
          <w:p w14:paraId="77AB8995">
            <w:pPr>
              <w:widowControl/>
              <w:jc w:val="left"/>
              <w:rPr>
                <w:rFonts w:hint="eastAsia" w:ascii="宋体" w:hAnsi="宋体" w:cs="宋体"/>
                <w:kern w:val="0"/>
                <w:sz w:val="20"/>
                <w:szCs w:val="20"/>
              </w:rPr>
            </w:pPr>
            <w:r>
              <w:rPr>
                <w:rFonts w:hint="eastAsia" w:ascii="宋体" w:hAnsi="宋体" w:cs="宋体"/>
                <w:kern w:val="0"/>
                <w:sz w:val="20"/>
                <w:szCs w:val="20"/>
              </w:rPr>
              <w:t>1.固化10/100/1000M以太网端口≥24个，固化1G SFP光接口≥4个，最大可用端口数≥28个；</w:t>
            </w:r>
            <w:r>
              <w:rPr>
                <w:rFonts w:hint="eastAsia" w:ascii="宋体" w:hAnsi="宋体" w:cs="宋体"/>
                <w:kern w:val="0"/>
                <w:sz w:val="20"/>
                <w:szCs w:val="20"/>
              </w:rPr>
              <w:br w:type="textWrapping"/>
            </w:r>
            <w:r>
              <w:rPr>
                <w:rFonts w:hint="eastAsia" w:ascii="宋体" w:hAnsi="宋体" w:cs="宋体"/>
                <w:kern w:val="0"/>
                <w:sz w:val="20"/>
                <w:szCs w:val="20"/>
              </w:rPr>
              <w:t>2.交换容量≥430Gbps/4.3Tbps，包转发率≥120Mpps；</w:t>
            </w:r>
            <w:r>
              <w:rPr>
                <w:rFonts w:hint="eastAsia" w:ascii="宋体" w:hAnsi="宋体" w:cs="宋体"/>
                <w:kern w:val="0"/>
                <w:sz w:val="20"/>
                <w:szCs w:val="20"/>
              </w:rPr>
              <w:br w:type="textWrapping"/>
            </w:r>
            <w:r>
              <w:rPr>
                <w:rFonts w:hint="eastAsia" w:ascii="宋体" w:hAnsi="宋体" w:cs="宋体"/>
                <w:kern w:val="0"/>
                <w:sz w:val="20"/>
                <w:szCs w:val="20"/>
              </w:rPr>
              <w:t>3.支持本地负载分担，流量可以均匀负载分担到各个堆叠链路；</w:t>
            </w:r>
            <w:r>
              <w:rPr>
                <w:rFonts w:hint="eastAsia" w:ascii="宋体" w:hAnsi="宋体" w:cs="宋体"/>
                <w:kern w:val="0"/>
                <w:sz w:val="20"/>
                <w:szCs w:val="20"/>
              </w:rPr>
              <w:br w:type="textWrapping"/>
            </w:r>
            <w:r>
              <w:rPr>
                <w:rFonts w:hint="eastAsia" w:ascii="宋体" w:hAnsi="宋体" w:cs="宋体"/>
                <w:kern w:val="0"/>
                <w:sz w:val="20"/>
                <w:szCs w:val="20"/>
              </w:rPr>
              <w:t>4.支持基于端口的VLAN，支持基于协议的VLAN；支持基于MAC的VLAN；</w:t>
            </w:r>
            <w:r>
              <w:rPr>
                <w:rFonts w:hint="eastAsia" w:ascii="宋体" w:hAnsi="宋体" w:cs="宋体"/>
                <w:kern w:val="0"/>
                <w:sz w:val="20"/>
                <w:szCs w:val="20"/>
              </w:rPr>
              <w:br w:type="textWrapping"/>
            </w:r>
            <w:r>
              <w:rPr>
                <w:rFonts w:hint="eastAsia" w:ascii="宋体" w:hAnsi="宋体" w:cs="宋体"/>
                <w:kern w:val="0"/>
                <w:sz w:val="20"/>
                <w:szCs w:val="20"/>
              </w:rPr>
              <w:t>5.支持链路聚合基本功能及聚合零丢包；支持远程镜像、流镜像、端口镜像；</w:t>
            </w:r>
            <w:r>
              <w:rPr>
                <w:rFonts w:hint="eastAsia" w:ascii="宋体" w:hAnsi="宋体" w:cs="宋体"/>
                <w:kern w:val="0"/>
                <w:sz w:val="20"/>
                <w:szCs w:val="20"/>
              </w:rPr>
              <w:br w:type="textWrapping"/>
            </w:r>
            <w:r>
              <w:rPr>
                <w:rFonts w:hint="eastAsia" w:ascii="宋体" w:hAnsi="宋体" w:cs="宋体"/>
                <w:kern w:val="0"/>
                <w:sz w:val="20"/>
                <w:szCs w:val="20"/>
              </w:rPr>
              <w:t>6.支持IGMP Snooping v1/v2/v3，MLD Snooping v1/v2</w:t>
            </w:r>
            <w:r>
              <w:rPr>
                <w:rFonts w:hint="eastAsia" w:ascii="宋体" w:hAnsi="宋体" w:cs="宋体"/>
                <w:kern w:val="0"/>
                <w:sz w:val="20"/>
                <w:szCs w:val="20"/>
              </w:rPr>
              <w:br w:type="textWrapping"/>
            </w:r>
            <w:r>
              <w:rPr>
                <w:rFonts w:hint="eastAsia" w:ascii="宋体" w:hAnsi="宋体" w:cs="宋体"/>
                <w:kern w:val="0"/>
                <w:sz w:val="20"/>
                <w:szCs w:val="20"/>
              </w:rPr>
              <w:t>7.支持基于端口和VLAN的 ACL；支持802.1x认证，支持集中式MAC地址认证；</w:t>
            </w:r>
            <w:r>
              <w:rPr>
                <w:rFonts w:hint="eastAsia" w:ascii="宋体" w:hAnsi="宋体" w:cs="宋体"/>
                <w:kern w:val="0"/>
                <w:sz w:val="20"/>
                <w:szCs w:val="20"/>
              </w:rPr>
              <w:br w:type="textWrapping"/>
            </w:r>
            <w:r>
              <w:rPr>
                <w:rFonts w:hint="eastAsia" w:ascii="宋体" w:hAnsi="宋体" w:cs="宋体"/>
                <w:kern w:val="0"/>
                <w:sz w:val="20"/>
                <w:szCs w:val="20"/>
              </w:rPr>
              <w:t>8.支持SNMP V1/V2/V3、RMON、SSHV2；</w:t>
            </w:r>
          </w:p>
        </w:tc>
        <w:tc>
          <w:tcPr>
            <w:tcW w:w="981" w:type="dxa"/>
            <w:tcBorders>
              <w:top w:val="nil"/>
              <w:left w:val="nil"/>
              <w:bottom w:val="single" w:color="auto" w:sz="4" w:space="0"/>
              <w:right w:val="single" w:color="auto" w:sz="4" w:space="0"/>
            </w:tcBorders>
            <w:shd w:val="clear" w:color="auto" w:fill="auto"/>
            <w:noWrap/>
            <w:vAlign w:val="center"/>
          </w:tcPr>
          <w:p w14:paraId="738D279D">
            <w:pPr>
              <w:widowControl/>
              <w:jc w:val="center"/>
              <w:rPr>
                <w:rFonts w:hint="eastAsia" w:ascii="宋体" w:hAnsi="宋体" w:cs="宋体"/>
                <w:kern w:val="0"/>
                <w:sz w:val="20"/>
                <w:szCs w:val="20"/>
              </w:rPr>
            </w:pPr>
            <w:r>
              <w:rPr>
                <w:rFonts w:hint="eastAsia" w:ascii="宋体" w:hAnsi="宋体" w:cs="宋体"/>
                <w:kern w:val="0"/>
                <w:sz w:val="20"/>
                <w:szCs w:val="20"/>
              </w:rPr>
              <w:t>台</w:t>
            </w:r>
          </w:p>
        </w:tc>
        <w:tc>
          <w:tcPr>
            <w:tcW w:w="1177" w:type="dxa"/>
            <w:tcBorders>
              <w:top w:val="nil"/>
              <w:left w:val="nil"/>
              <w:bottom w:val="single" w:color="auto" w:sz="4" w:space="0"/>
              <w:right w:val="single" w:color="auto" w:sz="4" w:space="0"/>
            </w:tcBorders>
            <w:shd w:val="clear" w:color="auto" w:fill="auto"/>
            <w:vAlign w:val="center"/>
          </w:tcPr>
          <w:p w14:paraId="2AC7119B">
            <w:pPr>
              <w:widowControl/>
              <w:jc w:val="center"/>
              <w:rPr>
                <w:rFonts w:hint="eastAsia" w:ascii="宋体" w:hAnsi="宋体" w:cs="宋体"/>
                <w:kern w:val="0"/>
                <w:sz w:val="20"/>
                <w:szCs w:val="20"/>
              </w:rPr>
            </w:pPr>
            <w:r>
              <w:rPr>
                <w:rFonts w:hint="eastAsia" w:ascii="宋体" w:hAnsi="宋体" w:cs="宋体"/>
                <w:kern w:val="0"/>
                <w:sz w:val="20"/>
                <w:szCs w:val="20"/>
              </w:rPr>
              <w:t>37</w:t>
            </w:r>
          </w:p>
        </w:tc>
      </w:tr>
      <w:tr w14:paraId="0C9DCD57">
        <w:tblPrEx>
          <w:tblCellMar>
            <w:top w:w="0" w:type="dxa"/>
            <w:left w:w="108" w:type="dxa"/>
            <w:bottom w:w="0" w:type="dxa"/>
            <w:right w:w="108" w:type="dxa"/>
          </w:tblCellMar>
        </w:tblPrEx>
        <w:trPr>
          <w:trHeight w:val="2600" w:hRule="atLeast"/>
        </w:trPr>
        <w:tc>
          <w:tcPr>
            <w:tcW w:w="1080" w:type="dxa"/>
            <w:tcBorders>
              <w:top w:val="nil"/>
              <w:left w:val="single" w:color="auto" w:sz="4" w:space="0"/>
              <w:bottom w:val="single" w:color="auto" w:sz="4" w:space="0"/>
              <w:right w:val="single" w:color="auto" w:sz="4" w:space="0"/>
            </w:tcBorders>
            <w:shd w:val="clear" w:color="auto" w:fill="auto"/>
            <w:vAlign w:val="center"/>
          </w:tcPr>
          <w:p w14:paraId="03C9AC00">
            <w:pPr>
              <w:widowControl/>
              <w:jc w:val="center"/>
              <w:rPr>
                <w:rFonts w:hint="eastAsia" w:ascii="宋体" w:hAnsi="宋体" w:cs="宋体"/>
                <w:kern w:val="0"/>
                <w:sz w:val="20"/>
                <w:szCs w:val="20"/>
              </w:rPr>
            </w:pPr>
            <w:r>
              <w:rPr>
                <w:rFonts w:hint="eastAsia" w:ascii="宋体" w:hAnsi="宋体" w:cs="宋体"/>
                <w:kern w:val="0"/>
                <w:sz w:val="20"/>
                <w:szCs w:val="20"/>
              </w:rPr>
              <w:t>10</w:t>
            </w:r>
          </w:p>
        </w:tc>
        <w:tc>
          <w:tcPr>
            <w:tcW w:w="1325" w:type="dxa"/>
            <w:tcBorders>
              <w:top w:val="nil"/>
              <w:left w:val="nil"/>
              <w:bottom w:val="single" w:color="auto" w:sz="4" w:space="0"/>
              <w:right w:val="single" w:color="auto" w:sz="4" w:space="0"/>
            </w:tcBorders>
            <w:shd w:val="clear" w:color="auto" w:fill="auto"/>
            <w:vAlign w:val="center"/>
          </w:tcPr>
          <w:p w14:paraId="6F7CF2C7">
            <w:pPr>
              <w:widowControl/>
              <w:jc w:val="left"/>
              <w:rPr>
                <w:rFonts w:hint="eastAsia" w:ascii="宋体" w:hAnsi="宋体" w:cs="宋体"/>
                <w:kern w:val="0"/>
                <w:sz w:val="20"/>
                <w:szCs w:val="20"/>
              </w:rPr>
            </w:pPr>
            <w:r>
              <w:rPr>
                <w:rFonts w:hint="eastAsia" w:ascii="宋体" w:hAnsi="宋体" w:cs="宋体"/>
                <w:kern w:val="0"/>
                <w:sz w:val="20"/>
                <w:szCs w:val="20"/>
              </w:rPr>
              <w:t>16口接入交换机</w:t>
            </w:r>
          </w:p>
        </w:tc>
        <w:tc>
          <w:tcPr>
            <w:tcW w:w="3515" w:type="dxa"/>
            <w:tcBorders>
              <w:top w:val="nil"/>
              <w:left w:val="nil"/>
              <w:bottom w:val="single" w:color="auto" w:sz="4" w:space="0"/>
              <w:right w:val="single" w:color="auto" w:sz="4" w:space="0"/>
            </w:tcBorders>
            <w:shd w:val="clear" w:color="auto" w:fill="auto"/>
            <w:vAlign w:val="center"/>
          </w:tcPr>
          <w:p w14:paraId="165D357A">
            <w:pPr>
              <w:widowControl/>
              <w:numPr>
                <w:ilvl w:val="0"/>
                <w:numId w:val="3"/>
              </w:numPr>
              <w:jc w:val="left"/>
              <w:rPr>
                <w:rFonts w:hint="eastAsia" w:ascii="宋体" w:hAnsi="宋体" w:cs="宋体"/>
                <w:kern w:val="0"/>
                <w:sz w:val="20"/>
                <w:szCs w:val="20"/>
              </w:rPr>
            </w:pPr>
            <w:r>
              <w:rPr>
                <w:rFonts w:hint="eastAsia" w:ascii="宋体" w:hAnsi="宋体" w:cs="宋体"/>
                <w:kern w:val="0"/>
                <w:sz w:val="20"/>
                <w:szCs w:val="20"/>
              </w:rPr>
              <w:t>交换容量≥430Gbps/4.3Tbps，包转发率≥90Mpps，支持千兆电口≥16个，1G SFP千兆光接口≥4个；</w:t>
            </w:r>
          </w:p>
          <w:p w14:paraId="3360E7B6">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2.采用绿色环保静音无风扇节能设计；</w:t>
            </w:r>
          </w:p>
          <w:p w14:paraId="56AC81B7">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3.支持10KV业务端口防雷能力；</w:t>
            </w:r>
          </w:p>
          <w:p w14:paraId="51B76E60">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4.支持本地负载分担，流量可以均匀负载分担到各个堆叠链路；</w:t>
            </w:r>
          </w:p>
          <w:p w14:paraId="71A877B0">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5.支持基于端口的VLAN，支持基于协议的VLAN；支持基于MAC的VLAN；</w:t>
            </w:r>
          </w:p>
          <w:p w14:paraId="21485707">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6.支持链路聚合基本功能及聚合零丢包；支持远程镜像、流镜像、端口镜像；</w:t>
            </w:r>
          </w:p>
          <w:p w14:paraId="3FE3055E">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7.支持IGMP Snooping v1/v2/v3，MLD Snooping v1/v2</w:t>
            </w:r>
          </w:p>
          <w:p w14:paraId="4DE06D2E">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8.支持基于端口和VLAN的 ACL；支持802.1x认证，支持集中式MAC地址认证；</w:t>
            </w:r>
          </w:p>
          <w:p w14:paraId="051FEE26">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9.支持SNMP V1/V2/V3、RMON、SSHV2；</w:t>
            </w:r>
          </w:p>
        </w:tc>
        <w:tc>
          <w:tcPr>
            <w:tcW w:w="981" w:type="dxa"/>
            <w:tcBorders>
              <w:top w:val="nil"/>
              <w:left w:val="nil"/>
              <w:bottom w:val="single" w:color="auto" w:sz="4" w:space="0"/>
              <w:right w:val="single" w:color="auto" w:sz="4" w:space="0"/>
            </w:tcBorders>
            <w:shd w:val="clear" w:color="auto" w:fill="auto"/>
            <w:noWrap/>
            <w:vAlign w:val="center"/>
          </w:tcPr>
          <w:p w14:paraId="698192CA">
            <w:pPr>
              <w:widowControl/>
              <w:jc w:val="center"/>
              <w:rPr>
                <w:rFonts w:hint="eastAsia" w:ascii="宋体" w:hAnsi="宋体" w:cs="宋体"/>
                <w:kern w:val="0"/>
                <w:sz w:val="20"/>
                <w:szCs w:val="20"/>
              </w:rPr>
            </w:pPr>
            <w:r>
              <w:rPr>
                <w:rFonts w:hint="eastAsia" w:ascii="宋体" w:hAnsi="宋体" w:cs="宋体"/>
                <w:kern w:val="0"/>
                <w:sz w:val="20"/>
                <w:szCs w:val="20"/>
              </w:rPr>
              <w:t>台</w:t>
            </w:r>
          </w:p>
        </w:tc>
        <w:tc>
          <w:tcPr>
            <w:tcW w:w="1177" w:type="dxa"/>
            <w:tcBorders>
              <w:top w:val="nil"/>
              <w:left w:val="nil"/>
              <w:bottom w:val="single" w:color="auto" w:sz="4" w:space="0"/>
              <w:right w:val="single" w:color="auto" w:sz="4" w:space="0"/>
            </w:tcBorders>
            <w:shd w:val="clear" w:color="auto" w:fill="auto"/>
            <w:vAlign w:val="center"/>
          </w:tcPr>
          <w:p w14:paraId="4A46EBA4">
            <w:pPr>
              <w:widowControl/>
              <w:jc w:val="center"/>
              <w:rPr>
                <w:rFonts w:hint="eastAsia" w:ascii="宋体" w:hAnsi="宋体" w:cs="宋体"/>
                <w:kern w:val="0"/>
                <w:sz w:val="20"/>
                <w:szCs w:val="20"/>
              </w:rPr>
            </w:pPr>
            <w:r>
              <w:rPr>
                <w:rFonts w:hint="eastAsia" w:ascii="宋体" w:hAnsi="宋体" w:cs="宋体"/>
                <w:kern w:val="0"/>
                <w:sz w:val="20"/>
                <w:szCs w:val="20"/>
              </w:rPr>
              <w:t>13</w:t>
            </w:r>
          </w:p>
        </w:tc>
      </w:tr>
      <w:tr w14:paraId="1C468E29">
        <w:tblPrEx>
          <w:tblCellMar>
            <w:top w:w="0" w:type="dxa"/>
            <w:left w:w="108" w:type="dxa"/>
            <w:bottom w:w="0" w:type="dxa"/>
            <w:right w:w="108" w:type="dxa"/>
          </w:tblCellMar>
        </w:tblPrEx>
        <w:trPr>
          <w:trHeight w:val="2080" w:hRule="atLeast"/>
        </w:trPr>
        <w:tc>
          <w:tcPr>
            <w:tcW w:w="1080" w:type="dxa"/>
            <w:tcBorders>
              <w:top w:val="nil"/>
              <w:left w:val="single" w:color="auto" w:sz="4" w:space="0"/>
              <w:bottom w:val="single" w:color="auto" w:sz="4" w:space="0"/>
              <w:right w:val="single" w:color="auto" w:sz="4" w:space="0"/>
            </w:tcBorders>
            <w:shd w:val="clear" w:color="auto" w:fill="auto"/>
            <w:vAlign w:val="center"/>
          </w:tcPr>
          <w:p w14:paraId="4A21DF93">
            <w:pPr>
              <w:widowControl/>
              <w:jc w:val="center"/>
              <w:rPr>
                <w:rFonts w:hint="eastAsia" w:ascii="宋体" w:hAnsi="宋体" w:cs="宋体"/>
                <w:kern w:val="0"/>
                <w:sz w:val="20"/>
                <w:szCs w:val="20"/>
              </w:rPr>
            </w:pPr>
            <w:r>
              <w:rPr>
                <w:rFonts w:hint="eastAsia" w:ascii="宋体" w:hAnsi="宋体" w:cs="宋体"/>
                <w:kern w:val="0"/>
                <w:sz w:val="20"/>
                <w:szCs w:val="20"/>
              </w:rPr>
              <w:t>11</w:t>
            </w:r>
          </w:p>
        </w:tc>
        <w:tc>
          <w:tcPr>
            <w:tcW w:w="1325" w:type="dxa"/>
            <w:tcBorders>
              <w:top w:val="nil"/>
              <w:left w:val="nil"/>
              <w:bottom w:val="single" w:color="auto" w:sz="4" w:space="0"/>
              <w:right w:val="single" w:color="auto" w:sz="4" w:space="0"/>
            </w:tcBorders>
            <w:shd w:val="clear" w:color="auto" w:fill="auto"/>
            <w:vAlign w:val="center"/>
          </w:tcPr>
          <w:p w14:paraId="29901653">
            <w:pPr>
              <w:widowControl/>
              <w:jc w:val="left"/>
              <w:rPr>
                <w:rFonts w:hint="eastAsia" w:ascii="宋体" w:hAnsi="宋体" w:cs="宋体"/>
                <w:kern w:val="0"/>
                <w:sz w:val="20"/>
                <w:szCs w:val="20"/>
              </w:rPr>
            </w:pPr>
            <w:r>
              <w:rPr>
                <w:rFonts w:hint="eastAsia" w:ascii="宋体" w:hAnsi="宋体" w:cs="宋体"/>
                <w:kern w:val="0"/>
                <w:sz w:val="20"/>
                <w:szCs w:val="20"/>
              </w:rPr>
              <w:t>24口POE接入交换机</w:t>
            </w:r>
          </w:p>
        </w:tc>
        <w:tc>
          <w:tcPr>
            <w:tcW w:w="3515" w:type="dxa"/>
            <w:tcBorders>
              <w:top w:val="nil"/>
              <w:left w:val="nil"/>
              <w:bottom w:val="single" w:color="auto" w:sz="4" w:space="0"/>
              <w:right w:val="single" w:color="auto" w:sz="4" w:space="0"/>
            </w:tcBorders>
            <w:shd w:val="clear" w:color="auto" w:fill="auto"/>
            <w:vAlign w:val="center"/>
          </w:tcPr>
          <w:p w14:paraId="5D2B4801">
            <w:pPr>
              <w:widowControl/>
              <w:jc w:val="left"/>
              <w:rPr>
                <w:rFonts w:hint="eastAsia" w:ascii="宋体" w:hAnsi="宋体" w:cs="宋体"/>
                <w:kern w:val="0"/>
                <w:sz w:val="20"/>
                <w:szCs w:val="20"/>
              </w:rPr>
            </w:pPr>
            <w:r>
              <w:rPr>
                <w:rFonts w:hint="eastAsia" w:ascii="宋体" w:hAnsi="宋体" w:cs="宋体"/>
                <w:kern w:val="0"/>
                <w:sz w:val="20"/>
                <w:szCs w:val="20"/>
              </w:rPr>
              <w:t>1.固化10/100/1000M以太网端口≥24个，固化1G SFP光接口≥4个，最大可用端口数≥28个；</w:t>
            </w:r>
            <w:r>
              <w:rPr>
                <w:rFonts w:hint="eastAsia" w:ascii="宋体" w:hAnsi="宋体" w:cs="宋体"/>
                <w:kern w:val="0"/>
                <w:sz w:val="20"/>
                <w:szCs w:val="20"/>
              </w:rPr>
              <w:br w:type="textWrapping"/>
            </w:r>
            <w:r>
              <w:rPr>
                <w:rFonts w:hint="eastAsia" w:ascii="宋体" w:hAnsi="宋体" w:cs="宋体"/>
                <w:kern w:val="0"/>
                <w:sz w:val="20"/>
                <w:szCs w:val="20"/>
              </w:rPr>
              <w:t>2.交换容量≥430Gbps/4.3Tbps，包转发率≥120Mpps；</w:t>
            </w:r>
            <w:r>
              <w:rPr>
                <w:rFonts w:hint="eastAsia" w:ascii="宋体" w:hAnsi="宋体" w:cs="宋体"/>
                <w:kern w:val="0"/>
                <w:sz w:val="20"/>
                <w:szCs w:val="20"/>
              </w:rPr>
              <w:br w:type="textWrapping"/>
            </w:r>
            <w:r>
              <w:rPr>
                <w:rFonts w:hint="eastAsia" w:ascii="宋体" w:hAnsi="宋体" w:cs="宋体"/>
                <w:kern w:val="0"/>
                <w:sz w:val="20"/>
                <w:szCs w:val="20"/>
              </w:rPr>
              <w:t>3.支持本地负载分担，流量可以均匀负载分担到各个堆叠链路；</w:t>
            </w:r>
            <w:r>
              <w:rPr>
                <w:rFonts w:hint="eastAsia" w:ascii="宋体" w:hAnsi="宋体" w:cs="宋体"/>
                <w:kern w:val="0"/>
                <w:sz w:val="20"/>
                <w:szCs w:val="20"/>
              </w:rPr>
              <w:br w:type="textWrapping"/>
            </w:r>
            <w:r>
              <w:rPr>
                <w:rFonts w:hint="eastAsia" w:ascii="宋体" w:hAnsi="宋体" w:cs="宋体"/>
                <w:kern w:val="0"/>
                <w:sz w:val="20"/>
                <w:szCs w:val="20"/>
              </w:rPr>
              <w:t>4.支持基于端口的VLAN，支持基于协议的VLAN；支持基于MAC的VLAN；</w:t>
            </w:r>
            <w:r>
              <w:rPr>
                <w:rFonts w:hint="eastAsia" w:ascii="宋体" w:hAnsi="宋体" w:cs="宋体"/>
                <w:kern w:val="0"/>
                <w:sz w:val="20"/>
                <w:szCs w:val="20"/>
              </w:rPr>
              <w:br w:type="textWrapping"/>
            </w:r>
            <w:r>
              <w:rPr>
                <w:rFonts w:hint="eastAsia" w:ascii="宋体" w:hAnsi="宋体" w:cs="宋体"/>
                <w:kern w:val="0"/>
                <w:sz w:val="20"/>
                <w:szCs w:val="20"/>
              </w:rPr>
              <w:t>5.支持链路聚合基本功能及聚合零丢包；支持远程镜像、流镜像、端口镜像；</w:t>
            </w:r>
            <w:r>
              <w:rPr>
                <w:rFonts w:hint="eastAsia" w:ascii="宋体" w:hAnsi="宋体" w:cs="宋体"/>
                <w:kern w:val="0"/>
                <w:sz w:val="20"/>
                <w:szCs w:val="20"/>
              </w:rPr>
              <w:br w:type="textWrapping"/>
            </w:r>
            <w:r>
              <w:rPr>
                <w:rFonts w:hint="eastAsia" w:ascii="宋体" w:hAnsi="宋体" w:cs="宋体"/>
                <w:kern w:val="0"/>
                <w:sz w:val="20"/>
                <w:szCs w:val="20"/>
              </w:rPr>
              <w:t>6.支持IGMP Snooping v1/v2/v3，MLD Snooping v1/v2</w:t>
            </w:r>
            <w:r>
              <w:rPr>
                <w:rFonts w:hint="eastAsia" w:ascii="宋体" w:hAnsi="宋体" w:cs="宋体"/>
                <w:kern w:val="0"/>
                <w:sz w:val="20"/>
                <w:szCs w:val="20"/>
              </w:rPr>
              <w:br w:type="textWrapping"/>
            </w:r>
            <w:r>
              <w:rPr>
                <w:rFonts w:hint="eastAsia" w:ascii="宋体" w:hAnsi="宋体" w:cs="宋体"/>
                <w:kern w:val="0"/>
                <w:sz w:val="20"/>
                <w:szCs w:val="20"/>
              </w:rPr>
              <w:t>7.支持基于端口和VLAN的 ACL；支持802.1x认证，支持集中式MAC地址认证；</w:t>
            </w:r>
            <w:r>
              <w:rPr>
                <w:rFonts w:hint="eastAsia" w:ascii="宋体" w:hAnsi="宋体" w:cs="宋体"/>
                <w:kern w:val="0"/>
                <w:sz w:val="20"/>
                <w:szCs w:val="20"/>
              </w:rPr>
              <w:br w:type="textWrapping"/>
            </w:r>
            <w:r>
              <w:rPr>
                <w:rFonts w:hint="eastAsia" w:ascii="宋体" w:hAnsi="宋体" w:cs="宋体"/>
                <w:kern w:val="0"/>
                <w:sz w:val="20"/>
                <w:szCs w:val="20"/>
              </w:rPr>
              <w:t>8.支持SNMP V1/V2/V3、RMON、SSHV2。</w:t>
            </w:r>
          </w:p>
        </w:tc>
        <w:tc>
          <w:tcPr>
            <w:tcW w:w="981" w:type="dxa"/>
            <w:tcBorders>
              <w:top w:val="nil"/>
              <w:left w:val="nil"/>
              <w:bottom w:val="single" w:color="auto" w:sz="4" w:space="0"/>
              <w:right w:val="single" w:color="auto" w:sz="4" w:space="0"/>
            </w:tcBorders>
            <w:shd w:val="clear" w:color="auto" w:fill="auto"/>
            <w:noWrap/>
            <w:vAlign w:val="center"/>
          </w:tcPr>
          <w:p w14:paraId="5BBB4F86">
            <w:pPr>
              <w:widowControl/>
              <w:jc w:val="center"/>
              <w:rPr>
                <w:rFonts w:hint="eastAsia" w:ascii="宋体" w:hAnsi="宋体" w:cs="宋体"/>
                <w:kern w:val="0"/>
                <w:sz w:val="20"/>
                <w:szCs w:val="20"/>
              </w:rPr>
            </w:pPr>
            <w:r>
              <w:rPr>
                <w:rFonts w:hint="eastAsia" w:ascii="宋体" w:hAnsi="宋体" w:cs="宋体"/>
                <w:kern w:val="0"/>
                <w:sz w:val="20"/>
                <w:szCs w:val="20"/>
              </w:rPr>
              <w:t>台</w:t>
            </w:r>
          </w:p>
        </w:tc>
        <w:tc>
          <w:tcPr>
            <w:tcW w:w="1177" w:type="dxa"/>
            <w:tcBorders>
              <w:top w:val="nil"/>
              <w:left w:val="nil"/>
              <w:bottom w:val="single" w:color="auto" w:sz="4" w:space="0"/>
              <w:right w:val="single" w:color="auto" w:sz="4" w:space="0"/>
            </w:tcBorders>
            <w:shd w:val="clear" w:color="auto" w:fill="auto"/>
            <w:vAlign w:val="center"/>
          </w:tcPr>
          <w:p w14:paraId="51F8BC40">
            <w:pPr>
              <w:widowControl/>
              <w:jc w:val="center"/>
              <w:rPr>
                <w:rFonts w:hint="eastAsia" w:ascii="宋体" w:hAnsi="宋体" w:cs="宋体"/>
                <w:kern w:val="0"/>
                <w:sz w:val="20"/>
                <w:szCs w:val="20"/>
              </w:rPr>
            </w:pPr>
            <w:r>
              <w:rPr>
                <w:rFonts w:hint="eastAsia" w:ascii="宋体" w:hAnsi="宋体" w:cs="宋体"/>
                <w:kern w:val="0"/>
                <w:sz w:val="20"/>
                <w:szCs w:val="20"/>
              </w:rPr>
              <w:t>55</w:t>
            </w:r>
          </w:p>
        </w:tc>
      </w:tr>
      <w:tr w14:paraId="0E3A284C">
        <w:tblPrEx>
          <w:tblCellMar>
            <w:top w:w="0" w:type="dxa"/>
            <w:left w:w="108" w:type="dxa"/>
            <w:bottom w:w="0" w:type="dxa"/>
            <w:right w:w="108" w:type="dxa"/>
          </w:tblCellMar>
        </w:tblPrEx>
        <w:trPr>
          <w:trHeight w:val="983" w:hRule="atLeast"/>
        </w:trPr>
        <w:tc>
          <w:tcPr>
            <w:tcW w:w="1080" w:type="dxa"/>
            <w:tcBorders>
              <w:top w:val="nil"/>
              <w:left w:val="single" w:color="auto" w:sz="4" w:space="0"/>
              <w:bottom w:val="single" w:color="auto" w:sz="4" w:space="0"/>
              <w:right w:val="single" w:color="auto" w:sz="4" w:space="0"/>
            </w:tcBorders>
            <w:shd w:val="clear" w:color="auto" w:fill="auto"/>
            <w:vAlign w:val="center"/>
          </w:tcPr>
          <w:p w14:paraId="0B9B0A95">
            <w:pPr>
              <w:widowControl/>
              <w:jc w:val="center"/>
              <w:rPr>
                <w:rFonts w:hint="eastAsia" w:ascii="宋体" w:hAnsi="宋体" w:cs="宋体"/>
                <w:kern w:val="0"/>
                <w:sz w:val="20"/>
                <w:szCs w:val="20"/>
              </w:rPr>
            </w:pPr>
            <w:r>
              <w:rPr>
                <w:rFonts w:hint="eastAsia" w:ascii="宋体" w:hAnsi="宋体" w:cs="宋体"/>
                <w:kern w:val="0"/>
                <w:sz w:val="20"/>
                <w:szCs w:val="20"/>
              </w:rPr>
              <w:t>12</w:t>
            </w:r>
          </w:p>
        </w:tc>
        <w:tc>
          <w:tcPr>
            <w:tcW w:w="1325" w:type="dxa"/>
            <w:tcBorders>
              <w:top w:val="nil"/>
              <w:left w:val="nil"/>
              <w:bottom w:val="single" w:color="auto" w:sz="4" w:space="0"/>
              <w:right w:val="single" w:color="auto" w:sz="4" w:space="0"/>
            </w:tcBorders>
            <w:shd w:val="clear" w:color="auto" w:fill="auto"/>
            <w:vAlign w:val="center"/>
          </w:tcPr>
          <w:p w14:paraId="16FFE487">
            <w:pPr>
              <w:widowControl/>
              <w:jc w:val="left"/>
              <w:rPr>
                <w:rFonts w:hint="eastAsia" w:ascii="宋体" w:hAnsi="宋体" w:cs="宋体"/>
                <w:kern w:val="0"/>
                <w:sz w:val="20"/>
                <w:szCs w:val="20"/>
              </w:rPr>
            </w:pPr>
            <w:r>
              <w:rPr>
                <w:rFonts w:hint="eastAsia" w:ascii="宋体" w:hAnsi="宋体" w:cs="宋体"/>
                <w:kern w:val="0"/>
                <w:sz w:val="20"/>
                <w:szCs w:val="20"/>
              </w:rPr>
              <w:t>16口POE接入交换机</w:t>
            </w:r>
          </w:p>
        </w:tc>
        <w:tc>
          <w:tcPr>
            <w:tcW w:w="3515" w:type="dxa"/>
            <w:tcBorders>
              <w:top w:val="nil"/>
              <w:left w:val="nil"/>
              <w:bottom w:val="single" w:color="auto" w:sz="4" w:space="0"/>
              <w:right w:val="single" w:color="auto" w:sz="4" w:space="0"/>
            </w:tcBorders>
            <w:shd w:val="clear" w:color="auto" w:fill="auto"/>
            <w:vAlign w:val="center"/>
          </w:tcPr>
          <w:p w14:paraId="013F414E">
            <w:pPr>
              <w:widowControl/>
              <w:jc w:val="left"/>
              <w:rPr>
                <w:rFonts w:hint="eastAsia" w:ascii="宋体" w:hAnsi="宋体" w:cs="宋体"/>
                <w:kern w:val="0"/>
                <w:sz w:val="20"/>
                <w:szCs w:val="20"/>
              </w:rPr>
            </w:pPr>
            <w:r>
              <w:rPr>
                <w:rFonts w:hint="eastAsia" w:ascii="宋体" w:hAnsi="宋体" w:cs="宋体"/>
                <w:kern w:val="0"/>
                <w:sz w:val="20"/>
                <w:szCs w:val="20"/>
              </w:rPr>
              <w:t>1.交换容量≥≥430Gbps/4.3Tbps，包转发率≥95Mpps，支持千兆电口≥16个，千兆SFP光接口≥2个；</w:t>
            </w:r>
            <w:r>
              <w:rPr>
                <w:rFonts w:hint="eastAsia" w:ascii="宋体" w:hAnsi="宋体" w:cs="宋体"/>
                <w:kern w:val="0"/>
                <w:sz w:val="20"/>
                <w:szCs w:val="20"/>
              </w:rPr>
              <w:br w:type="textWrapping"/>
            </w:r>
            <w:r>
              <w:rPr>
                <w:rFonts w:hint="eastAsia" w:ascii="宋体" w:hAnsi="宋体" w:cs="宋体"/>
                <w:kern w:val="0"/>
                <w:sz w:val="20"/>
                <w:szCs w:val="20"/>
              </w:rPr>
              <w:t>2.支持POE和POE+同时可POE供电端口≥16个，POE最大输出功率≥200W；</w:t>
            </w:r>
            <w:r>
              <w:rPr>
                <w:rFonts w:hint="eastAsia" w:ascii="宋体" w:hAnsi="宋体" w:cs="宋体"/>
                <w:kern w:val="0"/>
                <w:sz w:val="20"/>
                <w:szCs w:val="20"/>
              </w:rPr>
              <w:br w:type="textWrapping"/>
            </w:r>
            <w:r>
              <w:rPr>
                <w:rFonts w:hint="eastAsia" w:ascii="宋体" w:hAnsi="宋体" w:cs="宋体"/>
                <w:kern w:val="0"/>
                <w:sz w:val="20"/>
                <w:szCs w:val="20"/>
              </w:rPr>
              <w:t>3.支持本地负载分担，流量可以均匀负载分担到各个堆叠链路；</w:t>
            </w:r>
            <w:r>
              <w:rPr>
                <w:rFonts w:hint="eastAsia" w:ascii="宋体" w:hAnsi="宋体" w:cs="宋体"/>
                <w:kern w:val="0"/>
                <w:sz w:val="20"/>
                <w:szCs w:val="20"/>
              </w:rPr>
              <w:br w:type="textWrapping"/>
            </w:r>
            <w:r>
              <w:rPr>
                <w:rFonts w:hint="eastAsia" w:ascii="宋体" w:hAnsi="宋体" w:cs="宋体"/>
                <w:kern w:val="0"/>
                <w:sz w:val="20"/>
                <w:szCs w:val="20"/>
              </w:rPr>
              <w:t>4.支持基于端口的VLAN，支持基于协议的VLAN；支持基于MAC的VLAN；</w:t>
            </w:r>
            <w:r>
              <w:rPr>
                <w:rFonts w:hint="eastAsia" w:ascii="宋体" w:hAnsi="宋体" w:cs="宋体"/>
                <w:kern w:val="0"/>
                <w:sz w:val="20"/>
                <w:szCs w:val="20"/>
              </w:rPr>
              <w:br w:type="textWrapping"/>
            </w:r>
            <w:r>
              <w:rPr>
                <w:rFonts w:hint="eastAsia" w:ascii="宋体" w:hAnsi="宋体" w:cs="宋体"/>
                <w:kern w:val="0"/>
                <w:sz w:val="20"/>
                <w:szCs w:val="20"/>
              </w:rPr>
              <w:t>5.支持链路聚合基本功能及聚合零丢包；支持远程镜像、流镜像、端口镜像；</w:t>
            </w:r>
            <w:r>
              <w:rPr>
                <w:rFonts w:hint="eastAsia" w:ascii="宋体" w:hAnsi="宋体" w:cs="宋体"/>
                <w:kern w:val="0"/>
                <w:sz w:val="20"/>
                <w:szCs w:val="20"/>
              </w:rPr>
              <w:br w:type="textWrapping"/>
            </w:r>
            <w:r>
              <w:rPr>
                <w:rFonts w:hint="eastAsia" w:ascii="宋体" w:hAnsi="宋体" w:cs="宋体"/>
                <w:kern w:val="0"/>
                <w:sz w:val="20"/>
                <w:szCs w:val="20"/>
              </w:rPr>
              <w:t>6.支持IGMP Snooping v1/v2/v3，MLD Snooping v1/v2</w:t>
            </w:r>
            <w:r>
              <w:rPr>
                <w:rFonts w:hint="eastAsia" w:ascii="宋体" w:hAnsi="宋体" w:cs="宋体"/>
                <w:kern w:val="0"/>
                <w:sz w:val="20"/>
                <w:szCs w:val="20"/>
              </w:rPr>
              <w:br w:type="textWrapping"/>
            </w:r>
            <w:r>
              <w:rPr>
                <w:rFonts w:hint="eastAsia" w:ascii="宋体" w:hAnsi="宋体" w:cs="宋体"/>
                <w:kern w:val="0"/>
                <w:sz w:val="20"/>
                <w:szCs w:val="20"/>
              </w:rPr>
              <w:t>7.支持基于端口和VLAN的 ACL；支持802.1x认证，支持集中式MAC地址认证；</w:t>
            </w:r>
            <w:r>
              <w:rPr>
                <w:rFonts w:hint="eastAsia" w:ascii="宋体" w:hAnsi="宋体" w:cs="宋体"/>
                <w:kern w:val="0"/>
                <w:sz w:val="20"/>
                <w:szCs w:val="20"/>
              </w:rPr>
              <w:br w:type="textWrapping"/>
            </w:r>
            <w:r>
              <w:rPr>
                <w:rFonts w:hint="eastAsia" w:ascii="宋体" w:hAnsi="宋体" w:cs="宋体"/>
                <w:kern w:val="0"/>
                <w:sz w:val="20"/>
                <w:szCs w:val="20"/>
              </w:rPr>
              <w:t>8.支持SNMP V1/V2/V3、RMON、SSHV2；</w:t>
            </w:r>
          </w:p>
        </w:tc>
        <w:tc>
          <w:tcPr>
            <w:tcW w:w="981" w:type="dxa"/>
            <w:tcBorders>
              <w:top w:val="nil"/>
              <w:left w:val="nil"/>
              <w:bottom w:val="single" w:color="auto" w:sz="4" w:space="0"/>
              <w:right w:val="single" w:color="auto" w:sz="4" w:space="0"/>
            </w:tcBorders>
            <w:shd w:val="clear" w:color="auto" w:fill="auto"/>
            <w:noWrap/>
            <w:vAlign w:val="center"/>
          </w:tcPr>
          <w:p w14:paraId="187C03FA">
            <w:pPr>
              <w:widowControl/>
              <w:jc w:val="center"/>
              <w:rPr>
                <w:rFonts w:hint="eastAsia" w:ascii="宋体" w:hAnsi="宋体" w:cs="宋体"/>
                <w:kern w:val="0"/>
                <w:sz w:val="20"/>
                <w:szCs w:val="20"/>
              </w:rPr>
            </w:pPr>
            <w:r>
              <w:rPr>
                <w:rFonts w:hint="eastAsia" w:ascii="宋体" w:hAnsi="宋体" w:cs="宋体"/>
                <w:kern w:val="0"/>
                <w:sz w:val="20"/>
                <w:szCs w:val="20"/>
              </w:rPr>
              <w:t>台</w:t>
            </w:r>
          </w:p>
        </w:tc>
        <w:tc>
          <w:tcPr>
            <w:tcW w:w="1177" w:type="dxa"/>
            <w:tcBorders>
              <w:top w:val="nil"/>
              <w:left w:val="nil"/>
              <w:bottom w:val="single" w:color="auto" w:sz="4" w:space="0"/>
              <w:right w:val="single" w:color="auto" w:sz="4" w:space="0"/>
            </w:tcBorders>
            <w:shd w:val="clear" w:color="auto" w:fill="auto"/>
            <w:vAlign w:val="center"/>
          </w:tcPr>
          <w:p w14:paraId="425DD602">
            <w:pPr>
              <w:widowControl/>
              <w:jc w:val="center"/>
              <w:rPr>
                <w:rFonts w:hint="eastAsia" w:ascii="宋体" w:hAnsi="宋体" w:cs="宋体"/>
                <w:kern w:val="0"/>
                <w:sz w:val="20"/>
                <w:szCs w:val="20"/>
              </w:rPr>
            </w:pPr>
            <w:r>
              <w:rPr>
                <w:rFonts w:hint="eastAsia" w:ascii="宋体" w:hAnsi="宋体" w:cs="宋体"/>
                <w:kern w:val="0"/>
                <w:sz w:val="20"/>
                <w:szCs w:val="20"/>
              </w:rPr>
              <w:t>4</w:t>
            </w:r>
          </w:p>
        </w:tc>
      </w:tr>
      <w:tr w14:paraId="49E5D705">
        <w:tblPrEx>
          <w:tblCellMar>
            <w:top w:w="0" w:type="dxa"/>
            <w:left w:w="108" w:type="dxa"/>
            <w:bottom w:w="0" w:type="dxa"/>
            <w:right w:w="108" w:type="dxa"/>
          </w:tblCellMar>
        </w:tblPrEx>
        <w:trPr>
          <w:trHeight w:val="280" w:hRule="atLeast"/>
        </w:trPr>
        <w:tc>
          <w:tcPr>
            <w:tcW w:w="1080" w:type="dxa"/>
            <w:tcBorders>
              <w:top w:val="nil"/>
              <w:left w:val="single" w:color="auto" w:sz="4" w:space="0"/>
              <w:bottom w:val="single" w:color="auto" w:sz="4" w:space="0"/>
              <w:right w:val="single" w:color="auto" w:sz="4" w:space="0"/>
            </w:tcBorders>
            <w:shd w:val="clear" w:color="auto" w:fill="auto"/>
            <w:vAlign w:val="center"/>
          </w:tcPr>
          <w:p w14:paraId="66E172FD">
            <w:pPr>
              <w:widowControl/>
              <w:jc w:val="center"/>
              <w:rPr>
                <w:rFonts w:hint="eastAsia" w:ascii="宋体" w:hAnsi="宋体" w:cs="宋体"/>
                <w:kern w:val="0"/>
                <w:sz w:val="20"/>
                <w:szCs w:val="20"/>
              </w:rPr>
            </w:pPr>
            <w:r>
              <w:rPr>
                <w:rFonts w:hint="eastAsia" w:ascii="宋体" w:hAnsi="宋体" w:cs="宋体"/>
                <w:kern w:val="0"/>
                <w:sz w:val="20"/>
                <w:szCs w:val="20"/>
              </w:rPr>
              <w:t>13</w:t>
            </w:r>
          </w:p>
        </w:tc>
        <w:tc>
          <w:tcPr>
            <w:tcW w:w="1325" w:type="dxa"/>
            <w:tcBorders>
              <w:top w:val="nil"/>
              <w:left w:val="nil"/>
              <w:bottom w:val="single" w:color="auto" w:sz="4" w:space="0"/>
              <w:right w:val="single" w:color="auto" w:sz="4" w:space="0"/>
            </w:tcBorders>
            <w:shd w:val="clear" w:color="auto" w:fill="auto"/>
            <w:vAlign w:val="center"/>
          </w:tcPr>
          <w:p w14:paraId="438FC8AF">
            <w:pPr>
              <w:widowControl/>
              <w:jc w:val="left"/>
              <w:rPr>
                <w:rFonts w:hint="eastAsia" w:ascii="宋体" w:hAnsi="宋体" w:cs="宋体"/>
                <w:kern w:val="0"/>
                <w:sz w:val="20"/>
                <w:szCs w:val="20"/>
              </w:rPr>
            </w:pPr>
            <w:r>
              <w:rPr>
                <w:rFonts w:hint="eastAsia" w:ascii="宋体" w:hAnsi="宋体" w:cs="宋体"/>
                <w:kern w:val="0"/>
                <w:sz w:val="20"/>
                <w:szCs w:val="20"/>
              </w:rPr>
              <w:t>安装集成调试</w:t>
            </w:r>
          </w:p>
        </w:tc>
        <w:tc>
          <w:tcPr>
            <w:tcW w:w="3515" w:type="dxa"/>
            <w:tcBorders>
              <w:top w:val="nil"/>
              <w:left w:val="nil"/>
              <w:bottom w:val="single" w:color="auto" w:sz="4" w:space="0"/>
              <w:right w:val="single" w:color="auto" w:sz="4" w:space="0"/>
            </w:tcBorders>
            <w:shd w:val="clear" w:color="auto" w:fill="auto"/>
            <w:vAlign w:val="center"/>
          </w:tcPr>
          <w:p w14:paraId="5427433A">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981" w:type="dxa"/>
            <w:tcBorders>
              <w:top w:val="nil"/>
              <w:left w:val="nil"/>
              <w:bottom w:val="single" w:color="auto" w:sz="4" w:space="0"/>
              <w:right w:val="single" w:color="auto" w:sz="4" w:space="0"/>
            </w:tcBorders>
            <w:shd w:val="clear" w:color="auto" w:fill="auto"/>
            <w:vAlign w:val="center"/>
          </w:tcPr>
          <w:p w14:paraId="1E88EA59">
            <w:pPr>
              <w:widowControl/>
              <w:jc w:val="center"/>
              <w:rPr>
                <w:rFonts w:hint="eastAsia" w:ascii="宋体" w:hAnsi="宋体" w:cs="宋体"/>
                <w:kern w:val="0"/>
                <w:sz w:val="20"/>
                <w:szCs w:val="20"/>
              </w:rPr>
            </w:pPr>
            <w:r>
              <w:rPr>
                <w:rFonts w:hint="eastAsia" w:ascii="宋体" w:hAnsi="宋体" w:cs="宋体"/>
                <w:kern w:val="0"/>
                <w:sz w:val="20"/>
                <w:szCs w:val="20"/>
              </w:rPr>
              <w:t>项</w:t>
            </w:r>
          </w:p>
        </w:tc>
        <w:tc>
          <w:tcPr>
            <w:tcW w:w="1177" w:type="dxa"/>
            <w:tcBorders>
              <w:top w:val="nil"/>
              <w:left w:val="nil"/>
              <w:bottom w:val="single" w:color="auto" w:sz="4" w:space="0"/>
              <w:right w:val="single" w:color="auto" w:sz="4" w:space="0"/>
            </w:tcBorders>
            <w:shd w:val="clear" w:color="auto" w:fill="auto"/>
            <w:vAlign w:val="center"/>
          </w:tcPr>
          <w:p w14:paraId="35F6CBEE">
            <w:pPr>
              <w:widowControl/>
              <w:jc w:val="center"/>
              <w:rPr>
                <w:rFonts w:hint="eastAsia" w:ascii="宋体" w:hAnsi="宋体" w:cs="宋体"/>
                <w:kern w:val="0"/>
                <w:sz w:val="20"/>
                <w:szCs w:val="20"/>
              </w:rPr>
            </w:pPr>
            <w:r>
              <w:rPr>
                <w:rFonts w:hint="eastAsia" w:ascii="宋体" w:hAnsi="宋体" w:cs="宋体"/>
                <w:kern w:val="0"/>
                <w:sz w:val="20"/>
                <w:szCs w:val="20"/>
              </w:rPr>
              <w:t>1</w:t>
            </w:r>
          </w:p>
        </w:tc>
      </w:tr>
      <w:tr w14:paraId="161B1954">
        <w:tblPrEx>
          <w:tblCellMar>
            <w:top w:w="0" w:type="dxa"/>
            <w:left w:w="108" w:type="dxa"/>
            <w:bottom w:w="0" w:type="dxa"/>
            <w:right w:w="108" w:type="dxa"/>
          </w:tblCellMar>
        </w:tblPrEx>
        <w:trPr>
          <w:trHeight w:val="280" w:hRule="atLeast"/>
        </w:trPr>
        <w:tc>
          <w:tcPr>
            <w:tcW w:w="8078" w:type="dxa"/>
            <w:gridSpan w:val="5"/>
            <w:tcBorders>
              <w:top w:val="single" w:color="auto" w:sz="4" w:space="0"/>
              <w:left w:val="single" w:color="auto" w:sz="4" w:space="0"/>
              <w:bottom w:val="single" w:color="auto" w:sz="4" w:space="0"/>
              <w:right w:val="nil"/>
            </w:tcBorders>
            <w:shd w:val="clear" w:color="000000" w:fill="AEAAAA"/>
            <w:noWrap/>
            <w:vAlign w:val="center"/>
          </w:tcPr>
          <w:p w14:paraId="212FFDB6">
            <w:pPr>
              <w:widowControl/>
              <w:jc w:val="left"/>
              <w:rPr>
                <w:rFonts w:hint="eastAsia" w:ascii="宋体" w:hAnsi="宋体" w:cs="宋体"/>
                <w:kern w:val="0"/>
                <w:sz w:val="20"/>
                <w:szCs w:val="20"/>
              </w:rPr>
            </w:pPr>
            <w:r>
              <w:rPr>
                <w:rFonts w:hint="eastAsia" w:ascii="宋体" w:hAnsi="宋体" w:cs="宋体"/>
                <w:b/>
                <w:bCs/>
                <w:kern w:val="0"/>
                <w:sz w:val="20"/>
                <w:szCs w:val="20"/>
              </w:rPr>
              <w:t>二.监控平台系统</w:t>
            </w:r>
            <w:r>
              <w:rPr>
                <w:rFonts w:hint="eastAsia" w:ascii="宋体" w:hAnsi="宋体" w:cs="宋体"/>
                <w:kern w:val="0"/>
                <w:sz w:val="20"/>
                <w:szCs w:val="20"/>
              </w:rPr>
              <w:t>　</w:t>
            </w:r>
          </w:p>
        </w:tc>
      </w:tr>
      <w:tr w14:paraId="0C32C19D">
        <w:tblPrEx>
          <w:tblCellMar>
            <w:top w:w="0" w:type="dxa"/>
            <w:left w:w="108" w:type="dxa"/>
            <w:bottom w:w="0" w:type="dxa"/>
            <w:right w:w="108" w:type="dxa"/>
          </w:tblCellMar>
        </w:tblPrEx>
        <w:trPr>
          <w:trHeight w:val="28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6DB000F2">
            <w:pPr>
              <w:widowControl/>
              <w:jc w:val="center"/>
              <w:rPr>
                <w:rFonts w:hint="eastAsia" w:ascii="宋体" w:hAnsi="宋体" w:cs="宋体"/>
                <w:b/>
                <w:bCs/>
                <w:kern w:val="0"/>
                <w:sz w:val="20"/>
                <w:szCs w:val="20"/>
              </w:rPr>
            </w:pPr>
            <w:r>
              <w:rPr>
                <w:rFonts w:hint="eastAsia" w:ascii="宋体" w:hAnsi="宋体" w:cs="宋体"/>
                <w:b/>
                <w:bCs/>
                <w:kern w:val="0"/>
                <w:sz w:val="20"/>
                <w:szCs w:val="20"/>
              </w:rPr>
              <w:t xml:space="preserve">序号 </w:t>
            </w:r>
          </w:p>
        </w:tc>
        <w:tc>
          <w:tcPr>
            <w:tcW w:w="1325" w:type="dxa"/>
            <w:tcBorders>
              <w:top w:val="nil"/>
              <w:left w:val="nil"/>
              <w:bottom w:val="single" w:color="auto" w:sz="4" w:space="0"/>
              <w:right w:val="single" w:color="auto" w:sz="4" w:space="0"/>
            </w:tcBorders>
            <w:shd w:val="clear" w:color="auto" w:fill="auto"/>
            <w:noWrap/>
            <w:vAlign w:val="center"/>
          </w:tcPr>
          <w:p w14:paraId="1D144FAD">
            <w:pPr>
              <w:widowControl/>
              <w:jc w:val="left"/>
              <w:rPr>
                <w:rFonts w:hint="eastAsia" w:ascii="宋体" w:hAnsi="宋体" w:cs="宋体"/>
                <w:b/>
                <w:bCs/>
                <w:kern w:val="0"/>
                <w:sz w:val="20"/>
                <w:szCs w:val="20"/>
              </w:rPr>
            </w:pPr>
            <w:r>
              <w:rPr>
                <w:rFonts w:hint="eastAsia" w:ascii="宋体" w:hAnsi="宋体" w:cs="宋体"/>
                <w:b/>
                <w:bCs/>
                <w:kern w:val="0"/>
                <w:sz w:val="20"/>
                <w:szCs w:val="20"/>
              </w:rPr>
              <w:t>货物名称</w:t>
            </w:r>
          </w:p>
        </w:tc>
        <w:tc>
          <w:tcPr>
            <w:tcW w:w="3515" w:type="dxa"/>
            <w:tcBorders>
              <w:top w:val="nil"/>
              <w:left w:val="nil"/>
              <w:bottom w:val="single" w:color="auto" w:sz="4" w:space="0"/>
              <w:right w:val="single" w:color="auto" w:sz="4" w:space="0"/>
            </w:tcBorders>
            <w:shd w:val="clear" w:color="auto" w:fill="auto"/>
            <w:noWrap/>
            <w:vAlign w:val="center"/>
          </w:tcPr>
          <w:p w14:paraId="524F6461">
            <w:pPr>
              <w:widowControl/>
              <w:jc w:val="left"/>
              <w:rPr>
                <w:rFonts w:hint="eastAsia" w:ascii="宋体" w:hAnsi="宋体" w:cs="宋体"/>
                <w:b/>
                <w:bCs/>
                <w:kern w:val="0"/>
                <w:sz w:val="20"/>
                <w:szCs w:val="20"/>
              </w:rPr>
            </w:pPr>
            <w:r>
              <w:rPr>
                <w:rFonts w:hint="eastAsia" w:ascii="宋体" w:hAnsi="宋体" w:cs="宋体"/>
                <w:b/>
                <w:bCs/>
                <w:kern w:val="0"/>
                <w:sz w:val="20"/>
                <w:szCs w:val="20"/>
              </w:rPr>
              <w:t>主要功能配置及技术指标要求</w:t>
            </w:r>
          </w:p>
        </w:tc>
        <w:tc>
          <w:tcPr>
            <w:tcW w:w="981" w:type="dxa"/>
            <w:tcBorders>
              <w:top w:val="nil"/>
              <w:left w:val="nil"/>
              <w:bottom w:val="single" w:color="auto" w:sz="4" w:space="0"/>
              <w:right w:val="single" w:color="auto" w:sz="4" w:space="0"/>
            </w:tcBorders>
            <w:shd w:val="clear" w:color="auto" w:fill="auto"/>
            <w:noWrap/>
            <w:vAlign w:val="center"/>
          </w:tcPr>
          <w:p w14:paraId="75A03F9C">
            <w:pPr>
              <w:widowControl/>
              <w:jc w:val="center"/>
              <w:rPr>
                <w:rFonts w:hint="eastAsia" w:ascii="宋体" w:hAnsi="宋体" w:cs="宋体"/>
                <w:b/>
                <w:bCs/>
                <w:kern w:val="0"/>
                <w:sz w:val="20"/>
                <w:szCs w:val="20"/>
              </w:rPr>
            </w:pPr>
            <w:r>
              <w:rPr>
                <w:rFonts w:hint="eastAsia" w:ascii="宋体" w:hAnsi="宋体" w:cs="宋体"/>
                <w:b/>
                <w:bCs/>
                <w:kern w:val="0"/>
                <w:sz w:val="20"/>
                <w:szCs w:val="20"/>
              </w:rPr>
              <w:t>单位</w:t>
            </w:r>
          </w:p>
        </w:tc>
        <w:tc>
          <w:tcPr>
            <w:tcW w:w="1177" w:type="dxa"/>
            <w:tcBorders>
              <w:top w:val="nil"/>
              <w:left w:val="nil"/>
              <w:bottom w:val="single" w:color="auto" w:sz="4" w:space="0"/>
              <w:right w:val="single" w:color="auto" w:sz="4" w:space="0"/>
            </w:tcBorders>
            <w:shd w:val="clear" w:color="auto" w:fill="auto"/>
            <w:noWrap/>
            <w:vAlign w:val="center"/>
          </w:tcPr>
          <w:p w14:paraId="12BFF3D7">
            <w:pPr>
              <w:widowControl/>
              <w:jc w:val="center"/>
              <w:rPr>
                <w:rFonts w:hint="eastAsia" w:ascii="宋体" w:hAnsi="宋体" w:cs="宋体"/>
                <w:b/>
                <w:bCs/>
                <w:kern w:val="0"/>
                <w:sz w:val="20"/>
                <w:szCs w:val="20"/>
              </w:rPr>
            </w:pPr>
            <w:r>
              <w:rPr>
                <w:rFonts w:hint="eastAsia" w:ascii="宋体" w:hAnsi="宋体" w:cs="宋体"/>
                <w:b/>
                <w:bCs/>
                <w:kern w:val="0"/>
                <w:sz w:val="20"/>
                <w:szCs w:val="20"/>
              </w:rPr>
              <w:t>数量</w:t>
            </w:r>
          </w:p>
        </w:tc>
      </w:tr>
      <w:tr w14:paraId="54120E8E">
        <w:tblPrEx>
          <w:tblCellMar>
            <w:top w:w="0" w:type="dxa"/>
            <w:left w:w="108" w:type="dxa"/>
            <w:bottom w:w="0" w:type="dxa"/>
            <w:right w:w="108" w:type="dxa"/>
          </w:tblCellMar>
        </w:tblPrEx>
        <w:trPr>
          <w:trHeight w:val="1040" w:hRule="atLeast"/>
        </w:trPr>
        <w:tc>
          <w:tcPr>
            <w:tcW w:w="1080" w:type="dxa"/>
            <w:tcBorders>
              <w:top w:val="nil"/>
              <w:left w:val="single" w:color="auto" w:sz="4" w:space="0"/>
              <w:bottom w:val="single" w:color="auto" w:sz="4" w:space="0"/>
              <w:right w:val="single" w:color="auto" w:sz="4" w:space="0"/>
            </w:tcBorders>
            <w:shd w:val="clear" w:color="auto" w:fill="auto"/>
            <w:vAlign w:val="center"/>
          </w:tcPr>
          <w:p w14:paraId="1985798A">
            <w:pPr>
              <w:widowControl/>
              <w:jc w:val="center"/>
              <w:rPr>
                <w:rFonts w:hint="eastAsia" w:ascii="宋体" w:hAnsi="宋体" w:cs="宋体"/>
                <w:kern w:val="0"/>
                <w:sz w:val="20"/>
                <w:szCs w:val="20"/>
              </w:rPr>
            </w:pPr>
            <w:r>
              <w:rPr>
                <w:rFonts w:hint="eastAsia" w:ascii="宋体" w:hAnsi="宋体" w:cs="宋体"/>
                <w:kern w:val="0"/>
                <w:sz w:val="20"/>
                <w:szCs w:val="20"/>
              </w:rPr>
              <w:t>1</w:t>
            </w:r>
          </w:p>
        </w:tc>
        <w:tc>
          <w:tcPr>
            <w:tcW w:w="1325" w:type="dxa"/>
            <w:tcBorders>
              <w:top w:val="nil"/>
              <w:left w:val="nil"/>
              <w:bottom w:val="single" w:color="auto" w:sz="4" w:space="0"/>
              <w:right w:val="single" w:color="auto" w:sz="4" w:space="0"/>
            </w:tcBorders>
            <w:shd w:val="clear" w:color="auto" w:fill="auto"/>
            <w:vAlign w:val="center"/>
          </w:tcPr>
          <w:p w14:paraId="60B227BD">
            <w:pPr>
              <w:widowControl/>
              <w:jc w:val="left"/>
              <w:rPr>
                <w:rFonts w:hint="eastAsia" w:ascii="宋体" w:hAnsi="宋体" w:cs="宋体"/>
                <w:kern w:val="0"/>
                <w:sz w:val="20"/>
                <w:szCs w:val="20"/>
              </w:rPr>
            </w:pPr>
            <w:r>
              <w:rPr>
                <w:rFonts w:hint="eastAsia" w:ascii="宋体" w:hAnsi="宋体" w:cs="宋体"/>
                <w:kern w:val="0"/>
                <w:sz w:val="20"/>
                <w:szCs w:val="20"/>
              </w:rPr>
              <w:t>24口POE交换机</w:t>
            </w:r>
          </w:p>
        </w:tc>
        <w:tc>
          <w:tcPr>
            <w:tcW w:w="3515" w:type="dxa"/>
            <w:tcBorders>
              <w:top w:val="nil"/>
              <w:left w:val="nil"/>
              <w:bottom w:val="single" w:color="auto" w:sz="4" w:space="0"/>
              <w:right w:val="single" w:color="auto" w:sz="4" w:space="0"/>
            </w:tcBorders>
            <w:shd w:val="clear" w:color="auto" w:fill="auto"/>
            <w:vAlign w:val="center"/>
          </w:tcPr>
          <w:p w14:paraId="69D65243">
            <w:pPr>
              <w:widowControl/>
              <w:jc w:val="left"/>
              <w:rPr>
                <w:rFonts w:hint="eastAsia" w:ascii="宋体" w:hAnsi="宋体" w:cs="宋体"/>
                <w:kern w:val="0"/>
                <w:sz w:val="20"/>
                <w:szCs w:val="20"/>
              </w:rPr>
            </w:pPr>
            <w:r>
              <w:rPr>
                <w:rFonts w:hint="eastAsia" w:ascii="宋体" w:hAnsi="宋体" w:cs="宋体"/>
                <w:kern w:val="0"/>
                <w:sz w:val="20"/>
                <w:szCs w:val="20"/>
              </w:rPr>
              <w:t>1.配置：可用千兆PoE电接口数量≥24，千兆光口数量≥2。</w:t>
            </w:r>
            <w:r>
              <w:rPr>
                <w:rFonts w:hint="eastAsia" w:ascii="宋体" w:hAnsi="宋体" w:cs="宋体"/>
                <w:kern w:val="0"/>
                <w:sz w:val="20"/>
                <w:szCs w:val="20"/>
              </w:rPr>
              <w:br w:type="textWrapping"/>
            </w:r>
            <w:r>
              <w:rPr>
                <w:rFonts w:hint="eastAsia" w:ascii="宋体" w:hAnsi="宋体" w:cs="宋体"/>
                <w:kern w:val="0"/>
                <w:sz w:val="20"/>
                <w:szCs w:val="20"/>
              </w:rPr>
              <w:t>2.交换容量≥52 Gpbs，转发性能≥38.69 Mpps。</w:t>
            </w:r>
            <w:r>
              <w:rPr>
                <w:rFonts w:hint="eastAsia" w:ascii="宋体" w:hAnsi="宋体" w:cs="宋体"/>
                <w:kern w:val="0"/>
                <w:sz w:val="20"/>
                <w:szCs w:val="20"/>
              </w:rPr>
              <w:br w:type="textWrapping"/>
            </w:r>
            <w:r>
              <w:rPr>
                <w:rFonts w:hint="eastAsia" w:ascii="宋体" w:hAnsi="宋体" w:cs="宋体"/>
                <w:kern w:val="0"/>
                <w:sz w:val="20"/>
                <w:szCs w:val="20"/>
              </w:rPr>
              <w:t>3.支持自适应802.3af/at供电标准，整机最大输出功率≥225 W</w:t>
            </w:r>
            <w:r>
              <w:rPr>
                <w:rFonts w:hint="eastAsia" w:ascii="宋体" w:hAnsi="宋体" w:cs="宋体"/>
                <w:kern w:val="0"/>
                <w:sz w:val="20"/>
                <w:szCs w:val="20"/>
              </w:rPr>
              <w:br w:type="textWrapping"/>
            </w:r>
            <w:r>
              <w:rPr>
                <w:rFonts w:hint="eastAsia" w:ascii="宋体" w:hAnsi="宋体" w:cs="宋体"/>
                <w:kern w:val="0"/>
                <w:sz w:val="20"/>
                <w:szCs w:val="20"/>
              </w:rPr>
              <w:t>4.支持基于端口的 VLAN</w:t>
            </w:r>
          </w:p>
        </w:tc>
        <w:tc>
          <w:tcPr>
            <w:tcW w:w="981" w:type="dxa"/>
            <w:tcBorders>
              <w:top w:val="nil"/>
              <w:left w:val="nil"/>
              <w:bottom w:val="single" w:color="auto" w:sz="4" w:space="0"/>
              <w:right w:val="single" w:color="auto" w:sz="4" w:space="0"/>
            </w:tcBorders>
            <w:shd w:val="clear" w:color="auto" w:fill="auto"/>
            <w:noWrap/>
            <w:vAlign w:val="center"/>
          </w:tcPr>
          <w:p w14:paraId="105B3583">
            <w:pPr>
              <w:widowControl/>
              <w:jc w:val="center"/>
              <w:rPr>
                <w:rFonts w:hint="eastAsia" w:ascii="宋体" w:hAnsi="宋体" w:cs="宋体"/>
                <w:kern w:val="0"/>
                <w:sz w:val="20"/>
                <w:szCs w:val="20"/>
              </w:rPr>
            </w:pPr>
            <w:r>
              <w:rPr>
                <w:rFonts w:hint="eastAsia" w:ascii="宋体" w:hAnsi="宋体" w:cs="宋体"/>
                <w:kern w:val="0"/>
                <w:sz w:val="20"/>
                <w:szCs w:val="20"/>
              </w:rPr>
              <w:t>台</w:t>
            </w:r>
          </w:p>
        </w:tc>
        <w:tc>
          <w:tcPr>
            <w:tcW w:w="1177" w:type="dxa"/>
            <w:tcBorders>
              <w:top w:val="nil"/>
              <w:left w:val="nil"/>
              <w:bottom w:val="single" w:color="auto" w:sz="4" w:space="0"/>
              <w:right w:val="single" w:color="auto" w:sz="4" w:space="0"/>
            </w:tcBorders>
            <w:shd w:val="clear" w:color="auto" w:fill="auto"/>
            <w:vAlign w:val="center"/>
          </w:tcPr>
          <w:p w14:paraId="26E76C2D">
            <w:pPr>
              <w:widowControl/>
              <w:jc w:val="center"/>
              <w:rPr>
                <w:rFonts w:hint="eastAsia" w:ascii="宋体" w:hAnsi="宋体" w:cs="宋体"/>
                <w:kern w:val="0"/>
                <w:sz w:val="20"/>
                <w:szCs w:val="20"/>
              </w:rPr>
            </w:pPr>
            <w:r>
              <w:rPr>
                <w:rFonts w:hint="eastAsia" w:ascii="宋体" w:hAnsi="宋体" w:cs="宋体"/>
                <w:kern w:val="0"/>
                <w:sz w:val="20"/>
                <w:szCs w:val="20"/>
              </w:rPr>
              <w:t>18</w:t>
            </w:r>
          </w:p>
        </w:tc>
      </w:tr>
      <w:tr w14:paraId="7168E7F5">
        <w:tblPrEx>
          <w:tblCellMar>
            <w:top w:w="0" w:type="dxa"/>
            <w:left w:w="108" w:type="dxa"/>
            <w:bottom w:w="0" w:type="dxa"/>
            <w:right w:w="108" w:type="dxa"/>
          </w:tblCellMar>
        </w:tblPrEx>
        <w:trPr>
          <w:trHeight w:val="1040" w:hRule="atLeast"/>
        </w:trPr>
        <w:tc>
          <w:tcPr>
            <w:tcW w:w="1080" w:type="dxa"/>
            <w:tcBorders>
              <w:top w:val="nil"/>
              <w:left w:val="single" w:color="auto" w:sz="4" w:space="0"/>
              <w:bottom w:val="single" w:color="auto" w:sz="4" w:space="0"/>
              <w:right w:val="single" w:color="auto" w:sz="4" w:space="0"/>
            </w:tcBorders>
            <w:shd w:val="clear" w:color="auto" w:fill="auto"/>
            <w:vAlign w:val="center"/>
          </w:tcPr>
          <w:p w14:paraId="39A6B40F">
            <w:pPr>
              <w:widowControl/>
              <w:jc w:val="center"/>
              <w:rPr>
                <w:rFonts w:hint="eastAsia" w:ascii="宋体" w:hAnsi="宋体" w:cs="宋体"/>
                <w:kern w:val="0"/>
                <w:sz w:val="20"/>
                <w:szCs w:val="20"/>
              </w:rPr>
            </w:pPr>
            <w:r>
              <w:rPr>
                <w:rFonts w:hint="eastAsia" w:ascii="宋体" w:hAnsi="宋体" w:cs="宋体"/>
                <w:kern w:val="0"/>
                <w:sz w:val="20"/>
                <w:szCs w:val="20"/>
              </w:rPr>
              <w:t>2</w:t>
            </w:r>
          </w:p>
        </w:tc>
        <w:tc>
          <w:tcPr>
            <w:tcW w:w="1325" w:type="dxa"/>
            <w:tcBorders>
              <w:top w:val="nil"/>
              <w:left w:val="nil"/>
              <w:bottom w:val="single" w:color="auto" w:sz="4" w:space="0"/>
              <w:right w:val="single" w:color="auto" w:sz="4" w:space="0"/>
            </w:tcBorders>
            <w:shd w:val="clear" w:color="auto" w:fill="auto"/>
            <w:vAlign w:val="center"/>
          </w:tcPr>
          <w:p w14:paraId="3D0AE6E1">
            <w:pPr>
              <w:widowControl/>
              <w:jc w:val="left"/>
              <w:rPr>
                <w:rFonts w:hint="eastAsia" w:ascii="宋体" w:hAnsi="宋体" w:cs="宋体"/>
                <w:kern w:val="0"/>
                <w:sz w:val="20"/>
                <w:szCs w:val="20"/>
              </w:rPr>
            </w:pPr>
            <w:r>
              <w:rPr>
                <w:rFonts w:hint="eastAsia" w:ascii="宋体" w:hAnsi="宋体" w:cs="宋体"/>
                <w:kern w:val="0"/>
                <w:sz w:val="20"/>
                <w:szCs w:val="20"/>
              </w:rPr>
              <w:t>16口POE 交换机</w:t>
            </w:r>
          </w:p>
        </w:tc>
        <w:tc>
          <w:tcPr>
            <w:tcW w:w="3515" w:type="dxa"/>
            <w:tcBorders>
              <w:top w:val="nil"/>
              <w:left w:val="nil"/>
              <w:bottom w:val="single" w:color="auto" w:sz="4" w:space="0"/>
              <w:right w:val="single" w:color="auto" w:sz="4" w:space="0"/>
            </w:tcBorders>
            <w:shd w:val="clear" w:color="auto" w:fill="auto"/>
            <w:vAlign w:val="center"/>
          </w:tcPr>
          <w:p w14:paraId="53CCBA97">
            <w:pPr>
              <w:widowControl/>
              <w:jc w:val="left"/>
              <w:rPr>
                <w:rFonts w:hint="eastAsia" w:ascii="宋体" w:hAnsi="宋体" w:cs="宋体"/>
                <w:kern w:val="0"/>
                <w:sz w:val="20"/>
                <w:szCs w:val="20"/>
              </w:rPr>
            </w:pPr>
            <w:r>
              <w:rPr>
                <w:rFonts w:hint="eastAsia" w:ascii="宋体" w:hAnsi="宋体" w:cs="宋体"/>
                <w:kern w:val="0"/>
                <w:sz w:val="20"/>
                <w:szCs w:val="20"/>
              </w:rPr>
              <w:t>1.配置：可用千兆PoE电接口数量≥16，千兆光口数量≥2</w:t>
            </w:r>
            <w:r>
              <w:rPr>
                <w:rFonts w:hint="eastAsia" w:ascii="宋体" w:hAnsi="宋体" w:cs="宋体"/>
                <w:kern w:val="0"/>
                <w:sz w:val="20"/>
                <w:szCs w:val="20"/>
              </w:rPr>
              <w:br w:type="textWrapping"/>
            </w:r>
            <w:r>
              <w:rPr>
                <w:rFonts w:hint="eastAsia" w:ascii="宋体" w:hAnsi="宋体" w:cs="宋体"/>
                <w:kern w:val="0"/>
                <w:sz w:val="20"/>
                <w:szCs w:val="20"/>
              </w:rPr>
              <w:t>2.交换容量≥36 Gbps，转发性能≥26.79 Mpps</w:t>
            </w:r>
            <w:r>
              <w:rPr>
                <w:rFonts w:hint="eastAsia" w:ascii="宋体" w:hAnsi="宋体" w:cs="宋体"/>
                <w:kern w:val="0"/>
                <w:sz w:val="20"/>
                <w:szCs w:val="20"/>
              </w:rPr>
              <w:br w:type="textWrapping"/>
            </w:r>
            <w:r>
              <w:rPr>
                <w:rFonts w:hint="eastAsia" w:ascii="宋体" w:hAnsi="宋体" w:cs="宋体"/>
                <w:kern w:val="0"/>
                <w:sz w:val="20"/>
                <w:szCs w:val="20"/>
              </w:rPr>
              <w:t>3.支持自适应802.3af/at供电标准，整机最大输出功率≥125 W</w:t>
            </w:r>
            <w:r>
              <w:rPr>
                <w:rFonts w:hint="eastAsia" w:ascii="宋体" w:hAnsi="宋体" w:cs="宋体"/>
                <w:kern w:val="0"/>
                <w:sz w:val="20"/>
                <w:szCs w:val="20"/>
              </w:rPr>
              <w:br w:type="textWrapping"/>
            </w:r>
            <w:r>
              <w:rPr>
                <w:rFonts w:hint="eastAsia" w:ascii="宋体" w:hAnsi="宋体" w:cs="宋体"/>
                <w:kern w:val="0"/>
                <w:sz w:val="20"/>
                <w:szCs w:val="20"/>
              </w:rPr>
              <w:t>4.支持基于端口的 VLAN</w:t>
            </w:r>
          </w:p>
        </w:tc>
        <w:tc>
          <w:tcPr>
            <w:tcW w:w="981" w:type="dxa"/>
            <w:tcBorders>
              <w:top w:val="nil"/>
              <w:left w:val="nil"/>
              <w:bottom w:val="single" w:color="auto" w:sz="4" w:space="0"/>
              <w:right w:val="single" w:color="auto" w:sz="4" w:space="0"/>
            </w:tcBorders>
            <w:shd w:val="clear" w:color="auto" w:fill="auto"/>
            <w:noWrap/>
            <w:vAlign w:val="center"/>
          </w:tcPr>
          <w:p w14:paraId="70A64B4D">
            <w:pPr>
              <w:widowControl/>
              <w:jc w:val="center"/>
              <w:rPr>
                <w:rFonts w:hint="eastAsia" w:ascii="宋体" w:hAnsi="宋体" w:cs="宋体"/>
                <w:kern w:val="0"/>
                <w:sz w:val="20"/>
                <w:szCs w:val="20"/>
              </w:rPr>
            </w:pPr>
            <w:r>
              <w:rPr>
                <w:rFonts w:hint="eastAsia" w:ascii="宋体" w:hAnsi="宋体" w:cs="宋体"/>
                <w:kern w:val="0"/>
                <w:sz w:val="20"/>
                <w:szCs w:val="20"/>
              </w:rPr>
              <w:t>台</w:t>
            </w:r>
          </w:p>
        </w:tc>
        <w:tc>
          <w:tcPr>
            <w:tcW w:w="1177" w:type="dxa"/>
            <w:tcBorders>
              <w:top w:val="nil"/>
              <w:left w:val="nil"/>
              <w:bottom w:val="single" w:color="auto" w:sz="4" w:space="0"/>
              <w:right w:val="single" w:color="auto" w:sz="4" w:space="0"/>
            </w:tcBorders>
            <w:shd w:val="clear" w:color="auto" w:fill="auto"/>
            <w:vAlign w:val="center"/>
          </w:tcPr>
          <w:p w14:paraId="31C36E6D">
            <w:pPr>
              <w:widowControl/>
              <w:jc w:val="center"/>
              <w:rPr>
                <w:rFonts w:hint="eastAsia" w:ascii="宋体" w:hAnsi="宋体" w:cs="宋体"/>
                <w:kern w:val="0"/>
                <w:sz w:val="20"/>
                <w:szCs w:val="20"/>
              </w:rPr>
            </w:pPr>
            <w:r>
              <w:rPr>
                <w:rFonts w:hint="eastAsia" w:ascii="宋体" w:hAnsi="宋体" w:cs="宋体"/>
                <w:kern w:val="0"/>
                <w:sz w:val="20"/>
                <w:szCs w:val="20"/>
              </w:rPr>
              <w:t>13</w:t>
            </w:r>
          </w:p>
        </w:tc>
      </w:tr>
      <w:tr w14:paraId="675C1A51">
        <w:tblPrEx>
          <w:tblCellMar>
            <w:top w:w="0" w:type="dxa"/>
            <w:left w:w="108" w:type="dxa"/>
            <w:bottom w:w="0" w:type="dxa"/>
            <w:right w:w="108" w:type="dxa"/>
          </w:tblCellMar>
        </w:tblPrEx>
        <w:trPr>
          <w:trHeight w:val="1820" w:hRule="atLeast"/>
        </w:trPr>
        <w:tc>
          <w:tcPr>
            <w:tcW w:w="1080" w:type="dxa"/>
            <w:tcBorders>
              <w:top w:val="nil"/>
              <w:left w:val="single" w:color="auto" w:sz="4" w:space="0"/>
              <w:bottom w:val="single" w:color="auto" w:sz="4" w:space="0"/>
              <w:right w:val="single" w:color="auto" w:sz="4" w:space="0"/>
            </w:tcBorders>
            <w:shd w:val="clear" w:color="auto" w:fill="auto"/>
            <w:vAlign w:val="center"/>
          </w:tcPr>
          <w:p w14:paraId="4D8E5161">
            <w:pPr>
              <w:widowControl/>
              <w:jc w:val="center"/>
              <w:rPr>
                <w:rFonts w:hint="eastAsia" w:ascii="宋体" w:hAnsi="宋体" w:cs="宋体"/>
                <w:kern w:val="0"/>
                <w:sz w:val="20"/>
                <w:szCs w:val="20"/>
              </w:rPr>
            </w:pPr>
            <w:r>
              <w:rPr>
                <w:rFonts w:hint="eastAsia" w:ascii="宋体" w:hAnsi="宋体" w:cs="宋体"/>
                <w:kern w:val="0"/>
                <w:sz w:val="20"/>
                <w:szCs w:val="20"/>
              </w:rPr>
              <w:t>3</w:t>
            </w:r>
          </w:p>
        </w:tc>
        <w:tc>
          <w:tcPr>
            <w:tcW w:w="1325" w:type="dxa"/>
            <w:tcBorders>
              <w:top w:val="nil"/>
              <w:left w:val="nil"/>
              <w:bottom w:val="single" w:color="auto" w:sz="4" w:space="0"/>
              <w:right w:val="single" w:color="auto" w:sz="4" w:space="0"/>
            </w:tcBorders>
            <w:shd w:val="clear" w:color="auto" w:fill="auto"/>
            <w:vAlign w:val="center"/>
          </w:tcPr>
          <w:p w14:paraId="19CEB88E">
            <w:pPr>
              <w:widowControl/>
              <w:jc w:val="left"/>
              <w:rPr>
                <w:rFonts w:hint="eastAsia" w:ascii="宋体" w:hAnsi="宋体" w:cs="宋体"/>
                <w:kern w:val="0"/>
                <w:sz w:val="20"/>
                <w:szCs w:val="20"/>
              </w:rPr>
            </w:pPr>
            <w:r>
              <w:rPr>
                <w:rFonts w:hint="eastAsia" w:ascii="宋体" w:hAnsi="宋体" w:cs="宋体"/>
                <w:kern w:val="0"/>
                <w:sz w:val="20"/>
                <w:szCs w:val="20"/>
              </w:rPr>
              <w:t>核心交换机</w:t>
            </w:r>
          </w:p>
        </w:tc>
        <w:tc>
          <w:tcPr>
            <w:tcW w:w="3515" w:type="dxa"/>
            <w:tcBorders>
              <w:top w:val="nil"/>
              <w:left w:val="nil"/>
              <w:bottom w:val="single" w:color="auto" w:sz="4" w:space="0"/>
              <w:right w:val="single" w:color="auto" w:sz="4" w:space="0"/>
            </w:tcBorders>
            <w:shd w:val="clear" w:color="auto" w:fill="auto"/>
            <w:vAlign w:val="center"/>
          </w:tcPr>
          <w:p w14:paraId="0430673B">
            <w:pPr>
              <w:widowControl/>
              <w:jc w:val="left"/>
              <w:rPr>
                <w:rFonts w:hint="eastAsia" w:ascii="宋体" w:hAnsi="宋体" w:cs="宋体"/>
                <w:kern w:val="0"/>
                <w:sz w:val="20"/>
                <w:szCs w:val="20"/>
              </w:rPr>
            </w:pPr>
            <w:r>
              <w:rPr>
                <w:rFonts w:hint="eastAsia" w:ascii="宋体" w:hAnsi="宋体" w:cs="宋体"/>
                <w:kern w:val="0"/>
                <w:sz w:val="20"/>
                <w:szCs w:val="20"/>
              </w:rPr>
              <w:t>1.交换容量≥2.56Tbps，转发性能≥480Mpps（以官网最小值为准）。</w:t>
            </w:r>
            <w:r>
              <w:rPr>
                <w:rFonts w:hint="eastAsia" w:ascii="宋体" w:hAnsi="宋体" w:cs="宋体"/>
                <w:kern w:val="0"/>
                <w:sz w:val="20"/>
                <w:szCs w:val="20"/>
              </w:rPr>
              <w:br w:type="textWrapping"/>
            </w:r>
            <w:r>
              <w:rPr>
                <w:rFonts w:hint="eastAsia" w:ascii="宋体" w:hAnsi="宋体" w:cs="宋体"/>
                <w:kern w:val="0"/>
                <w:sz w:val="20"/>
                <w:szCs w:val="20"/>
              </w:rPr>
              <w:t>2.支持命令行接口（CLI），Telnet，Console口进行配置。支持SNMP，支持WEB网管。</w:t>
            </w:r>
            <w:r>
              <w:rPr>
                <w:rFonts w:hint="eastAsia" w:ascii="宋体" w:hAnsi="宋体" w:cs="宋体"/>
                <w:kern w:val="0"/>
                <w:sz w:val="20"/>
                <w:szCs w:val="20"/>
              </w:rPr>
              <w:br w:type="textWrapping"/>
            </w:r>
            <w:r>
              <w:rPr>
                <w:rFonts w:hint="eastAsia" w:ascii="宋体" w:hAnsi="宋体" w:cs="宋体"/>
                <w:kern w:val="0"/>
                <w:sz w:val="20"/>
                <w:szCs w:val="20"/>
              </w:rPr>
              <w:t>3.链路聚合：支持端口聚合、静态聚合、动态聚合。</w:t>
            </w:r>
            <w:r>
              <w:rPr>
                <w:rFonts w:hint="eastAsia" w:ascii="宋体" w:hAnsi="宋体" w:cs="宋体"/>
                <w:kern w:val="0"/>
                <w:sz w:val="20"/>
                <w:szCs w:val="20"/>
              </w:rPr>
              <w:br w:type="textWrapping"/>
            </w:r>
            <w:r>
              <w:rPr>
                <w:rFonts w:hint="eastAsia" w:ascii="宋体" w:hAnsi="宋体" w:cs="宋体"/>
                <w:kern w:val="0"/>
                <w:sz w:val="20"/>
                <w:szCs w:val="20"/>
              </w:rPr>
              <w:t>4.支持基于端口的VLAN、支持基于IP、MAC的VLAN划分等。</w:t>
            </w:r>
            <w:r>
              <w:rPr>
                <w:rFonts w:hint="eastAsia" w:ascii="宋体" w:hAnsi="宋体" w:cs="宋体"/>
                <w:kern w:val="0"/>
                <w:sz w:val="20"/>
                <w:szCs w:val="20"/>
              </w:rPr>
              <w:br w:type="textWrapping"/>
            </w:r>
            <w:r>
              <w:rPr>
                <w:rFonts w:hint="eastAsia" w:ascii="宋体" w:hAnsi="宋体" w:cs="宋体"/>
                <w:kern w:val="0"/>
                <w:sz w:val="20"/>
                <w:szCs w:val="20"/>
              </w:rPr>
              <w:t>5.支持静态路由;支持支持RIPv1/v2，RIPng;支持OSPFv1/v2，OSPFv3。支持BGP4，BGP4+forIPv6;</w:t>
            </w:r>
            <w:r>
              <w:rPr>
                <w:rFonts w:hint="eastAsia" w:ascii="宋体" w:hAnsi="宋体" w:cs="宋体"/>
                <w:kern w:val="0"/>
                <w:sz w:val="20"/>
                <w:szCs w:val="20"/>
              </w:rPr>
              <w:br w:type="textWrapping"/>
            </w:r>
            <w:r>
              <w:rPr>
                <w:rFonts w:hint="eastAsia" w:ascii="宋体" w:hAnsi="宋体" w:cs="宋体"/>
                <w:kern w:val="0"/>
                <w:sz w:val="20"/>
                <w:szCs w:val="20"/>
              </w:rPr>
              <w:t>6.每台配置：交流电源模块≥2个，万兆光口≥24个，扩展插槽≥1个。</w:t>
            </w:r>
          </w:p>
        </w:tc>
        <w:tc>
          <w:tcPr>
            <w:tcW w:w="981" w:type="dxa"/>
            <w:tcBorders>
              <w:top w:val="nil"/>
              <w:left w:val="nil"/>
              <w:bottom w:val="single" w:color="auto" w:sz="4" w:space="0"/>
              <w:right w:val="single" w:color="auto" w:sz="4" w:space="0"/>
            </w:tcBorders>
            <w:shd w:val="clear" w:color="auto" w:fill="auto"/>
            <w:noWrap/>
            <w:vAlign w:val="center"/>
          </w:tcPr>
          <w:p w14:paraId="7A9A0498">
            <w:pPr>
              <w:widowControl/>
              <w:jc w:val="center"/>
              <w:rPr>
                <w:rFonts w:hint="eastAsia" w:ascii="宋体" w:hAnsi="宋体" w:cs="宋体"/>
                <w:kern w:val="0"/>
                <w:sz w:val="20"/>
                <w:szCs w:val="20"/>
              </w:rPr>
            </w:pPr>
            <w:r>
              <w:rPr>
                <w:rFonts w:hint="eastAsia" w:ascii="宋体" w:hAnsi="宋体" w:cs="宋体"/>
                <w:kern w:val="0"/>
                <w:sz w:val="20"/>
                <w:szCs w:val="20"/>
              </w:rPr>
              <w:t>台</w:t>
            </w:r>
          </w:p>
        </w:tc>
        <w:tc>
          <w:tcPr>
            <w:tcW w:w="1177" w:type="dxa"/>
            <w:tcBorders>
              <w:top w:val="nil"/>
              <w:left w:val="nil"/>
              <w:bottom w:val="single" w:color="auto" w:sz="4" w:space="0"/>
              <w:right w:val="single" w:color="auto" w:sz="4" w:space="0"/>
            </w:tcBorders>
            <w:shd w:val="clear" w:color="auto" w:fill="auto"/>
            <w:vAlign w:val="center"/>
          </w:tcPr>
          <w:p w14:paraId="5944D6FA">
            <w:pPr>
              <w:widowControl/>
              <w:jc w:val="center"/>
              <w:rPr>
                <w:rFonts w:hint="eastAsia" w:ascii="宋体" w:hAnsi="宋体" w:cs="宋体"/>
                <w:kern w:val="0"/>
                <w:sz w:val="20"/>
                <w:szCs w:val="20"/>
              </w:rPr>
            </w:pPr>
            <w:r>
              <w:rPr>
                <w:rFonts w:hint="eastAsia" w:ascii="宋体" w:hAnsi="宋体" w:cs="宋体"/>
                <w:kern w:val="0"/>
                <w:sz w:val="20"/>
                <w:szCs w:val="20"/>
              </w:rPr>
              <w:t>1</w:t>
            </w:r>
          </w:p>
        </w:tc>
      </w:tr>
      <w:tr w14:paraId="7B0A3B32">
        <w:tblPrEx>
          <w:tblCellMar>
            <w:top w:w="0" w:type="dxa"/>
            <w:left w:w="108" w:type="dxa"/>
            <w:bottom w:w="0" w:type="dxa"/>
            <w:right w:w="108" w:type="dxa"/>
          </w:tblCellMar>
        </w:tblPrEx>
        <w:trPr>
          <w:trHeight w:val="983" w:hRule="atLeast"/>
        </w:trPr>
        <w:tc>
          <w:tcPr>
            <w:tcW w:w="1080" w:type="dxa"/>
            <w:tcBorders>
              <w:top w:val="nil"/>
              <w:left w:val="single" w:color="auto" w:sz="4" w:space="0"/>
              <w:bottom w:val="single" w:color="auto" w:sz="4" w:space="0"/>
              <w:right w:val="single" w:color="auto" w:sz="4" w:space="0"/>
            </w:tcBorders>
            <w:shd w:val="clear" w:color="auto" w:fill="auto"/>
            <w:vAlign w:val="center"/>
          </w:tcPr>
          <w:p w14:paraId="529220AA">
            <w:pPr>
              <w:widowControl/>
              <w:jc w:val="center"/>
              <w:rPr>
                <w:rFonts w:hint="eastAsia" w:ascii="宋体" w:hAnsi="宋体" w:cs="宋体"/>
                <w:kern w:val="0"/>
                <w:sz w:val="20"/>
                <w:szCs w:val="20"/>
              </w:rPr>
            </w:pPr>
            <w:r>
              <w:rPr>
                <w:rFonts w:hint="eastAsia" w:ascii="宋体" w:hAnsi="宋体" w:cs="宋体"/>
                <w:kern w:val="0"/>
                <w:sz w:val="20"/>
                <w:szCs w:val="20"/>
              </w:rPr>
              <w:t>4</w:t>
            </w:r>
          </w:p>
        </w:tc>
        <w:tc>
          <w:tcPr>
            <w:tcW w:w="1325" w:type="dxa"/>
            <w:tcBorders>
              <w:top w:val="nil"/>
              <w:left w:val="nil"/>
              <w:bottom w:val="single" w:color="auto" w:sz="4" w:space="0"/>
              <w:right w:val="single" w:color="auto" w:sz="4" w:space="0"/>
            </w:tcBorders>
            <w:shd w:val="clear" w:color="auto" w:fill="auto"/>
            <w:vAlign w:val="center"/>
          </w:tcPr>
          <w:p w14:paraId="5EFEAF4F">
            <w:pPr>
              <w:widowControl/>
              <w:jc w:val="left"/>
              <w:rPr>
                <w:rFonts w:hint="eastAsia" w:ascii="宋体" w:hAnsi="宋体" w:cs="宋体"/>
                <w:kern w:val="0"/>
                <w:sz w:val="20"/>
                <w:szCs w:val="20"/>
              </w:rPr>
            </w:pPr>
            <w:r>
              <w:rPr>
                <w:rFonts w:hint="eastAsia" w:ascii="宋体" w:hAnsi="宋体" w:cs="宋体"/>
                <w:kern w:val="0"/>
                <w:sz w:val="20"/>
                <w:szCs w:val="20"/>
              </w:rPr>
              <w:t>汇聚交换机</w:t>
            </w:r>
          </w:p>
        </w:tc>
        <w:tc>
          <w:tcPr>
            <w:tcW w:w="3515" w:type="dxa"/>
            <w:tcBorders>
              <w:top w:val="nil"/>
              <w:left w:val="nil"/>
              <w:bottom w:val="single" w:color="auto" w:sz="4" w:space="0"/>
              <w:right w:val="single" w:color="auto" w:sz="4" w:space="0"/>
            </w:tcBorders>
            <w:shd w:val="clear" w:color="auto" w:fill="auto"/>
            <w:vAlign w:val="center"/>
          </w:tcPr>
          <w:p w14:paraId="6D984C44">
            <w:pPr>
              <w:widowControl/>
              <w:jc w:val="left"/>
              <w:rPr>
                <w:rFonts w:hint="eastAsia" w:ascii="宋体" w:hAnsi="宋体" w:cs="宋体"/>
                <w:kern w:val="0"/>
                <w:sz w:val="20"/>
                <w:szCs w:val="20"/>
              </w:rPr>
            </w:pPr>
            <w:r>
              <w:rPr>
                <w:rFonts w:hint="eastAsia" w:ascii="宋体" w:hAnsi="宋体" w:cs="宋体"/>
                <w:kern w:val="0"/>
                <w:sz w:val="20"/>
                <w:szCs w:val="20"/>
              </w:rPr>
              <w:t>1.交换容量≥756Gbps/7.56Tbps,转发性能≥222Mpps/396Mpps；</w:t>
            </w:r>
            <w:r>
              <w:rPr>
                <w:rFonts w:hint="eastAsia" w:ascii="宋体" w:hAnsi="宋体" w:cs="宋体"/>
                <w:kern w:val="0"/>
                <w:sz w:val="20"/>
                <w:szCs w:val="20"/>
              </w:rPr>
              <w:br w:type="textWrapping"/>
            </w:r>
            <w:r>
              <w:rPr>
                <w:rFonts w:hint="eastAsia" w:ascii="宋体" w:hAnsi="宋体" w:cs="宋体"/>
                <w:kern w:val="0"/>
                <w:sz w:val="20"/>
                <w:szCs w:val="20"/>
              </w:rPr>
              <w:t>2.扩展插槽≥1个；</w:t>
            </w:r>
            <w:r>
              <w:rPr>
                <w:rFonts w:hint="eastAsia" w:ascii="宋体" w:hAnsi="宋体" w:cs="宋体"/>
                <w:kern w:val="0"/>
                <w:sz w:val="20"/>
                <w:szCs w:val="20"/>
              </w:rPr>
              <w:br w:type="textWrapping"/>
            </w:r>
            <w:r>
              <w:rPr>
                <w:rFonts w:hint="eastAsia" w:ascii="宋体" w:hAnsi="宋体" w:cs="宋体"/>
                <w:kern w:val="0"/>
                <w:sz w:val="20"/>
                <w:szCs w:val="20"/>
              </w:rPr>
              <w:t>3.支持命令行接口（CLI），Telnet，Console口进行配置；支持SNMP，支持WEB网管。</w:t>
            </w:r>
            <w:r>
              <w:rPr>
                <w:rFonts w:hint="eastAsia" w:ascii="宋体" w:hAnsi="宋体" w:cs="宋体"/>
                <w:kern w:val="0"/>
                <w:sz w:val="20"/>
                <w:szCs w:val="20"/>
              </w:rPr>
              <w:br w:type="textWrapping"/>
            </w:r>
            <w:r>
              <w:rPr>
                <w:rFonts w:hint="eastAsia" w:ascii="宋体" w:hAnsi="宋体" w:cs="宋体"/>
                <w:kern w:val="0"/>
                <w:sz w:val="20"/>
                <w:szCs w:val="20"/>
              </w:rPr>
              <w:t>4.链路聚合：支持端口聚合、静态聚合、动态聚合。</w:t>
            </w:r>
            <w:r>
              <w:rPr>
                <w:rFonts w:hint="eastAsia" w:ascii="宋体" w:hAnsi="宋体" w:cs="宋体"/>
                <w:kern w:val="0"/>
                <w:sz w:val="20"/>
                <w:szCs w:val="20"/>
              </w:rPr>
              <w:br w:type="textWrapping"/>
            </w:r>
            <w:r>
              <w:rPr>
                <w:rFonts w:hint="eastAsia" w:ascii="宋体" w:hAnsi="宋体" w:cs="宋体"/>
                <w:kern w:val="0"/>
                <w:sz w:val="20"/>
                <w:szCs w:val="20"/>
              </w:rPr>
              <w:t>5.支持基于端口的VLAN、支持基于IP、MAC的VLAN划分等。</w:t>
            </w:r>
            <w:r>
              <w:rPr>
                <w:rFonts w:hint="eastAsia" w:ascii="宋体" w:hAnsi="宋体" w:cs="宋体"/>
                <w:kern w:val="0"/>
                <w:sz w:val="20"/>
                <w:szCs w:val="20"/>
              </w:rPr>
              <w:br w:type="textWrapping"/>
            </w:r>
            <w:r>
              <w:rPr>
                <w:rFonts w:hint="eastAsia" w:ascii="宋体" w:hAnsi="宋体" w:cs="宋体"/>
                <w:kern w:val="0"/>
                <w:sz w:val="20"/>
                <w:szCs w:val="20"/>
              </w:rPr>
              <w:t>6.支持静态路由;支持支持RIPv1/v2，RIPng;支持OSPFv1/v2，OSPFv3；支持BGP4，BGP4+ for IPv6;</w:t>
            </w:r>
            <w:r>
              <w:rPr>
                <w:rFonts w:hint="eastAsia" w:ascii="宋体" w:hAnsi="宋体" w:cs="宋体"/>
                <w:kern w:val="0"/>
                <w:sz w:val="20"/>
                <w:szCs w:val="20"/>
              </w:rPr>
              <w:br w:type="textWrapping"/>
            </w:r>
            <w:r>
              <w:rPr>
                <w:rFonts w:hint="eastAsia" w:ascii="宋体" w:hAnsi="宋体" w:cs="宋体"/>
                <w:kern w:val="0"/>
                <w:sz w:val="20"/>
                <w:szCs w:val="20"/>
              </w:rPr>
              <w:t>7.每台配置：冗余电源，冗余风扇，千兆光口≥24个，千兆电口≥4个，万兆光口≥4个；</w:t>
            </w:r>
          </w:p>
        </w:tc>
        <w:tc>
          <w:tcPr>
            <w:tcW w:w="981" w:type="dxa"/>
            <w:tcBorders>
              <w:top w:val="nil"/>
              <w:left w:val="nil"/>
              <w:bottom w:val="single" w:color="auto" w:sz="4" w:space="0"/>
              <w:right w:val="single" w:color="auto" w:sz="4" w:space="0"/>
            </w:tcBorders>
            <w:shd w:val="clear" w:color="auto" w:fill="auto"/>
            <w:vAlign w:val="center"/>
          </w:tcPr>
          <w:p w14:paraId="263C7D09">
            <w:pPr>
              <w:widowControl/>
              <w:jc w:val="center"/>
              <w:rPr>
                <w:rFonts w:hint="eastAsia" w:ascii="宋体" w:hAnsi="宋体" w:cs="宋体"/>
                <w:kern w:val="0"/>
                <w:sz w:val="20"/>
                <w:szCs w:val="20"/>
              </w:rPr>
            </w:pPr>
            <w:r>
              <w:rPr>
                <w:rFonts w:hint="eastAsia" w:ascii="宋体" w:hAnsi="宋体" w:cs="宋体"/>
                <w:kern w:val="0"/>
                <w:sz w:val="20"/>
                <w:szCs w:val="20"/>
              </w:rPr>
              <w:t>台</w:t>
            </w:r>
          </w:p>
        </w:tc>
        <w:tc>
          <w:tcPr>
            <w:tcW w:w="1177" w:type="dxa"/>
            <w:tcBorders>
              <w:top w:val="nil"/>
              <w:left w:val="nil"/>
              <w:bottom w:val="single" w:color="auto" w:sz="4" w:space="0"/>
              <w:right w:val="single" w:color="auto" w:sz="4" w:space="0"/>
            </w:tcBorders>
            <w:shd w:val="clear" w:color="auto" w:fill="auto"/>
            <w:vAlign w:val="center"/>
          </w:tcPr>
          <w:p w14:paraId="588D33E6">
            <w:pPr>
              <w:widowControl/>
              <w:jc w:val="center"/>
              <w:rPr>
                <w:rFonts w:hint="eastAsia" w:ascii="宋体" w:hAnsi="宋体" w:cs="宋体"/>
                <w:kern w:val="0"/>
                <w:sz w:val="20"/>
                <w:szCs w:val="20"/>
              </w:rPr>
            </w:pPr>
            <w:r>
              <w:rPr>
                <w:rFonts w:hint="eastAsia" w:ascii="宋体" w:hAnsi="宋体" w:cs="宋体"/>
                <w:kern w:val="0"/>
                <w:sz w:val="20"/>
                <w:szCs w:val="20"/>
              </w:rPr>
              <w:t>4</w:t>
            </w:r>
          </w:p>
        </w:tc>
      </w:tr>
      <w:tr w14:paraId="79A1FAFA">
        <w:tblPrEx>
          <w:tblCellMar>
            <w:top w:w="0" w:type="dxa"/>
            <w:left w:w="108" w:type="dxa"/>
            <w:bottom w:w="0" w:type="dxa"/>
            <w:right w:w="108" w:type="dxa"/>
          </w:tblCellMar>
        </w:tblPrEx>
        <w:trPr>
          <w:trHeight w:val="280" w:hRule="atLeast"/>
        </w:trPr>
        <w:tc>
          <w:tcPr>
            <w:tcW w:w="1080" w:type="dxa"/>
            <w:tcBorders>
              <w:top w:val="nil"/>
              <w:left w:val="single" w:color="auto" w:sz="4" w:space="0"/>
              <w:bottom w:val="single" w:color="auto" w:sz="4" w:space="0"/>
              <w:right w:val="single" w:color="auto" w:sz="4" w:space="0"/>
            </w:tcBorders>
            <w:shd w:val="clear" w:color="auto" w:fill="auto"/>
            <w:vAlign w:val="center"/>
          </w:tcPr>
          <w:p w14:paraId="40BB1E38">
            <w:pPr>
              <w:widowControl/>
              <w:jc w:val="center"/>
              <w:rPr>
                <w:rFonts w:hint="eastAsia" w:ascii="宋体" w:hAnsi="宋体" w:cs="宋体"/>
                <w:kern w:val="0"/>
                <w:sz w:val="20"/>
                <w:szCs w:val="20"/>
              </w:rPr>
            </w:pPr>
            <w:r>
              <w:rPr>
                <w:rFonts w:hint="eastAsia" w:ascii="宋体" w:hAnsi="宋体" w:cs="宋体"/>
                <w:kern w:val="0"/>
                <w:sz w:val="20"/>
                <w:szCs w:val="20"/>
              </w:rPr>
              <w:t>5</w:t>
            </w:r>
          </w:p>
        </w:tc>
        <w:tc>
          <w:tcPr>
            <w:tcW w:w="1325" w:type="dxa"/>
            <w:tcBorders>
              <w:top w:val="nil"/>
              <w:left w:val="nil"/>
              <w:bottom w:val="single" w:color="auto" w:sz="4" w:space="0"/>
              <w:right w:val="single" w:color="auto" w:sz="4" w:space="0"/>
            </w:tcBorders>
            <w:shd w:val="clear" w:color="auto" w:fill="auto"/>
            <w:vAlign w:val="center"/>
          </w:tcPr>
          <w:p w14:paraId="6C166E0F">
            <w:pPr>
              <w:widowControl/>
              <w:jc w:val="left"/>
              <w:rPr>
                <w:rFonts w:hint="eastAsia" w:ascii="宋体" w:hAnsi="宋体" w:cs="宋体"/>
                <w:kern w:val="0"/>
                <w:sz w:val="20"/>
                <w:szCs w:val="20"/>
              </w:rPr>
            </w:pPr>
            <w:r>
              <w:rPr>
                <w:rFonts w:hint="eastAsia" w:ascii="宋体" w:hAnsi="宋体" w:cs="宋体"/>
                <w:kern w:val="0"/>
                <w:sz w:val="20"/>
                <w:szCs w:val="20"/>
              </w:rPr>
              <w:t>发送端光模块</w:t>
            </w:r>
          </w:p>
        </w:tc>
        <w:tc>
          <w:tcPr>
            <w:tcW w:w="3515" w:type="dxa"/>
            <w:tcBorders>
              <w:top w:val="nil"/>
              <w:left w:val="nil"/>
              <w:bottom w:val="single" w:color="auto" w:sz="4" w:space="0"/>
              <w:right w:val="single" w:color="auto" w:sz="4" w:space="0"/>
            </w:tcBorders>
            <w:shd w:val="clear" w:color="auto" w:fill="auto"/>
            <w:vAlign w:val="center"/>
          </w:tcPr>
          <w:p w14:paraId="1F7DCA4D">
            <w:pPr>
              <w:widowControl/>
              <w:jc w:val="left"/>
              <w:rPr>
                <w:rFonts w:hint="eastAsia" w:ascii="宋体" w:hAnsi="宋体" w:cs="宋体"/>
                <w:kern w:val="0"/>
                <w:sz w:val="20"/>
                <w:szCs w:val="20"/>
              </w:rPr>
            </w:pPr>
            <w:r>
              <w:rPr>
                <w:rFonts w:hint="eastAsia" w:ascii="宋体" w:hAnsi="宋体" w:cs="宋体"/>
                <w:kern w:val="0"/>
                <w:sz w:val="20"/>
                <w:szCs w:val="20"/>
              </w:rPr>
              <w:t>千兆20公里单模单纤发送端模块</w:t>
            </w:r>
          </w:p>
        </w:tc>
        <w:tc>
          <w:tcPr>
            <w:tcW w:w="981" w:type="dxa"/>
            <w:tcBorders>
              <w:top w:val="nil"/>
              <w:left w:val="nil"/>
              <w:bottom w:val="single" w:color="auto" w:sz="4" w:space="0"/>
              <w:right w:val="single" w:color="auto" w:sz="4" w:space="0"/>
            </w:tcBorders>
            <w:shd w:val="clear" w:color="auto" w:fill="auto"/>
            <w:noWrap/>
            <w:vAlign w:val="center"/>
          </w:tcPr>
          <w:p w14:paraId="6177DA94">
            <w:pPr>
              <w:widowControl/>
              <w:jc w:val="center"/>
              <w:rPr>
                <w:rFonts w:hint="eastAsia" w:ascii="宋体" w:hAnsi="宋体" w:cs="宋体"/>
                <w:kern w:val="0"/>
                <w:sz w:val="20"/>
                <w:szCs w:val="20"/>
              </w:rPr>
            </w:pPr>
            <w:r>
              <w:rPr>
                <w:rFonts w:hint="eastAsia" w:ascii="宋体" w:hAnsi="宋体" w:cs="宋体"/>
                <w:kern w:val="0"/>
                <w:sz w:val="20"/>
                <w:szCs w:val="20"/>
              </w:rPr>
              <w:t>台</w:t>
            </w:r>
          </w:p>
        </w:tc>
        <w:tc>
          <w:tcPr>
            <w:tcW w:w="1177" w:type="dxa"/>
            <w:tcBorders>
              <w:top w:val="nil"/>
              <w:left w:val="nil"/>
              <w:bottom w:val="single" w:color="auto" w:sz="4" w:space="0"/>
              <w:right w:val="single" w:color="auto" w:sz="4" w:space="0"/>
            </w:tcBorders>
            <w:shd w:val="clear" w:color="auto" w:fill="auto"/>
            <w:vAlign w:val="center"/>
          </w:tcPr>
          <w:p w14:paraId="57899B42">
            <w:pPr>
              <w:widowControl/>
              <w:jc w:val="center"/>
              <w:rPr>
                <w:rFonts w:hint="eastAsia" w:ascii="宋体" w:hAnsi="宋体" w:cs="宋体"/>
                <w:kern w:val="0"/>
                <w:sz w:val="20"/>
                <w:szCs w:val="20"/>
              </w:rPr>
            </w:pPr>
            <w:r>
              <w:rPr>
                <w:rFonts w:hint="eastAsia" w:ascii="宋体" w:hAnsi="宋体" w:cs="宋体"/>
                <w:kern w:val="0"/>
                <w:sz w:val="20"/>
                <w:szCs w:val="20"/>
              </w:rPr>
              <w:t>57</w:t>
            </w:r>
          </w:p>
        </w:tc>
      </w:tr>
      <w:tr w14:paraId="44A33792">
        <w:tblPrEx>
          <w:tblCellMar>
            <w:top w:w="0" w:type="dxa"/>
            <w:left w:w="108" w:type="dxa"/>
            <w:bottom w:w="0" w:type="dxa"/>
            <w:right w:w="108" w:type="dxa"/>
          </w:tblCellMar>
        </w:tblPrEx>
        <w:trPr>
          <w:trHeight w:val="280" w:hRule="atLeast"/>
        </w:trPr>
        <w:tc>
          <w:tcPr>
            <w:tcW w:w="1080" w:type="dxa"/>
            <w:tcBorders>
              <w:top w:val="nil"/>
              <w:left w:val="single" w:color="auto" w:sz="4" w:space="0"/>
              <w:bottom w:val="single" w:color="auto" w:sz="4" w:space="0"/>
              <w:right w:val="single" w:color="auto" w:sz="4" w:space="0"/>
            </w:tcBorders>
            <w:shd w:val="clear" w:color="auto" w:fill="auto"/>
            <w:vAlign w:val="center"/>
          </w:tcPr>
          <w:p w14:paraId="54E4D627">
            <w:pPr>
              <w:widowControl/>
              <w:jc w:val="center"/>
              <w:rPr>
                <w:rFonts w:hint="eastAsia" w:ascii="宋体" w:hAnsi="宋体" w:cs="宋体"/>
                <w:kern w:val="0"/>
                <w:sz w:val="20"/>
                <w:szCs w:val="20"/>
              </w:rPr>
            </w:pPr>
            <w:r>
              <w:rPr>
                <w:rFonts w:hint="eastAsia" w:ascii="宋体" w:hAnsi="宋体" w:cs="宋体"/>
                <w:kern w:val="0"/>
                <w:sz w:val="20"/>
                <w:szCs w:val="20"/>
              </w:rPr>
              <w:t>6</w:t>
            </w:r>
          </w:p>
        </w:tc>
        <w:tc>
          <w:tcPr>
            <w:tcW w:w="1325" w:type="dxa"/>
            <w:tcBorders>
              <w:top w:val="nil"/>
              <w:left w:val="nil"/>
              <w:bottom w:val="single" w:color="auto" w:sz="4" w:space="0"/>
              <w:right w:val="single" w:color="auto" w:sz="4" w:space="0"/>
            </w:tcBorders>
            <w:shd w:val="clear" w:color="auto" w:fill="auto"/>
            <w:vAlign w:val="center"/>
          </w:tcPr>
          <w:p w14:paraId="4915AF27">
            <w:pPr>
              <w:widowControl/>
              <w:jc w:val="left"/>
              <w:rPr>
                <w:rFonts w:hint="eastAsia" w:ascii="宋体" w:hAnsi="宋体" w:cs="宋体"/>
                <w:kern w:val="0"/>
                <w:sz w:val="20"/>
                <w:szCs w:val="20"/>
              </w:rPr>
            </w:pPr>
            <w:r>
              <w:rPr>
                <w:rFonts w:hint="eastAsia" w:ascii="宋体" w:hAnsi="宋体" w:cs="宋体"/>
                <w:kern w:val="0"/>
                <w:sz w:val="20"/>
                <w:szCs w:val="20"/>
              </w:rPr>
              <w:t>接收光电模块</w:t>
            </w:r>
          </w:p>
        </w:tc>
        <w:tc>
          <w:tcPr>
            <w:tcW w:w="3515" w:type="dxa"/>
            <w:tcBorders>
              <w:top w:val="nil"/>
              <w:left w:val="nil"/>
              <w:bottom w:val="single" w:color="auto" w:sz="4" w:space="0"/>
              <w:right w:val="single" w:color="auto" w:sz="4" w:space="0"/>
            </w:tcBorders>
            <w:shd w:val="clear" w:color="auto" w:fill="auto"/>
            <w:vAlign w:val="center"/>
          </w:tcPr>
          <w:p w14:paraId="0D4649BE">
            <w:pPr>
              <w:widowControl/>
              <w:jc w:val="left"/>
              <w:rPr>
                <w:rFonts w:hint="eastAsia" w:ascii="宋体" w:hAnsi="宋体" w:cs="宋体"/>
                <w:kern w:val="0"/>
                <w:sz w:val="20"/>
                <w:szCs w:val="20"/>
              </w:rPr>
            </w:pPr>
            <w:r>
              <w:rPr>
                <w:rFonts w:hint="eastAsia" w:ascii="宋体" w:hAnsi="宋体" w:cs="宋体"/>
                <w:kern w:val="0"/>
                <w:sz w:val="20"/>
                <w:szCs w:val="20"/>
              </w:rPr>
              <w:t>千兆20公里单模单纤接收端模块</w:t>
            </w:r>
          </w:p>
        </w:tc>
        <w:tc>
          <w:tcPr>
            <w:tcW w:w="981" w:type="dxa"/>
            <w:tcBorders>
              <w:top w:val="nil"/>
              <w:left w:val="nil"/>
              <w:bottom w:val="single" w:color="auto" w:sz="4" w:space="0"/>
              <w:right w:val="single" w:color="auto" w:sz="4" w:space="0"/>
            </w:tcBorders>
            <w:shd w:val="clear" w:color="auto" w:fill="auto"/>
            <w:noWrap/>
            <w:vAlign w:val="center"/>
          </w:tcPr>
          <w:p w14:paraId="146AF1D2">
            <w:pPr>
              <w:widowControl/>
              <w:jc w:val="center"/>
              <w:rPr>
                <w:rFonts w:hint="eastAsia" w:ascii="宋体" w:hAnsi="宋体" w:cs="宋体"/>
                <w:kern w:val="0"/>
                <w:sz w:val="20"/>
                <w:szCs w:val="20"/>
              </w:rPr>
            </w:pPr>
            <w:r>
              <w:rPr>
                <w:rFonts w:hint="eastAsia" w:ascii="宋体" w:hAnsi="宋体" w:cs="宋体"/>
                <w:kern w:val="0"/>
                <w:sz w:val="20"/>
                <w:szCs w:val="20"/>
              </w:rPr>
              <w:t>个</w:t>
            </w:r>
          </w:p>
        </w:tc>
        <w:tc>
          <w:tcPr>
            <w:tcW w:w="1177" w:type="dxa"/>
            <w:tcBorders>
              <w:top w:val="nil"/>
              <w:left w:val="nil"/>
              <w:bottom w:val="single" w:color="auto" w:sz="4" w:space="0"/>
              <w:right w:val="single" w:color="auto" w:sz="4" w:space="0"/>
            </w:tcBorders>
            <w:shd w:val="clear" w:color="auto" w:fill="auto"/>
            <w:vAlign w:val="center"/>
          </w:tcPr>
          <w:p w14:paraId="1D8E8A1C">
            <w:pPr>
              <w:widowControl/>
              <w:jc w:val="center"/>
              <w:rPr>
                <w:rFonts w:hint="eastAsia" w:ascii="宋体" w:hAnsi="宋体" w:cs="宋体"/>
                <w:kern w:val="0"/>
                <w:sz w:val="20"/>
                <w:szCs w:val="20"/>
              </w:rPr>
            </w:pPr>
            <w:r>
              <w:rPr>
                <w:rFonts w:hint="eastAsia" w:ascii="宋体" w:hAnsi="宋体" w:cs="宋体"/>
                <w:kern w:val="0"/>
                <w:sz w:val="20"/>
                <w:szCs w:val="20"/>
              </w:rPr>
              <w:t>57</w:t>
            </w:r>
          </w:p>
        </w:tc>
      </w:tr>
      <w:tr w14:paraId="29623471">
        <w:tblPrEx>
          <w:tblCellMar>
            <w:top w:w="0" w:type="dxa"/>
            <w:left w:w="108" w:type="dxa"/>
            <w:bottom w:w="0" w:type="dxa"/>
            <w:right w:w="108" w:type="dxa"/>
          </w:tblCellMar>
        </w:tblPrEx>
        <w:trPr>
          <w:trHeight w:val="280" w:hRule="atLeast"/>
        </w:trPr>
        <w:tc>
          <w:tcPr>
            <w:tcW w:w="1080" w:type="dxa"/>
            <w:tcBorders>
              <w:top w:val="nil"/>
              <w:left w:val="single" w:color="auto" w:sz="4" w:space="0"/>
              <w:bottom w:val="single" w:color="auto" w:sz="4" w:space="0"/>
              <w:right w:val="single" w:color="auto" w:sz="4" w:space="0"/>
            </w:tcBorders>
            <w:shd w:val="clear" w:color="auto" w:fill="auto"/>
            <w:vAlign w:val="center"/>
          </w:tcPr>
          <w:p w14:paraId="5E5E2A8A">
            <w:pPr>
              <w:widowControl/>
              <w:jc w:val="center"/>
              <w:rPr>
                <w:rFonts w:hint="eastAsia" w:ascii="宋体" w:hAnsi="宋体" w:cs="宋体"/>
                <w:kern w:val="0"/>
                <w:sz w:val="20"/>
                <w:szCs w:val="20"/>
              </w:rPr>
            </w:pPr>
            <w:r>
              <w:rPr>
                <w:rFonts w:hint="eastAsia" w:ascii="宋体" w:hAnsi="宋体" w:cs="宋体"/>
                <w:kern w:val="0"/>
                <w:sz w:val="20"/>
                <w:szCs w:val="20"/>
              </w:rPr>
              <w:t>7</w:t>
            </w:r>
          </w:p>
        </w:tc>
        <w:tc>
          <w:tcPr>
            <w:tcW w:w="1325" w:type="dxa"/>
            <w:tcBorders>
              <w:top w:val="nil"/>
              <w:left w:val="nil"/>
              <w:bottom w:val="single" w:color="auto" w:sz="4" w:space="0"/>
              <w:right w:val="single" w:color="auto" w:sz="4" w:space="0"/>
            </w:tcBorders>
            <w:shd w:val="clear" w:color="auto" w:fill="auto"/>
            <w:vAlign w:val="center"/>
          </w:tcPr>
          <w:p w14:paraId="40166EEF">
            <w:pPr>
              <w:widowControl/>
              <w:jc w:val="left"/>
              <w:rPr>
                <w:rFonts w:hint="eastAsia" w:ascii="宋体" w:hAnsi="宋体" w:cs="宋体"/>
                <w:kern w:val="0"/>
                <w:sz w:val="20"/>
                <w:szCs w:val="20"/>
              </w:rPr>
            </w:pPr>
            <w:r>
              <w:rPr>
                <w:rFonts w:hint="eastAsia" w:ascii="宋体" w:hAnsi="宋体" w:cs="宋体"/>
                <w:kern w:val="0"/>
                <w:sz w:val="20"/>
                <w:szCs w:val="20"/>
              </w:rPr>
              <w:t>万兆光电模块</w:t>
            </w:r>
          </w:p>
        </w:tc>
        <w:tc>
          <w:tcPr>
            <w:tcW w:w="3515" w:type="dxa"/>
            <w:tcBorders>
              <w:top w:val="nil"/>
              <w:left w:val="nil"/>
              <w:bottom w:val="single" w:color="auto" w:sz="4" w:space="0"/>
              <w:right w:val="single" w:color="auto" w:sz="4" w:space="0"/>
            </w:tcBorders>
            <w:shd w:val="clear" w:color="auto" w:fill="auto"/>
            <w:vAlign w:val="center"/>
          </w:tcPr>
          <w:p w14:paraId="2CD48ED3">
            <w:pPr>
              <w:widowControl/>
              <w:jc w:val="left"/>
              <w:rPr>
                <w:rFonts w:hint="eastAsia" w:ascii="宋体" w:hAnsi="宋体" w:cs="宋体"/>
                <w:kern w:val="0"/>
                <w:sz w:val="20"/>
                <w:szCs w:val="20"/>
              </w:rPr>
            </w:pPr>
            <w:r>
              <w:rPr>
                <w:rFonts w:hint="eastAsia" w:ascii="宋体" w:hAnsi="宋体" w:cs="宋体"/>
                <w:kern w:val="0"/>
                <w:sz w:val="20"/>
                <w:szCs w:val="20"/>
              </w:rPr>
              <w:t>万兆多模双纤光模块</w:t>
            </w:r>
          </w:p>
        </w:tc>
        <w:tc>
          <w:tcPr>
            <w:tcW w:w="981" w:type="dxa"/>
            <w:tcBorders>
              <w:top w:val="nil"/>
              <w:left w:val="nil"/>
              <w:bottom w:val="single" w:color="auto" w:sz="4" w:space="0"/>
              <w:right w:val="single" w:color="auto" w:sz="4" w:space="0"/>
            </w:tcBorders>
            <w:shd w:val="clear" w:color="auto" w:fill="auto"/>
            <w:noWrap/>
            <w:vAlign w:val="center"/>
          </w:tcPr>
          <w:p w14:paraId="1D5320E9">
            <w:pPr>
              <w:widowControl/>
              <w:jc w:val="center"/>
              <w:rPr>
                <w:rFonts w:hint="eastAsia" w:ascii="宋体" w:hAnsi="宋体" w:cs="宋体"/>
                <w:kern w:val="0"/>
                <w:sz w:val="20"/>
                <w:szCs w:val="20"/>
              </w:rPr>
            </w:pPr>
            <w:r>
              <w:rPr>
                <w:rFonts w:hint="eastAsia" w:ascii="宋体" w:hAnsi="宋体" w:cs="宋体"/>
                <w:kern w:val="0"/>
                <w:sz w:val="20"/>
                <w:szCs w:val="20"/>
              </w:rPr>
              <w:t>个</w:t>
            </w:r>
          </w:p>
        </w:tc>
        <w:tc>
          <w:tcPr>
            <w:tcW w:w="1177" w:type="dxa"/>
            <w:tcBorders>
              <w:top w:val="nil"/>
              <w:left w:val="nil"/>
              <w:bottom w:val="single" w:color="auto" w:sz="4" w:space="0"/>
              <w:right w:val="single" w:color="auto" w:sz="4" w:space="0"/>
            </w:tcBorders>
            <w:shd w:val="clear" w:color="auto" w:fill="auto"/>
            <w:vAlign w:val="center"/>
          </w:tcPr>
          <w:p w14:paraId="69C5C770">
            <w:pPr>
              <w:widowControl/>
              <w:jc w:val="center"/>
              <w:rPr>
                <w:rFonts w:hint="eastAsia" w:ascii="宋体" w:hAnsi="宋体" w:cs="宋体"/>
                <w:kern w:val="0"/>
                <w:sz w:val="20"/>
                <w:szCs w:val="20"/>
              </w:rPr>
            </w:pPr>
            <w:r>
              <w:rPr>
                <w:rFonts w:hint="eastAsia" w:ascii="宋体" w:hAnsi="宋体" w:cs="宋体"/>
                <w:kern w:val="0"/>
                <w:sz w:val="20"/>
                <w:szCs w:val="20"/>
              </w:rPr>
              <w:t>10</w:t>
            </w:r>
          </w:p>
        </w:tc>
      </w:tr>
      <w:tr w14:paraId="33262193">
        <w:tblPrEx>
          <w:tblCellMar>
            <w:top w:w="0" w:type="dxa"/>
            <w:left w:w="108" w:type="dxa"/>
            <w:bottom w:w="0" w:type="dxa"/>
            <w:right w:w="108" w:type="dxa"/>
          </w:tblCellMar>
        </w:tblPrEx>
        <w:trPr>
          <w:trHeight w:val="4420" w:hRule="atLeast"/>
        </w:trPr>
        <w:tc>
          <w:tcPr>
            <w:tcW w:w="1080" w:type="dxa"/>
            <w:tcBorders>
              <w:top w:val="nil"/>
              <w:left w:val="single" w:color="auto" w:sz="4" w:space="0"/>
              <w:bottom w:val="single" w:color="auto" w:sz="4" w:space="0"/>
              <w:right w:val="single" w:color="auto" w:sz="4" w:space="0"/>
            </w:tcBorders>
            <w:shd w:val="clear" w:color="auto" w:fill="auto"/>
            <w:vAlign w:val="center"/>
          </w:tcPr>
          <w:p w14:paraId="227BA236">
            <w:pPr>
              <w:widowControl/>
              <w:jc w:val="center"/>
              <w:rPr>
                <w:rFonts w:hint="eastAsia" w:ascii="宋体" w:hAnsi="宋体" w:cs="宋体"/>
                <w:kern w:val="0"/>
                <w:sz w:val="20"/>
                <w:szCs w:val="20"/>
              </w:rPr>
            </w:pPr>
            <w:r>
              <w:rPr>
                <w:rFonts w:hint="eastAsia" w:ascii="宋体" w:hAnsi="宋体" w:cs="宋体"/>
                <w:kern w:val="0"/>
                <w:sz w:val="20"/>
                <w:szCs w:val="20"/>
              </w:rPr>
              <w:t>8</w:t>
            </w:r>
          </w:p>
        </w:tc>
        <w:tc>
          <w:tcPr>
            <w:tcW w:w="1325" w:type="dxa"/>
            <w:tcBorders>
              <w:top w:val="nil"/>
              <w:left w:val="nil"/>
              <w:bottom w:val="single" w:color="auto" w:sz="4" w:space="0"/>
              <w:right w:val="single" w:color="auto" w:sz="4" w:space="0"/>
            </w:tcBorders>
            <w:shd w:val="clear" w:color="auto" w:fill="auto"/>
            <w:vAlign w:val="center"/>
          </w:tcPr>
          <w:p w14:paraId="40AB8D51">
            <w:pPr>
              <w:widowControl/>
              <w:jc w:val="left"/>
              <w:rPr>
                <w:rFonts w:hint="eastAsia" w:ascii="宋体" w:hAnsi="宋体" w:cs="宋体"/>
                <w:kern w:val="0"/>
                <w:sz w:val="20"/>
                <w:szCs w:val="20"/>
              </w:rPr>
            </w:pPr>
            <w:r>
              <w:rPr>
                <w:rFonts w:hint="eastAsia" w:ascii="宋体" w:hAnsi="宋体" w:cs="宋体"/>
                <w:kern w:val="0"/>
                <w:sz w:val="20"/>
                <w:szCs w:val="20"/>
              </w:rPr>
              <w:t>拼接大屏</w:t>
            </w:r>
          </w:p>
        </w:tc>
        <w:tc>
          <w:tcPr>
            <w:tcW w:w="3515" w:type="dxa"/>
            <w:tcBorders>
              <w:top w:val="nil"/>
              <w:left w:val="nil"/>
              <w:bottom w:val="single" w:color="auto" w:sz="4" w:space="0"/>
              <w:right w:val="single" w:color="auto" w:sz="4" w:space="0"/>
            </w:tcBorders>
            <w:shd w:val="clear" w:color="auto" w:fill="auto"/>
            <w:vAlign w:val="center"/>
          </w:tcPr>
          <w:p w14:paraId="4E7126D6">
            <w:pPr>
              <w:widowControl/>
              <w:jc w:val="left"/>
              <w:rPr>
                <w:rFonts w:hint="eastAsia" w:ascii="宋体" w:hAnsi="宋体" w:cs="宋体"/>
                <w:kern w:val="0"/>
                <w:sz w:val="20"/>
                <w:szCs w:val="20"/>
              </w:rPr>
            </w:pPr>
            <w:r>
              <w:rPr>
                <w:rFonts w:hint="eastAsia" w:ascii="宋体" w:hAnsi="宋体" w:cs="宋体"/>
                <w:kern w:val="0"/>
                <w:sz w:val="20"/>
                <w:szCs w:val="20"/>
              </w:rPr>
              <w:t>LCD显示单元为：55“超窄边液晶屏；单元物理拼缝≤3.5mm，物理分辨率达到1920×1080，对比度达到1000：1。</w:t>
            </w:r>
          </w:p>
          <w:p w14:paraId="478F33F5">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LCD显示单元响应时间≤8ms，显示色彩达到16.7M，亮度达到500cd/㎡，图像显示清晰度达到1000TVL。</w:t>
            </w:r>
          </w:p>
          <w:p w14:paraId="26E607B3">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内置MPEG、JPEG和 Real media解码器，支持点播U盘、移动硬盘中的视频、图片、音频或文本资源。</w:t>
            </w:r>
          </w:p>
          <w:p w14:paraId="6F46F035">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屏幕支持防灼烧功能，能够有效改善液晶长时间显示静态画面时造成的残影现象。</w:t>
            </w:r>
          </w:p>
          <w:p w14:paraId="3B84FFEA">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拼接屏具备智能温控功能，当屏幕温度在55-60℃之间时，会提醒用户温度过高，请及时通风；当温度超过60℃，屏幕会立即进入休眠状态；等温度降至50℃以下会被唤醒或者通过遥控器主动唤醒。</w:t>
            </w:r>
          </w:p>
          <w:p w14:paraId="5780BF3A">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支持4比3、16比9、点对点等比例显示。</w:t>
            </w:r>
            <w:r>
              <w:rPr>
                <w:rFonts w:hint="eastAsia" w:ascii="宋体" w:hAnsi="宋体" w:cs="宋体"/>
                <w:kern w:val="0"/>
                <w:sz w:val="20"/>
                <w:szCs w:val="20"/>
              </w:rPr>
              <w:br w:type="page"/>
            </w:r>
            <w:r>
              <w:rPr>
                <w:rFonts w:hint="eastAsia" w:ascii="宋体" w:hAnsi="宋体" w:cs="宋体"/>
                <w:kern w:val="0"/>
                <w:sz w:val="20"/>
                <w:szCs w:val="20"/>
              </w:rPr>
              <w:t>内置智能系统，可快速读取显示屏信息，包括屏幕背光源、亮度、对比度、分辨率等基本信息。</w:t>
            </w:r>
            <w:r>
              <w:rPr>
                <w:rFonts w:hint="eastAsia" w:ascii="宋体" w:hAnsi="宋体" w:cs="宋体"/>
                <w:kern w:val="0"/>
                <w:sz w:val="20"/>
                <w:szCs w:val="20"/>
              </w:rPr>
              <w:br w:type="page"/>
            </w:r>
            <w:r>
              <w:rPr>
                <w:rFonts w:hint="eastAsia" w:ascii="宋体" w:hAnsi="宋体" w:cs="宋体"/>
                <w:kern w:val="0"/>
                <w:sz w:val="20"/>
                <w:szCs w:val="20"/>
              </w:rPr>
              <w:t>支持通过客户端和软件控制屏幕，不需要遥控器的接入，实现遥控器的所有功能。</w:t>
            </w:r>
            <w:r>
              <w:rPr>
                <w:rFonts w:hint="eastAsia" w:ascii="宋体" w:hAnsi="宋体" w:cs="宋体"/>
                <w:kern w:val="0"/>
                <w:sz w:val="20"/>
                <w:szCs w:val="20"/>
              </w:rPr>
              <w:br w:type="page"/>
            </w:r>
            <w:r>
              <w:rPr>
                <w:rFonts w:hint="eastAsia" w:ascii="宋体" w:hAnsi="宋体" w:cs="宋体"/>
                <w:kern w:val="0"/>
                <w:sz w:val="20"/>
                <w:szCs w:val="20"/>
              </w:rPr>
              <w:t>可通过客户端或菜单设置屏幕ID，ID属性包含行、列，实现自动分配ID。</w:t>
            </w:r>
          </w:p>
          <w:p w14:paraId="6C086E86">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设备支持不断电待机功能，当无任何信号输入时，设备在规定时间内自动待机节能，当有信号接入时，设备能快速开机，正常显示。待机功耗低于0.5W</w:t>
            </w:r>
          </w:p>
        </w:tc>
        <w:tc>
          <w:tcPr>
            <w:tcW w:w="981" w:type="dxa"/>
            <w:tcBorders>
              <w:top w:val="nil"/>
              <w:left w:val="nil"/>
              <w:bottom w:val="single" w:color="auto" w:sz="4" w:space="0"/>
              <w:right w:val="single" w:color="auto" w:sz="4" w:space="0"/>
            </w:tcBorders>
            <w:shd w:val="clear" w:color="auto" w:fill="auto"/>
            <w:noWrap/>
            <w:vAlign w:val="center"/>
          </w:tcPr>
          <w:p w14:paraId="32215C08">
            <w:pPr>
              <w:widowControl/>
              <w:jc w:val="center"/>
              <w:rPr>
                <w:rFonts w:hint="eastAsia" w:ascii="宋体" w:hAnsi="宋体" w:cs="宋体"/>
                <w:kern w:val="0"/>
                <w:sz w:val="20"/>
                <w:szCs w:val="20"/>
              </w:rPr>
            </w:pPr>
            <w:r>
              <w:rPr>
                <w:rFonts w:hint="eastAsia" w:ascii="宋体" w:hAnsi="宋体" w:cs="宋体"/>
                <w:kern w:val="0"/>
                <w:sz w:val="20"/>
                <w:szCs w:val="20"/>
              </w:rPr>
              <w:t>台</w:t>
            </w:r>
          </w:p>
        </w:tc>
        <w:tc>
          <w:tcPr>
            <w:tcW w:w="1177" w:type="dxa"/>
            <w:tcBorders>
              <w:top w:val="nil"/>
              <w:left w:val="nil"/>
              <w:bottom w:val="single" w:color="auto" w:sz="4" w:space="0"/>
              <w:right w:val="single" w:color="auto" w:sz="4" w:space="0"/>
            </w:tcBorders>
            <w:shd w:val="clear" w:color="auto" w:fill="auto"/>
            <w:vAlign w:val="center"/>
          </w:tcPr>
          <w:p w14:paraId="6B6B2FF7">
            <w:pPr>
              <w:widowControl/>
              <w:jc w:val="center"/>
              <w:rPr>
                <w:rFonts w:hint="eastAsia" w:ascii="宋体" w:hAnsi="宋体" w:cs="宋体"/>
                <w:kern w:val="0"/>
                <w:sz w:val="20"/>
                <w:szCs w:val="20"/>
              </w:rPr>
            </w:pPr>
            <w:r>
              <w:rPr>
                <w:rFonts w:hint="eastAsia" w:ascii="宋体" w:hAnsi="宋体" w:cs="宋体"/>
                <w:kern w:val="0"/>
                <w:sz w:val="20"/>
                <w:szCs w:val="20"/>
              </w:rPr>
              <w:t>9</w:t>
            </w:r>
          </w:p>
        </w:tc>
      </w:tr>
      <w:tr w14:paraId="5088C802">
        <w:tblPrEx>
          <w:tblCellMar>
            <w:top w:w="0" w:type="dxa"/>
            <w:left w:w="108" w:type="dxa"/>
            <w:bottom w:w="0" w:type="dxa"/>
            <w:right w:w="108" w:type="dxa"/>
          </w:tblCellMar>
        </w:tblPrEx>
        <w:trPr>
          <w:trHeight w:val="1143" w:hRule="atLeast"/>
        </w:trPr>
        <w:tc>
          <w:tcPr>
            <w:tcW w:w="1080" w:type="dxa"/>
            <w:tcBorders>
              <w:top w:val="nil"/>
              <w:left w:val="single" w:color="auto" w:sz="4" w:space="0"/>
              <w:bottom w:val="single" w:color="auto" w:sz="4" w:space="0"/>
              <w:right w:val="single" w:color="auto" w:sz="4" w:space="0"/>
            </w:tcBorders>
            <w:shd w:val="clear" w:color="auto" w:fill="auto"/>
            <w:vAlign w:val="center"/>
          </w:tcPr>
          <w:p w14:paraId="412A96B9">
            <w:pPr>
              <w:widowControl/>
              <w:jc w:val="center"/>
              <w:rPr>
                <w:rFonts w:hint="eastAsia" w:ascii="宋体" w:hAnsi="宋体" w:cs="宋体"/>
                <w:kern w:val="0"/>
                <w:sz w:val="20"/>
                <w:szCs w:val="20"/>
              </w:rPr>
            </w:pPr>
            <w:r>
              <w:rPr>
                <w:rFonts w:hint="eastAsia" w:ascii="宋体" w:hAnsi="宋体" w:cs="宋体"/>
                <w:kern w:val="0"/>
                <w:sz w:val="20"/>
                <w:szCs w:val="20"/>
              </w:rPr>
              <w:t>9</w:t>
            </w:r>
          </w:p>
        </w:tc>
        <w:tc>
          <w:tcPr>
            <w:tcW w:w="1325" w:type="dxa"/>
            <w:tcBorders>
              <w:top w:val="nil"/>
              <w:left w:val="nil"/>
              <w:bottom w:val="single" w:color="auto" w:sz="4" w:space="0"/>
              <w:right w:val="single" w:color="auto" w:sz="4" w:space="0"/>
            </w:tcBorders>
            <w:shd w:val="clear" w:color="auto" w:fill="auto"/>
            <w:vAlign w:val="center"/>
          </w:tcPr>
          <w:p w14:paraId="114CF721">
            <w:pPr>
              <w:widowControl/>
              <w:jc w:val="left"/>
              <w:rPr>
                <w:rFonts w:hint="eastAsia" w:ascii="宋体" w:hAnsi="宋体" w:cs="宋体"/>
                <w:kern w:val="0"/>
                <w:sz w:val="20"/>
                <w:szCs w:val="20"/>
              </w:rPr>
            </w:pPr>
            <w:r>
              <w:rPr>
                <w:rFonts w:hint="eastAsia" w:ascii="宋体" w:hAnsi="宋体" w:cs="宋体"/>
                <w:kern w:val="0"/>
                <w:sz w:val="20"/>
                <w:szCs w:val="20"/>
              </w:rPr>
              <w:t>解码器</w:t>
            </w:r>
          </w:p>
        </w:tc>
        <w:tc>
          <w:tcPr>
            <w:tcW w:w="3515" w:type="dxa"/>
            <w:tcBorders>
              <w:top w:val="nil"/>
              <w:left w:val="nil"/>
              <w:bottom w:val="single" w:color="auto" w:sz="4" w:space="0"/>
              <w:right w:val="single" w:color="auto" w:sz="4" w:space="0"/>
            </w:tcBorders>
            <w:shd w:val="clear" w:color="auto" w:fill="auto"/>
            <w:vAlign w:val="center"/>
          </w:tcPr>
          <w:p w14:paraId="567454E3">
            <w:pPr>
              <w:widowControl/>
              <w:jc w:val="left"/>
              <w:rPr>
                <w:rFonts w:hint="eastAsia" w:ascii="宋体" w:hAnsi="宋体" w:cs="宋体"/>
                <w:kern w:val="0"/>
                <w:sz w:val="20"/>
                <w:szCs w:val="20"/>
              </w:rPr>
            </w:pPr>
            <w:r>
              <w:rPr>
                <w:rFonts w:hint="eastAsia" w:ascii="宋体" w:hAnsi="宋体" w:cs="宋体"/>
                <w:kern w:val="0"/>
                <w:sz w:val="20"/>
                <w:szCs w:val="20"/>
              </w:rPr>
              <w:t>采用嵌入式架构，专用Linux系统，使用DSP解码。为了设备稳定可靠运行，不得采用工控机或者PC机的X86架构。</w:t>
            </w:r>
            <w:r>
              <w:rPr>
                <w:rFonts w:hint="eastAsia" w:ascii="宋体" w:hAnsi="宋体" w:cs="宋体"/>
                <w:kern w:val="0"/>
                <w:sz w:val="20"/>
                <w:szCs w:val="20"/>
              </w:rPr>
              <w:br w:type="textWrapping"/>
            </w:r>
            <w:r>
              <w:rPr>
                <w:rFonts w:hint="eastAsia" w:ascii="宋体" w:hAnsi="宋体" w:cs="宋体"/>
                <w:kern w:val="0"/>
                <w:sz w:val="20"/>
                <w:szCs w:val="20"/>
              </w:rPr>
              <w:t>支持对输入的视频画面进行90°、180°、270°旋转显示。</w:t>
            </w:r>
            <w:r>
              <w:rPr>
                <w:rFonts w:hint="eastAsia" w:ascii="宋体" w:hAnsi="宋体" w:cs="宋体"/>
                <w:kern w:val="0"/>
                <w:sz w:val="20"/>
                <w:szCs w:val="20"/>
              </w:rPr>
              <w:br w:type="textWrapping"/>
            </w:r>
            <w:r>
              <w:rPr>
                <w:rFonts w:hint="eastAsia" w:ascii="宋体" w:hAnsi="宋体" w:cs="宋体"/>
                <w:kern w:val="0"/>
                <w:sz w:val="20"/>
                <w:szCs w:val="20"/>
              </w:rPr>
              <w:t>设备接入具有智能分析功能的摄像机，可解码显示智能分析信息，包括移动侦测、越界入侵、区域入侵、起身离开等，并上传报警信息。</w:t>
            </w:r>
            <w:r>
              <w:rPr>
                <w:rFonts w:hint="eastAsia" w:ascii="宋体" w:hAnsi="宋体" w:cs="宋体"/>
                <w:kern w:val="0"/>
                <w:sz w:val="20"/>
                <w:szCs w:val="20"/>
              </w:rPr>
              <w:br w:type="textWrapping"/>
            </w:r>
            <w:r>
              <w:rPr>
                <w:rFonts w:hint="eastAsia" w:ascii="宋体" w:hAnsi="宋体" w:cs="宋体"/>
                <w:kern w:val="0"/>
                <w:sz w:val="20"/>
                <w:szCs w:val="20"/>
              </w:rPr>
              <w:t>支持前端接入智能摄像机，直连前端人脸检测设备，可实时展示人脸检测结果，包括年龄、性别、是否戴眼镜等人脸属性信息；属性直接叠加画面显示。</w:t>
            </w:r>
            <w:r>
              <w:rPr>
                <w:rFonts w:hint="eastAsia" w:ascii="宋体" w:hAnsi="宋体" w:cs="宋体"/>
                <w:kern w:val="0"/>
                <w:sz w:val="20"/>
                <w:szCs w:val="20"/>
              </w:rPr>
              <w:br w:type="textWrapping"/>
            </w:r>
            <w:r>
              <w:rPr>
                <w:rFonts w:hint="eastAsia" w:ascii="宋体" w:hAnsi="宋体" w:cs="宋体"/>
                <w:kern w:val="0"/>
                <w:sz w:val="20"/>
                <w:szCs w:val="20"/>
              </w:rPr>
              <w:t>支持黑白名单功能，可设置256个黑白名单；当设置白名单时，只允许白名单IP访问设备；当设置黑名单时，黑名单内IP无法访问设备</w:t>
            </w:r>
            <w:r>
              <w:rPr>
                <w:rFonts w:hint="eastAsia" w:ascii="宋体" w:hAnsi="宋体" w:cs="宋体"/>
                <w:kern w:val="0"/>
                <w:sz w:val="20"/>
                <w:szCs w:val="20"/>
              </w:rPr>
              <w:br w:type="textWrapping"/>
            </w:r>
            <w:r>
              <w:rPr>
                <w:rFonts w:hint="eastAsia" w:ascii="宋体" w:hAnsi="宋体" w:cs="宋体"/>
                <w:kern w:val="0"/>
                <w:sz w:val="20"/>
                <w:szCs w:val="20"/>
              </w:rPr>
              <w:t>支持PC 软件客户端、WEB 浏览器客户端、平台客户端、IPAD、可视化触控平台方式访问管理。</w:t>
            </w:r>
            <w:r>
              <w:rPr>
                <w:rFonts w:hint="eastAsia" w:ascii="宋体" w:hAnsi="宋体" w:cs="宋体"/>
                <w:kern w:val="0"/>
                <w:sz w:val="20"/>
                <w:szCs w:val="20"/>
              </w:rPr>
              <w:br w:type="textWrapping"/>
            </w:r>
            <w:r>
              <w:rPr>
                <w:rFonts w:hint="eastAsia" w:ascii="宋体" w:hAnsi="宋体" w:cs="宋体"/>
                <w:kern w:val="0"/>
                <w:sz w:val="20"/>
                <w:szCs w:val="20"/>
              </w:rPr>
              <w:t>支持通过IE浏览器进行网络模式设置，包括设置为流畅性优先/实时性优先。</w:t>
            </w:r>
            <w:r>
              <w:rPr>
                <w:rFonts w:hint="eastAsia" w:ascii="宋体" w:hAnsi="宋体" w:cs="宋体"/>
                <w:kern w:val="0"/>
                <w:sz w:val="20"/>
                <w:szCs w:val="20"/>
              </w:rPr>
              <w:br w:type="textWrapping"/>
            </w:r>
            <w:r>
              <w:rPr>
                <w:rFonts w:hint="eastAsia" w:ascii="宋体" w:hAnsi="宋体" w:cs="宋体"/>
                <w:kern w:val="0"/>
                <w:sz w:val="20"/>
                <w:szCs w:val="20"/>
              </w:rPr>
              <w:t>可通过设备抓屏软件，将远程电脑桌面实时解码上墙显示，画面帧率可达30fps。</w:t>
            </w:r>
            <w:r>
              <w:rPr>
                <w:rFonts w:hint="eastAsia" w:ascii="宋体" w:hAnsi="宋体" w:cs="宋体"/>
                <w:kern w:val="0"/>
                <w:sz w:val="20"/>
                <w:szCs w:val="20"/>
              </w:rPr>
              <w:br w:type="textWrapping"/>
            </w:r>
            <w:r>
              <w:rPr>
                <w:rFonts w:hint="eastAsia" w:ascii="宋体" w:hAnsi="宋体" w:cs="宋体"/>
                <w:kern w:val="0"/>
                <w:sz w:val="20"/>
                <w:szCs w:val="20"/>
              </w:rPr>
              <w:t>可通过客户端软件导入和导出设备配置参数。</w:t>
            </w:r>
            <w:r>
              <w:rPr>
                <w:rFonts w:hint="eastAsia" w:ascii="宋体" w:hAnsi="宋体" w:cs="宋体"/>
                <w:kern w:val="0"/>
                <w:sz w:val="20"/>
                <w:szCs w:val="20"/>
              </w:rPr>
              <w:br w:type="textWrapping"/>
            </w:r>
            <w:r>
              <w:rPr>
                <w:rFonts w:hint="eastAsia" w:ascii="宋体" w:hAnsi="宋体" w:cs="宋体"/>
                <w:kern w:val="0"/>
                <w:sz w:val="20"/>
                <w:szCs w:val="20"/>
              </w:rPr>
              <w:t>可通过客户端软件设置HDMI接口输出分辨率为3840*2160(30Hz、1920*1080(50Hz)、1920*1080(60Hz))、1680*1050(60Hz)、1600*1200(60Hz)、1280*1024(60Hz)、1280*720(60Hz)、1280*720(50Hz)、1024*768(60Hz)。</w:t>
            </w:r>
            <w:r>
              <w:rPr>
                <w:rFonts w:hint="eastAsia" w:ascii="宋体" w:hAnsi="宋体" w:cs="宋体"/>
                <w:kern w:val="0"/>
                <w:sz w:val="20"/>
                <w:szCs w:val="20"/>
              </w:rPr>
              <w:br w:type="textWrapping"/>
            </w:r>
            <w:r>
              <w:rPr>
                <w:rFonts w:hint="eastAsia" w:ascii="宋体" w:hAnsi="宋体" w:cs="宋体"/>
                <w:kern w:val="0"/>
                <w:sz w:val="20"/>
                <w:szCs w:val="20"/>
              </w:rPr>
              <w:t>支持1、2、4、6、8、9、10、12、16画面分割显示；支持平均分割；支持分割线开启/关闭设置，支持底色设置功能。</w:t>
            </w:r>
            <w:r>
              <w:rPr>
                <w:rFonts w:hint="eastAsia" w:ascii="宋体" w:hAnsi="宋体" w:cs="宋体"/>
                <w:kern w:val="0"/>
                <w:sz w:val="20"/>
                <w:szCs w:val="20"/>
              </w:rPr>
              <w:br w:type="textWrapping"/>
            </w:r>
            <w:r>
              <w:rPr>
                <w:rFonts w:hint="eastAsia" w:ascii="宋体" w:hAnsi="宋体" w:cs="宋体"/>
                <w:kern w:val="0"/>
                <w:sz w:val="20"/>
                <w:szCs w:val="20"/>
              </w:rPr>
              <w:t>支持通过客户端软件将1路输入视频图像发送至多个输出接口拼接显示，支持1*2、1*3、1*4、1*5、1*6、1*7、1*8、1*9、1*10、2*1、2*2、2*3、2*4、2*5、3*1、3*2、3*3、4*1、4*2、5*1、5*2、6*1、7*1、8*1、9*1、10*1的拼接显示。</w:t>
            </w:r>
            <w:r>
              <w:rPr>
                <w:rFonts w:hint="eastAsia" w:ascii="宋体" w:hAnsi="宋体" w:cs="宋体"/>
                <w:kern w:val="0"/>
                <w:sz w:val="20"/>
                <w:szCs w:val="20"/>
              </w:rPr>
              <w:br w:type="textWrapping"/>
            </w:r>
            <w:r>
              <w:rPr>
                <w:rFonts w:hint="eastAsia" w:ascii="宋体" w:hAnsi="宋体" w:cs="宋体"/>
                <w:kern w:val="0"/>
                <w:sz w:val="20"/>
                <w:szCs w:val="20"/>
              </w:rPr>
              <w:t>可将样机当前的解码输出模式设置为一个场景，样机可保存多个场景，并可通过客户端软件切换样机场景。</w:t>
            </w:r>
            <w:r>
              <w:rPr>
                <w:rFonts w:hint="eastAsia" w:ascii="宋体" w:hAnsi="宋体" w:cs="宋体"/>
                <w:kern w:val="0"/>
                <w:sz w:val="20"/>
                <w:szCs w:val="20"/>
              </w:rPr>
              <w:br w:type="textWrapping"/>
            </w:r>
            <w:r>
              <w:rPr>
                <w:rFonts w:hint="eastAsia" w:ascii="宋体" w:hAnsi="宋体" w:cs="宋体"/>
                <w:kern w:val="0"/>
                <w:sz w:val="20"/>
                <w:szCs w:val="20"/>
              </w:rPr>
              <w:t>支持客户端软件设置底色，当无解码画面时，设置输出显示该底色。</w:t>
            </w:r>
            <w:r>
              <w:rPr>
                <w:rFonts w:hint="eastAsia" w:ascii="宋体" w:hAnsi="宋体" w:cs="宋体"/>
                <w:kern w:val="0"/>
                <w:sz w:val="20"/>
                <w:szCs w:val="20"/>
              </w:rPr>
              <w:br w:type="textWrapping"/>
            </w:r>
            <w:r>
              <w:rPr>
                <w:rFonts w:hint="eastAsia" w:ascii="宋体" w:hAnsi="宋体" w:cs="宋体"/>
                <w:kern w:val="0"/>
                <w:sz w:val="20"/>
                <w:szCs w:val="20"/>
              </w:rPr>
              <w:t>可通过客户端软件将显示窗口在多个显示屏间进行拖动或跨屏显示，并可调节显示窗口大小。</w:t>
            </w:r>
            <w:r>
              <w:rPr>
                <w:rFonts w:hint="eastAsia" w:ascii="宋体" w:hAnsi="宋体" w:cs="宋体"/>
                <w:kern w:val="0"/>
                <w:sz w:val="20"/>
                <w:szCs w:val="20"/>
              </w:rPr>
              <w:br w:type="textWrapping"/>
            </w:r>
            <w:r>
              <w:rPr>
                <w:rFonts w:hint="eastAsia" w:ascii="宋体" w:hAnsi="宋体" w:cs="宋体"/>
                <w:kern w:val="0"/>
                <w:sz w:val="20"/>
                <w:szCs w:val="20"/>
              </w:rPr>
              <w:t>支持视频轮巡功能，并可在客户端软件设置轮巡计划。</w:t>
            </w:r>
            <w:r>
              <w:rPr>
                <w:rFonts w:hint="eastAsia" w:ascii="宋体" w:hAnsi="宋体" w:cs="宋体"/>
                <w:kern w:val="0"/>
                <w:sz w:val="20"/>
                <w:szCs w:val="20"/>
              </w:rPr>
              <w:br w:type="textWrapping"/>
            </w:r>
            <w:r>
              <w:rPr>
                <w:rFonts w:hint="eastAsia" w:ascii="宋体" w:hAnsi="宋体" w:cs="宋体"/>
                <w:kern w:val="0"/>
                <w:sz w:val="20"/>
                <w:szCs w:val="20"/>
              </w:rPr>
              <w:t>支持通过客户端软件对接入的云台进行控制；通过RS-485接口连接键盘实现键盘接入的云台进行控制。</w:t>
            </w:r>
            <w:r>
              <w:rPr>
                <w:rFonts w:hint="eastAsia" w:ascii="宋体" w:hAnsi="宋体" w:cs="宋体"/>
                <w:kern w:val="0"/>
                <w:sz w:val="20"/>
                <w:szCs w:val="20"/>
              </w:rPr>
              <w:br w:type="textWrapping"/>
            </w:r>
            <w:r>
              <w:rPr>
                <w:rFonts w:hint="eastAsia" w:ascii="宋体" w:hAnsi="宋体" w:cs="宋体"/>
                <w:kern w:val="0"/>
                <w:sz w:val="20"/>
                <w:szCs w:val="20"/>
              </w:rPr>
              <w:t>可通过客户端软件对设备进行恢复出厂设置。</w:t>
            </w:r>
            <w:r>
              <w:rPr>
                <w:rFonts w:hint="eastAsia" w:ascii="宋体" w:hAnsi="宋体" w:cs="宋体"/>
                <w:kern w:val="0"/>
                <w:sz w:val="20"/>
                <w:szCs w:val="20"/>
              </w:rPr>
              <w:br w:type="textWrapping"/>
            </w:r>
            <w:r>
              <w:rPr>
                <w:rFonts w:hint="eastAsia" w:ascii="宋体" w:hAnsi="宋体" w:cs="宋体"/>
                <w:kern w:val="0"/>
                <w:sz w:val="20"/>
                <w:szCs w:val="20"/>
              </w:rPr>
              <w:t>支持NTP校时及客户端软件手动校时两种校时方式。</w:t>
            </w:r>
            <w:r>
              <w:rPr>
                <w:rFonts w:hint="eastAsia" w:ascii="宋体" w:hAnsi="宋体" w:cs="宋体"/>
                <w:kern w:val="0"/>
                <w:sz w:val="20"/>
                <w:szCs w:val="20"/>
              </w:rPr>
              <w:br w:type="textWrapping"/>
            </w:r>
            <w:r>
              <w:rPr>
                <w:rFonts w:hint="eastAsia" w:ascii="宋体" w:hAnsi="宋体" w:cs="宋体"/>
                <w:kern w:val="0"/>
                <w:sz w:val="20"/>
                <w:szCs w:val="20"/>
              </w:rPr>
              <w:t>音频解码格式支持G.722、G.711A、G.726、G711U、MPEG2-L2、AAC。</w:t>
            </w:r>
            <w:r>
              <w:rPr>
                <w:rFonts w:hint="eastAsia" w:ascii="宋体" w:hAnsi="宋体" w:cs="宋体"/>
                <w:kern w:val="0"/>
                <w:sz w:val="20"/>
                <w:szCs w:val="20"/>
              </w:rPr>
              <w:br w:type="textWrapping"/>
            </w:r>
            <w:r>
              <w:rPr>
                <w:rFonts w:hint="eastAsia" w:ascii="宋体" w:hAnsi="宋体" w:cs="宋体"/>
                <w:kern w:val="0"/>
                <w:sz w:val="20"/>
                <w:szCs w:val="20"/>
              </w:rPr>
              <w:t>显控系统设备间支持信息交互功能，通过平台/客户端界面能够查看屏幕运维信息，包括使用时长、序列号、温度、亮度、显示模式，支持下发配置屏幕参数。</w:t>
            </w:r>
            <w:r>
              <w:rPr>
                <w:rFonts w:hint="eastAsia" w:ascii="宋体" w:hAnsi="宋体" w:cs="宋体"/>
                <w:kern w:val="0"/>
                <w:sz w:val="20"/>
                <w:szCs w:val="20"/>
              </w:rPr>
              <w:br w:type="textWrapping"/>
            </w:r>
            <w:r>
              <w:rPr>
                <w:rFonts w:hint="eastAsia" w:ascii="宋体" w:hAnsi="宋体" w:cs="宋体"/>
                <w:kern w:val="0"/>
                <w:sz w:val="20"/>
                <w:szCs w:val="20"/>
              </w:rPr>
              <w:t>显控系统支持通过自动识别屏幕的行列号信息，并能根据行列号信息，自动生成对应的电视墙规模和绑定输出口关系，避免手动一对一设置输出口和LCD屏幕的对应关系。</w:t>
            </w:r>
          </w:p>
        </w:tc>
        <w:tc>
          <w:tcPr>
            <w:tcW w:w="981" w:type="dxa"/>
            <w:tcBorders>
              <w:top w:val="nil"/>
              <w:left w:val="nil"/>
              <w:bottom w:val="single" w:color="auto" w:sz="4" w:space="0"/>
              <w:right w:val="single" w:color="auto" w:sz="4" w:space="0"/>
            </w:tcBorders>
            <w:shd w:val="clear" w:color="auto" w:fill="auto"/>
            <w:vAlign w:val="center"/>
          </w:tcPr>
          <w:p w14:paraId="5D1E245C">
            <w:pPr>
              <w:widowControl/>
              <w:jc w:val="center"/>
              <w:rPr>
                <w:rFonts w:hint="eastAsia" w:ascii="宋体" w:hAnsi="宋体" w:cs="宋体"/>
                <w:kern w:val="0"/>
                <w:sz w:val="20"/>
                <w:szCs w:val="20"/>
              </w:rPr>
            </w:pPr>
            <w:r>
              <w:rPr>
                <w:rFonts w:hint="eastAsia" w:ascii="宋体" w:hAnsi="宋体" w:cs="宋体"/>
                <w:kern w:val="0"/>
                <w:sz w:val="20"/>
                <w:szCs w:val="20"/>
              </w:rPr>
              <w:t>台</w:t>
            </w:r>
          </w:p>
        </w:tc>
        <w:tc>
          <w:tcPr>
            <w:tcW w:w="1177" w:type="dxa"/>
            <w:tcBorders>
              <w:top w:val="nil"/>
              <w:left w:val="nil"/>
              <w:bottom w:val="single" w:color="auto" w:sz="4" w:space="0"/>
              <w:right w:val="single" w:color="auto" w:sz="4" w:space="0"/>
            </w:tcBorders>
            <w:shd w:val="clear" w:color="auto" w:fill="auto"/>
            <w:vAlign w:val="center"/>
          </w:tcPr>
          <w:p w14:paraId="4A33FE85">
            <w:pPr>
              <w:widowControl/>
              <w:jc w:val="center"/>
              <w:rPr>
                <w:rFonts w:hint="eastAsia" w:ascii="宋体" w:hAnsi="宋体" w:cs="宋体"/>
                <w:kern w:val="0"/>
                <w:sz w:val="20"/>
                <w:szCs w:val="20"/>
              </w:rPr>
            </w:pPr>
            <w:r>
              <w:rPr>
                <w:rFonts w:hint="eastAsia" w:ascii="宋体" w:hAnsi="宋体" w:cs="宋体"/>
                <w:kern w:val="0"/>
                <w:sz w:val="20"/>
                <w:szCs w:val="20"/>
              </w:rPr>
              <w:t>1</w:t>
            </w:r>
          </w:p>
        </w:tc>
      </w:tr>
      <w:tr w14:paraId="47C66A8B">
        <w:tblPrEx>
          <w:tblCellMar>
            <w:top w:w="0" w:type="dxa"/>
            <w:left w:w="108" w:type="dxa"/>
            <w:bottom w:w="0" w:type="dxa"/>
            <w:right w:w="108" w:type="dxa"/>
          </w:tblCellMar>
        </w:tblPrEx>
        <w:trPr>
          <w:trHeight w:val="8190" w:hRule="atLeast"/>
        </w:trPr>
        <w:tc>
          <w:tcPr>
            <w:tcW w:w="1080" w:type="dxa"/>
            <w:tcBorders>
              <w:top w:val="nil"/>
              <w:left w:val="single" w:color="auto" w:sz="4" w:space="0"/>
              <w:bottom w:val="single" w:color="auto" w:sz="4" w:space="0"/>
              <w:right w:val="single" w:color="auto" w:sz="4" w:space="0"/>
            </w:tcBorders>
            <w:shd w:val="clear" w:color="auto" w:fill="auto"/>
            <w:vAlign w:val="center"/>
          </w:tcPr>
          <w:p w14:paraId="7705CA01">
            <w:pPr>
              <w:widowControl/>
              <w:jc w:val="center"/>
              <w:rPr>
                <w:rFonts w:hint="eastAsia" w:ascii="宋体" w:hAnsi="宋体" w:cs="宋体"/>
                <w:kern w:val="0"/>
                <w:sz w:val="20"/>
                <w:szCs w:val="20"/>
              </w:rPr>
            </w:pPr>
            <w:r>
              <w:rPr>
                <w:rFonts w:hint="eastAsia" w:ascii="宋体" w:hAnsi="宋体" w:cs="宋体"/>
                <w:kern w:val="0"/>
                <w:sz w:val="20"/>
                <w:szCs w:val="20"/>
              </w:rPr>
              <w:t>10</w:t>
            </w:r>
          </w:p>
        </w:tc>
        <w:tc>
          <w:tcPr>
            <w:tcW w:w="1325" w:type="dxa"/>
            <w:tcBorders>
              <w:top w:val="nil"/>
              <w:left w:val="nil"/>
              <w:bottom w:val="single" w:color="auto" w:sz="4" w:space="0"/>
              <w:right w:val="single" w:color="auto" w:sz="4" w:space="0"/>
            </w:tcBorders>
            <w:shd w:val="clear" w:color="auto" w:fill="auto"/>
            <w:vAlign w:val="center"/>
          </w:tcPr>
          <w:p w14:paraId="01E71827">
            <w:pPr>
              <w:widowControl/>
              <w:jc w:val="left"/>
              <w:rPr>
                <w:rFonts w:hint="eastAsia" w:ascii="宋体" w:hAnsi="宋体" w:cs="宋体"/>
                <w:kern w:val="0"/>
                <w:sz w:val="20"/>
                <w:szCs w:val="20"/>
              </w:rPr>
            </w:pPr>
            <w:r>
              <w:rPr>
                <w:rFonts w:hint="eastAsia" w:ascii="宋体" w:hAnsi="宋体" w:cs="宋体"/>
                <w:kern w:val="0"/>
                <w:sz w:val="20"/>
                <w:szCs w:val="20"/>
              </w:rPr>
              <w:t>网络存储设备</w:t>
            </w:r>
          </w:p>
        </w:tc>
        <w:tc>
          <w:tcPr>
            <w:tcW w:w="3515" w:type="dxa"/>
            <w:tcBorders>
              <w:top w:val="nil"/>
              <w:left w:val="nil"/>
              <w:bottom w:val="single" w:color="auto" w:sz="4" w:space="0"/>
              <w:right w:val="single" w:color="auto" w:sz="4" w:space="0"/>
            </w:tcBorders>
            <w:shd w:val="clear" w:color="auto" w:fill="auto"/>
            <w:vAlign w:val="center"/>
          </w:tcPr>
          <w:p w14:paraId="2B74D3AC">
            <w:pPr>
              <w:widowControl/>
              <w:jc w:val="left"/>
              <w:rPr>
                <w:rFonts w:hint="eastAsia" w:ascii="宋体" w:hAnsi="宋体" w:cs="宋体"/>
                <w:kern w:val="0"/>
                <w:sz w:val="20"/>
                <w:szCs w:val="20"/>
              </w:rPr>
            </w:pPr>
            <w:r>
              <w:rPr>
                <w:rFonts w:hint="eastAsia" w:ascii="宋体" w:hAnsi="宋体" w:cs="宋体"/>
                <w:kern w:val="0"/>
                <w:sz w:val="20"/>
                <w:szCs w:val="20"/>
              </w:rPr>
              <w:t>单设备配置≥64位多核处理器，≥8GB内存，内存支持扩展到≥128GB，内置SSD固态硬盘和企业级硬盘，单台设备提供不小于900T存储容量；</w:t>
            </w:r>
            <w:r>
              <w:rPr>
                <w:rFonts w:hint="eastAsia" w:ascii="宋体" w:hAnsi="宋体" w:cs="宋体"/>
                <w:kern w:val="0"/>
                <w:sz w:val="20"/>
                <w:szCs w:val="20"/>
              </w:rPr>
              <w:br w:type="page"/>
            </w:r>
            <w:r>
              <w:rPr>
                <w:rFonts w:hint="eastAsia" w:ascii="宋体" w:hAnsi="宋体" w:cs="宋体"/>
                <w:kern w:val="0"/>
                <w:sz w:val="20"/>
                <w:szCs w:val="20"/>
              </w:rPr>
              <w:t>标配≥2个千兆网口，2个USB3.0接口；</w:t>
            </w:r>
          </w:p>
          <w:p w14:paraId="7CF63BDB">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提供RAID0、1、3、5、6、10、50，60、JBOD、VRAID、iRAID模式</w:t>
            </w:r>
            <w:r>
              <w:rPr>
                <w:rFonts w:hint="eastAsia" w:ascii="宋体" w:hAnsi="宋体" w:cs="宋体"/>
                <w:kern w:val="0"/>
                <w:sz w:val="20"/>
                <w:szCs w:val="20"/>
              </w:rPr>
              <w:br w:type="page"/>
            </w:r>
            <w:r>
              <w:rPr>
                <w:rFonts w:hint="eastAsia" w:ascii="宋体" w:hAnsi="宋体" w:cs="宋体"/>
                <w:kern w:val="0"/>
                <w:sz w:val="20"/>
                <w:szCs w:val="20"/>
              </w:rPr>
              <w:t>应能可对视音频、图片、智能数据流进行混合直存，无须存储服务器和图片服务器的参与，平台服务器宕机时，存储业务正常；</w:t>
            </w:r>
            <w:r>
              <w:rPr>
                <w:rFonts w:hint="eastAsia" w:ascii="宋体" w:hAnsi="宋体" w:cs="宋体"/>
                <w:kern w:val="0"/>
                <w:sz w:val="20"/>
                <w:szCs w:val="20"/>
              </w:rPr>
              <w:br w:type="page"/>
            </w:r>
            <w:r>
              <w:rPr>
                <w:rFonts w:hint="eastAsia" w:ascii="宋体" w:hAnsi="宋体" w:cs="宋体"/>
                <w:kern w:val="0"/>
                <w:sz w:val="20"/>
                <w:szCs w:val="20"/>
              </w:rPr>
              <w:t>应能接入并存储800Mbps视频图像，同时转发800Mbps的视频图像；</w:t>
            </w:r>
          </w:p>
          <w:p w14:paraId="4F3020AE">
            <w:pPr>
              <w:widowControl/>
              <w:jc w:val="left"/>
              <w:rPr>
                <w:rFonts w:hint="eastAsia" w:ascii="宋体" w:hAnsi="宋体" w:cs="宋体"/>
                <w:kern w:val="0"/>
                <w:sz w:val="20"/>
                <w:szCs w:val="20"/>
              </w:rPr>
            </w:pPr>
            <w:r>
              <w:rPr>
                <w:rFonts w:hint="eastAsia" w:ascii="宋体" w:hAnsi="宋体" w:cs="宋体"/>
                <w:kern w:val="0"/>
                <w:sz w:val="20"/>
                <w:szCs w:val="20"/>
              </w:rPr>
              <w:t>同时回放128Mbps的视频图像；</w:t>
            </w:r>
            <w:r>
              <w:rPr>
                <w:rFonts w:hint="eastAsia" w:ascii="宋体" w:hAnsi="宋体" w:cs="宋体"/>
                <w:kern w:val="0"/>
                <w:sz w:val="20"/>
                <w:szCs w:val="20"/>
              </w:rPr>
              <w:br w:type="page"/>
            </w:r>
            <w:r>
              <w:rPr>
                <w:rFonts w:hint="eastAsia" w:ascii="宋体" w:hAnsi="宋体" w:cs="宋体"/>
                <w:kern w:val="0"/>
                <w:sz w:val="20"/>
                <w:szCs w:val="20"/>
              </w:rPr>
              <w:t>一键配置存储模式，自动实现RAID5或VRAID创建与空间划分</w:t>
            </w:r>
            <w:r>
              <w:rPr>
                <w:rFonts w:hint="eastAsia" w:ascii="宋体" w:hAnsi="宋体" w:cs="宋体"/>
                <w:kern w:val="0"/>
                <w:sz w:val="20"/>
                <w:szCs w:val="20"/>
              </w:rPr>
              <w:br w:type="page"/>
            </w:r>
            <w:r>
              <w:rPr>
                <w:rFonts w:hint="eastAsia" w:ascii="宋体" w:hAnsi="宋体" w:cs="宋体"/>
                <w:kern w:val="0"/>
                <w:sz w:val="20"/>
                <w:szCs w:val="20"/>
              </w:rPr>
              <w:t>应能在RAID内丢失2块（含）以上硬盘但至少有1块正常磁盘时，无需等待丢失盘恢复，保留的硬盘中的数据可正常读出，且新数据可正常写入</w:t>
            </w:r>
            <w:r>
              <w:rPr>
                <w:rFonts w:hint="eastAsia" w:ascii="宋体" w:hAnsi="宋体" w:cs="宋体"/>
                <w:kern w:val="0"/>
                <w:sz w:val="20"/>
                <w:szCs w:val="20"/>
              </w:rPr>
              <w:br w:type="page"/>
            </w:r>
            <w:r>
              <w:rPr>
                <w:rFonts w:hint="eastAsia" w:ascii="宋体" w:hAnsi="宋体" w:cs="宋体"/>
                <w:kern w:val="0"/>
                <w:sz w:val="20"/>
                <w:szCs w:val="20"/>
              </w:rPr>
              <w:t>应支持双活功能，单机故障时不影响数据读写</w:t>
            </w:r>
            <w:r>
              <w:rPr>
                <w:rFonts w:hint="eastAsia" w:ascii="宋体" w:hAnsi="宋体" w:cs="宋体"/>
                <w:kern w:val="0"/>
                <w:sz w:val="20"/>
                <w:szCs w:val="20"/>
              </w:rPr>
              <w:br w:type="page"/>
            </w:r>
            <w:r>
              <w:rPr>
                <w:rFonts w:hint="eastAsia" w:ascii="宋体" w:hAnsi="宋体" w:cs="宋体"/>
                <w:kern w:val="0"/>
                <w:sz w:val="20"/>
                <w:szCs w:val="20"/>
              </w:rPr>
              <w:t>根据数据对象的重要性（例如：系统信息、配置信息、报警录像、普通录像等）、访问频率等属性按照预先设定的分层存储区域可进行自动分层存储并可实现快速访问</w:t>
            </w:r>
            <w:r>
              <w:rPr>
                <w:rFonts w:hint="eastAsia" w:ascii="宋体" w:hAnsi="宋体" w:cs="宋体"/>
                <w:kern w:val="0"/>
                <w:sz w:val="20"/>
                <w:szCs w:val="20"/>
              </w:rPr>
              <w:br w:type="page"/>
            </w:r>
            <w:r>
              <w:rPr>
                <w:rFonts w:hint="eastAsia" w:ascii="宋体" w:hAnsi="宋体" w:cs="宋体"/>
                <w:kern w:val="0"/>
                <w:sz w:val="20"/>
                <w:szCs w:val="20"/>
              </w:rPr>
              <w:t>可支持视频质量诊断功能，对图像的亮度、偏色、对比度、清晰度、视频丢失、条纹干扰、视频噪声、视频虚焦等特征进行实时分析，并以日志、报表和图形化方式显示结果</w:t>
            </w:r>
            <w:r>
              <w:rPr>
                <w:rFonts w:hint="eastAsia" w:ascii="宋体" w:hAnsi="宋体" w:cs="宋体"/>
                <w:kern w:val="0"/>
                <w:sz w:val="20"/>
                <w:szCs w:val="20"/>
              </w:rPr>
              <w:br w:type="page"/>
            </w:r>
            <w:r>
              <w:rPr>
                <w:rFonts w:hint="eastAsia" w:ascii="宋体" w:hAnsi="宋体" w:cs="宋体"/>
                <w:kern w:val="0"/>
                <w:sz w:val="20"/>
                <w:szCs w:val="20"/>
              </w:rPr>
              <w:t>应能支持报警预录功能，应能预录报警触发前1-40min的视频录像</w:t>
            </w:r>
            <w:r>
              <w:rPr>
                <w:rFonts w:hint="eastAsia" w:ascii="宋体" w:hAnsi="宋体" w:cs="宋体"/>
                <w:kern w:val="0"/>
                <w:sz w:val="20"/>
                <w:szCs w:val="20"/>
              </w:rPr>
              <w:br w:type="page"/>
            </w:r>
            <w:r>
              <w:rPr>
                <w:rFonts w:hint="eastAsia" w:ascii="宋体" w:hAnsi="宋体" w:cs="宋体"/>
                <w:kern w:val="0"/>
                <w:sz w:val="20"/>
                <w:szCs w:val="20"/>
              </w:rPr>
              <w:t>应能支持MPEG4、H.264、H.265、SVAC编码格式和分辨率为4096×2160的前端设备并存储录像文件。</w:t>
            </w:r>
          </w:p>
          <w:p w14:paraId="7071E23D">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可在视频画面上绘制区域或界线，检索指定范围内的报警录像；输入车牌号码可检索出相关图片和视频；</w:t>
            </w:r>
          </w:p>
          <w:p w14:paraId="7232D895">
            <w:pPr>
              <w:widowControl/>
              <w:jc w:val="left"/>
              <w:rPr>
                <w:rFonts w:hint="eastAsia" w:ascii="宋体" w:hAnsi="宋体" w:cs="宋体"/>
                <w:kern w:val="0"/>
                <w:sz w:val="20"/>
                <w:szCs w:val="20"/>
              </w:rPr>
            </w:pPr>
            <w:r>
              <w:rPr>
                <w:rFonts w:hint="eastAsia" w:ascii="宋体" w:hAnsi="宋体" w:cs="宋体"/>
                <w:kern w:val="0"/>
                <w:sz w:val="20"/>
                <w:szCs w:val="20"/>
              </w:rPr>
              <w:t>可按照报警事件进行检索。</w:t>
            </w:r>
            <w:r>
              <w:rPr>
                <w:rFonts w:hint="eastAsia" w:ascii="宋体" w:hAnsi="宋体" w:cs="宋体"/>
                <w:kern w:val="0"/>
                <w:sz w:val="20"/>
                <w:szCs w:val="20"/>
              </w:rPr>
              <w:br w:type="page"/>
            </w:r>
            <w:r>
              <w:rPr>
                <w:rFonts w:hint="eastAsia" w:ascii="宋体" w:hAnsi="宋体" w:cs="宋体"/>
                <w:kern w:val="0"/>
                <w:sz w:val="20"/>
                <w:szCs w:val="20"/>
              </w:rPr>
              <w:t>支持视频矫正功能，可将接入的鱼眼摄像机、双目摄像机和全景自拼接摄像机、智能相机、热成像摄像机的图像以多画面分割方式显示并进行调整；支持画中画通道视频显示和存储</w:t>
            </w:r>
            <w:r>
              <w:rPr>
                <w:rFonts w:hint="eastAsia" w:ascii="宋体" w:hAnsi="宋体" w:cs="宋体"/>
                <w:kern w:val="0"/>
                <w:sz w:val="20"/>
                <w:szCs w:val="20"/>
              </w:rPr>
              <w:br w:type="page"/>
            </w:r>
            <w:r>
              <w:rPr>
                <w:rFonts w:hint="eastAsia" w:ascii="宋体" w:hAnsi="宋体" w:cs="宋体"/>
                <w:kern w:val="0"/>
                <w:sz w:val="20"/>
                <w:szCs w:val="20"/>
              </w:rPr>
              <w:t>通过客户端软件添加及删除手机号，启用短信网关报警功能后，可向添加的手机号码发送电源异常、系统卡容量不足、存储空间异常、自动修复失败、私有卷IO异常、无可用逻辑卷等报警信息，报警种类可设。</w:t>
            </w:r>
          </w:p>
          <w:p w14:paraId="2CCCDCCB">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可对指定的录像段或指定事件的1个或多个前端的不同时间段的录像段添加标签，并自动备份到存档卷中，使之不会被覆盖删除。</w:t>
            </w:r>
            <w:r>
              <w:rPr>
                <w:rFonts w:hint="eastAsia" w:ascii="宋体" w:hAnsi="宋体" w:cs="宋体"/>
                <w:kern w:val="0"/>
                <w:sz w:val="20"/>
                <w:szCs w:val="20"/>
              </w:rPr>
              <w:br w:type="page"/>
            </w:r>
            <w:r>
              <w:rPr>
                <w:rFonts w:hint="eastAsia" w:ascii="宋体" w:hAnsi="宋体" w:cs="宋体"/>
                <w:kern w:val="0"/>
                <w:sz w:val="20"/>
                <w:szCs w:val="20"/>
              </w:rPr>
              <w:t>可根据事件名称查询所有相关联的不同前端或时间的录像段并进行回放和下载。</w:t>
            </w:r>
          </w:p>
          <w:p w14:paraId="7A4A6A2D">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可通过IE浏览器对一台、多台样机或扩展柜中的磁盘进行定位，使对应的磁盘指示灯闪烁，闪烁的时长可设。</w:t>
            </w:r>
            <w:r>
              <w:rPr>
                <w:rFonts w:hint="eastAsia" w:ascii="宋体" w:hAnsi="宋体" w:cs="宋体"/>
                <w:kern w:val="0"/>
                <w:sz w:val="20"/>
                <w:szCs w:val="20"/>
              </w:rPr>
              <w:br w:type="page"/>
            </w:r>
            <w:r>
              <w:rPr>
                <w:rFonts w:hint="eastAsia" w:ascii="宋体" w:hAnsi="宋体" w:cs="宋体"/>
                <w:kern w:val="0"/>
                <w:sz w:val="20"/>
                <w:szCs w:val="20"/>
              </w:rPr>
              <w:t>在UI界面实时显示磁盘体检状态，对异常状态磁盘，可查看处理建议信息</w:t>
            </w:r>
            <w:r>
              <w:rPr>
                <w:rFonts w:hint="eastAsia" w:ascii="宋体" w:hAnsi="宋体" w:cs="宋体"/>
                <w:kern w:val="0"/>
                <w:sz w:val="20"/>
                <w:szCs w:val="20"/>
              </w:rPr>
              <w:br w:type="page"/>
            </w:r>
            <w:r>
              <w:rPr>
                <w:rFonts w:hint="eastAsia" w:ascii="宋体" w:hAnsi="宋体" w:cs="宋体"/>
                <w:kern w:val="0"/>
                <w:sz w:val="20"/>
                <w:szCs w:val="20"/>
              </w:rPr>
              <w:t>在冗余范围内元数据丢失时，可自动进行数据恢复，并保持业务不中断。</w:t>
            </w:r>
            <w:r>
              <w:rPr>
                <w:rFonts w:hint="eastAsia" w:ascii="宋体" w:hAnsi="宋体" w:cs="宋体"/>
                <w:kern w:val="0"/>
                <w:sz w:val="20"/>
                <w:szCs w:val="20"/>
              </w:rPr>
              <w:br w:type="page"/>
            </w:r>
            <w:r>
              <w:rPr>
                <w:rFonts w:hint="eastAsia" w:ascii="宋体" w:hAnsi="宋体" w:cs="宋体"/>
                <w:kern w:val="0"/>
                <w:sz w:val="20"/>
                <w:szCs w:val="20"/>
              </w:rPr>
              <w:t>可将接入样机的网络设备的IP地址、端口号等信息以excel形式进行导入导出</w:t>
            </w:r>
          </w:p>
        </w:tc>
        <w:tc>
          <w:tcPr>
            <w:tcW w:w="981" w:type="dxa"/>
            <w:tcBorders>
              <w:top w:val="nil"/>
              <w:left w:val="nil"/>
              <w:bottom w:val="single" w:color="auto" w:sz="4" w:space="0"/>
              <w:right w:val="single" w:color="auto" w:sz="4" w:space="0"/>
            </w:tcBorders>
            <w:shd w:val="clear" w:color="auto" w:fill="auto"/>
            <w:vAlign w:val="center"/>
          </w:tcPr>
          <w:p w14:paraId="6F7A5127">
            <w:pPr>
              <w:widowControl/>
              <w:jc w:val="center"/>
              <w:rPr>
                <w:rFonts w:hint="eastAsia" w:ascii="宋体" w:hAnsi="宋体" w:cs="宋体"/>
                <w:kern w:val="0"/>
                <w:sz w:val="20"/>
                <w:szCs w:val="20"/>
              </w:rPr>
            </w:pPr>
            <w:r>
              <w:rPr>
                <w:rFonts w:hint="eastAsia" w:ascii="宋体" w:hAnsi="宋体" w:cs="宋体"/>
                <w:kern w:val="0"/>
                <w:sz w:val="20"/>
                <w:szCs w:val="20"/>
              </w:rPr>
              <w:t>台</w:t>
            </w:r>
          </w:p>
        </w:tc>
        <w:tc>
          <w:tcPr>
            <w:tcW w:w="1177" w:type="dxa"/>
            <w:tcBorders>
              <w:top w:val="nil"/>
              <w:left w:val="nil"/>
              <w:bottom w:val="single" w:color="auto" w:sz="4" w:space="0"/>
              <w:right w:val="single" w:color="auto" w:sz="4" w:space="0"/>
            </w:tcBorders>
            <w:shd w:val="clear" w:color="auto" w:fill="auto"/>
            <w:vAlign w:val="center"/>
          </w:tcPr>
          <w:p w14:paraId="51C33145">
            <w:pPr>
              <w:widowControl/>
              <w:jc w:val="center"/>
              <w:rPr>
                <w:rFonts w:hint="eastAsia" w:ascii="宋体" w:hAnsi="宋体" w:cs="宋体"/>
                <w:kern w:val="0"/>
                <w:sz w:val="20"/>
                <w:szCs w:val="20"/>
              </w:rPr>
            </w:pPr>
            <w:r>
              <w:rPr>
                <w:rFonts w:hint="eastAsia" w:ascii="宋体" w:hAnsi="宋体" w:cs="宋体"/>
                <w:kern w:val="0"/>
                <w:sz w:val="20"/>
                <w:szCs w:val="20"/>
              </w:rPr>
              <w:t>2</w:t>
            </w:r>
          </w:p>
        </w:tc>
      </w:tr>
      <w:tr w14:paraId="6AD6317F">
        <w:tblPrEx>
          <w:tblCellMar>
            <w:top w:w="0" w:type="dxa"/>
            <w:left w:w="108" w:type="dxa"/>
            <w:bottom w:w="0" w:type="dxa"/>
            <w:right w:w="108" w:type="dxa"/>
          </w:tblCellMar>
        </w:tblPrEx>
        <w:trPr>
          <w:trHeight w:val="3325" w:hRule="atLeast"/>
        </w:trPr>
        <w:tc>
          <w:tcPr>
            <w:tcW w:w="1080" w:type="dxa"/>
            <w:tcBorders>
              <w:top w:val="nil"/>
              <w:left w:val="single" w:color="auto" w:sz="4" w:space="0"/>
              <w:bottom w:val="single" w:color="auto" w:sz="4" w:space="0"/>
              <w:right w:val="single" w:color="auto" w:sz="4" w:space="0"/>
            </w:tcBorders>
            <w:shd w:val="clear" w:color="auto" w:fill="auto"/>
            <w:vAlign w:val="center"/>
          </w:tcPr>
          <w:p w14:paraId="7C79EBC5">
            <w:pPr>
              <w:widowControl/>
              <w:jc w:val="center"/>
              <w:rPr>
                <w:rFonts w:hint="eastAsia" w:ascii="宋体" w:hAnsi="宋体" w:cs="宋体"/>
                <w:kern w:val="0"/>
                <w:sz w:val="20"/>
                <w:szCs w:val="20"/>
              </w:rPr>
            </w:pPr>
            <w:r>
              <w:rPr>
                <w:rFonts w:hint="eastAsia" w:ascii="宋体" w:hAnsi="宋体" w:cs="宋体"/>
                <w:kern w:val="0"/>
                <w:sz w:val="20"/>
                <w:szCs w:val="20"/>
              </w:rPr>
              <w:t>11</w:t>
            </w:r>
          </w:p>
        </w:tc>
        <w:tc>
          <w:tcPr>
            <w:tcW w:w="1325" w:type="dxa"/>
            <w:tcBorders>
              <w:top w:val="nil"/>
              <w:left w:val="nil"/>
              <w:bottom w:val="single" w:color="auto" w:sz="4" w:space="0"/>
              <w:right w:val="single" w:color="auto" w:sz="4" w:space="0"/>
            </w:tcBorders>
            <w:shd w:val="clear" w:color="auto" w:fill="auto"/>
            <w:vAlign w:val="center"/>
          </w:tcPr>
          <w:p w14:paraId="56868406">
            <w:pPr>
              <w:widowControl/>
              <w:jc w:val="left"/>
              <w:rPr>
                <w:rFonts w:hint="eastAsia" w:ascii="宋体" w:hAnsi="宋体" w:cs="宋体"/>
                <w:kern w:val="0"/>
                <w:sz w:val="20"/>
                <w:szCs w:val="20"/>
              </w:rPr>
            </w:pPr>
            <w:r>
              <w:rPr>
                <w:rFonts w:hint="eastAsia" w:ascii="宋体" w:hAnsi="宋体" w:cs="宋体"/>
                <w:kern w:val="0"/>
                <w:sz w:val="20"/>
                <w:szCs w:val="20"/>
              </w:rPr>
              <w:t>边缘计算主机</w:t>
            </w:r>
          </w:p>
        </w:tc>
        <w:tc>
          <w:tcPr>
            <w:tcW w:w="3515" w:type="dxa"/>
            <w:tcBorders>
              <w:top w:val="nil"/>
              <w:left w:val="nil"/>
              <w:bottom w:val="single" w:color="auto" w:sz="4" w:space="0"/>
              <w:right w:val="single" w:color="auto" w:sz="4" w:space="0"/>
            </w:tcBorders>
            <w:shd w:val="clear" w:color="auto" w:fill="auto"/>
            <w:vAlign w:val="center"/>
          </w:tcPr>
          <w:p w14:paraId="1D6BEE9D">
            <w:pPr>
              <w:widowControl/>
              <w:jc w:val="left"/>
              <w:rPr>
                <w:rFonts w:hint="eastAsia" w:ascii="宋体" w:hAnsi="宋体" w:cs="宋体"/>
                <w:kern w:val="0"/>
                <w:sz w:val="20"/>
                <w:szCs w:val="20"/>
              </w:rPr>
            </w:pPr>
            <w:r>
              <w:rPr>
                <w:rFonts w:hint="eastAsia" w:ascii="宋体" w:hAnsi="宋体" w:cs="宋体"/>
                <w:kern w:val="0"/>
                <w:sz w:val="20"/>
                <w:szCs w:val="20"/>
              </w:rPr>
              <w:t>嵌入式边缘计算主机，采用存算一体架构，内置高性能AI处理器</w:t>
            </w:r>
            <w:r>
              <w:rPr>
                <w:rFonts w:hint="eastAsia" w:ascii="宋体" w:hAnsi="宋体" w:cs="宋体"/>
                <w:kern w:val="0"/>
                <w:sz w:val="20"/>
                <w:szCs w:val="20"/>
              </w:rPr>
              <w:br w:type="textWrapping"/>
            </w:r>
            <w:r>
              <w:rPr>
                <w:rFonts w:hint="eastAsia" w:ascii="宋体" w:hAnsi="宋体" w:cs="宋体"/>
                <w:kern w:val="0"/>
                <w:sz w:val="20"/>
                <w:szCs w:val="20"/>
              </w:rPr>
              <w:t>存储接口：5个SATA接口，支持硬盘热插拔，可满配12TB硬盘</w:t>
            </w:r>
            <w:r>
              <w:rPr>
                <w:rFonts w:hint="eastAsia" w:ascii="宋体" w:hAnsi="宋体" w:cs="宋体"/>
                <w:kern w:val="0"/>
                <w:sz w:val="20"/>
                <w:szCs w:val="20"/>
              </w:rPr>
              <w:br w:type="textWrapping"/>
            </w:r>
            <w:r>
              <w:rPr>
                <w:rFonts w:hint="eastAsia" w:ascii="宋体" w:hAnsi="宋体" w:cs="宋体"/>
                <w:kern w:val="0"/>
                <w:sz w:val="20"/>
                <w:szCs w:val="20"/>
              </w:rPr>
              <w:t>视频接口：2×HDMI，1×VGA</w:t>
            </w:r>
            <w:r>
              <w:rPr>
                <w:rFonts w:hint="eastAsia" w:ascii="宋体" w:hAnsi="宋体" w:cs="宋体"/>
                <w:kern w:val="0"/>
                <w:sz w:val="20"/>
                <w:szCs w:val="20"/>
              </w:rPr>
              <w:br w:type="textWrapping"/>
            </w:r>
            <w:r>
              <w:rPr>
                <w:rFonts w:hint="eastAsia" w:ascii="宋体" w:hAnsi="宋体" w:cs="宋体"/>
                <w:kern w:val="0"/>
                <w:sz w:val="20"/>
                <w:szCs w:val="20"/>
              </w:rPr>
              <w:t>网络接口：2×RJ45 10/100/1000Mbps自适应以太网口</w:t>
            </w:r>
            <w:r>
              <w:rPr>
                <w:rFonts w:hint="eastAsia" w:ascii="宋体" w:hAnsi="宋体" w:cs="宋体"/>
                <w:kern w:val="0"/>
                <w:sz w:val="20"/>
                <w:szCs w:val="20"/>
              </w:rPr>
              <w:br w:type="textWrapping"/>
            </w:r>
            <w:r>
              <w:rPr>
                <w:rFonts w:hint="eastAsia" w:ascii="宋体" w:hAnsi="宋体" w:cs="宋体"/>
                <w:kern w:val="0"/>
                <w:sz w:val="20"/>
                <w:szCs w:val="20"/>
              </w:rPr>
              <w:t>报警接口：16路报警输入，4路报警输出口</w:t>
            </w:r>
            <w:r>
              <w:rPr>
                <w:rFonts w:hint="eastAsia" w:ascii="宋体" w:hAnsi="宋体" w:cs="宋体"/>
                <w:kern w:val="0"/>
                <w:sz w:val="20"/>
                <w:szCs w:val="20"/>
              </w:rPr>
              <w:br w:type="textWrapping"/>
            </w:r>
            <w:r>
              <w:rPr>
                <w:rFonts w:hint="eastAsia" w:ascii="宋体" w:hAnsi="宋体" w:cs="宋体"/>
                <w:kern w:val="0"/>
                <w:sz w:val="20"/>
                <w:szCs w:val="20"/>
              </w:rPr>
              <w:t>输入带宽：256Mbps</w:t>
            </w:r>
            <w:r>
              <w:rPr>
                <w:rFonts w:hint="eastAsia" w:ascii="宋体" w:hAnsi="宋体" w:cs="宋体"/>
                <w:kern w:val="0"/>
                <w:sz w:val="20"/>
                <w:szCs w:val="20"/>
              </w:rPr>
              <w:br w:type="textWrapping"/>
            </w:r>
            <w:r>
              <w:rPr>
                <w:rFonts w:hint="eastAsia" w:ascii="宋体" w:hAnsi="宋体" w:cs="宋体"/>
                <w:kern w:val="0"/>
                <w:sz w:val="20"/>
                <w:szCs w:val="20"/>
              </w:rPr>
              <w:t>输出带宽：256Mbps</w:t>
            </w:r>
            <w:r>
              <w:rPr>
                <w:rFonts w:hint="eastAsia" w:ascii="宋体" w:hAnsi="宋体" w:cs="宋体"/>
                <w:kern w:val="0"/>
                <w:sz w:val="20"/>
                <w:szCs w:val="20"/>
              </w:rPr>
              <w:br w:type="textWrapping"/>
            </w:r>
            <w:r>
              <w:rPr>
                <w:rFonts w:hint="eastAsia" w:ascii="宋体" w:hAnsi="宋体" w:cs="宋体"/>
                <w:kern w:val="0"/>
                <w:sz w:val="20"/>
                <w:szCs w:val="20"/>
              </w:rPr>
              <w:t>接入能力：16路H.264、H.265格式高清码流接入</w:t>
            </w:r>
            <w:r>
              <w:rPr>
                <w:rFonts w:hint="eastAsia" w:ascii="宋体" w:hAnsi="宋体" w:cs="宋体"/>
                <w:kern w:val="0"/>
                <w:sz w:val="20"/>
                <w:szCs w:val="20"/>
              </w:rPr>
              <w:br w:type="textWrapping"/>
            </w:r>
            <w:r>
              <w:rPr>
                <w:rFonts w:hint="eastAsia" w:ascii="宋体" w:hAnsi="宋体" w:cs="宋体"/>
                <w:kern w:val="0"/>
                <w:sz w:val="20"/>
                <w:szCs w:val="20"/>
              </w:rPr>
              <w:t>解码能力：最大支持32×1080P</w:t>
            </w:r>
            <w:r>
              <w:rPr>
                <w:rFonts w:hint="eastAsia" w:ascii="宋体" w:hAnsi="宋体" w:cs="宋体"/>
                <w:kern w:val="0"/>
                <w:sz w:val="20"/>
                <w:szCs w:val="20"/>
              </w:rPr>
              <w:br w:type="textWrapping"/>
            </w:r>
            <w:r>
              <w:rPr>
                <w:rFonts w:hint="eastAsia" w:ascii="宋体" w:hAnsi="宋体" w:cs="宋体"/>
                <w:kern w:val="0"/>
                <w:sz w:val="20"/>
                <w:szCs w:val="20"/>
              </w:rPr>
              <w:t>显示能力：最大支持8K+1080P、2×4K异源输出</w:t>
            </w:r>
            <w:r>
              <w:rPr>
                <w:rFonts w:hint="eastAsia" w:ascii="宋体" w:hAnsi="宋体" w:cs="宋体"/>
                <w:kern w:val="0"/>
                <w:sz w:val="20"/>
                <w:szCs w:val="20"/>
              </w:rPr>
              <w:br w:type="textWrapping"/>
            </w:r>
            <w:r>
              <w:rPr>
                <w:rFonts w:hint="eastAsia" w:ascii="宋体" w:hAnsi="宋体" w:cs="宋体"/>
                <w:kern w:val="0"/>
                <w:sz w:val="20"/>
                <w:szCs w:val="20"/>
              </w:rPr>
              <w:t>1、目标识别应用能力不低于：</w:t>
            </w:r>
            <w:r>
              <w:rPr>
                <w:rFonts w:hint="eastAsia" w:ascii="宋体" w:hAnsi="宋体" w:cs="宋体"/>
                <w:kern w:val="0"/>
                <w:sz w:val="20"/>
                <w:szCs w:val="20"/>
              </w:rPr>
              <w:br w:type="textWrapping"/>
            </w:r>
            <w:r>
              <w:rPr>
                <w:rFonts w:hint="eastAsia" w:ascii="宋体" w:hAnsi="宋体" w:cs="宋体"/>
                <w:kern w:val="0"/>
                <w:sz w:val="20"/>
                <w:szCs w:val="20"/>
              </w:rPr>
              <w:t>支持目标抓拍、比对报警；支持以图搜图、按姓名检索、按属性检索</w:t>
            </w:r>
            <w:r>
              <w:rPr>
                <w:rFonts w:hint="eastAsia" w:ascii="宋体" w:hAnsi="宋体" w:cs="宋体"/>
                <w:kern w:val="0"/>
                <w:sz w:val="20"/>
                <w:szCs w:val="20"/>
              </w:rPr>
              <w:br w:type="textWrapping"/>
            </w:r>
            <w:r>
              <w:rPr>
                <w:rFonts w:hint="eastAsia" w:ascii="宋体" w:hAnsi="宋体" w:cs="宋体"/>
                <w:kern w:val="0"/>
                <w:sz w:val="20"/>
                <w:szCs w:val="20"/>
              </w:rPr>
              <w:t>目标名单库：支持32个名单库，名单库库容10万张；路人库库容1万张</w:t>
            </w:r>
            <w:r>
              <w:rPr>
                <w:rFonts w:hint="eastAsia" w:ascii="宋体" w:hAnsi="宋体" w:cs="宋体"/>
                <w:kern w:val="0"/>
                <w:sz w:val="20"/>
                <w:szCs w:val="20"/>
              </w:rPr>
              <w:br w:type="textWrapping"/>
            </w:r>
            <w:r>
              <w:rPr>
                <w:rFonts w:hint="eastAsia" w:ascii="宋体" w:hAnsi="宋体" w:cs="宋体"/>
                <w:kern w:val="0"/>
                <w:sz w:val="20"/>
                <w:szCs w:val="20"/>
              </w:rPr>
              <w:t>目标抓拍：16路视频流（2MP）</w:t>
            </w:r>
            <w:r>
              <w:rPr>
                <w:rFonts w:hint="eastAsia" w:ascii="宋体" w:hAnsi="宋体" w:cs="宋体"/>
                <w:kern w:val="0"/>
                <w:sz w:val="20"/>
                <w:szCs w:val="20"/>
              </w:rPr>
              <w:br w:type="textWrapping"/>
            </w:r>
            <w:r>
              <w:rPr>
                <w:rFonts w:hint="eastAsia" w:ascii="宋体" w:hAnsi="宋体" w:cs="宋体"/>
                <w:kern w:val="0"/>
                <w:sz w:val="20"/>
                <w:szCs w:val="20"/>
              </w:rPr>
              <w:t>2、视频结构化应用能力不低于：</w:t>
            </w:r>
            <w:r>
              <w:rPr>
                <w:rFonts w:hint="eastAsia" w:ascii="宋体" w:hAnsi="宋体" w:cs="宋体"/>
                <w:kern w:val="0"/>
                <w:sz w:val="20"/>
                <w:szCs w:val="20"/>
              </w:rPr>
              <w:br w:type="textWrapping"/>
            </w:r>
            <w:r>
              <w:rPr>
                <w:rFonts w:hint="eastAsia" w:ascii="宋体" w:hAnsi="宋体" w:cs="宋体"/>
                <w:kern w:val="0"/>
                <w:sz w:val="20"/>
                <w:szCs w:val="20"/>
              </w:rPr>
              <w:t>支持人体目标抓拍、以图搜图以及属性检索；支持车牌识别、车牌库报警以及属性检索</w:t>
            </w:r>
            <w:r>
              <w:rPr>
                <w:rFonts w:hint="eastAsia" w:ascii="宋体" w:hAnsi="宋体" w:cs="宋体"/>
                <w:kern w:val="0"/>
                <w:sz w:val="20"/>
                <w:szCs w:val="20"/>
              </w:rPr>
              <w:br w:type="textWrapping"/>
            </w:r>
            <w:r>
              <w:rPr>
                <w:rFonts w:hint="eastAsia" w:ascii="宋体" w:hAnsi="宋体" w:cs="宋体"/>
                <w:kern w:val="0"/>
                <w:sz w:val="20"/>
                <w:szCs w:val="20"/>
              </w:rPr>
              <w:t>视频结构化性能：12路视频流（2MP），同时支持16路目标比对。</w:t>
            </w:r>
          </w:p>
        </w:tc>
        <w:tc>
          <w:tcPr>
            <w:tcW w:w="981" w:type="dxa"/>
            <w:tcBorders>
              <w:top w:val="nil"/>
              <w:left w:val="nil"/>
              <w:bottom w:val="single" w:color="auto" w:sz="4" w:space="0"/>
              <w:right w:val="single" w:color="auto" w:sz="4" w:space="0"/>
            </w:tcBorders>
            <w:shd w:val="clear" w:color="auto" w:fill="auto"/>
            <w:noWrap/>
            <w:vAlign w:val="center"/>
          </w:tcPr>
          <w:p w14:paraId="40429AAC">
            <w:pPr>
              <w:widowControl/>
              <w:jc w:val="center"/>
              <w:rPr>
                <w:rFonts w:hint="eastAsia" w:ascii="宋体" w:hAnsi="宋体" w:cs="宋体"/>
                <w:kern w:val="0"/>
                <w:sz w:val="20"/>
                <w:szCs w:val="20"/>
              </w:rPr>
            </w:pPr>
            <w:r>
              <w:rPr>
                <w:rFonts w:hint="eastAsia" w:ascii="宋体" w:hAnsi="宋体" w:cs="宋体"/>
                <w:kern w:val="0"/>
                <w:sz w:val="20"/>
                <w:szCs w:val="20"/>
              </w:rPr>
              <w:t>台</w:t>
            </w:r>
          </w:p>
        </w:tc>
        <w:tc>
          <w:tcPr>
            <w:tcW w:w="1177" w:type="dxa"/>
            <w:tcBorders>
              <w:top w:val="nil"/>
              <w:left w:val="nil"/>
              <w:bottom w:val="single" w:color="auto" w:sz="4" w:space="0"/>
              <w:right w:val="single" w:color="auto" w:sz="4" w:space="0"/>
            </w:tcBorders>
            <w:shd w:val="clear" w:color="auto" w:fill="auto"/>
            <w:vAlign w:val="center"/>
          </w:tcPr>
          <w:p w14:paraId="6D2FB2B8">
            <w:pPr>
              <w:widowControl/>
              <w:jc w:val="center"/>
              <w:rPr>
                <w:rFonts w:hint="eastAsia" w:ascii="宋体" w:hAnsi="宋体" w:cs="宋体"/>
                <w:kern w:val="0"/>
                <w:sz w:val="20"/>
                <w:szCs w:val="20"/>
              </w:rPr>
            </w:pPr>
            <w:r>
              <w:rPr>
                <w:rFonts w:hint="eastAsia" w:ascii="宋体" w:hAnsi="宋体" w:cs="宋体"/>
                <w:kern w:val="0"/>
                <w:sz w:val="20"/>
                <w:szCs w:val="20"/>
              </w:rPr>
              <w:t>1</w:t>
            </w:r>
          </w:p>
        </w:tc>
      </w:tr>
      <w:tr w14:paraId="575CE784">
        <w:tblPrEx>
          <w:tblCellMar>
            <w:top w:w="0" w:type="dxa"/>
            <w:left w:w="108" w:type="dxa"/>
            <w:bottom w:w="0" w:type="dxa"/>
            <w:right w:w="108" w:type="dxa"/>
          </w:tblCellMar>
        </w:tblPrEx>
        <w:trPr>
          <w:trHeight w:val="1820" w:hRule="atLeast"/>
        </w:trPr>
        <w:tc>
          <w:tcPr>
            <w:tcW w:w="1080" w:type="dxa"/>
            <w:tcBorders>
              <w:top w:val="nil"/>
              <w:left w:val="single" w:color="auto" w:sz="4" w:space="0"/>
              <w:bottom w:val="single" w:color="auto" w:sz="4" w:space="0"/>
              <w:right w:val="single" w:color="auto" w:sz="4" w:space="0"/>
            </w:tcBorders>
            <w:shd w:val="clear" w:color="auto" w:fill="auto"/>
            <w:vAlign w:val="center"/>
          </w:tcPr>
          <w:p w14:paraId="40F2B017">
            <w:pPr>
              <w:widowControl/>
              <w:jc w:val="center"/>
              <w:rPr>
                <w:rFonts w:hint="eastAsia" w:ascii="宋体" w:hAnsi="宋体" w:cs="宋体"/>
                <w:kern w:val="0"/>
                <w:sz w:val="20"/>
                <w:szCs w:val="20"/>
              </w:rPr>
            </w:pPr>
            <w:r>
              <w:rPr>
                <w:rFonts w:hint="eastAsia" w:ascii="宋体" w:hAnsi="宋体" w:cs="宋体"/>
                <w:kern w:val="0"/>
                <w:sz w:val="20"/>
                <w:szCs w:val="20"/>
              </w:rPr>
              <w:t>12</w:t>
            </w:r>
          </w:p>
        </w:tc>
        <w:tc>
          <w:tcPr>
            <w:tcW w:w="1325" w:type="dxa"/>
            <w:tcBorders>
              <w:top w:val="nil"/>
              <w:left w:val="nil"/>
              <w:bottom w:val="single" w:color="auto" w:sz="4" w:space="0"/>
              <w:right w:val="single" w:color="auto" w:sz="4" w:space="0"/>
            </w:tcBorders>
            <w:shd w:val="clear" w:color="auto" w:fill="auto"/>
            <w:vAlign w:val="center"/>
          </w:tcPr>
          <w:p w14:paraId="567E7336">
            <w:pPr>
              <w:widowControl/>
              <w:jc w:val="left"/>
              <w:rPr>
                <w:rFonts w:hint="eastAsia" w:ascii="宋体" w:hAnsi="宋体" w:cs="宋体"/>
                <w:kern w:val="0"/>
                <w:sz w:val="20"/>
                <w:szCs w:val="20"/>
              </w:rPr>
            </w:pPr>
            <w:r>
              <w:rPr>
                <w:rFonts w:hint="eastAsia" w:ascii="宋体" w:hAnsi="宋体" w:cs="宋体"/>
                <w:kern w:val="0"/>
                <w:sz w:val="20"/>
                <w:szCs w:val="20"/>
              </w:rPr>
              <w:t>管理平台</w:t>
            </w:r>
          </w:p>
        </w:tc>
        <w:tc>
          <w:tcPr>
            <w:tcW w:w="3515" w:type="dxa"/>
            <w:tcBorders>
              <w:top w:val="nil"/>
              <w:left w:val="nil"/>
              <w:bottom w:val="single" w:color="auto" w:sz="4" w:space="0"/>
              <w:right w:val="single" w:color="auto" w:sz="4" w:space="0"/>
            </w:tcBorders>
            <w:shd w:val="clear" w:color="auto" w:fill="auto"/>
            <w:vAlign w:val="center"/>
          </w:tcPr>
          <w:p w14:paraId="1A0F93FF">
            <w:pPr>
              <w:widowControl/>
              <w:jc w:val="left"/>
              <w:rPr>
                <w:rFonts w:hint="eastAsia" w:ascii="宋体" w:hAnsi="宋体" w:cs="宋体"/>
                <w:kern w:val="0"/>
                <w:sz w:val="20"/>
                <w:szCs w:val="20"/>
              </w:rPr>
            </w:pPr>
            <w:r>
              <w:rPr>
                <w:rFonts w:hint="eastAsia" w:ascii="宋体" w:hAnsi="宋体" w:cs="宋体"/>
                <w:kern w:val="0"/>
                <w:sz w:val="20"/>
                <w:szCs w:val="20"/>
              </w:rPr>
              <w:t>1. 面向医疗机构其中以医院为主，集成视频、AI、物联等能力，满足医院在服务、运营、监管等方面的数字化转型。</w:t>
            </w:r>
            <w:r>
              <w:rPr>
                <w:rFonts w:hint="eastAsia" w:ascii="宋体" w:hAnsi="宋体" w:cs="宋体"/>
                <w:kern w:val="0"/>
                <w:sz w:val="20"/>
                <w:szCs w:val="20"/>
              </w:rPr>
              <w:br w:type="textWrapping"/>
            </w:r>
            <w:r>
              <w:rPr>
                <w:rFonts w:hint="eastAsia" w:ascii="宋体" w:hAnsi="宋体" w:cs="宋体"/>
                <w:kern w:val="0"/>
                <w:sz w:val="20"/>
                <w:szCs w:val="20"/>
              </w:rPr>
              <w:t>2. 业务范围包含但不限于：综合安防、医护患管理、探访管理、数字化病房、三维可视化。</w:t>
            </w:r>
            <w:r>
              <w:rPr>
                <w:rFonts w:hint="eastAsia" w:ascii="宋体" w:hAnsi="宋体" w:cs="宋体"/>
                <w:kern w:val="0"/>
                <w:sz w:val="20"/>
                <w:szCs w:val="20"/>
              </w:rPr>
              <w:br w:type="textWrapping"/>
            </w:r>
            <w:r>
              <w:rPr>
                <w:rFonts w:hint="eastAsia" w:ascii="宋体" w:hAnsi="宋体" w:cs="宋体"/>
                <w:kern w:val="0"/>
                <w:sz w:val="20"/>
                <w:szCs w:val="20"/>
              </w:rPr>
              <w:t>3. 功能模块应支持：视频监控、门禁管理、园区卡口、停车场出入口、视频联网、入侵报警、人脸监控、AI模型管理、AR实景、客流、三维、人体测温、巡检引擎、访客管理、动环监控、消防、医患管理、探视管理。</w:t>
            </w:r>
            <w:r>
              <w:rPr>
                <w:rFonts w:hint="eastAsia" w:ascii="宋体" w:hAnsi="宋体" w:cs="宋体"/>
                <w:kern w:val="0"/>
                <w:sz w:val="20"/>
                <w:szCs w:val="20"/>
              </w:rPr>
              <w:br w:type="textWrapping"/>
            </w:r>
            <w:r>
              <w:rPr>
                <w:rFonts w:hint="eastAsia" w:ascii="宋体" w:hAnsi="宋体" w:cs="宋体"/>
                <w:kern w:val="0"/>
                <w:sz w:val="20"/>
                <w:szCs w:val="20"/>
              </w:rPr>
              <w:t>4.投标文件中提供产品生产单位软件著作权证书复印件。</w:t>
            </w:r>
          </w:p>
        </w:tc>
        <w:tc>
          <w:tcPr>
            <w:tcW w:w="981" w:type="dxa"/>
            <w:tcBorders>
              <w:top w:val="nil"/>
              <w:left w:val="nil"/>
              <w:bottom w:val="single" w:color="auto" w:sz="4" w:space="0"/>
              <w:right w:val="single" w:color="auto" w:sz="4" w:space="0"/>
            </w:tcBorders>
            <w:shd w:val="clear" w:color="auto" w:fill="auto"/>
            <w:noWrap/>
            <w:vAlign w:val="center"/>
          </w:tcPr>
          <w:p w14:paraId="3389EA39">
            <w:pPr>
              <w:widowControl/>
              <w:jc w:val="center"/>
              <w:rPr>
                <w:rFonts w:hint="eastAsia" w:ascii="宋体" w:hAnsi="宋体" w:cs="宋体"/>
                <w:kern w:val="0"/>
                <w:sz w:val="20"/>
                <w:szCs w:val="20"/>
              </w:rPr>
            </w:pPr>
            <w:r>
              <w:rPr>
                <w:rFonts w:hint="eastAsia" w:ascii="宋体" w:hAnsi="宋体" w:cs="宋体"/>
                <w:kern w:val="0"/>
                <w:sz w:val="20"/>
                <w:szCs w:val="20"/>
              </w:rPr>
              <w:t>台</w:t>
            </w:r>
          </w:p>
        </w:tc>
        <w:tc>
          <w:tcPr>
            <w:tcW w:w="1177" w:type="dxa"/>
            <w:tcBorders>
              <w:top w:val="nil"/>
              <w:left w:val="nil"/>
              <w:bottom w:val="single" w:color="auto" w:sz="4" w:space="0"/>
              <w:right w:val="single" w:color="auto" w:sz="4" w:space="0"/>
            </w:tcBorders>
            <w:shd w:val="clear" w:color="auto" w:fill="auto"/>
            <w:vAlign w:val="center"/>
          </w:tcPr>
          <w:p w14:paraId="799CD7B5">
            <w:pPr>
              <w:widowControl/>
              <w:jc w:val="center"/>
              <w:rPr>
                <w:rFonts w:hint="eastAsia" w:ascii="宋体" w:hAnsi="宋体" w:cs="宋体"/>
                <w:kern w:val="0"/>
                <w:sz w:val="20"/>
                <w:szCs w:val="20"/>
              </w:rPr>
            </w:pPr>
            <w:r>
              <w:rPr>
                <w:rFonts w:hint="eastAsia" w:ascii="宋体" w:hAnsi="宋体" w:cs="宋体"/>
                <w:kern w:val="0"/>
                <w:sz w:val="20"/>
                <w:szCs w:val="20"/>
              </w:rPr>
              <w:t>1</w:t>
            </w:r>
          </w:p>
        </w:tc>
      </w:tr>
      <w:tr w14:paraId="1126A161">
        <w:tblPrEx>
          <w:tblCellMar>
            <w:top w:w="0" w:type="dxa"/>
            <w:left w:w="108" w:type="dxa"/>
            <w:bottom w:w="0" w:type="dxa"/>
            <w:right w:w="108" w:type="dxa"/>
          </w:tblCellMar>
        </w:tblPrEx>
        <w:trPr>
          <w:trHeight w:val="865" w:hRule="atLeast"/>
        </w:trPr>
        <w:tc>
          <w:tcPr>
            <w:tcW w:w="1080" w:type="dxa"/>
            <w:tcBorders>
              <w:top w:val="nil"/>
              <w:left w:val="single" w:color="auto" w:sz="4" w:space="0"/>
              <w:bottom w:val="single" w:color="auto" w:sz="4" w:space="0"/>
              <w:right w:val="single" w:color="auto" w:sz="4" w:space="0"/>
            </w:tcBorders>
            <w:shd w:val="clear" w:color="auto" w:fill="auto"/>
            <w:vAlign w:val="center"/>
          </w:tcPr>
          <w:p w14:paraId="3E00EE1A">
            <w:pPr>
              <w:widowControl/>
              <w:jc w:val="center"/>
              <w:rPr>
                <w:rFonts w:hint="eastAsia" w:ascii="宋体" w:hAnsi="宋体" w:cs="宋体"/>
                <w:kern w:val="0"/>
                <w:sz w:val="20"/>
                <w:szCs w:val="20"/>
              </w:rPr>
            </w:pPr>
            <w:r>
              <w:rPr>
                <w:rFonts w:hint="eastAsia" w:ascii="宋体" w:hAnsi="宋体" w:cs="宋体"/>
                <w:kern w:val="0"/>
                <w:sz w:val="20"/>
                <w:szCs w:val="20"/>
              </w:rPr>
              <w:t>13</w:t>
            </w:r>
          </w:p>
        </w:tc>
        <w:tc>
          <w:tcPr>
            <w:tcW w:w="1325" w:type="dxa"/>
            <w:tcBorders>
              <w:top w:val="nil"/>
              <w:left w:val="nil"/>
              <w:bottom w:val="single" w:color="auto" w:sz="4" w:space="0"/>
              <w:right w:val="single" w:color="auto" w:sz="4" w:space="0"/>
            </w:tcBorders>
            <w:shd w:val="clear" w:color="auto" w:fill="auto"/>
            <w:vAlign w:val="center"/>
          </w:tcPr>
          <w:p w14:paraId="28FC6717">
            <w:pPr>
              <w:widowControl/>
              <w:jc w:val="left"/>
              <w:rPr>
                <w:rFonts w:hint="eastAsia" w:ascii="宋体" w:hAnsi="宋体" w:cs="宋体"/>
                <w:kern w:val="0"/>
                <w:sz w:val="20"/>
                <w:szCs w:val="20"/>
              </w:rPr>
            </w:pPr>
            <w:r>
              <w:rPr>
                <w:rFonts w:hint="eastAsia" w:ascii="宋体" w:hAnsi="宋体" w:cs="宋体"/>
                <w:kern w:val="0"/>
                <w:sz w:val="20"/>
                <w:szCs w:val="20"/>
              </w:rPr>
              <w:t>机柜</w:t>
            </w:r>
          </w:p>
        </w:tc>
        <w:tc>
          <w:tcPr>
            <w:tcW w:w="3515" w:type="dxa"/>
            <w:tcBorders>
              <w:top w:val="nil"/>
              <w:left w:val="nil"/>
              <w:bottom w:val="single" w:color="auto" w:sz="4" w:space="0"/>
              <w:right w:val="single" w:color="auto" w:sz="4" w:space="0"/>
            </w:tcBorders>
            <w:shd w:val="clear" w:color="auto" w:fill="auto"/>
            <w:vAlign w:val="center"/>
          </w:tcPr>
          <w:p w14:paraId="5592F88F">
            <w:pPr>
              <w:widowControl/>
              <w:jc w:val="left"/>
              <w:rPr>
                <w:rFonts w:ascii="宋体" w:hAnsi="宋体" w:cs="宋体"/>
                <w:kern w:val="0"/>
                <w:sz w:val="20"/>
                <w:szCs w:val="20"/>
              </w:rPr>
            </w:pPr>
            <w:r>
              <w:rPr>
                <w:rFonts w:hint="eastAsia" w:ascii="宋体" w:hAnsi="宋体" w:cs="宋体"/>
                <w:kern w:val="0"/>
                <w:sz w:val="20"/>
                <w:szCs w:val="20"/>
              </w:rPr>
              <w:t>1.尺寸:600X800X2055mm</w:t>
            </w:r>
            <w:r>
              <w:rPr>
                <w:rFonts w:hint="eastAsia" w:ascii="宋体" w:hAnsi="宋体" w:cs="宋体"/>
                <w:kern w:val="0"/>
                <w:sz w:val="20"/>
                <w:szCs w:val="20"/>
              </w:rPr>
              <w:br w:type="page"/>
            </w:r>
            <w:r>
              <w:rPr>
                <w:rFonts w:hint="eastAsia" w:ascii="宋体" w:hAnsi="宋体" w:cs="宋体"/>
                <w:kern w:val="0"/>
                <w:sz w:val="20"/>
                <w:szCs w:val="20"/>
              </w:rPr>
              <w:t>2.容量:42U</w:t>
            </w:r>
          </w:p>
          <w:p w14:paraId="41E4A9B6">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3.配置:</w:t>
            </w:r>
            <w:r>
              <w:rPr>
                <w:rFonts w:hint="eastAsia" w:ascii="宋体" w:hAnsi="宋体" w:cs="宋体"/>
                <w:kern w:val="0"/>
                <w:sz w:val="20"/>
                <w:szCs w:val="20"/>
              </w:rPr>
              <w:br w:type="page"/>
            </w:r>
            <w:r>
              <w:rPr>
                <w:rFonts w:hint="eastAsia" w:ascii="宋体" w:hAnsi="宋体" w:cs="宋体"/>
                <w:kern w:val="0"/>
                <w:sz w:val="20"/>
                <w:szCs w:val="20"/>
              </w:rPr>
              <w:t>8位10APDU插排一个</w:t>
            </w:r>
            <w:r>
              <w:rPr>
                <w:rFonts w:hint="eastAsia" w:ascii="宋体" w:hAnsi="宋体" w:cs="宋体"/>
                <w:kern w:val="0"/>
                <w:sz w:val="20"/>
                <w:szCs w:val="20"/>
              </w:rPr>
              <w:br w:type="page"/>
            </w:r>
            <w:r>
              <w:rPr>
                <w:rFonts w:hint="eastAsia" w:ascii="宋体" w:hAnsi="宋体" w:cs="宋体"/>
                <w:kern w:val="0"/>
                <w:sz w:val="20"/>
                <w:szCs w:val="20"/>
              </w:rPr>
              <w:t>固定板3块</w:t>
            </w:r>
            <w:r>
              <w:rPr>
                <w:rFonts w:hint="eastAsia" w:ascii="宋体" w:hAnsi="宋体" w:cs="宋体"/>
                <w:kern w:val="0"/>
                <w:sz w:val="20"/>
                <w:szCs w:val="20"/>
              </w:rPr>
              <w:br w:type="page"/>
            </w:r>
            <w:r>
              <w:rPr>
                <w:rFonts w:hint="eastAsia" w:ascii="宋体" w:hAnsi="宋体" w:cs="宋体"/>
                <w:kern w:val="0"/>
                <w:sz w:val="20"/>
                <w:szCs w:val="20"/>
              </w:rPr>
              <w:t>风扇部件2组</w:t>
            </w:r>
            <w:r>
              <w:rPr>
                <w:rFonts w:hint="eastAsia" w:ascii="宋体" w:hAnsi="宋体" w:cs="宋体"/>
                <w:kern w:val="0"/>
                <w:sz w:val="20"/>
                <w:szCs w:val="20"/>
              </w:rPr>
              <w:br w:type="page"/>
            </w:r>
            <w:r>
              <w:rPr>
                <w:rFonts w:hint="eastAsia" w:ascii="宋体" w:hAnsi="宋体" w:cs="宋体"/>
                <w:kern w:val="0"/>
                <w:sz w:val="20"/>
                <w:szCs w:val="20"/>
              </w:rPr>
              <w:t>4只两寸重型脚轮</w:t>
            </w:r>
            <w:r>
              <w:rPr>
                <w:rFonts w:hint="eastAsia" w:ascii="宋体" w:hAnsi="宋体" w:cs="宋体"/>
                <w:kern w:val="0"/>
                <w:sz w:val="20"/>
                <w:szCs w:val="20"/>
              </w:rPr>
              <w:br w:type="page"/>
            </w:r>
            <w:r>
              <w:rPr>
                <w:rFonts w:hint="eastAsia" w:ascii="宋体" w:hAnsi="宋体" w:cs="宋体"/>
                <w:kern w:val="0"/>
                <w:sz w:val="20"/>
                <w:szCs w:val="20"/>
              </w:rPr>
              <w:t>M6方螺母钉40套</w:t>
            </w:r>
            <w:r>
              <w:rPr>
                <w:rFonts w:hint="eastAsia" w:ascii="宋体" w:hAnsi="宋体" w:cs="宋体"/>
                <w:kern w:val="0"/>
                <w:sz w:val="20"/>
                <w:szCs w:val="20"/>
              </w:rPr>
              <w:br w:type="page"/>
            </w:r>
            <w:r>
              <w:rPr>
                <w:rFonts w:hint="eastAsia" w:ascii="宋体" w:hAnsi="宋体" w:cs="宋体"/>
                <w:kern w:val="0"/>
                <w:sz w:val="20"/>
                <w:szCs w:val="20"/>
              </w:rPr>
              <w:t>内六角扳手一只</w:t>
            </w:r>
          </w:p>
        </w:tc>
        <w:tc>
          <w:tcPr>
            <w:tcW w:w="981" w:type="dxa"/>
            <w:tcBorders>
              <w:top w:val="nil"/>
              <w:left w:val="nil"/>
              <w:bottom w:val="single" w:color="auto" w:sz="4" w:space="0"/>
              <w:right w:val="single" w:color="auto" w:sz="4" w:space="0"/>
            </w:tcBorders>
            <w:shd w:val="clear" w:color="auto" w:fill="auto"/>
            <w:vAlign w:val="center"/>
          </w:tcPr>
          <w:p w14:paraId="6D7DA161">
            <w:pPr>
              <w:widowControl/>
              <w:jc w:val="center"/>
              <w:rPr>
                <w:rFonts w:hint="eastAsia" w:ascii="宋体" w:hAnsi="宋体" w:cs="宋体"/>
                <w:kern w:val="0"/>
                <w:sz w:val="20"/>
                <w:szCs w:val="20"/>
              </w:rPr>
            </w:pPr>
            <w:r>
              <w:rPr>
                <w:rFonts w:hint="eastAsia" w:ascii="宋体" w:hAnsi="宋体" w:cs="宋体"/>
                <w:kern w:val="0"/>
                <w:sz w:val="20"/>
                <w:szCs w:val="20"/>
              </w:rPr>
              <w:t>套</w:t>
            </w:r>
          </w:p>
        </w:tc>
        <w:tc>
          <w:tcPr>
            <w:tcW w:w="1177" w:type="dxa"/>
            <w:tcBorders>
              <w:top w:val="nil"/>
              <w:left w:val="nil"/>
              <w:bottom w:val="single" w:color="auto" w:sz="4" w:space="0"/>
              <w:right w:val="single" w:color="auto" w:sz="4" w:space="0"/>
            </w:tcBorders>
            <w:shd w:val="clear" w:color="auto" w:fill="auto"/>
            <w:vAlign w:val="center"/>
          </w:tcPr>
          <w:p w14:paraId="4AF68BF8">
            <w:pPr>
              <w:widowControl/>
              <w:jc w:val="center"/>
              <w:rPr>
                <w:rFonts w:hint="eastAsia" w:ascii="宋体" w:hAnsi="宋体" w:cs="宋体"/>
                <w:kern w:val="0"/>
                <w:sz w:val="20"/>
                <w:szCs w:val="20"/>
              </w:rPr>
            </w:pPr>
            <w:r>
              <w:rPr>
                <w:rFonts w:hint="eastAsia" w:ascii="宋体" w:hAnsi="宋体" w:cs="宋体"/>
                <w:kern w:val="0"/>
                <w:sz w:val="20"/>
                <w:szCs w:val="20"/>
              </w:rPr>
              <w:t>3</w:t>
            </w:r>
          </w:p>
        </w:tc>
      </w:tr>
      <w:tr w14:paraId="3B78A628">
        <w:tblPrEx>
          <w:tblCellMar>
            <w:top w:w="0" w:type="dxa"/>
            <w:left w:w="108" w:type="dxa"/>
            <w:bottom w:w="0" w:type="dxa"/>
            <w:right w:w="108" w:type="dxa"/>
          </w:tblCellMar>
        </w:tblPrEx>
        <w:trPr>
          <w:trHeight w:val="280" w:hRule="atLeast"/>
        </w:trPr>
        <w:tc>
          <w:tcPr>
            <w:tcW w:w="1080" w:type="dxa"/>
            <w:tcBorders>
              <w:top w:val="nil"/>
              <w:left w:val="single" w:color="auto" w:sz="4" w:space="0"/>
              <w:bottom w:val="single" w:color="auto" w:sz="4" w:space="0"/>
              <w:right w:val="single" w:color="auto" w:sz="4" w:space="0"/>
            </w:tcBorders>
            <w:shd w:val="clear" w:color="auto" w:fill="auto"/>
            <w:vAlign w:val="center"/>
          </w:tcPr>
          <w:p w14:paraId="1912D3DD">
            <w:pPr>
              <w:widowControl/>
              <w:jc w:val="center"/>
              <w:rPr>
                <w:rFonts w:hint="eastAsia" w:ascii="宋体" w:hAnsi="宋体" w:cs="宋体"/>
                <w:kern w:val="0"/>
                <w:sz w:val="20"/>
                <w:szCs w:val="20"/>
              </w:rPr>
            </w:pPr>
            <w:r>
              <w:rPr>
                <w:rFonts w:hint="eastAsia" w:ascii="宋体" w:hAnsi="宋体" w:cs="宋体"/>
                <w:kern w:val="0"/>
                <w:sz w:val="20"/>
                <w:szCs w:val="20"/>
              </w:rPr>
              <w:t>14</w:t>
            </w:r>
          </w:p>
        </w:tc>
        <w:tc>
          <w:tcPr>
            <w:tcW w:w="1325" w:type="dxa"/>
            <w:tcBorders>
              <w:top w:val="nil"/>
              <w:left w:val="nil"/>
              <w:bottom w:val="single" w:color="auto" w:sz="4" w:space="0"/>
              <w:right w:val="single" w:color="auto" w:sz="4" w:space="0"/>
            </w:tcBorders>
            <w:shd w:val="clear" w:color="auto" w:fill="auto"/>
            <w:vAlign w:val="center"/>
          </w:tcPr>
          <w:p w14:paraId="2807B625">
            <w:pPr>
              <w:widowControl/>
              <w:jc w:val="left"/>
              <w:rPr>
                <w:rFonts w:hint="eastAsia" w:ascii="宋体" w:hAnsi="宋体" w:cs="宋体"/>
                <w:kern w:val="0"/>
                <w:sz w:val="20"/>
                <w:szCs w:val="20"/>
              </w:rPr>
            </w:pPr>
            <w:r>
              <w:rPr>
                <w:rFonts w:hint="eastAsia" w:ascii="宋体" w:hAnsi="宋体" w:cs="宋体"/>
                <w:kern w:val="0"/>
                <w:sz w:val="20"/>
                <w:szCs w:val="20"/>
              </w:rPr>
              <w:t>网线</w:t>
            </w:r>
          </w:p>
        </w:tc>
        <w:tc>
          <w:tcPr>
            <w:tcW w:w="3515" w:type="dxa"/>
            <w:tcBorders>
              <w:top w:val="nil"/>
              <w:left w:val="nil"/>
              <w:bottom w:val="single" w:color="auto" w:sz="4" w:space="0"/>
              <w:right w:val="single" w:color="auto" w:sz="4" w:space="0"/>
            </w:tcBorders>
            <w:shd w:val="clear" w:color="auto" w:fill="auto"/>
            <w:vAlign w:val="center"/>
          </w:tcPr>
          <w:p w14:paraId="34F2EDC0">
            <w:pPr>
              <w:widowControl/>
              <w:jc w:val="left"/>
              <w:rPr>
                <w:rFonts w:hint="eastAsia" w:ascii="宋体" w:hAnsi="宋体" w:cs="宋体"/>
                <w:kern w:val="0"/>
                <w:sz w:val="20"/>
                <w:szCs w:val="20"/>
              </w:rPr>
            </w:pPr>
            <w:r>
              <w:rPr>
                <w:rFonts w:hint="eastAsia" w:ascii="宋体" w:hAnsi="宋体" w:cs="宋体"/>
                <w:kern w:val="0"/>
                <w:sz w:val="20"/>
                <w:szCs w:val="20"/>
              </w:rPr>
              <w:t>超六类</w:t>
            </w:r>
          </w:p>
        </w:tc>
        <w:tc>
          <w:tcPr>
            <w:tcW w:w="981" w:type="dxa"/>
            <w:tcBorders>
              <w:top w:val="nil"/>
              <w:left w:val="nil"/>
              <w:bottom w:val="single" w:color="auto" w:sz="4" w:space="0"/>
              <w:right w:val="single" w:color="auto" w:sz="4" w:space="0"/>
            </w:tcBorders>
            <w:shd w:val="clear" w:color="auto" w:fill="auto"/>
            <w:vAlign w:val="center"/>
          </w:tcPr>
          <w:p w14:paraId="3193B45F">
            <w:pPr>
              <w:widowControl/>
              <w:jc w:val="center"/>
              <w:rPr>
                <w:rFonts w:hint="eastAsia" w:ascii="宋体" w:hAnsi="宋体" w:cs="宋体"/>
                <w:kern w:val="0"/>
                <w:sz w:val="20"/>
                <w:szCs w:val="20"/>
              </w:rPr>
            </w:pPr>
            <w:r>
              <w:rPr>
                <w:rFonts w:hint="eastAsia" w:ascii="宋体" w:hAnsi="宋体" w:cs="宋体"/>
                <w:kern w:val="0"/>
                <w:sz w:val="20"/>
                <w:szCs w:val="20"/>
              </w:rPr>
              <w:t>箱</w:t>
            </w:r>
          </w:p>
        </w:tc>
        <w:tc>
          <w:tcPr>
            <w:tcW w:w="1177" w:type="dxa"/>
            <w:tcBorders>
              <w:top w:val="nil"/>
              <w:left w:val="nil"/>
              <w:bottom w:val="single" w:color="auto" w:sz="4" w:space="0"/>
              <w:right w:val="single" w:color="auto" w:sz="4" w:space="0"/>
            </w:tcBorders>
            <w:shd w:val="clear" w:color="auto" w:fill="auto"/>
            <w:vAlign w:val="center"/>
          </w:tcPr>
          <w:p w14:paraId="7EF44DD0">
            <w:pPr>
              <w:widowControl/>
              <w:jc w:val="center"/>
              <w:rPr>
                <w:rFonts w:hint="eastAsia" w:ascii="宋体" w:hAnsi="宋体" w:cs="宋体"/>
                <w:kern w:val="0"/>
                <w:sz w:val="20"/>
                <w:szCs w:val="20"/>
              </w:rPr>
            </w:pPr>
            <w:r>
              <w:rPr>
                <w:rFonts w:hint="eastAsia" w:ascii="宋体" w:hAnsi="宋体" w:cs="宋体"/>
                <w:kern w:val="0"/>
                <w:sz w:val="20"/>
                <w:szCs w:val="20"/>
              </w:rPr>
              <w:t>1</w:t>
            </w:r>
          </w:p>
        </w:tc>
      </w:tr>
      <w:tr w14:paraId="72386A10">
        <w:tblPrEx>
          <w:tblCellMar>
            <w:top w:w="0" w:type="dxa"/>
            <w:left w:w="108" w:type="dxa"/>
            <w:bottom w:w="0" w:type="dxa"/>
            <w:right w:w="108" w:type="dxa"/>
          </w:tblCellMar>
        </w:tblPrEx>
        <w:trPr>
          <w:trHeight w:val="280" w:hRule="atLeast"/>
        </w:trPr>
        <w:tc>
          <w:tcPr>
            <w:tcW w:w="1080" w:type="dxa"/>
            <w:tcBorders>
              <w:top w:val="nil"/>
              <w:left w:val="single" w:color="auto" w:sz="4" w:space="0"/>
              <w:bottom w:val="single" w:color="auto" w:sz="4" w:space="0"/>
              <w:right w:val="single" w:color="auto" w:sz="4" w:space="0"/>
            </w:tcBorders>
            <w:shd w:val="clear" w:color="auto" w:fill="auto"/>
            <w:vAlign w:val="center"/>
          </w:tcPr>
          <w:p w14:paraId="436B4AAE">
            <w:pPr>
              <w:widowControl/>
              <w:jc w:val="center"/>
              <w:rPr>
                <w:rFonts w:hint="eastAsia" w:ascii="宋体" w:hAnsi="宋体" w:cs="宋体"/>
                <w:kern w:val="0"/>
                <w:sz w:val="20"/>
                <w:szCs w:val="20"/>
              </w:rPr>
            </w:pPr>
            <w:r>
              <w:rPr>
                <w:rFonts w:hint="eastAsia" w:ascii="宋体" w:hAnsi="宋体" w:cs="宋体"/>
                <w:kern w:val="0"/>
                <w:sz w:val="20"/>
                <w:szCs w:val="20"/>
              </w:rPr>
              <w:t>15</w:t>
            </w:r>
          </w:p>
        </w:tc>
        <w:tc>
          <w:tcPr>
            <w:tcW w:w="1325" w:type="dxa"/>
            <w:tcBorders>
              <w:top w:val="nil"/>
              <w:left w:val="nil"/>
              <w:bottom w:val="single" w:color="auto" w:sz="4" w:space="0"/>
              <w:right w:val="single" w:color="auto" w:sz="4" w:space="0"/>
            </w:tcBorders>
            <w:shd w:val="clear" w:color="auto" w:fill="auto"/>
            <w:vAlign w:val="center"/>
          </w:tcPr>
          <w:p w14:paraId="1769233A">
            <w:pPr>
              <w:widowControl/>
              <w:jc w:val="left"/>
              <w:rPr>
                <w:rFonts w:hint="eastAsia" w:ascii="宋体" w:hAnsi="宋体" w:cs="宋体"/>
                <w:kern w:val="0"/>
                <w:sz w:val="20"/>
                <w:szCs w:val="20"/>
              </w:rPr>
            </w:pPr>
            <w:r>
              <w:rPr>
                <w:rFonts w:hint="eastAsia" w:ascii="宋体" w:hAnsi="宋体" w:cs="宋体"/>
                <w:kern w:val="0"/>
                <w:sz w:val="20"/>
                <w:szCs w:val="20"/>
              </w:rPr>
              <w:t>水晶头</w:t>
            </w:r>
          </w:p>
        </w:tc>
        <w:tc>
          <w:tcPr>
            <w:tcW w:w="3515" w:type="dxa"/>
            <w:tcBorders>
              <w:top w:val="nil"/>
              <w:left w:val="nil"/>
              <w:bottom w:val="single" w:color="auto" w:sz="4" w:space="0"/>
              <w:right w:val="single" w:color="auto" w:sz="4" w:space="0"/>
            </w:tcBorders>
            <w:shd w:val="clear" w:color="auto" w:fill="auto"/>
            <w:vAlign w:val="center"/>
          </w:tcPr>
          <w:p w14:paraId="4303E134">
            <w:pPr>
              <w:widowControl/>
              <w:jc w:val="left"/>
              <w:rPr>
                <w:rFonts w:hint="eastAsia" w:ascii="宋体" w:hAnsi="宋体" w:cs="宋体"/>
                <w:kern w:val="0"/>
                <w:sz w:val="20"/>
                <w:szCs w:val="20"/>
              </w:rPr>
            </w:pPr>
            <w:r>
              <w:rPr>
                <w:rFonts w:hint="eastAsia" w:ascii="宋体" w:hAnsi="宋体" w:cs="宋体"/>
                <w:kern w:val="0"/>
                <w:sz w:val="20"/>
                <w:szCs w:val="20"/>
              </w:rPr>
              <w:t>CAT6</w:t>
            </w:r>
          </w:p>
        </w:tc>
        <w:tc>
          <w:tcPr>
            <w:tcW w:w="981" w:type="dxa"/>
            <w:tcBorders>
              <w:top w:val="nil"/>
              <w:left w:val="nil"/>
              <w:bottom w:val="single" w:color="auto" w:sz="4" w:space="0"/>
              <w:right w:val="single" w:color="auto" w:sz="4" w:space="0"/>
            </w:tcBorders>
            <w:shd w:val="clear" w:color="auto" w:fill="auto"/>
            <w:vAlign w:val="center"/>
          </w:tcPr>
          <w:p w14:paraId="6C4E6909">
            <w:pPr>
              <w:widowControl/>
              <w:jc w:val="center"/>
              <w:rPr>
                <w:rFonts w:hint="eastAsia" w:ascii="宋体" w:hAnsi="宋体" w:cs="宋体"/>
                <w:kern w:val="0"/>
                <w:sz w:val="20"/>
                <w:szCs w:val="20"/>
              </w:rPr>
            </w:pPr>
            <w:r>
              <w:rPr>
                <w:rFonts w:hint="eastAsia" w:ascii="宋体" w:hAnsi="宋体" w:cs="宋体"/>
                <w:kern w:val="0"/>
                <w:sz w:val="20"/>
                <w:szCs w:val="20"/>
              </w:rPr>
              <w:t>盒</w:t>
            </w:r>
          </w:p>
        </w:tc>
        <w:tc>
          <w:tcPr>
            <w:tcW w:w="1177" w:type="dxa"/>
            <w:tcBorders>
              <w:top w:val="nil"/>
              <w:left w:val="nil"/>
              <w:bottom w:val="single" w:color="auto" w:sz="4" w:space="0"/>
              <w:right w:val="single" w:color="auto" w:sz="4" w:space="0"/>
            </w:tcBorders>
            <w:shd w:val="clear" w:color="auto" w:fill="auto"/>
            <w:vAlign w:val="center"/>
          </w:tcPr>
          <w:p w14:paraId="2DCEAF46">
            <w:pPr>
              <w:widowControl/>
              <w:jc w:val="center"/>
              <w:rPr>
                <w:rFonts w:hint="eastAsia" w:ascii="宋体" w:hAnsi="宋体" w:cs="宋体"/>
                <w:kern w:val="0"/>
                <w:sz w:val="20"/>
                <w:szCs w:val="20"/>
              </w:rPr>
            </w:pPr>
            <w:r>
              <w:rPr>
                <w:rFonts w:hint="eastAsia" w:ascii="宋体" w:hAnsi="宋体" w:cs="宋体"/>
                <w:kern w:val="0"/>
                <w:sz w:val="20"/>
                <w:szCs w:val="20"/>
              </w:rPr>
              <w:t>1</w:t>
            </w:r>
          </w:p>
        </w:tc>
      </w:tr>
      <w:tr w14:paraId="7D4C6D33">
        <w:tblPrEx>
          <w:tblCellMar>
            <w:top w:w="0" w:type="dxa"/>
            <w:left w:w="108" w:type="dxa"/>
            <w:bottom w:w="0" w:type="dxa"/>
            <w:right w:w="108" w:type="dxa"/>
          </w:tblCellMar>
        </w:tblPrEx>
        <w:trPr>
          <w:trHeight w:val="280" w:hRule="atLeast"/>
        </w:trPr>
        <w:tc>
          <w:tcPr>
            <w:tcW w:w="1080" w:type="dxa"/>
            <w:tcBorders>
              <w:top w:val="nil"/>
              <w:left w:val="single" w:color="auto" w:sz="4" w:space="0"/>
              <w:bottom w:val="single" w:color="auto" w:sz="4" w:space="0"/>
              <w:right w:val="single" w:color="auto" w:sz="4" w:space="0"/>
            </w:tcBorders>
            <w:shd w:val="clear" w:color="auto" w:fill="auto"/>
            <w:vAlign w:val="center"/>
          </w:tcPr>
          <w:p w14:paraId="7326E529">
            <w:pPr>
              <w:widowControl/>
              <w:jc w:val="center"/>
              <w:rPr>
                <w:rFonts w:hint="eastAsia" w:ascii="宋体" w:hAnsi="宋体" w:cs="宋体"/>
                <w:kern w:val="0"/>
                <w:sz w:val="20"/>
                <w:szCs w:val="20"/>
              </w:rPr>
            </w:pPr>
            <w:r>
              <w:rPr>
                <w:rFonts w:hint="eastAsia" w:ascii="宋体" w:hAnsi="宋体" w:cs="宋体"/>
                <w:kern w:val="0"/>
                <w:sz w:val="20"/>
                <w:szCs w:val="20"/>
              </w:rPr>
              <w:t>16</w:t>
            </w:r>
          </w:p>
        </w:tc>
        <w:tc>
          <w:tcPr>
            <w:tcW w:w="1325" w:type="dxa"/>
            <w:tcBorders>
              <w:top w:val="nil"/>
              <w:left w:val="nil"/>
              <w:bottom w:val="single" w:color="auto" w:sz="4" w:space="0"/>
              <w:right w:val="single" w:color="auto" w:sz="4" w:space="0"/>
            </w:tcBorders>
            <w:shd w:val="clear" w:color="auto" w:fill="auto"/>
            <w:vAlign w:val="center"/>
          </w:tcPr>
          <w:p w14:paraId="255670C5">
            <w:pPr>
              <w:widowControl/>
              <w:jc w:val="left"/>
              <w:rPr>
                <w:rFonts w:hint="eastAsia" w:ascii="宋体" w:hAnsi="宋体" w:cs="宋体"/>
                <w:kern w:val="0"/>
                <w:sz w:val="20"/>
                <w:szCs w:val="20"/>
              </w:rPr>
            </w:pPr>
            <w:r>
              <w:rPr>
                <w:rFonts w:hint="eastAsia" w:ascii="宋体" w:hAnsi="宋体" w:cs="宋体"/>
                <w:kern w:val="0"/>
                <w:sz w:val="20"/>
                <w:szCs w:val="20"/>
              </w:rPr>
              <w:t>安装集成调试</w:t>
            </w:r>
          </w:p>
        </w:tc>
        <w:tc>
          <w:tcPr>
            <w:tcW w:w="3515" w:type="dxa"/>
            <w:tcBorders>
              <w:top w:val="nil"/>
              <w:left w:val="nil"/>
              <w:bottom w:val="single" w:color="auto" w:sz="4" w:space="0"/>
              <w:right w:val="single" w:color="auto" w:sz="4" w:space="0"/>
            </w:tcBorders>
            <w:shd w:val="clear" w:color="auto" w:fill="auto"/>
            <w:vAlign w:val="center"/>
          </w:tcPr>
          <w:p w14:paraId="4B8E135D">
            <w:pPr>
              <w:widowControl/>
              <w:jc w:val="left"/>
              <w:rPr>
                <w:rFonts w:hint="eastAsia" w:ascii="宋体" w:hAnsi="宋体" w:cs="宋体"/>
                <w:kern w:val="0"/>
                <w:sz w:val="20"/>
                <w:szCs w:val="20"/>
              </w:rPr>
            </w:pPr>
            <w:r>
              <w:rPr>
                <w:rFonts w:hint="eastAsia" w:ascii="宋体" w:hAnsi="宋体" w:cs="宋体"/>
                <w:kern w:val="0"/>
                <w:sz w:val="20"/>
                <w:szCs w:val="20"/>
              </w:rPr>
              <w:t>定制</w:t>
            </w:r>
          </w:p>
        </w:tc>
        <w:tc>
          <w:tcPr>
            <w:tcW w:w="981" w:type="dxa"/>
            <w:tcBorders>
              <w:top w:val="nil"/>
              <w:left w:val="nil"/>
              <w:bottom w:val="single" w:color="auto" w:sz="4" w:space="0"/>
              <w:right w:val="single" w:color="auto" w:sz="4" w:space="0"/>
            </w:tcBorders>
            <w:shd w:val="clear" w:color="auto" w:fill="auto"/>
            <w:vAlign w:val="center"/>
          </w:tcPr>
          <w:p w14:paraId="1FB24219">
            <w:pPr>
              <w:widowControl/>
              <w:jc w:val="center"/>
              <w:rPr>
                <w:rFonts w:hint="eastAsia" w:ascii="宋体" w:hAnsi="宋体" w:cs="宋体"/>
                <w:kern w:val="0"/>
                <w:sz w:val="20"/>
                <w:szCs w:val="20"/>
              </w:rPr>
            </w:pPr>
            <w:r>
              <w:rPr>
                <w:rFonts w:hint="eastAsia" w:ascii="宋体" w:hAnsi="宋体" w:cs="宋体"/>
                <w:kern w:val="0"/>
                <w:sz w:val="20"/>
                <w:szCs w:val="20"/>
              </w:rPr>
              <w:t>项</w:t>
            </w:r>
          </w:p>
        </w:tc>
        <w:tc>
          <w:tcPr>
            <w:tcW w:w="1177" w:type="dxa"/>
            <w:tcBorders>
              <w:top w:val="nil"/>
              <w:left w:val="nil"/>
              <w:bottom w:val="single" w:color="auto" w:sz="4" w:space="0"/>
              <w:right w:val="single" w:color="auto" w:sz="4" w:space="0"/>
            </w:tcBorders>
            <w:shd w:val="clear" w:color="auto" w:fill="auto"/>
            <w:vAlign w:val="center"/>
          </w:tcPr>
          <w:p w14:paraId="5825054F">
            <w:pPr>
              <w:widowControl/>
              <w:jc w:val="center"/>
              <w:rPr>
                <w:rFonts w:hint="eastAsia" w:ascii="宋体" w:hAnsi="宋体" w:cs="宋体"/>
                <w:kern w:val="0"/>
                <w:sz w:val="20"/>
                <w:szCs w:val="20"/>
              </w:rPr>
            </w:pPr>
            <w:r>
              <w:rPr>
                <w:rFonts w:hint="eastAsia" w:ascii="宋体" w:hAnsi="宋体" w:cs="宋体"/>
                <w:kern w:val="0"/>
                <w:sz w:val="20"/>
                <w:szCs w:val="20"/>
              </w:rPr>
              <w:t>1</w:t>
            </w:r>
          </w:p>
        </w:tc>
      </w:tr>
      <w:tr w14:paraId="371C4997">
        <w:tblPrEx>
          <w:tblCellMar>
            <w:top w:w="0" w:type="dxa"/>
            <w:left w:w="108" w:type="dxa"/>
            <w:bottom w:w="0" w:type="dxa"/>
            <w:right w:w="108" w:type="dxa"/>
          </w:tblCellMar>
        </w:tblPrEx>
        <w:trPr>
          <w:trHeight w:val="280" w:hRule="atLeast"/>
        </w:trPr>
        <w:tc>
          <w:tcPr>
            <w:tcW w:w="2405" w:type="dxa"/>
            <w:gridSpan w:val="2"/>
            <w:tcBorders>
              <w:top w:val="single" w:color="auto" w:sz="4" w:space="0"/>
              <w:left w:val="single" w:color="auto" w:sz="4" w:space="0"/>
              <w:bottom w:val="single" w:color="auto" w:sz="4" w:space="0"/>
              <w:right w:val="nil"/>
            </w:tcBorders>
            <w:shd w:val="clear" w:color="000000" w:fill="AEAAAA"/>
            <w:noWrap/>
            <w:vAlign w:val="center"/>
          </w:tcPr>
          <w:p w14:paraId="04445133">
            <w:pPr>
              <w:widowControl/>
              <w:jc w:val="left"/>
              <w:rPr>
                <w:rFonts w:hint="eastAsia" w:ascii="宋体" w:hAnsi="宋体" w:cs="宋体"/>
                <w:b/>
                <w:bCs/>
                <w:kern w:val="0"/>
                <w:sz w:val="20"/>
                <w:szCs w:val="20"/>
              </w:rPr>
            </w:pPr>
            <w:r>
              <w:rPr>
                <w:rFonts w:hint="eastAsia" w:ascii="宋体" w:hAnsi="宋体" w:cs="宋体"/>
                <w:b/>
                <w:bCs/>
                <w:kern w:val="0"/>
                <w:sz w:val="20"/>
                <w:szCs w:val="20"/>
              </w:rPr>
              <w:t>三.排队叫号和信息发布系统</w:t>
            </w:r>
          </w:p>
        </w:tc>
        <w:tc>
          <w:tcPr>
            <w:tcW w:w="3515" w:type="dxa"/>
            <w:tcBorders>
              <w:top w:val="nil"/>
              <w:left w:val="nil"/>
              <w:bottom w:val="single" w:color="auto" w:sz="4" w:space="0"/>
              <w:right w:val="nil"/>
            </w:tcBorders>
            <w:shd w:val="clear" w:color="000000" w:fill="A6A6A6"/>
            <w:noWrap/>
            <w:vAlign w:val="center"/>
          </w:tcPr>
          <w:p w14:paraId="7DA3DABD">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981" w:type="dxa"/>
            <w:tcBorders>
              <w:top w:val="nil"/>
              <w:left w:val="nil"/>
              <w:bottom w:val="single" w:color="auto" w:sz="4" w:space="0"/>
              <w:right w:val="nil"/>
            </w:tcBorders>
            <w:shd w:val="clear" w:color="000000" w:fill="AEAAAA"/>
            <w:noWrap/>
            <w:vAlign w:val="center"/>
          </w:tcPr>
          <w:p w14:paraId="5B45C626">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1177" w:type="dxa"/>
            <w:tcBorders>
              <w:top w:val="nil"/>
              <w:left w:val="nil"/>
              <w:bottom w:val="single" w:color="auto" w:sz="4" w:space="0"/>
              <w:right w:val="nil"/>
            </w:tcBorders>
            <w:shd w:val="clear" w:color="000000" w:fill="AEAAAA"/>
            <w:noWrap/>
            <w:vAlign w:val="center"/>
          </w:tcPr>
          <w:p w14:paraId="7118B8FB">
            <w:pPr>
              <w:widowControl/>
              <w:jc w:val="center"/>
              <w:rPr>
                <w:rFonts w:hint="eastAsia" w:ascii="宋体" w:hAnsi="宋体" w:cs="宋体"/>
                <w:kern w:val="0"/>
                <w:sz w:val="20"/>
                <w:szCs w:val="20"/>
              </w:rPr>
            </w:pPr>
            <w:r>
              <w:rPr>
                <w:rFonts w:hint="eastAsia" w:ascii="宋体" w:hAnsi="宋体" w:cs="宋体"/>
                <w:kern w:val="0"/>
                <w:sz w:val="20"/>
                <w:szCs w:val="20"/>
              </w:rPr>
              <w:t>　</w:t>
            </w:r>
          </w:p>
        </w:tc>
      </w:tr>
      <w:tr w14:paraId="78231B64">
        <w:tblPrEx>
          <w:tblCellMar>
            <w:top w:w="0" w:type="dxa"/>
            <w:left w:w="108" w:type="dxa"/>
            <w:bottom w:w="0" w:type="dxa"/>
            <w:right w:w="108" w:type="dxa"/>
          </w:tblCellMar>
        </w:tblPrEx>
        <w:trPr>
          <w:trHeight w:val="28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74D26C14">
            <w:pPr>
              <w:widowControl/>
              <w:jc w:val="center"/>
              <w:rPr>
                <w:rFonts w:hint="eastAsia" w:ascii="宋体" w:hAnsi="宋体" w:cs="宋体"/>
                <w:b/>
                <w:bCs/>
                <w:kern w:val="0"/>
                <w:sz w:val="20"/>
                <w:szCs w:val="20"/>
              </w:rPr>
            </w:pPr>
            <w:r>
              <w:rPr>
                <w:rFonts w:hint="eastAsia" w:ascii="宋体" w:hAnsi="宋体" w:cs="宋体"/>
                <w:b/>
                <w:bCs/>
                <w:kern w:val="0"/>
                <w:sz w:val="20"/>
                <w:szCs w:val="20"/>
              </w:rPr>
              <w:t xml:space="preserve">序号 </w:t>
            </w:r>
          </w:p>
        </w:tc>
        <w:tc>
          <w:tcPr>
            <w:tcW w:w="1325" w:type="dxa"/>
            <w:tcBorders>
              <w:top w:val="nil"/>
              <w:left w:val="nil"/>
              <w:bottom w:val="single" w:color="auto" w:sz="4" w:space="0"/>
              <w:right w:val="single" w:color="auto" w:sz="4" w:space="0"/>
            </w:tcBorders>
            <w:shd w:val="clear" w:color="auto" w:fill="auto"/>
            <w:noWrap/>
            <w:vAlign w:val="center"/>
          </w:tcPr>
          <w:p w14:paraId="7FD0EB6C">
            <w:pPr>
              <w:widowControl/>
              <w:jc w:val="left"/>
              <w:rPr>
                <w:rFonts w:hint="eastAsia" w:ascii="宋体" w:hAnsi="宋体" w:cs="宋体"/>
                <w:b/>
                <w:bCs/>
                <w:kern w:val="0"/>
                <w:sz w:val="20"/>
                <w:szCs w:val="20"/>
              </w:rPr>
            </w:pPr>
            <w:r>
              <w:rPr>
                <w:rFonts w:hint="eastAsia" w:ascii="宋体" w:hAnsi="宋体" w:cs="宋体"/>
                <w:b/>
                <w:bCs/>
                <w:kern w:val="0"/>
                <w:sz w:val="20"/>
                <w:szCs w:val="20"/>
              </w:rPr>
              <w:t>货物名称</w:t>
            </w:r>
          </w:p>
        </w:tc>
        <w:tc>
          <w:tcPr>
            <w:tcW w:w="3515" w:type="dxa"/>
            <w:tcBorders>
              <w:top w:val="nil"/>
              <w:left w:val="nil"/>
              <w:bottom w:val="single" w:color="auto" w:sz="4" w:space="0"/>
              <w:right w:val="single" w:color="auto" w:sz="4" w:space="0"/>
            </w:tcBorders>
            <w:shd w:val="clear" w:color="auto" w:fill="auto"/>
            <w:noWrap/>
            <w:vAlign w:val="center"/>
          </w:tcPr>
          <w:p w14:paraId="7539B1D6">
            <w:pPr>
              <w:widowControl/>
              <w:jc w:val="left"/>
              <w:rPr>
                <w:rFonts w:hint="eastAsia" w:ascii="宋体" w:hAnsi="宋体" w:cs="宋体"/>
                <w:b/>
                <w:bCs/>
                <w:kern w:val="0"/>
                <w:sz w:val="20"/>
                <w:szCs w:val="20"/>
              </w:rPr>
            </w:pPr>
            <w:r>
              <w:rPr>
                <w:rFonts w:hint="eastAsia" w:ascii="宋体" w:hAnsi="宋体" w:cs="宋体"/>
                <w:b/>
                <w:bCs/>
                <w:kern w:val="0"/>
                <w:sz w:val="20"/>
                <w:szCs w:val="20"/>
              </w:rPr>
              <w:t>主要功能配置及技术指标要求</w:t>
            </w:r>
          </w:p>
        </w:tc>
        <w:tc>
          <w:tcPr>
            <w:tcW w:w="981" w:type="dxa"/>
            <w:tcBorders>
              <w:top w:val="nil"/>
              <w:left w:val="nil"/>
              <w:bottom w:val="single" w:color="auto" w:sz="4" w:space="0"/>
              <w:right w:val="single" w:color="auto" w:sz="4" w:space="0"/>
            </w:tcBorders>
            <w:shd w:val="clear" w:color="auto" w:fill="auto"/>
            <w:noWrap/>
            <w:vAlign w:val="center"/>
          </w:tcPr>
          <w:p w14:paraId="72684DEA">
            <w:pPr>
              <w:widowControl/>
              <w:jc w:val="center"/>
              <w:rPr>
                <w:rFonts w:hint="eastAsia" w:ascii="宋体" w:hAnsi="宋体" w:cs="宋体"/>
                <w:b/>
                <w:bCs/>
                <w:kern w:val="0"/>
                <w:sz w:val="20"/>
                <w:szCs w:val="20"/>
              </w:rPr>
            </w:pPr>
            <w:r>
              <w:rPr>
                <w:rFonts w:hint="eastAsia" w:ascii="宋体" w:hAnsi="宋体" w:cs="宋体"/>
                <w:b/>
                <w:bCs/>
                <w:kern w:val="0"/>
                <w:sz w:val="20"/>
                <w:szCs w:val="20"/>
              </w:rPr>
              <w:t>单位</w:t>
            </w:r>
          </w:p>
        </w:tc>
        <w:tc>
          <w:tcPr>
            <w:tcW w:w="1177" w:type="dxa"/>
            <w:tcBorders>
              <w:top w:val="nil"/>
              <w:left w:val="nil"/>
              <w:bottom w:val="single" w:color="auto" w:sz="4" w:space="0"/>
              <w:right w:val="single" w:color="auto" w:sz="4" w:space="0"/>
            </w:tcBorders>
            <w:shd w:val="clear" w:color="auto" w:fill="auto"/>
            <w:noWrap/>
            <w:vAlign w:val="center"/>
          </w:tcPr>
          <w:p w14:paraId="342467AA">
            <w:pPr>
              <w:widowControl/>
              <w:jc w:val="center"/>
              <w:rPr>
                <w:rFonts w:hint="eastAsia" w:ascii="宋体" w:hAnsi="宋体" w:cs="宋体"/>
                <w:b/>
                <w:bCs/>
                <w:kern w:val="0"/>
                <w:sz w:val="20"/>
                <w:szCs w:val="20"/>
              </w:rPr>
            </w:pPr>
            <w:r>
              <w:rPr>
                <w:rFonts w:hint="eastAsia" w:ascii="宋体" w:hAnsi="宋体" w:cs="宋体"/>
                <w:b/>
                <w:bCs/>
                <w:kern w:val="0"/>
                <w:sz w:val="20"/>
                <w:szCs w:val="20"/>
              </w:rPr>
              <w:t>数量</w:t>
            </w:r>
          </w:p>
        </w:tc>
      </w:tr>
      <w:tr w14:paraId="7B7FFA07">
        <w:tblPrEx>
          <w:tblCellMar>
            <w:top w:w="0" w:type="dxa"/>
            <w:left w:w="108" w:type="dxa"/>
            <w:bottom w:w="0" w:type="dxa"/>
            <w:right w:w="108" w:type="dxa"/>
          </w:tblCellMar>
        </w:tblPrEx>
        <w:trPr>
          <w:trHeight w:val="2664" w:hRule="atLeast"/>
        </w:trPr>
        <w:tc>
          <w:tcPr>
            <w:tcW w:w="1080" w:type="dxa"/>
            <w:tcBorders>
              <w:top w:val="nil"/>
              <w:left w:val="single" w:color="auto" w:sz="4" w:space="0"/>
              <w:bottom w:val="single" w:color="auto" w:sz="4" w:space="0"/>
              <w:right w:val="single" w:color="auto" w:sz="4" w:space="0"/>
            </w:tcBorders>
            <w:shd w:val="clear" w:color="auto" w:fill="auto"/>
            <w:vAlign w:val="center"/>
          </w:tcPr>
          <w:p w14:paraId="227A4882">
            <w:pPr>
              <w:widowControl/>
              <w:jc w:val="center"/>
              <w:rPr>
                <w:rFonts w:hint="eastAsia" w:ascii="宋体" w:hAnsi="宋体" w:cs="宋体"/>
                <w:kern w:val="0"/>
                <w:sz w:val="20"/>
                <w:szCs w:val="20"/>
              </w:rPr>
            </w:pPr>
            <w:r>
              <w:rPr>
                <w:rFonts w:hint="eastAsia" w:ascii="宋体" w:hAnsi="宋体" w:cs="宋体"/>
                <w:kern w:val="0"/>
                <w:sz w:val="20"/>
                <w:szCs w:val="20"/>
              </w:rPr>
              <w:t>1</w:t>
            </w:r>
          </w:p>
        </w:tc>
        <w:tc>
          <w:tcPr>
            <w:tcW w:w="1325" w:type="dxa"/>
            <w:tcBorders>
              <w:top w:val="nil"/>
              <w:left w:val="nil"/>
              <w:bottom w:val="single" w:color="auto" w:sz="4" w:space="0"/>
              <w:right w:val="single" w:color="auto" w:sz="4" w:space="0"/>
            </w:tcBorders>
            <w:shd w:val="clear" w:color="auto" w:fill="auto"/>
            <w:vAlign w:val="center"/>
          </w:tcPr>
          <w:p w14:paraId="6783D516">
            <w:pPr>
              <w:widowControl/>
              <w:jc w:val="left"/>
              <w:rPr>
                <w:rFonts w:hint="eastAsia" w:ascii="宋体" w:hAnsi="宋体" w:cs="宋体"/>
                <w:kern w:val="0"/>
                <w:sz w:val="20"/>
                <w:szCs w:val="20"/>
              </w:rPr>
            </w:pPr>
            <w:r>
              <w:rPr>
                <w:rFonts w:hint="eastAsia" w:ascii="宋体" w:hAnsi="宋体" w:cs="宋体"/>
                <w:kern w:val="0"/>
                <w:sz w:val="20"/>
                <w:szCs w:val="20"/>
              </w:rPr>
              <w:t>自助签到机</w:t>
            </w:r>
          </w:p>
        </w:tc>
        <w:tc>
          <w:tcPr>
            <w:tcW w:w="3515" w:type="dxa"/>
            <w:tcBorders>
              <w:top w:val="nil"/>
              <w:left w:val="nil"/>
              <w:bottom w:val="single" w:color="auto" w:sz="4" w:space="0"/>
              <w:right w:val="single" w:color="auto" w:sz="4" w:space="0"/>
            </w:tcBorders>
            <w:shd w:val="clear" w:color="auto" w:fill="auto"/>
            <w:vAlign w:val="center"/>
          </w:tcPr>
          <w:p w14:paraId="30554C88">
            <w:pPr>
              <w:widowControl/>
              <w:jc w:val="left"/>
              <w:rPr>
                <w:rFonts w:hint="eastAsia" w:ascii="宋体" w:hAnsi="宋体" w:cs="宋体"/>
                <w:kern w:val="0"/>
                <w:sz w:val="20"/>
                <w:szCs w:val="20"/>
              </w:rPr>
            </w:pPr>
            <w:r>
              <w:rPr>
                <w:rFonts w:hint="eastAsia" w:ascii="宋体" w:hAnsi="宋体" w:cs="宋体"/>
                <w:kern w:val="0"/>
                <w:sz w:val="20"/>
                <w:szCs w:val="20"/>
              </w:rPr>
              <w:t>技术参数：</w:t>
            </w:r>
            <w:r>
              <w:rPr>
                <w:rFonts w:hint="eastAsia" w:ascii="宋体" w:hAnsi="宋体" w:cs="宋体"/>
                <w:kern w:val="0"/>
                <w:sz w:val="20"/>
                <w:szCs w:val="20"/>
              </w:rPr>
              <w:br w:type="textWrapping"/>
            </w:r>
            <w:r>
              <w:rPr>
                <w:rFonts w:hint="eastAsia" w:ascii="宋体" w:hAnsi="宋体" w:cs="宋体"/>
                <w:kern w:val="0"/>
                <w:sz w:val="20"/>
                <w:szCs w:val="20"/>
              </w:rPr>
              <w:t>1、尺寸：≥21.5英寸液晶屏</w:t>
            </w:r>
            <w:r>
              <w:rPr>
                <w:rFonts w:hint="eastAsia" w:ascii="宋体" w:hAnsi="宋体" w:cs="宋体"/>
                <w:kern w:val="0"/>
                <w:sz w:val="20"/>
                <w:szCs w:val="20"/>
              </w:rPr>
              <w:br w:type="textWrapping"/>
            </w:r>
            <w:r>
              <w:rPr>
                <w:rFonts w:hint="eastAsia" w:ascii="宋体" w:hAnsi="宋体" w:cs="宋体"/>
                <w:kern w:val="0"/>
                <w:sz w:val="20"/>
                <w:szCs w:val="20"/>
              </w:rPr>
              <w:t>2、分辨率：≥1920*1080</w:t>
            </w:r>
            <w:r>
              <w:rPr>
                <w:rFonts w:hint="eastAsia" w:ascii="宋体" w:hAnsi="宋体" w:cs="宋体"/>
                <w:kern w:val="0"/>
                <w:sz w:val="20"/>
                <w:szCs w:val="20"/>
              </w:rPr>
              <w:br w:type="textWrapping"/>
            </w:r>
            <w:r>
              <w:rPr>
                <w:rFonts w:hint="eastAsia" w:ascii="宋体" w:hAnsi="宋体" w:cs="宋体"/>
                <w:kern w:val="0"/>
                <w:sz w:val="20"/>
                <w:szCs w:val="20"/>
              </w:rPr>
              <w:t>3、可视角度：89/89/89/89(L/R/U/D)</w:t>
            </w:r>
            <w:r>
              <w:rPr>
                <w:rFonts w:hint="eastAsia" w:ascii="宋体" w:hAnsi="宋体" w:cs="宋体"/>
                <w:kern w:val="0"/>
                <w:sz w:val="20"/>
                <w:szCs w:val="20"/>
              </w:rPr>
              <w:br w:type="textWrapping"/>
            </w:r>
            <w:r>
              <w:rPr>
                <w:rFonts w:hint="eastAsia" w:ascii="宋体" w:hAnsi="宋体" w:cs="宋体"/>
                <w:kern w:val="0"/>
                <w:sz w:val="20"/>
                <w:szCs w:val="20"/>
              </w:rPr>
              <w:t>4、触摸：电容全触摸设计</w:t>
            </w:r>
            <w:r>
              <w:rPr>
                <w:rFonts w:hint="eastAsia" w:ascii="宋体" w:hAnsi="宋体" w:cs="宋体"/>
                <w:kern w:val="0"/>
                <w:sz w:val="20"/>
                <w:szCs w:val="20"/>
              </w:rPr>
              <w:br w:type="textWrapping"/>
            </w:r>
            <w:r>
              <w:rPr>
                <w:rFonts w:hint="eastAsia" w:ascii="宋体" w:hAnsi="宋体" w:cs="宋体"/>
                <w:kern w:val="0"/>
                <w:sz w:val="20"/>
                <w:szCs w:val="20"/>
              </w:rPr>
              <w:t>5、系统：Android 7.1及以上</w:t>
            </w:r>
            <w:r>
              <w:rPr>
                <w:rFonts w:hint="eastAsia" w:ascii="宋体" w:hAnsi="宋体" w:cs="宋体"/>
                <w:kern w:val="0"/>
                <w:sz w:val="20"/>
                <w:szCs w:val="20"/>
              </w:rPr>
              <w:br w:type="textWrapping"/>
            </w:r>
            <w:r>
              <w:rPr>
                <w:rFonts w:hint="eastAsia" w:ascii="宋体" w:hAnsi="宋体" w:cs="宋体"/>
                <w:kern w:val="0"/>
                <w:sz w:val="20"/>
                <w:szCs w:val="20"/>
              </w:rPr>
              <w:t>6、CPU：四核ARM架构，主频≥1.8GHz</w:t>
            </w:r>
            <w:r>
              <w:rPr>
                <w:rFonts w:hint="eastAsia" w:ascii="宋体" w:hAnsi="宋体" w:cs="宋体"/>
                <w:kern w:val="0"/>
                <w:sz w:val="20"/>
                <w:szCs w:val="20"/>
              </w:rPr>
              <w:br w:type="textWrapping"/>
            </w:r>
            <w:r>
              <w:rPr>
                <w:rFonts w:hint="eastAsia" w:ascii="宋体" w:hAnsi="宋体" w:cs="宋体"/>
                <w:kern w:val="0"/>
                <w:sz w:val="20"/>
                <w:szCs w:val="20"/>
              </w:rPr>
              <w:t xml:space="preserve">7、内存：DDR3L  ≥2GB </w:t>
            </w:r>
            <w:r>
              <w:rPr>
                <w:rFonts w:hint="eastAsia" w:ascii="宋体" w:hAnsi="宋体" w:cs="宋体"/>
                <w:kern w:val="0"/>
                <w:sz w:val="20"/>
                <w:szCs w:val="20"/>
              </w:rPr>
              <w:br w:type="textWrapping"/>
            </w:r>
            <w:r>
              <w:rPr>
                <w:rFonts w:hint="eastAsia" w:ascii="宋体" w:hAnsi="宋体" w:cs="宋体"/>
                <w:kern w:val="0"/>
                <w:sz w:val="20"/>
                <w:szCs w:val="20"/>
              </w:rPr>
              <w:t>8、FLASH： ≥16GB</w:t>
            </w:r>
            <w:r>
              <w:rPr>
                <w:rFonts w:hint="eastAsia" w:ascii="宋体" w:hAnsi="宋体" w:cs="宋体"/>
                <w:kern w:val="0"/>
                <w:sz w:val="20"/>
                <w:szCs w:val="20"/>
              </w:rPr>
              <w:br w:type="textWrapping"/>
            </w:r>
            <w:r>
              <w:rPr>
                <w:rFonts w:hint="eastAsia" w:ascii="宋体" w:hAnsi="宋体" w:cs="宋体"/>
                <w:kern w:val="0"/>
                <w:sz w:val="20"/>
                <w:szCs w:val="20"/>
              </w:rPr>
              <w:t>9、外设：IC卡非接触式就诊卡读卡器</w:t>
            </w:r>
            <w:r>
              <w:rPr>
                <w:rFonts w:hint="eastAsia" w:ascii="宋体" w:hAnsi="宋体" w:cs="宋体"/>
                <w:kern w:val="0"/>
                <w:sz w:val="20"/>
                <w:szCs w:val="20"/>
              </w:rPr>
              <w:br w:type="textWrapping"/>
            </w:r>
            <w:r>
              <w:rPr>
                <w:rFonts w:hint="eastAsia" w:ascii="宋体" w:hAnsi="宋体" w:cs="宋体"/>
                <w:kern w:val="0"/>
                <w:sz w:val="20"/>
                <w:szCs w:val="20"/>
              </w:rPr>
              <w:t>10、二维码扫描平台，具备扫各类条码、二维码</w:t>
            </w:r>
            <w:r>
              <w:rPr>
                <w:rFonts w:hint="eastAsia" w:ascii="宋体" w:hAnsi="宋体" w:cs="宋体"/>
                <w:kern w:val="0"/>
                <w:sz w:val="20"/>
                <w:szCs w:val="20"/>
              </w:rPr>
              <w:br w:type="textWrapping"/>
            </w:r>
            <w:r>
              <w:rPr>
                <w:rFonts w:hint="eastAsia" w:ascii="宋体" w:hAnsi="宋体" w:cs="宋体"/>
                <w:kern w:val="0"/>
                <w:sz w:val="20"/>
                <w:szCs w:val="20"/>
              </w:rPr>
              <w:t>11、80MM*60MM热敏小票打印机</w:t>
            </w:r>
            <w:r>
              <w:rPr>
                <w:rFonts w:hint="eastAsia" w:ascii="宋体" w:hAnsi="宋体" w:cs="宋体"/>
                <w:kern w:val="0"/>
                <w:sz w:val="20"/>
                <w:szCs w:val="20"/>
              </w:rPr>
              <w:br w:type="textWrapping"/>
            </w:r>
            <w:r>
              <w:rPr>
                <w:rFonts w:hint="eastAsia" w:ascii="宋体" w:hAnsi="宋体" w:cs="宋体"/>
                <w:kern w:val="0"/>
                <w:sz w:val="20"/>
                <w:szCs w:val="20"/>
              </w:rPr>
              <w:t>12、机柜安装预留口：预留接触式磁条卡就诊卡读卡口、预留身份证读卡口、预留社保卡读卡口、预留摄像头安装口</w:t>
            </w:r>
            <w:r>
              <w:rPr>
                <w:rFonts w:hint="eastAsia" w:ascii="宋体" w:hAnsi="宋体" w:cs="宋体"/>
                <w:kern w:val="0"/>
                <w:sz w:val="20"/>
                <w:szCs w:val="20"/>
              </w:rPr>
              <w:br w:type="textWrapping"/>
            </w:r>
            <w:r>
              <w:rPr>
                <w:rFonts w:hint="eastAsia" w:ascii="宋体" w:hAnsi="宋体" w:cs="宋体"/>
                <w:kern w:val="0"/>
                <w:sz w:val="20"/>
                <w:szCs w:val="20"/>
              </w:rPr>
              <w:t>13、音频编解码：支持PCM、ADPCM、AMR、AAC、G.711格式</w:t>
            </w:r>
            <w:r>
              <w:rPr>
                <w:rFonts w:hint="eastAsia" w:ascii="宋体" w:hAnsi="宋体" w:cs="宋体"/>
                <w:kern w:val="0"/>
                <w:sz w:val="20"/>
                <w:szCs w:val="20"/>
              </w:rPr>
              <w:br w:type="textWrapping"/>
            </w:r>
            <w:r>
              <w:rPr>
                <w:rFonts w:hint="eastAsia" w:ascii="宋体" w:hAnsi="宋体" w:cs="宋体"/>
                <w:kern w:val="0"/>
                <w:sz w:val="20"/>
                <w:szCs w:val="20"/>
              </w:rPr>
              <w:t>14、音频采样率：可定制，默认16KHz采样率</w:t>
            </w:r>
            <w:r>
              <w:rPr>
                <w:rFonts w:hint="eastAsia" w:ascii="宋体" w:hAnsi="宋体" w:cs="宋体"/>
                <w:kern w:val="0"/>
                <w:sz w:val="20"/>
                <w:szCs w:val="20"/>
              </w:rPr>
              <w:br w:type="textWrapping"/>
            </w:r>
            <w:r>
              <w:rPr>
                <w:rFonts w:hint="eastAsia" w:ascii="宋体" w:hAnsi="宋体" w:cs="宋体"/>
                <w:kern w:val="0"/>
                <w:sz w:val="20"/>
                <w:szCs w:val="20"/>
              </w:rPr>
              <w:t>15、网卡：10Mb/100Mb自适应</w:t>
            </w:r>
            <w:r>
              <w:rPr>
                <w:rFonts w:hint="eastAsia" w:ascii="宋体" w:hAnsi="宋体" w:cs="宋体"/>
                <w:kern w:val="0"/>
                <w:sz w:val="20"/>
                <w:szCs w:val="20"/>
              </w:rPr>
              <w:br w:type="textWrapping"/>
            </w:r>
            <w:r>
              <w:rPr>
                <w:rFonts w:hint="eastAsia" w:ascii="宋体" w:hAnsi="宋体" w:cs="宋体"/>
                <w:kern w:val="0"/>
                <w:sz w:val="20"/>
                <w:szCs w:val="20"/>
              </w:rPr>
              <w:t>16、供电方式：220V</w:t>
            </w:r>
            <w:r>
              <w:rPr>
                <w:rFonts w:hint="eastAsia" w:ascii="宋体" w:hAnsi="宋体" w:cs="宋体"/>
                <w:kern w:val="0"/>
                <w:sz w:val="20"/>
                <w:szCs w:val="20"/>
              </w:rPr>
              <w:br w:type="textWrapping"/>
            </w:r>
            <w:r>
              <w:rPr>
                <w:rFonts w:hint="eastAsia" w:ascii="宋体" w:hAnsi="宋体" w:cs="宋体"/>
                <w:kern w:val="0"/>
                <w:sz w:val="20"/>
                <w:szCs w:val="20"/>
              </w:rPr>
              <w:t>17、面板边框颜色：白色</w:t>
            </w:r>
            <w:r>
              <w:rPr>
                <w:rFonts w:hint="eastAsia" w:ascii="宋体" w:hAnsi="宋体" w:cs="宋体"/>
                <w:kern w:val="0"/>
                <w:sz w:val="20"/>
                <w:szCs w:val="20"/>
              </w:rPr>
              <w:br w:type="textWrapping"/>
            </w:r>
            <w:r>
              <w:rPr>
                <w:rFonts w:hint="eastAsia" w:ascii="宋体" w:hAnsi="宋体" w:cs="宋体"/>
                <w:kern w:val="0"/>
                <w:sz w:val="20"/>
                <w:szCs w:val="20"/>
              </w:rPr>
              <w:t>18、USB端口：USB端口*1</w:t>
            </w:r>
            <w:r>
              <w:rPr>
                <w:rFonts w:hint="eastAsia" w:ascii="宋体" w:hAnsi="宋体" w:cs="宋体"/>
                <w:kern w:val="0"/>
                <w:sz w:val="20"/>
                <w:szCs w:val="20"/>
              </w:rPr>
              <w:br w:type="textWrapping"/>
            </w:r>
            <w:r>
              <w:rPr>
                <w:rFonts w:hint="eastAsia" w:ascii="宋体" w:hAnsi="宋体" w:cs="宋体"/>
                <w:kern w:val="0"/>
                <w:sz w:val="20"/>
                <w:szCs w:val="20"/>
              </w:rPr>
              <w:t>19、安装：落地式</w:t>
            </w:r>
            <w:r>
              <w:rPr>
                <w:rFonts w:hint="eastAsia" w:ascii="宋体" w:hAnsi="宋体" w:cs="宋体"/>
                <w:kern w:val="0"/>
                <w:sz w:val="20"/>
                <w:szCs w:val="20"/>
              </w:rPr>
              <w:br w:type="textWrapping"/>
            </w:r>
            <w:r>
              <w:rPr>
                <w:rFonts w:hint="eastAsia" w:ascii="宋体" w:hAnsi="宋体" w:cs="宋体"/>
                <w:kern w:val="0"/>
                <w:sz w:val="20"/>
                <w:szCs w:val="20"/>
              </w:rPr>
              <w:t>功能特点：</w:t>
            </w:r>
            <w:r>
              <w:rPr>
                <w:rFonts w:hint="eastAsia" w:ascii="宋体" w:hAnsi="宋体" w:cs="宋体"/>
                <w:kern w:val="0"/>
                <w:sz w:val="20"/>
                <w:szCs w:val="20"/>
              </w:rPr>
              <w:br w:type="textWrapping"/>
            </w:r>
            <w:r>
              <w:rPr>
                <w:rFonts w:hint="eastAsia" w:ascii="宋体" w:hAnsi="宋体" w:cs="宋体"/>
                <w:kern w:val="0"/>
                <w:sz w:val="20"/>
                <w:szCs w:val="20"/>
              </w:rPr>
              <w:t>1、支持通过管理后台可视化设置</w:t>
            </w:r>
            <w:r>
              <w:rPr>
                <w:rFonts w:hint="eastAsia" w:ascii="宋体" w:hAnsi="宋体" w:cs="宋体"/>
                <w:kern w:val="0"/>
                <w:sz w:val="20"/>
                <w:szCs w:val="20"/>
              </w:rPr>
              <w:br w:type="textWrapping"/>
            </w:r>
            <w:r>
              <w:rPr>
                <w:rFonts w:hint="eastAsia" w:ascii="宋体" w:hAnsi="宋体" w:cs="宋体"/>
                <w:kern w:val="0"/>
                <w:sz w:val="20"/>
                <w:szCs w:val="20"/>
              </w:rPr>
              <w:t>（1）报到机名称、各种报到方式的启用或停用</w:t>
            </w:r>
            <w:r>
              <w:rPr>
                <w:rFonts w:hint="eastAsia" w:ascii="宋体" w:hAnsi="宋体" w:cs="宋体"/>
                <w:kern w:val="0"/>
                <w:sz w:val="20"/>
                <w:szCs w:val="20"/>
              </w:rPr>
              <w:br w:type="textWrapping"/>
            </w:r>
            <w:r>
              <w:rPr>
                <w:rFonts w:hint="eastAsia" w:ascii="宋体" w:hAnsi="宋体" w:cs="宋体"/>
                <w:kern w:val="0"/>
                <w:sz w:val="20"/>
                <w:szCs w:val="20"/>
              </w:rPr>
              <w:t>（2）报到机内容提示框的提示内容</w:t>
            </w:r>
            <w:r>
              <w:rPr>
                <w:rFonts w:hint="eastAsia" w:ascii="宋体" w:hAnsi="宋体" w:cs="宋体"/>
                <w:kern w:val="0"/>
                <w:sz w:val="20"/>
                <w:szCs w:val="20"/>
              </w:rPr>
              <w:br w:type="textWrapping"/>
            </w:r>
            <w:r>
              <w:rPr>
                <w:rFonts w:hint="eastAsia" w:ascii="宋体" w:hAnsi="宋体" w:cs="宋体"/>
                <w:kern w:val="0"/>
                <w:sz w:val="20"/>
                <w:szCs w:val="20"/>
              </w:rPr>
              <w:t>（3）是否需要打印小票</w:t>
            </w:r>
            <w:r>
              <w:rPr>
                <w:rFonts w:hint="eastAsia" w:ascii="宋体" w:hAnsi="宋体" w:cs="宋体"/>
                <w:kern w:val="0"/>
                <w:sz w:val="20"/>
                <w:szCs w:val="20"/>
              </w:rPr>
              <w:br w:type="textWrapping"/>
            </w:r>
            <w:r>
              <w:rPr>
                <w:rFonts w:hint="eastAsia" w:ascii="宋体" w:hAnsi="宋体" w:cs="宋体"/>
                <w:kern w:val="0"/>
                <w:sz w:val="20"/>
                <w:szCs w:val="20"/>
              </w:rPr>
              <w:t>（4）是否重复打印排队小票</w:t>
            </w:r>
            <w:r>
              <w:rPr>
                <w:rFonts w:hint="eastAsia" w:ascii="宋体" w:hAnsi="宋体" w:cs="宋体"/>
                <w:kern w:val="0"/>
                <w:sz w:val="20"/>
                <w:szCs w:val="20"/>
              </w:rPr>
              <w:br w:type="textWrapping"/>
            </w:r>
            <w:r>
              <w:rPr>
                <w:rFonts w:hint="eastAsia" w:ascii="宋体" w:hAnsi="宋体" w:cs="宋体"/>
                <w:kern w:val="0"/>
                <w:sz w:val="20"/>
                <w:szCs w:val="20"/>
              </w:rPr>
              <w:t>（5）回诊过号是否打印小票</w:t>
            </w:r>
            <w:r>
              <w:rPr>
                <w:rFonts w:hint="eastAsia" w:ascii="宋体" w:hAnsi="宋体" w:cs="宋体"/>
                <w:kern w:val="0"/>
                <w:sz w:val="20"/>
                <w:szCs w:val="20"/>
              </w:rPr>
              <w:br w:type="textWrapping"/>
            </w:r>
            <w:r>
              <w:rPr>
                <w:rFonts w:hint="eastAsia" w:ascii="宋体" w:hAnsi="宋体" w:cs="宋体"/>
                <w:kern w:val="0"/>
                <w:sz w:val="20"/>
                <w:szCs w:val="20"/>
              </w:rPr>
              <w:t>（6）单个（就诊/检查）项目是否自动报到</w:t>
            </w:r>
            <w:r>
              <w:rPr>
                <w:rFonts w:hint="eastAsia" w:ascii="宋体" w:hAnsi="宋体" w:cs="宋体"/>
                <w:kern w:val="0"/>
                <w:sz w:val="20"/>
                <w:szCs w:val="20"/>
              </w:rPr>
              <w:br w:type="textWrapping"/>
            </w:r>
            <w:r>
              <w:rPr>
                <w:rFonts w:hint="eastAsia" w:ascii="宋体" w:hAnsi="宋体" w:cs="宋体"/>
                <w:kern w:val="0"/>
                <w:sz w:val="20"/>
                <w:szCs w:val="20"/>
              </w:rPr>
              <w:t>（7）是否启用隔日报到</w:t>
            </w:r>
            <w:r>
              <w:rPr>
                <w:rFonts w:hint="eastAsia" w:ascii="宋体" w:hAnsi="宋体" w:cs="宋体"/>
                <w:kern w:val="0"/>
                <w:sz w:val="20"/>
                <w:szCs w:val="20"/>
              </w:rPr>
              <w:br w:type="textWrapping"/>
            </w:r>
            <w:r>
              <w:rPr>
                <w:rFonts w:hint="eastAsia" w:ascii="宋体" w:hAnsi="宋体" w:cs="宋体"/>
                <w:kern w:val="0"/>
                <w:sz w:val="20"/>
                <w:szCs w:val="20"/>
              </w:rPr>
              <w:t>（8）自定义报到项目列表界面返回首界面的返回时间</w:t>
            </w:r>
            <w:r>
              <w:rPr>
                <w:rFonts w:hint="eastAsia" w:ascii="宋体" w:hAnsi="宋体" w:cs="宋体"/>
                <w:kern w:val="0"/>
                <w:sz w:val="20"/>
                <w:szCs w:val="20"/>
              </w:rPr>
              <w:br w:type="textWrapping"/>
            </w:r>
            <w:r>
              <w:rPr>
                <w:rFonts w:hint="eastAsia" w:ascii="宋体" w:hAnsi="宋体" w:cs="宋体"/>
                <w:kern w:val="0"/>
                <w:sz w:val="20"/>
                <w:szCs w:val="20"/>
              </w:rPr>
              <w:t>（9）自定义报到时提示框弹窗关闭时间</w:t>
            </w:r>
            <w:r>
              <w:rPr>
                <w:rFonts w:hint="eastAsia" w:ascii="宋体" w:hAnsi="宋体" w:cs="宋体"/>
                <w:kern w:val="0"/>
                <w:sz w:val="20"/>
                <w:szCs w:val="20"/>
              </w:rPr>
              <w:br w:type="textWrapping"/>
            </w:r>
            <w:r>
              <w:rPr>
                <w:rFonts w:hint="eastAsia" w:ascii="宋体" w:hAnsi="宋体" w:cs="宋体"/>
                <w:kern w:val="0"/>
                <w:sz w:val="20"/>
                <w:szCs w:val="20"/>
              </w:rPr>
              <w:t>（10）报到机使用说明内容可选择图片切换展示方式或文本展示方式</w:t>
            </w:r>
            <w:r>
              <w:rPr>
                <w:rFonts w:hint="eastAsia" w:ascii="宋体" w:hAnsi="宋体" w:cs="宋体"/>
                <w:kern w:val="0"/>
                <w:sz w:val="20"/>
                <w:szCs w:val="20"/>
              </w:rPr>
              <w:br w:type="textWrapping"/>
            </w:r>
            <w:r>
              <w:rPr>
                <w:rFonts w:hint="eastAsia" w:ascii="宋体" w:hAnsi="宋体" w:cs="宋体"/>
                <w:kern w:val="0"/>
                <w:sz w:val="20"/>
                <w:szCs w:val="20"/>
              </w:rPr>
              <w:t>（11）使用说明图片添加多张时可设置图片的翻页时间</w:t>
            </w:r>
            <w:r>
              <w:rPr>
                <w:rFonts w:hint="eastAsia" w:ascii="宋体" w:hAnsi="宋体" w:cs="宋体"/>
                <w:kern w:val="0"/>
                <w:sz w:val="20"/>
                <w:szCs w:val="20"/>
              </w:rPr>
              <w:br w:type="textWrapping"/>
            </w:r>
            <w:r>
              <w:rPr>
                <w:rFonts w:hint="eastAsia" w:ascii="宋体" w:hAnsi="宋体" w:cs="宋体"/>
                <w:kern w:val="0"/>
                <w:sz w:val="20"/>
                <w:szCs w:val="20"/>
              </w:rPr>
              <w:t>2、支持通过读就诊卡、身份证、社保卡；扫点电子健康卡二维码、电子健康码、电子社保卡、电子医保凭证、电子就诊卡二维码、检验/检查单/体检单条码、挂号单单号；无需在报到机界面选择报到类型再刷卡或扫码报到；</w:t>
            </w:r>
            <w:r>
              <w:rPr>
                <w:rFonts w:hint="eastAsia" w:ascii="宋体" w:hAnsi="宋体" w:cs="宋体"/>
                <w:kern w:val="0"/>
                <w:sz w:val="20"/>
                <w:szCs w:val="20"/>
              </w:rPr>
              <w:br w:type="textWrapping"/>
            </w:r>
            <w:r>
              <w:rPr>
                <w:rFonts w:hint="eastAsia" w:ascii="宋体" w:hAnsi="宋体" w:cs="宋体"/>
                <w:kern w:val="0"/>
                <w:sz w:val="20"/>
                <w:szCs w:val="20"/>
              </w:rPr>
              <w:t>3、支持当患者同时挂多个科室项目时，可选择需要报到的科室也可全部选择报到；</w:t>
            </w:r>
            <w:r>
              <w:rPr>
                <w:rFonts w:hint="eastAsia" w:ascii="宋体" w:hAnsi="宋体" w:cs="宋体"/>
                <w:kern w:val="0"/>
                <w:sz w:val="20"/>
                <w:szCs w:val="20"/>
              </w:rPr>
              <w:br w:type="textWrapping"/>
            </w:r>
            <w:r>
              <w:rPr>
                <w:rFonts w:hint="eastAsia" w:ascii="宋体" w:hAnsi="宋体" w:cs="宋体"/>
                <w:kern w:val="0"/>
                <w:sz w:val="20"/>
                <w:szCs w:val="20"/>
              </w:rPr>
              <w:t>4、支持断网弹窗提醒、网络正常时弹窗自动关闭。</w:t>
            </w:r>
          </w:p>
        </w:tc>
        <w:tc>
          <w:tcPr>
            <w:tcW w:w="981" w:type="dxa"/>
            <w:tcBorders>
              <w:top w:val="nil"/>
              <w:left w:val="nil"/>
              <w:bottom w:val="single" w:color="auto" w:sz="4" w:space="0"/>
              <w:right w:val="single" w:color="auto" w:sz="4" w:space="0"/>
            </w:tcBorders>
            <w:shd w:val="clear" w:color="auto" w:fill="auto"/>
            <w:vAlign w:val="center"/>
          </w:tcPr>
          <w:p w14:paraId="62FBA13D">
            <w:pPr>
              <w:widowControl/>
              <w:jc w:val="center"/>
              <w:rPr>
                <w:rFonts w:hint="eastAsia" w:ascii="宋体" w:hAnsi="宋体" w:cs="宋体"/>
                <w:kern w:val="0"/>
                <w:sz w:val="20"/>
                <w:szCs w:val="20"/>
              </w:rPr>
            </w:pPr>
            <w:r>
              <w:rPr>
                <w:rFonts w:hint="eastAsia" w:ascii="宋体" w:hAnsi="宋体" w:cs="宋体"/>
                <w:kern w:val="0"/>
                <w:sz w:val="20"/>
                <w:szCs w:val="20"/>
              </w:rPr>
              <w:t>台</w:t>
            </w:r>
          </w:p>
        </w:tc>
        <w:tc>
          <w:tcPr>
            <w:tcW w:w="1177" w:type="dxa"/>
            <w:tcBorders>
              <w:top w:val="nil"/>
              <w:left w:val="nil"/>
              <w:bottom w:val="single" w:color="auto" w:sz="4" w:space="0"/>
              <w:right w:val="single" w:color="auto" w:sz="4" w:space="0"/>
            </w:tcBorders>
            <w:shd w:val="clear" w:color="auto" w:fill="auto"/>
            <w:vAlign w:val="center"/>
          </w:tcPr>
          <w:p w14:paraId="200BB84E">
            <w:pPr>
              <w:widowControl/>
              <w:jc w:val="center"/>
              <w:rPr>
                <w:rFonts w:hint="eastAsia" w:ascii="宋体" w:hAnsi="宋体" w:cs="宋体"/>
                <w:kern w:val="0"/>
                <w:sz w:val="20"/>
                <w:szCs w:val="20"/>
              </w:rPr>
            </w:pPr>
            <w:r>
              <w:rPr>
                <w:rFonts w:hint="eastAsia" w:ascii="宋体" w:hAnsi="宋体" w:cs="宋体"/>
                <w:kern w:val="0"/>
                <w:sz w:val="20"/>
                <w:szCs w:val="20"/>
              </w:rPr>
              <w:t>7</w:t>
            </w:r>
          </w:p>
        </w:tc>
      </w:tr>
      <w:tr w14:paraId="5E4ECFAD">
        <w:tblPrEx>
          <w:tblCellMar>
            <w:top w:w="0" w:type="dxa"/>
            <w:left w:w="108" w:type="dxa"/>
            <w:bottom w:w="0" w:type="dxa"/>
            <w:right w:w="108" w:type="dxa"/>
          </w:tblCellMar>
        </w:tblPrEx>
        <w:trPr>
          <w:trHeight w:val="5277" w:hRule="atLeast"/>
        </w:trPr>
        <w:tc>
          <w:tcPr>
            <w:tcW w:w="1080" w:type="dxa"/>
            <w:tcBorders>
              <w:top w:val="nil"/>
              <w:left w:val="single" w:color="auto" w:sz="4" w:space="0"/>
              <w:bottom w:val="single" w:color="auto" w:sz="4" w:space="0"/>
              <w:right w:val="single" w:color="auto" w:sz="4" w:space="0"/>
            </w:tcBorders>
            <w:shd w:val="clear" w:color="auto" w:fill="auto"/>
            <w:vAlign w:val="center"/>
          </w:tcPr>
          <w:p w14:paraId="26CAFA25">
            <w:pPr>
              <w:widowControl/>
              <w:jc w:val="center"/>
              <w:rPr>
                <w:rFonts w:hint="eastAsia" w:ascii="宋体" w:hAnsi="宋体" w:cs="宋体"/>
                <w:kern w:val="0"/>
                <w:sz w:val="20"/>
                <w:szCs w:val="20"/>
              </w:rPr>
            </w:pPr>
            <w:r>
              <w:rPr>
                <w:rFonts w:hint="eastAsia" w:ascii="宋体" w:hAnsi="宋体" w:cs="宋体"/>
                <w:kern w:val="0"/>
                <w:sz w:val="20"/>
                <w:szCs w:val="20"/>
              </w:rPr>
              <w:t>2</w:t>
            </w:r>
          </w:p>
        </w:tc>
        <w:tc>
          <w:tcPr>
            <w:tcW w:w="1325" w:type="dxa"/>
            <w:tcBorders>
              <w:top w:val="nil"/>
              <w:left w:val="nil"/>
              <w:bottom w:val="single" w:color="auto" w:sz="4" w:space="0"/>
              <w:right w:val="single" w:color="auto" w:sz="4" w:space="0"/>
            </w:tcBorders>
            <w:shd w:val="clear" w:color="auto" w:fill="auto"/>
            <w:vAlign w:val="center"/>
          </w:tcPr>
          <w:p w14:paraId="5CD983F3">
            <w:pPr>
              <w:widowControl/>
              <w:jc w:val="left"/>
              <w:rPr>
                <w:rFonts w:hint="eastAsia" w:ascii="宋体" w:hAnsi="宋体" w:cs="宋体"/>
                <w:kern w:val="0"/>
                <w:sz w:val="20"/>
                <w:szCs w:val="20"/>
              </w:rPr>
            </w:pPr>
            <w:r>
              <w:rPr>
                <w:rFonts w:hint="eastAsia" w:ascii="宋体" w:hAnsi="宋体" w:cs="宋体"/>
                <w:kern w:val="0"/>
                <w:sz w:val="20"/>
                <w:szCs w:val="20"/>
              </w:rPr>
              <w:t>诊室一体机（诊室门口）</w:t>
            </w:r>
          </w:p>
        </w:tc>
        <w:tc>
          <w:tcPr>
            <w:tcW w:w="3515" w:type="dxa"/>
            <w:tcBorders>
              <w:top w:val="nil"/>
              <w:left w:val="nil"/>
              <w:bottom w:val="single" w:color="auto" w:sz="4" w:space="0"/>
              <w:right w:val="single" w:color="auto" w:sz="4" w:space="0"/>
            </w:tcBorders>
            <w:shd w:val="clear" w:color="auto" w:fill="auto"/>
            <w:vAlign w:val="center"/>
          </w:tcPr>
          <w:p w14:paraId="436B6CAC">
            <w:pPr>
              <w:widowControl/>
              <w:jc w:val="left"/>
              <w:rPr>
                <w:rFonts w:hint="eastAsia" w:ascii="宋体" w:hAnsi="宋体" w:cs="宋体"/>
                <w:kern w:val="0"/>
                <w:sz w:val="20"/>
                <w:szCs w:val="20"/>
              </w:rPr>
            </w:pPr>
            <w:r>
              <w:rPr>
                <w:rFonts w:hint="eastAsia" w:ascii="宋体" w:hAnsi="宋体" w:cs="宋体"/>
                <w:kern w:val="0"/>
                <w:sz w:val="20"/>
                <w:szCs w:val="20"/>
              </w:rPr>
              <w:t>技术参数：</w:t>
            </w:r>
          </w:p>
          <w:p w14:paraId="5A908495">
            <w:pPr>
              <w:widowControl/>
              <w:numPr>
                <w:ilvl w:val="0"/>
                <w:numId w:val="4"/>
              </w:numPr>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尺寸：≥21.5英寸液晶屏；</w:t>
            </w:r>
          </w:p>
          <w:p w14:paraId="543B9CDE">
            <w:pPr>
              <w:widowControl/>
              <w:numPr>
                <w:ilvl w:val="0"/>
                <w:numId w:val="4"/>
              </w:numPr>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分辨率：≥1920x1080；</w:t>
            </w:r>
          </w:p>
          <w:p w14:paraId="63B06EEB">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3、系统：安卓 Android 7.0及以上 ；</w:t>
            </w:r>
          </w:p>
          <w:p w14:paraId="5B98E12D">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 xml:space="preserve">4、CPU：四核ARM 架构，主频≥1.2GHz  </w:t>
            </w:r>
          </w:p>
          <w:p w14:paraId="201917AD">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5、内存：≥1GB</w:t>
            </w:r>
          </w:p>
          <w:p w14:paraId="04CDCA5B">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6、外存：≥8G</w:t>
            </w:r>
          </w:p>
          <w:p w14:paraId="1B68ED1B">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7、可视角度 (上/下/左/右)89°</w:t>
            </w:r>
          </w:p>
          <w:p w14:paraId="0C442FAA">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8、网卡：100M</w:t>
            </w:r>
          </w:p>
          <w:p w14:paraId="68EAF0C8">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9、通讯接口：RJ45 TCP/IP协议</w:t>
            </w:r>
          </w:p>
          <w:p w14:paraId="1508626B">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10、网络支持：支持以太网</w:t>
            </w:r>
          </w:p>
          <w:p w14:paraId="7C10304A">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11、工作电源：220V  AC</w:t>
            </w:r>
          </w:p>
          <w:p w14:paraId="507803DB">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12、工作时间：可7×24小时不间断工作</w:t>
            </w:r>
          </w:p>
          <w:p w14:paraId="04A9BAAC">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13、工作温度：-10℃~55℃</w:t>
            </w:r>
          </w:p>
          <w:p w14:paraId="5736E7BD">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14、安装方式：壁挂式</w:t>
            </w:r>
            <w:r>
              <w:rPr>
                <w:rFonts w:hint="eastAsia" w:ascii="宋体" w:hAnsi="宋体" w:cs="宋体"/>
                <w:kern w:val="0"/>
                <w:sz w:val="20"/>
                <w:szCs w:val="20"/>
              </w:rPr>
              <w:br w:type="page"/>
            </w:r>
            <w:r>
              <w:rPr>
                <w:rFonts w:hint="eastAsia" w:ascii="宋体" w:hAnsi="宋体" w:cs="宋体"/>
                <w:kern w:val="0"/>
                <w:sz w:val="20"/>
                <w:szCs w:val="20"/>
              </w:rPr>
              <w:t>功能特点：</w:t>
            </w:r>
          </w:p>
          <w:p w14:paraId="13097AC6">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1、支持通过管理后台可视化设置：</w:t>
            </w:r>
          </w:p>
          <w:p w14:paraId="2267B45C">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（1）支持二级分诊屏诊室名称可采用翻页、自动缩小、滚动展示。</w:t>
            </w:r>
          </w:p>
          <w:p w14:paraId="05AAAA5D">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（2）支持医生介绍信息可采用翻页、自动缩小、滚动展示。</w:t>
            </w:r>
          </w:p>
          <w:p w14:paraId="05DACADB">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（3）支持医生介绍信息翻页时间自定义。</w:t>
            </w:r>
          </w:p>
          <w:p w14:paraId="3028EAF9">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（4）支持医技科室二级分诊屏医生位置设置成科室宣教信息，宣教图片可以是一张或多张，可设置宣教图片自动切换间隔时间。</w:t>
            </w:r>
          </w:p>
          <w:p w14:paraId="041723D4">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（5）支持设置当前就诊患者姓名字体颜色。</w:t>
            </w:r>
          </w:p>
          <w:p w14:paraId="04FCCE68">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（6）支持设置下一位就诊患者姓名的字体颜色。</w:t>
            </w:r>
          </w:p>
          <w:p w14:paraId="39CEF43C">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（7）支持诊室呼叫时，当前呼叫信息弹窗显示。</w:t>
            </w:r>
          </w:p>
          <w:p w14:paraId="56D7D615">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（8）支持设置呼叫弹窗信息字体大小。</w:t>
            </w:r>
          </w:p>
          <w:p w14:paraId="660F6C53">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（9）支持设置温馨提示文本。</w:t>
            </w:r>
          </w:p>
          <w:p w14:paraId="66FD2E99">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（10）支持设置温馨提示内容颜色。</w:t>
            </w:r>
          </w:p>
          <w:p w14:paraId="7D417F54">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（11）支持设置温习提示内容展示方式，可选择翻页和滚动模式。</w:t>
            </w:r>
          </w:p>
          <w:p w14:paraId="0CA52ED2">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2、支持通过后台对终端设备进行远程控制；如开关屏、设置定时开关时间、重启、声音大小调节、截屏、升级等操作。</w:t>
            </w:r>
          </w:p>
          <w:p w14:paraId="545708BC">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3、终端程序支持开机自动运行、无需手动点击应用程序打开。</w:t>
            </w:r>
          </w:p>
        </w:tc>
        <w:tc>
          <w:tcPr>
            <w:tcW w:w="981" w:type="dxa"/>
            <w:tcBorders>
              <w:top w:val="nil"/>
              <w:left w:val="nil"/>
              <w:bottom w:val="single" w:color="auto" w:sz="4" w:space="0"/>
              <w:right w:val="single" w:color="auto" w:sz="4" w:space="0"/>
            </w:tcBorders>
            <w:shd w:val="clear" w:color="auto" w:fill="auto"/>
            <w:vAlign w:val="center"/>
          </w:tcPr>
          <w:p w14:paraId="120104F2">
            <w:pPr>
              <w:widowControl/>
              <w:jc w:val="center"/>
              <w:rPr>
                <w:rFonts w:hint="eastAsia" w:ascii="宋体" w:hAnsi="宋体" w:cs="宋体"/>
                <w:kern w:val="0"/>
                <w:sz w:val="20"/>
                <w:szCs w:val="20"/>
              </w:rPr>
            </w:pPr>
            <w:r>
              <w:rPr>
                <w:rFonts w:hint="eastAsia" w:ascii="宋体" w:hAnsi="宋体" w:cs="宋体"/>
                <w:kern w:val="0"/>
                <w:sz w:val="20"/>
                <w:szCs w:val="20"/>
              </w:rPr>
              <w:t>台</w:t>
            </w:r>
          </w:p>
        </w:tc>
        <w:tc>
          <w:tcPr>
            <w:tcW w:w="1177" w:type="dxa"/>
            <w:tcBorders>
              <w:top w:val="nil"/>
              <w:left w:val="nil"/>
              <w:bottom w:val="single" w:color="auto" w:sz="4" w:space="0"/>
              <w:right w:val="single" w:color="auto" w:sz="4" w:space="0"/>
            </w:tcBorders>
            <w:shd w:val="clear" w:color="auto" w:fill="auto"/>
            <w:vAlign w:val="center"/>
          </w:tcPr>
          <w:p w14:paraId="33A76B69">
            <w:pPr>
              <w:widowControl/>
              <w:jc w:val="center"/>
              <w:rPr>
                <w:rFonts w:hint="eastAsia" w:ascii="宋体" w:hAnsi="宋体" w:cs="宋体"/>
                <w:kern w:val="0"/>
                <w:sz w:val="20"/>
                <w:szCs w:val="20"/>
              </w:rPr>
            </w:pPr>
            <w:r>
              <w:rPr>
                <w:rFonts w:hint="eastAsia" w:ascii="宋体" w:hAnsi="宋体" w:cs="宋体"/>
                <w:kern w:val="0"/>
                <w:sz w:val="20"/>
                <w:szCs w:val="20"/>
              </w:rPr>
              <w:t>43</w:t>
            </w:r>
          </w:p>
        </w:tc>
      </w:tr>
      <w:tr w14:paraId="77800967">
        <w:tblPrEx>
          <w:tblCellMar>
            <w:top w:w="0" w:type="dxa"/>
            <w:left w:w="108" w:type="dxa"/>
            <w:bottom w:w="0" w:type="dxa"/>
            <w:right w:w="108" w:type="dxa"/>
          </w:tblCellMar>
        </w:tblPrEx>
        <w:trPr>
          <w:trHeight w:val="7280" w:hRule="atLeast"/>
        </w:trPr>
        <w:tc>
          <w:tcPr>
            <w:tcW w:w="1080" w:type="dxa"/>
            <w:tcBorders>
              <w:top w:val="nil"/>
              <w:left w:val="single" w:color="auto" w:sz="4" w:space="0"/>
              <w:bottom w:val="single" w:color="auto" w:sz="4" w:space="0"/>
              <w:right w:val="single" w:color="auto" w:sz="4" w:space="0"/>
            </w:tcBorders>
            <w:shd w:val="clear" w:color="auto" w:fill="auto"/>
            <w:vAlign w:val="center"/>
          </w:tcPr>
          <w:p w14:paraId="642820ED">
            <w:pPr>
              <w:widowControl/>
              <w:jc w:val="center"/>
              <w:rPr>
                <w:rFonts w:hint="eastAsia" w:ascii="宋体" w:hAnsi="宋体" w:cs="宋体"/>
                <w:kern w:val="0"/>
                <w:sz w:val="20"/>
                <w:szCs w:val="20"/>
              </w:rPr>
            </w:pPr>
            <w:r>
              <w:rPr>
                <w:rFonts w:hint="eastAsia" w:ascii="宋体" w:hAnsi="宋体" w:cs="宋体"/>
                <w:kern w:val="0"/>
                <w:sz w:val="20"/>
                <w:szCs w:val="20"/>
              </w:rPr>
              <w:t>3</w:t>
            </w:r>
          </w:p>
        </w:tc>
        <w:tc>
          <w:tcPr>
            <w:tcW w:w="1325" w:type="dxa"/>
            <w:tcBorders>
              <w:top w:val="nil"/>
              <w:left w:val="nil"/>
              <w:bottom w:val="single" w:color="auto" w:sz="4" w:space="0"/>
              <w:right w:val="single" w:color="auto" w:sz="4" w:space="0"/>
            </w:tcBorders>
            <w:shd w:val="clear" w:color="auto" w:fill="auto"/>
            <w:vAlign w:val="center"/>
          </w:tcPr>
          <w:p w14:paraId="36F0720B">
            <w:pPr>
              <w:widowControl/>
              <w:jc w:val="left"/>
              <w:rPr>
                <w:rFonts w:hint="eastAsia" w:ascii="宋体" w:hAnsi="宋体" w:cs="宋体"/>
                <w:kern w:val="0"/>
                <w:sz w:val="20"/>
                <w:szCs w:val="20"/>
              </w:rPr>
            </w:pPr>
            <w:r>
              <w:rPr>
                <w:rFonts w:hint="eastAsia" w:ascii="宋体" w:hAnsi="宋体" w:cs="宋体"/>
                <w:kern w:val="0"/>
                <w:sz w:val="20"/>
                <w:szCs w:val="20"/>
              </w:rPr>
              <w:t>等候区叫号显示屏</w:t>
            </w:r>
          </w:p>
        </w:tc>
        <w:tc>
          <w:tcPr>
            <w:tcW w:w="3515" w:type="dxa"/>
            <w:tcBorders>
              <w:top w:val="nil"/>
              <w:left w:val="nil"/>
              <w:bottom w:val="single" w:color="auto" w:sz="4" w:space="0"/>
              <w:right w:val="single" w:color="auto" w:sz="4" w:space="0"/>
            </w:tcBorders>
            <w:shd w:val="clear" w:color="auto" w:fill="auto"/>
            <w:vAlign w:val="center"/>
          </w:tcPr>
          <w:p w14:paraId="1CBABA3F">
            <w:pPr>
              <w:widowControl/>
              <w:jc w:val="left"/>
              <w:rPr>
                <w:rFonts w:hint="eastAsia" w:ascii="宋体" w:hAnsi="宋体" w:cs="宋体"/>
                <w:kern w:val="0"/>
                <w:sz w:val="20"/>
                <w:szCs w:val="20"/>
              </w:rPr>
            </w:pPr>
            <w:r>
              <w:rPr>
                <w:rFonts w:hint="eastAsia" w:ascii="宋体" w:hAnsi="宋体" w:cs="宋体"/>
                <w:kern w:val="0"/>
                <w:sz w:val="20"/>
                <w:szCs w:val="20"/>
              </w:rPr>
              <w:t>技术参数：</w:t>
            </w:r>
            <w:r>
              <w:rPr>
                <w:rFonts w:hint="eastAsia" w:ascii="宋体" w:hAnsi="宋体" w:cs="宋体"/>
                <w:kern w:val="0"/>
                <w:sz w:val="20"/>
                <w:szCs w:val="20"/>
              </w:rPr>
              <w:br w:type="textWrapping"/>
            </w:r>
            <w:r>
              <w:rPr>
                <w:rFonts w:hint="eastAsia" w:ascii="宋体" w:hAnsi="宋体" w:cs="宋体"/>
                <w:kern w:val="0"/>
                <w:sz w:val="20"/>
                <w:szCs w:val="20"/>
              </w:rPr>
              <w:t>1、尺寸：≥55英寸液晶屏</w:t>
            </w:r>
            <w:r>
              <w:rPr>
                <w:rFonts w:hint="eastAsia" w:ascii="宋体" w:hAnsi="宋体" w:cs="宋体"/>
                <w:kern w:val="0"/>
                <w:sz w:val="20"/>
                <w:szCs w:val="20"/>
              </w:rPr>
              <w:br w:type="textWrapping"/>
            </w:r>
            <w:r>
              <w:rPr>
                <w:rFonts w:hint="eastAsia" w:ascii="宋体" w:hAnsi="宋体" w:cs="宋体"/>
                <w:kern w:val="0"/>
                <w:sz w:val="20"/>
                <w:szCs w:val="20"/>
              </w:rPr>
              <w:t xml:space="preserve">2、分辨率：≥1920×1080    </w:t>
            </w:r>
            <w:r>
              <w:rPr>
                <w:rFonts w:hint="eastAsia" w:ascii="宋体" w:hAnsi="宋体" w:cs="宋体"/>
                <w:kern w:val="0"/>
                <w:sz w:val="20"/>
                <w:szCs w:val="20"/>
              </w:rPr>
              <w:br w:type="textWrapping"/>
            </w:r>
            <w:r>
              <w:rPr>
                <w:rFonts w:hint="eastAsia" w:ascii="宋体" w:hAnsi="宋体" w:cs="宋体"/>
                <w:kern w:val="0"/>
                <w:sz w:val="20"/>
                <w:szCs w:val="20"/>
              </w:rPr>
              <w:t xml:space="preserve">3、系统：Android 7.0及以上 </w:t>
            </w:r>
            <w:r>
              <w:rPr>
                <w:rFonts w:hint="eastAsia" w:ascii="宋体" w:hAnsi="宋体" w:cs="宋体"/>
                <w:kern w:val="0"/>
                <w:sz w:val="20"/>
                <w:szCs w:val="20"/>
              </w:rPr>
              <w:br w:type="textWrapping"/>
            </w:r>
            <w:r>
              <w:rPr>
                <w:rFonts w:hint="eastAsia" w:ascii="宋体" w:hAnsi="宋体" w:cs="宋体"/>
                <w:kern w:val="0"/>
                <w:sz w:val="20"/>
                <w:szCs w:val="20"/>
              </w:rPr>
              <w:t xml:space="preserve">4、CPU：四核ARM 架构，主频≥1.2GHz  </w:t>
            </w:r>
            <w:r>
              <w:rPr>
                <w:rFonts w:hint="eastAsia" w:ascii="宋体" w:hAnsi="宋体" w:cs="宋体"/>
                <w:kern w:val="0"/>
                <w:sz w:val="20"/>
                <w:szCs w:val="20"/>
              </w:rPr>
              <w:br w:type="textWrapping"/>
            </w:r>
            <w:r>
              <w:rPr>
                <w:rFonts w:hint="eastAsia" w:ascii="宋体" w:hAnsi="宋体" w:cs="宋体"/>
                <w:kern w:val="0"/>
                <w:sz w:val="20"/>
                <w:szCs w:val="20"/>
              </w:rPr>
              <w:t>5、内存：≥DDR3L  1GB</w:t>
            </w:r>
            <w:r>
              <w:rPr>
                <w:rFonts w:hint="eastAsia" w:ascii="宋体" w:hAnsi="宋体" w:cs="宋体"/>
                <w:kern w:val="0"/>
                <w:sz w:val="20"/>
                <w:szCs w:val="20"/>
              </w:rPr>
              <w:br w:type="textWrapping"/>
            </w:r>
            <w:r>
              <w:rPr>
                <w:rFonts w:hint="eastAsia" w:ascii="宋体" w:hAnsi="宋体" w:cs="宋体"/>
                <w:kern w:val="0"/>
                <w:sz w:val="20"/>
                <w:szCs w:val="20"/>
              </w:rPr>
              <w:t>6、外存：≥8G</w:t>
            </w:r>
            <w:r>
              <w:rPr>
                <w:rFonts w:hint="eastAsia" w:ascii="宋体" w:hAnsi="宋体" w:cs="宋体"/>
                <w:kern w:val="0"/>
                <w:sz w:val="20"/>
                <w:szCs w:val="20"/>
              </w:rPr>
              <w:br w:type="textWrapping"/>
            </w:r>
            <w:r>
              <w:rPr>
                <w:rFonts w:hint="eastAsia" w:ascii="宋体" w:hAnsi="宋体" w:cs="宋体"/>
                <w:kern w:val="0"/>
                <w:sz w:val="20"/>
                <w:szCs w:val="20"/>
              </w:rPr>
              <w:t>7、可视角度 (上/下/左/右)：89/89/89/89 (Typ.)(CR≥10)</w:t>
            </w:r>
            <w:r>
              <w:rPr>
                <w:rFonts w:hint="eastAsia" w:ascii="宋体" w:hAnsi="宋体" w:cs="宋体"/>
                <w:kern w:val="0"/>
                <w:sz w:val="20"/>
                <w:szCs w:val="20"/>
              </w:rPr>
              <w:br w:type="textWrapping"/>
            </w:r>
            <w:r>
              <w:rPr>
                <w:rFonts w:hint="eastAsia" w:ascii="宋体" w:hAnsi="宋体" w:cs="宋体"/>
                <w:kern w:val="0"/>
                <w:sz w:val="20"/>
                <w:szCs w:val="20"/>
              </w:rPr>
              <w:t>8、网卡：100Mb</w:t>
            </w:r>
            <w:r>
              <w:rPr>
                <w:rFonts w:hint="eastAsia" w:ascii="宋体" w:hAnsi="宋体" w:cs="宋体"/>
                <w:kern w:val="0"/>
                <w:sz w:val="20"/>
                <w:szCs w:val="20"/>
              </w:rPr>
              <w:br w:type="textWrapping"/>
            </w:r>
            <w:r>
              <w:rPr>
                <w:rFonts w:hint="eastAsia" w:ascii="宋体" w:hAnsi="宋体" w:cs="宋体"/>
                <w:kern w:val="0"/>
                <w:sz w:val="20"/>
                <w:szCs w:val="20"/>
              </w:rPr>
              <w:t>9、通讯接口：RJ45 TCP/IP协议</w:t>
            </w:r>
            <w:r>
              <w:rPr>
                <w:rFonts w:hint="eastAsia" w:ascii="宋体" w:hAnsi="宋体" w:cs="宋体"/>
                <w:kern w:val="0"/>
                <w:sz w:val="20"/>
                <w:szCs w:val="20"/>
              </w:rPr>
              <w:br w:type="textWrapping"/>
            </w:r>
            <w:r>
              <w:rPr>
                <w:rFonts w:hint="eastAsia" w:ascii="宋体" w:hAnsi="宋体" w:cs="宋体"/>
                <w:kern w:val="0"/>
                <w:sz w:val="20"/>
                <w:szCs w:val="20"/>
              </w:rPr>
              <w:t>10、网络支持：支持以太网</w:t>
            </w:r>
            <w:r>
              <w:rPr>
                <w:rFonts w:hint="eastAsia" w:ascii="宋体" w:hAnsi="宋体" w:cs="宋体"/>
                <w:kern w:val="0"/>
                <w:sz w:val="20"/>
                <w:szCs w:val="20"/>
              </w:rPr>
              <w:br w:type="textWrapping"/>
            </w:r>
            <w:r>
              <w:rPr>
                <w:rFonts w:hint="eastAsia" w:ascii="宋体" w:hAnsi="宋体" w:cs="宋体"/>
                <w:kern w:val="0"/>
                <w:sz w:val="20"/>
                <w:szCs w:val="20"/>
              </w:rPr>
              <w:t>11、工作电源：220V  AC</w:t>
            </w:r>
            <w:r>
              <w:rPr>
                <w:rFonts w:hint="eastAsia" w:ascii="宋体" w:hAnsi="宋体" w:cs="宋体"/>
                <w:kern w:val="0"/>
                <w:sz w:val="20"/>
                <w:szCs w:val="20"/>
              </w:rPr>
              <w:br w:type="textWrapping"/>
            </w:r>
            <w:r>
              <w:rPr>
                <w:rFonts w:hint="eastAsia" w:ascii="宋体" w:hAnsi="宋体" w:cs="宋体"/>
                <w:kern w:val="0"/>
                <w:sz w:val="20"/>
                <w:szCs w:val="20"/>
              </w:rPr>
              <w:t>12、工作时间：可7×24小时不间断工作</w:t>
            </w:r>
            <w:r>
              <w:rPr>
                <w:rFonts w:hint="eastAsia" w:ascii="宋体" w:hAnsi="宋体" w:cs="宋体"/>
                <w:kern w:val="0"/>
                <w:sz w:val="20"/>
                <w:szCs w:val="20"/>
              </w:rPr>
              <w:br w:type="textWrapping"/>
            </w:r>
            <w:r>
              <w:rPr>
                <w:rFonts w:hint="eastAsia" w:ascii="宋体" w:hAnsi="宋体" w:cs="宋体"/>
                <w:kern w:val="0"/>
                <w:sz w:val="20"/>
                <w:szCs w:val="20"/>
              </w:rPr>
              <w:t>13、工作温度：-10℃~55℃</w:t>
            </w:r>
            <w:r>
              <w:rPr>
                <w:rFonts w:hint="eastAsia" w:ascii="宋体" w:hAnsi="宋体" w:cs="宋体"/>
                <w:kern w:val="0"/>
                <w:sz w:val="20"/>
                <w:szCs w:val="20"/>
              </w:rPr>
              <w:br w:type="textWrapping"/>
            </w:r>
            <w:r>
              <w:rPr>
                <w:rFonts w:hint="eastAsia" w:ascii="宋体" w:hAnsi="宋体" w:cs="宋体"/>
                <w:kern w:val="0"/>
                <w:sz w:val="20"/>
                <w:szCs w:val="20"/>
              </w:rPr>
              <w:t>14、材质：塑胶面框，钣金背板</w:t>
            </w:r>
            <w:r>
              <w:rPr>
                <w:rFonts w:hint="eastAsia" w:ascii="宋体" w:hAnsi="宋体" w:cs="宋体"/>
                <w:kern w:val="0"/>
                <w:sz w:val="20"/>
                <w:szCs w:val="20"/>
              </w:rPr>
              <w:br w:type="textWrapping"/>
            </w:r>
            <w:r>
              <w:rPr>
                <w:rFonts w:hint="eastAsia" w:ascii="宋体" w:hAnsi="宋体" w:cs="宋体"/>
                <w:kern w:val="0"/>
                <w:sz w:val="20"/>
                <w:szCs w:val="20"/>
              </w:rPr>
              <w:t>15、安装：壁挂式</w:t>
            </w:r>
            <w:r>
              <w:rPr>
                <w:rFonts w:hint="eastAsia" w:ascii="宋体" w:hAnsi="宋体" w:cs="宋体"/>
                <w:kern w:val="0"/>
                <w:sz w:val="20"/>
                <w:szCs w:val="20"/>
              </w:rPr>
              <w:br w:type="textWrapping"/>
            </w:r>
            <w:r>
              <w:rPr>
                <w:rFonts w:hint="eastAsia" w:ascii="宋体" w:hAnsi="宋体" w:cs="宋体"/>
                <w:kern w:val="0"/>
                <w:sz w:val="20"/>
                <w:szCs w:val="20"/>
              </w:rPr>
              <w:t>功能要求：</w:t>
            </w:r>
            <w:r>
              <w:rPr>
                <w:rFonts w:hint="eastAsia" w:ascii="宋体" w:hAnsi="宋体" w:cs="宋体"/>
                <w:kern w:val="0"/>
                <w:sz w:val="20"/>
                <w:szCs w:val="20"/>
              </w:rPr>
              <w:br w:type="textWrapping"/>
            </w:r>
            <w:r>
              <w:rPr>
                <w:rFonts w:hint="eastAsia" w:ascii="宋体" w:hAnsi="宋体" w:cs="宋体"/>
                <w:kern w:val="0"/>
                <w:sz w:val="20"/>
                <w:szCs w:val="20"/>
              </w:rPr>
              <w:t>1、支持通过管理后台可视化设置</w:t>
            </w:r>
            <w:r>
              <w:rPr>
                <w:rFonts w:hint="eastAsia" w:ascii="宋体" w:hAnsi="宋体" w:cs="宋体"/>
                <w:kern w:val="0"/>
                <w:sz w:val="20"/>
                <w:szCs w:val="20"/>
              </w:rPr>
              <w:br w:type="textWrapping"/>
            </w:r>
            <w:r>
              <w:rPr>
                <w:rFonts w:hint="eastAsia" w:ascii="宋体" w:hAnsi="宋体" w:cs="宋体"/>
                <w:kern w:val="0"/>
                <w:sz w:val="20"/>
                <w:szCs w:val="20"/>
              </w:rPr>
              <w:t>（1）诊室名称展示方式可选择翻页展示、缩小展示、滚动展示</w:t>
            </w:r>
            <w:r>
              <w:rPr>
                <w:rFonts w:hint="eastAsia" w:ascii="宋体" w:hAnsi="宋体" w:cs="宋体"/>
                <w:kern w:val="0"/>
                <w:sz w:val="20"/>
                <w:szCs w:val="20"/>
              </w:rPr>
              <w:br w:type="textWrapping"/>
            </w:r>
            <w:r>
              <w:rPr>
                <w:rFonts w:hint="eastAsia" w:ascii="宋体" w:hAnsi="宋体" w:cs="宋体"/>
                <w:kern w:val="0"/>
                <w:sz w:val="20"/>
                <w:szCs w:val="20"/>
              </w:rPr>
              <w:t>（2）可自定义当前就诊患者姓名字体颜色、下一位患者姓名字体颜色</w:t>
            </w:r>
            <w:r>
              <w:rPr>
                <w:rFonts w:hint="eastAsia" w:ascii="宋体" w:hAnsi="宋体" w:cs="宋体"/>
                <w:kern w:val="0"/>
                <w:sz w:val="20"/>
                <w:szCs w:val="20"/>
              </w:rPr>
              <w:br w:type="textWrapping"/>
            </w:r>
            <w:r>
              <w:rPr>
                <w:rFonts w:hint="eastAsia" w:ascii="宋体" w:hAnsi="宋体" w:cs="宋体"/>
                <w:kern w:val="0"/>
                <w:sz w:val="20"/>
                <w:szCs w:val="20"/>
              </w:rPr>
              <w:t>（3）等待队列展示方式可选择翻页展示、缩小展示、滚动展示</w:t>
            </w:r>
            <w:r>
              <w:rPr>
                <w:rFonts w:hint="eastAsia" w:ascii="宋体" w:hAnsi="宋体" w:cs="宋体"/>
                <w:kern w:val="0"/>
                <w:sz w:val="20"/>
                <w:szCs w:val="20"/>
              </w:rPr>
              <w:br w:type="textWrapping"/>
            </w:r>
            <w:r>
              <w:rPr>
                <w:rFonts w:hint="eastAsia" w:ascii="宋体" w:hAnsi="宋体" w:cs="宋体"/>
                <w:kern w:val="0"/>
                <w:sz w:val="20"/>
                <w:szCs w:val="20"/>
              </w:rPr>
              <w:t>（4）可选择是否给患者姓名加*号做隐私保护</w:t>
            </w:r>
            <w:r>
              <w:rPr>
                <w:rFonts w:hint="eastAsia" w:ascii="宋体" w:hAnsi="宋体" w:cs="宋体"/>
                <w:kern w:val="0"/>
                <w:sz w:val="20"/>
                <w:szCs w:val="20"/>
              </w:rPr>
              <w:br w:type="textWrapping"/>
            </w:r>
            <w:r>
              <w:rPr>
                <w:rFonts w:hint="eastAsia" w:ascii="宋体" w:hAnsi="宋体" w:cs="宋体"/>
                <w:kern w:val="0"/>
                <w:sz w:val="20"/>
                <w:szCs w:val="20"/>
              </w:rPr>
              <w:t>（5）可选择是否显示患者的挂号时间或预约时间在患者姓名下方</w:t>
            </w:r>
            <w:r>
              <w:rPr>
                <w:rFonts w:hint="eastAsia" w:ascii="宋体" w:hAnsi="宋体" w:cs="宋体"/>
                <w:kern w:val="0"/>
                <w:sz w:val="20"/>
                <w:szCs w:val="20"/>
              </w:rPr>
              <w:br w:type="textWrapping"/>
            </w:r>
            <w:r>
              <w:rPr>
                <w:rFonts w:hint="eastAsia" w:ascii="宋体" w:hAnsi="宋体" w:cs="宋体"/>
                <w:kern w:val="0"/>
                <w:sz w:val="20"/>
                <w:szCs w:val="20"/>
              </w:rPr>
              <w:t>（6）可选择是否只显示登录医生队列</w:t>
            </w:r>
            <w:r>
              <w:rPr>
                <w:rFonts w:hint="eastAsia" w:ascii="宋体" w:hAnsi="宋体" w:cs="宋体"/>
                <w:kern w:val="0"/>
                <w:sz w:val="20"/>
                <w:szCs w:val="20"/>
              </w:rPr>
              <w:br w:type="textWrapping"/>
            </w:r>
            <w:r>
              <w:rPr>
                <w:rFonts w:hint="eastAsia" w:ascii="宋体" w:hAnsi="宋体" w:cs="宋体"/>
                <w:kern w:val="0"/>
                <w:sz w:val="20"/>
                <w:szCs w:val="20"/>
              </w:rPr>
              <w:t>（7）可选择是否只显示挂号医生队列</w:t>
            </w:r>
            <w:r>
              <w:rPr>
                <w:rFonts w:hint="eastAsia" w:ascii="宋体" w:hAnsi="宋体" w:cs="宋体"/>
                <w:kern w:val="0"/>
                <w:sz w:val="20"/>
                <w:szCs w:val="20"/>
              </w:rPr>
              <w:br w:type="textWrapping"/>
            </w:r>
            <w:r>
              <w:rPr>
                <w:rFonts w:hint="eastAsia" w:ascii="宋体" w:hAnsi="宋体" w:cs="宋体"/>
                <w:kern w:val="0"/>
                <w:sz w:val="20"/>
                <w:szCs w:val="20"/>
              </w:rPr>
              <w:t>2、支持当前呼叫弹窗放大显示、支持一个诊区有多个集中显示屏可在一台设备上集中发声</w:t>
            </w:r>
            <w:r>
              <w:rPr>
                <w:rFonts w:hint="eastAsia" w:ascii="宋体" w:hAnsi="宋体" w:cs="宋体"/>
                <w:kern w:val="0"/>
                <w:sz w:val="20"/>
                <w:szCs w:val="20"/>
              </w:rPr>
              <w:br w:type="textWrapping"/>
            </w:r>
            <w:r>
              <w:rPr>
                <w:rFonts w:hint="eastAsia" w:ascii="宋体" w:hAnsi="宋体" w:cs="宋体"/>
                <w:kern w:val="0"/>
                <w:sz w:val="20"/>
                <w:szCs w:val="20"/>
              </w:rPr>
              <w:t>3、支持通过管理软件一键发布全院所有设备的设备二维码，通过手机扫码添加并设备终端名称</w:t>
            </w:r>
            <w:r>
              <w:rPr>
                <w:rFonts w:hint="eastAsia" w:ascii="宋体" w:hAnsi="宋体" w:cs="宋体"/>
                <w:kern w:val="0"/>
                <w:sz w:val="20"/>
                <w:szCs w:val="20"/>
              </w:rPr>
              <w:br w:type="textWrapping"/>
            </w:r>
            <w:r>
              <w:rPr>
                <w:rFonts w:hint="eastAsia" w:ascii="宋体" w:hAnsi="宋体" w:cs="宋体"/>
                <w:kern w:val="0"/>
                <w:sz w:val="20"/>
                <w:szCs w:val="20"/>
              </w:rPr>
              <w:t>4、支持断网弹窗提醒、网络正常时弹窗自动关闭</w:t>
            </w:r>
          </w:p>
        </w:tc>
        <w:tc>
          <w:tcPr>
            <w:tcW w:w="981" w:type="dxa"/>
            <w:tcBorders>
              <w:top w:val="nil"/>
              <w:left w:val="nil"/>
              <w:bottom w:val="single" w:color="auto" w:sz="4" w:space="0"/>
              <w:right w:val="single" w:color="auto" w:sz="4" w:space="0"/>
            </w:tcBorders>
            <w:shd w:val="clear" w:color="auto" w:fill="auto"/>
            <w:vAlign w:val="center"/>
          </w:tcPr>
          <w:p w14:paraId="4DC835B2">
            <w:pPr>
              <w:widowControl/>
              <w:jc w:val="center"/>
              <w:rPr>
                <w:rFonts w:hint="eastAsia" w:ascii="宋体" w:hAnsi="宋体" w:cs="宋体"/>
                <w:kern w:val="0"/>
                <w:sz w:val="20"/>
                <w:szCs w:val="20"/>
              </w:rPr>
            </w:pPr>
            <w:r>
              <w:rPr>
                <w:rFonts w:hint="eastAsia" w:ascii="宋体" w:hAnsi="宋体" w:cs="宋体"/>
                <w:kern w:val="0"/>
                <w:sz w:val="20"/>
                <w:szCs w:val="20"/>
              </w:rPr>
              <w:t>台</w:t>
            </w:r>
          </w:p>
        </w:tc>
        <w:tc>
          <w:tcPr>
            <w:tcW w:w="1177" w:type="dxa"/>
            <w:tcBorders>
              <w:top w:val="nil"/>
              <w:left w:val="nil"/>
              <w:bottom w:val="single" w:color="auto" w:sz="4" w:space="0"/>
              <w:right w:val="single" w:color="auto" w:sz="4" w:space="0"/>
            </w:tcBorders>
            <w:shd w:val="clear" w:color="auto" w:fill="auto"/>
            <w:vAlign w:val="center"/>
          </w:tcPr>
          <w:p w14:paraId="4D2A2A37">
            <w:pPr>
              <w:widowControl/>
              <w:jc w:val="center"/>
              <w:rPr>
                <w:rFonts w:hint="eastAsia" w:ascii="宋体" w:hAnsi="宋体" w:cs="宋体"/>
                <w:kern w:val="0"/>
                <w:sz w:val="20"/>
                <w:szCs w:val="20"/>
              </w:rPr>
            </w:pPr>
            <w:r>
              <w:rPr>
                <w:rFonts w:hint="eastAsia" w:ascii="宋体" w:hAnsi="宋体" w:cs="宋体"/>
                <w:kern w:val="0"/>
                <w:sz w:val="20"/>
                <w:szCs w:val="20"/>
              </w:rPr>
              <w:t>7</w:t>
            </w:r>
          </w:p>
        </w:tc>
      </w:tr>
      <w:tr w14:paraId="20E01ECF">
        <w:tblPrEx>
          <w:tblCellMar>
            <w:top w:w="0" w:type="dxa"/>
            <w:left w:w="108" w:type="dxa"/>
            <w:bottom w:w="0" w:type="dxa"/>
            <w:right w:w="108" w:type="dxa"/>
          </w:tblCellMar>
        </w:tblPrEx>
        <w:trPr>
          <w:trHeight w:val="5055" w:hRule="atLeast"/>
        </w:trPr>
        <w:tc>
          <w:tcPr>
            <w:tcW w:w="1080" w:type="dxa"/>
            <w:tcBorders>
              <w:top w:val="nil"/>
              <w:left w:val="single" w:color="auto" w:sz="4" w:space="0"/>
              <w:bottom w:val="single" w:color="auto" w:sz="4" w:space="0"/>
              <w:right w:val="single" w:color="auto" w:sz="4" w:space="0"/>
            </w:tcBorders>
            <w:shd w:val="clear" w:color="auto" w:fill="auto"/>
            <w:vAlign w:val="center"/>
          </w:tcPr>
          <w:p w14:paraId="6F6FCF6A">
            <w:pPr>
              <w:widowControl/>
              <w:jc w:val="center"/>
              <w:rPr>
                <w:rFonts w:hint="eastAsia" w:ascii="宋体" w:hAnsi="宋体" w:cs="宋体"/>
                <w:kern w:val="0"/>
                <w:sz w:val="20"/>
                <w:szCs w:val="20"/>
              </w:rPr>
            </w:pPr>
            <w:r>
              <w:rPr>
                <w:rFonts w:hint="eastAsia" w:ascii="宋体" w:hAnsi="宋体" w:cs="宋体"/>
                <w:kern w:val="0"/>
                <w:sz w:val="20"/>
                <w:szCs w:val="20"/>
              </w:rPr>
              <w:t>4</w:t>
            </w:r>
          </w:p>
        </w:tc>
        <w:tc>
          <w:tcPr>
            <w:tcW w:w="1325" w:type="dxa"/>
            <w:tcBorders>
              <w:top w:val="nil"/>
              <w:left w:val="nil"/>
              <w:bottom w:val="single" w:color="auto" w:sz="4" w:space="0"/>
              <w:right w:val="single" w:color="auto" w:sz="4" w:space="0"/>
            </w:tcBorders>
            <w:shd w:val="clear" w:color="auto" w:fill="auto"/>
            <w:vAlign w:val="center"/>
          </w:tcPr>
          <w:p w14:paraId="2B57BC7B">
            <w:pPr>
              <w:widowControl/>
              <w:jc w:val="left"/>
              <w:rPr>
                <w:rFonts w:hint="eastAsia" w:ascii="宋体" w:hAnsi="宋体" w:cs="宋体"/>
                <w:kern w:val="0"/>
                <w:sz w:val="20"/>
                <w:szCs w:val="20"/>
              </w:rPr>
            </w:pPr>
            <w:r>
              <w:rPr>
                <w:rFonts w:hint="eastAsia" w:ascii="宋体" w:hAnsi="宋体" w:cs="宋体"/>
                <w:kern w:val="0"/>
                <w:sz w:val="20"/>
                <w:szCs w:val="20"/>
              </w:rPr>
              <w:t>等候区叫号显示屏</w:t>
            </w:r>
          </w:p>
        </w:tc>
        <w:tc>
          <w:tcPr>
            <w:tcW w:w="3515" w:type="dxa"/>
            <w:tcBorders>
              <w:top w:val="nil"/>
              <w:left w:val="nil"/>
              <w:bottom w:val="single" w:color="auto" w:sz="4" w:space="0"/>
              <w:right w:val="single" w:color="auto" w:sz="4" w:space="0"/>
            </w:tcBorders>
            <w:shd w:val="clear" w:color="auto" w:fill="auto"/>
            <w:vAlign w:val="center"/>
          </w:tcPr>
          <w:p w14:paraId="24CB2CE2">
            <w:pPr>
              <w:widowControl/>
              <w:jc w:val="left"/>
              <w:rPr>
                <w:rFonts w:hint="eastAsia" w:ascii="宋体" w:hAnsi="宋体" w:cs="宋体"/>
                <w:kern w:val="0"/>
                <w:sz w:val="20"/>
                <w:szCs w:val="20"/>
              </w:rPr>
            </w:pPr>
            <w:r>
              <w:rPr>
                <w:rFonts w:hint="eastAsia" w:ascii="宋体" w:hAnsi="宋体" w:cs="宋体"/>
                <w:kern w:val="0"/>
                <w:sz w:val="20"/>
                <w:szCs w:val="20"/>
              </w:rPr>
              <w:t>技术参数：</w:t>
            </w:r>
          </w:p>
          <w:p w14:paraId="0DBE943C">
            <w:pPr>
              <w:widowControl/>
              <w:numPr>
                <w:ilvl w:val="0"/>
                <w:numId w:val="5"/>
              </w:numPr>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尺寸：≥43英寸液晶屏</w:t>
            </w:r>
          </w:p>
          <w:p w14:paraId="0F1787AC">
            <w:pPr>
              <w:widowControl/>
              <w:numPr>
                <w:ilvl w:val="0"/>
                <w:numId w:val="5"/>
              </w:numPr>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 xml:space="preserve">分辨率：≥1920×1080    </w:t>
            </w:r>
          </w:p>
          <w:p w14:paraId="511117C7">
            <w:pPr>
              <w:widowControl/>
              <w:numPr>
                <w:ilvl w:val="0"/>
                <w:numId w:val="5"/>
              </w:numPr>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系统：Android 7.0及以上</w:t>
            </w:r>
          </w:p>
          <w:p w14:paraId="5D5F1621">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 xml:space="preserve">4、CPU：四核ARM 架构，主频≥1.2GHz  </w:t>
            </w:r>
          </w:p>
          <w:p w14:paraId="4B742043">
            <w:pPr>
              <w:widowControl/>
              <w:jc w:val="left"/>
              <w:rPr>
                <w:rFonts w:hint="eastAsia" w:ascii="宋体" w:hAnsi="宋体" w:cs="宋体"/>
                <w:kern w:val="0"/>
                <w:sz w:val="20"/>
                <w:szCs w:val="20"/>
              </w:rPr>
            </w:pPr>
            <w:r>
              <w:rPr>
                <w:rFonts w:hint="eastAsia" w:ascii="宋体" w:hAnsi="宋体" w:cs="宋体"/>
                <w:kern w:val="0"/>
                <w:sz w:val="20"/>
                <w:szCs w:val="20"/>
              </w:rPr>
              <w:t>5、</w:t>
            </w:r>
            <w:r>
              <w:rPr>
                <w:rFonts w:hint="eastAsia" w:ascii="宋体" w:hAnsi="宋体" w:cs="宋体"/>
                <w:kern w:val="0"/>
                <w:sz w:val="20"/>
                <w:szCs w:val="20"/>
              </w:rPr>
              <w:br w:type="page"/>
            </w:r>
            <w:r>
              <w:rPr>
                <w:rFonts w:hint="eastAsia" w:ascii="宋体" w:hAnsi="宋体" w:cs="宋体"/>
                <w:kern w:val="0"/>
                <w:sz w:val="20"/>
                <w:szCs w:val="20"/>
              </w:rPr>
              <w:t>内存：≥DDR3L  1GB</w:t>
            </w:r>
          </w:p>
          <w:p w14:paraId="0552DC8C">
            <w:pPr>
              <w:widowControl/>
              <w:jc w:val="left"/>
              <w:rPr>
                <w:rFonts w:hint="eastAsia" w:ascii="宋体" w:hAnsi="宋体" w:cs="宋体"/>
                <w:kern w:val="0"/>
                <w:sz w:val="20"/>
                <w:szCs w:val="20"/>
              </w:rPr>
            </w:pPr>
            <w:r>
              <w:rPr>
                <w:rFonts w:hint="eastAsia" w:ascii="宋体" w:hAnsi="宋体" w:cs="宋体"/>
                <w:kern w:val="0"/>
                <w:sz w:val="20"/>
                <w:szCs w:val="20"/>
              </w:rPr>
              <w:t>6、</w:t>
            </w:r>
            <w:r>
              <w:rPr>
                <w:rFonts w:hint="eastAsia" w:ascii="宋体" w:hAnsi="宋体" w:cs="宋体"/>
                <w:kern w:val="0"/>
                <w:sz w:val="20"/>
                <w:szCs w:val="20"/>
              </w:rPr>
              <w:br w:type="page"/>
            </w:r>
            <w:r>
              <w:rPr>
                <w:rFonts w:hint="eastAsia" w:ascii="宋体" w:hAnsi="宋体" w:cs="宋体"/>
                <w:kern w:val="0"/>
                <w:sz w:val="20"/>
                <w:szCs w:val="20"/>
              </w:rPr>
              <w:t>外存：≥8G</w:t>
            </w:r>
          </w:p>
          <w:p w14:paraId="0A2B5787">
            <w:pPr>
              <w:widowControl/>
              <w:jc w:val="left"/>
              <w:rPr>
                <w:rFonts w:hint="eastAsia" w:ascii="宋体" w:hAnsi="宋体" w:cs="宋体"/>
                <w:kern w:val="0"/>
                <w:sz w:val="20"/>
                <w:szCs w:val="20"/>
              </w:rPr>
            </w:pPr>
            <w:r>
              <w:rPr>
                <w:rFonts w:hint="eastAsia" w:ascii="宋体" w:hAnsi="宋体" w:cs="宋体"/>
                <w:kern w:val="0"/>
                <w:sz w:val="20"/>
                <w:szCs w:val="20"/>
              </w:rPr>
              <w:t>7、</w:t>
            </w:r>
            <w:r>
              <w:rPr>
                <w:rFonts w:hint="eastAsia" w:ascii="宋体" w:hAnsi="宋体" w:cs="宋体"/>
                <w:kern w:val="0"/>
                <w:sz w:val="20"/>
                <w:szCs w:val="20"/>
              </w:rPr>
              <w:br w:type="page"/>
            </w:r>
            <w:r>
              <w:rPr>
                <w:rFonts w:hint="eastAsia" w:ascii="宋体" w:hAnsi="宋体" w:cs="宋体"/>
                <w:kern w:val="0"/>
                <w:sz w:val="20"/>
                <w:szCs w:val="20"/>
              </w:rPr>
              <w:t>可视角度 (上/下/左/右)：89/89/89/89 (Typ.)(CR≥10)</w:t>
            </w:r>
          </w:p>
          <w:p w14:paraId="47ED64ED">
            <w:pPr>
              <w:widowControl/>
              <w:jc w:val="left"/>
              <w:rPr>
                <w:rFonts w:hint="eastAsia" w:ascii="宋体" w:hAnsi="宋体" w:cs="宋体"/>
                <w:kern w:val="0"/>
                <w:sz w:val="20"/>
                <w:szCs w:val="20"/>
              </w:rPr>
            </w:pPr>
            <w:r>
              <w:rPr>
                <w:rFonts w:hint="eastAsia" w:ascii="宋体" w:hAnsi="宋体" w:cs="宋体"/>
                <w:kern w:val="0"/>
                <w:sz w:val="20"/>
                <w:szCs w:val="20"/>
              </w:rPr>
              <w:t>8、</w:t>
            </w:r>
            <w:r>
              <w:rPr>
                <w:rFonts w:hint="eastAsia" w:ascii="宋体" w:hAnsi="宋体" w:cs="宋体"/>
                <w:kern w:val="0"/>
                <w:sz w:val="20"/>
                <w:szCs w:val="20"/>
              </w:rPr>
              <w:br w:type="page"/>
            </w:r>
            <w:r>
              <w:rPr>
                <w:rFonts w:hint="eastAsia" w:ascii="宋体" w:hAnsi="宋体" w:cs="宋体"/>
                <w:kern w:val="0"/>
                <w:sz w:val="20"/>
                <w:szCs w:val="20"/>
              </w:rPr>
              <w:t>网卡：100Mb</w:t>
            </w:r>
          </w:p>
          <w:p w14:paraId="606AFDAC">
            <w:pPr>
              <w:widowControl/>
              <w:jc w:val="left"/>
              <w:rPr>
                <w:rFonts w:hint="eastAsia" w:ascii="宋体" w:hAnsi="宋体" w:cs="宋体"/>
                <w:kern w:val="0"/>
                <w:sz w:val="20"/>
                <w:szCs w:val="20"/>
              </w:rPr>
            </w:pPr>
            <w:r>
              <w:rPr>
                <w:rFonts w:hint="eastAsia" w:ascii="宋体" w:hAnsi="宋体" w:cs="宋体"/>
                <w:kern w:val="0"/>
                <w:sz w:val="20"/>
                <w:szCs w:val="20"/>
              </w:rPr>
              <w:t>9、</w:t>
            </w:r>
            <w:r>
              <w:rPr>
                <w:rFonts w:hint="eastAsia" w:ascii="宋体" w:hAnsi="宋体" w:cs="宋体"/>
                <w:kern w:val="0"/>
                <w:sz w:val="20"/>
                <w:szCs w:val="20"/>
              </w:rPr>
              <w:br w:type="page"/>
            </w:r>
            <w:r>
              <w:rPr>
                <w:rFonts w:hint="eastAsia" w:ascii="宋体" w:hAnsi="宋体" w:cs="宋体"/>
                <w:kern w:val="0"/>
                <w:sz w:val="20"/>
                <w:szCs w:val="20"/>
              </w:rPr>
              <w:t>通讯接口：RJ45 TCP/IP协议</w:t>
            </w:r>
          </w:p>
          <w:p w14:paraId="18E8C24D">
            <w:pPr>
              <w:widowControl/>
              <w:jc w:val="left"/>
              <w:rPr>
                <w:rFonts w:hint="eastAsia" w:ascii="宋体" w:hAnsi="宋体" w:cs="宋体"/>
                <w:kern w:val="0"/>
                <w:sz w:val="20"/>
                <w:szCs w:val="20"/>
              </w:rPr>
            </w:pPr>
            <w:r>
              <w:rPr>
                <w:rFonts w:hint="eastAsia" w:ascii="宋体" w:hAnsi="宋体" w:cs="宋体"/>
                <w:kern w:val="0"/>
                <w:sz w:val="20"/>
                <w:szCs w:val="20"/>
              </w:rPr>
              <w:t>10、</w:t>
            </w:r>
            <w:r>
              <w:rPr>
                <w:rFonts w:hint="eastAsia" w:ascii="宋体" w:hAnsi="宋体" w:cs="宋体"/>
                <w:kern w:val="0"/>
                <w:sz w:val="20"/>
                <w:szCs w:val="20"/>
              </w:rPr>
              <w:br w:type="page"/>
            </w:r>
            <w:r>
              <w:rPr>
                <w:rFonts w:hint="eastAsia" w:ascii="宋体" w:hAnsi="宋体" w:cs="宋体"/>
                <w:kern w:val="0"/>
                <w:sz w:val="20"/>
                <w:szCs w:val="20"/>
              </w:rPr>
              <w:t>网络支持：支持以太网</w:t>
            </w:r>
          </w:p>
          <w:p w14:paraId="6A88CD56">
            <w:pPr>
              <w:widowControl/>
              <w:jc w:val="left"/>
              <w:rPr>
                <w:rFonts w:hint="eastAsia" w:ascii="宋体" w:hAnsi="宋体" w:cs="宋体"/>
                <w:kern w:val="0"/>
                <w:sz w:val="20"/>
                <w:szCs w:val="20"/>
              </w:rPr>
            </w:pPr>
            <w:r>
              <w:rPr>
                <w:rFonts w:hint="eastAsia" w:ascii="宋体" w:hAnsi="宋体" w:cs="宋体"/>
                <w:kern w:val="0"/>
                <w:sz w:val="20"/>
                <w:szCs w:val="20"/>
              </w:rPr>
              <w:t>11、</w:t>
            </w:r>
            <w:r>
              <w:rPr>
                <w:rFonts w:hint="eastAsia" w:ascii="宋体" w:hAnsi="宋体" w:cs="宋体"/>
                <w:kern w:val="0"/>
                <w:sz w:val="20"/>
                <w:szCs w:val="20"/>
              </w:rPr>
              <w:br w:type="page"/>
            </w:r>
            <w:r>
              <w:rPr>
                <w:rFonts w:hint="eastAsia" w:ascii="宋体" w:hAnsi="宋体" w:cs="宋体"/>
                <w:kern w:val="0"/>
                <w:sz w:val="20"/>
                <w:szCs w:val="20"/>
              </w:rPr>
              <w:t>工作电源：220V  AC</w:t>
            </w:r>
          </w:p>
          <w:p w14:paraId="7850BBA9">
            <w:pPr>
              <w:widowControl/>
              <w:jc w:val="left"/>
              <w:rPr>
                <w:rFonts w:hint="eastAsia" w:ascii="宋体" w:hAnsi="宋体" w:cs="宋体"/>
                <w:kern w:val="0"/>
                <w:sz w:val="20"/>
                <w:szCs w:val="20"/>
              </w:rPr>
            </w:pPr>
            <w:r>
              <w:rPr>
                <w:rFonts w:hint="eastAsia" w:ascii="宋体" w:hAnsi="宋体" w:cs="宋体"/>
                <w:kern w:val="0"/>
                <w:sz w:val="20"/>
                <w:szCs w:val="20"/>
              </w:rPr>
              <w:t>12、</w:t>
            </w:r>
            <w:r>
              <w:rPr>
                <w:rFonts w:hint="eastAsia" w:ascii="宋体" w:hAnsi="宋体" w:cs="宋体"/>
                <w:kern w:val="0"/>
                <w:sz w:val="20"/>
                <w:szCs w:val="20"/>
              </w:rPr>
              <w:br w:type="page"/>
            </w:r>
            <w:r>
              <w:rPr>
                <w:rFonts w:hint="eastAsia" w:ascii="宋体" w:hAnsi="宋体" w:cs="宋体"/>
                <w:kern w:val="0"/>
                <w:sz w:val="20"/>
                <w:szCs w:val="20"/>
              </w:rPr>
              <w:t>工作时间：可7×24小时不间断工作</w:t>
            </w:r>
          </w:p>
          <w:p w14:paraId="05962B73">
            <w:pPr>
              <w:widowControl/>
              <w:jc w:val="left"/>
              <w:rPr>
                <w:rFonts w:hint="eastAsia" w:ascii="宋体" w:hAnsi="宋体" w:cs="宋体"/>
                <w:kern w:val="0"/>
                <w:sz w:val="20"/>
                <w:szCs w:val="20"/>
              </w:rPr>
            </w:pPr>
            <w:r>
              <w:rPr>
                <w:rFonts w:hint="eastAsia" w:ascii="宋体" w:hAnsi="宋体" w:cs="宋体"/>
                <w:kern w:val="0"/>
                <w:sz w:val="20"/>
                <w:szCs w:val="20"/>
              </w:rPr>
              <w:t>13、</w:t>
            </w:r>
            <w:r>
              <w:rPr>
                <w:rFonts w:hint="eastAsia" w:ascii="宋体" w:hAnsi="宋体" w:cs="宋体"/>
                <w:kern w:val="0"/>
                <w:sz w:val="20"/>
                <w:szCs w:val="20"/>
              </w:rPr>
              <w:br w:type="page"/>
            </w:r>
            <w:r>
              <w:rPr>
                <w:rFonts w:hint="eastAsia" w:ascii="宋体" w:hAnsi="宋体" w:cs="宋体"/>
                <w:kern w:val="0"/>
                <w:sz w:val="20"/>
                <w:szCs w:val="20"/>
              </w:rPr>
              <w:t>工作温度：-10℃~55℃</w:t>
            </w:r>
          </w:p>
          <w:p w14:paraId="51CA1AE5">
            <w:pPr>
              <w:widowControl/>
              <w:jc w:val="left"/>
              <w:rPr>
                <w:rFonts w:hint="eastAsia" w:ascii="宋体" w:hAnsi="宋体" w:cs="宋体"/>
                <w:kern w:val="0"/>
                <w:sz w:val="20"/>
                <w:szCs w:val="20"/>
              </w:rPr>
            </w:pPr>
            <w:r>
              <w:rPr>
                <w:rFonts w:hint="eastAsia" w:ascii="宋体" w:hAnsi="宋体" w:cs="宋体"/>
                <w:kern w:val="0"/>
                <w:sz w:val="20"/>
                <w:szCs w:val="20"/>
              </w:rPr>
              <w:t>14、</w:t>
            </w:r>
            <w:r>
              <w:rPr>
                <w:rFonts w:hint="eastAsia" w:ascii="宋体" w:hAnsi="宋体" w:cs="宋体"/>
                <w:kern w:val="0"/>
                <w:sz w:val="20"/>
                <w:szCs w:val="20"/>
              </w:rPr>
              <w:br w:type="page"/>
            </w:r>
            <w:r>
              <w:rPr>
                <w:rFonts w:hint="eastAsia" w:ascii="宋体" w:hAnsi="宋体" w:cs="宋体"/>
                <w:kern w:val="0"/>
                <w:sz w:val="20"/>
                <w:szCs w:val="20"/>
              </w:rPr>
              <w:t>材质：铝合金面框外壳，钣金后壳</w:t>
            </w:r>
          </w:p>
          <w:p w14:paraId="3062559B">
            <w:pPr>
              <w:widowControl/>
              <w:jc w:val="left"/>
              <w:rPr>
                <w:rFonts w:hint="eastAsia" w:ascii="宋体" w:hAnsi="宋体" w:cs="宋体"/>
                <w:kern w:val="0"/>
                <w:sz w:val="20"/>
                <w:szCs w:val="20"/>
              </w:rPr>
            </w:pPr>
            <w:r>
              <w:rPr>
                <w:rFonts w:hint="eastAsia" w:ascii="宋体" w:hAnsi="宋体" w:cs="宋体"/>
                <w:kern w:val="0"/>
                <w:sz w:val="20"/>
                <w:szCs w:val="20"/>
              </w:rPr>
              <w:t>15、</w:t>
            </w:r>
            <w:r>
              <w:rPr>
                <w:rFonts w:hint="eastAsia" w:ascii="宋体" w:hAnsi="宋体" w:cs="宋体"/>
                <w:kern w:val="0"/>
                <w:sz w:val="20"/>
                <w:szCs w:val="20"/>
              </w:rPr>
              <w:br w:type="page"/>
            </w:r>
            <w:r>
              <w:rPr>
                <w:rFonts w:hint="eastAsia" w:ascii="宋体" w:hAnsi="宋体" w:cs="宋体"/>
                <w:kern w:val="0"/>
                <w:sz w:val="20"/>
                <w:szCs w:val="20"/>
              </w:rPr>
              <w:t>安装：壁挂式</w:t>
            </w:r>
            <w:r>
              <w:rPr>
                <w:rFonts w:hint="eastAsia" w:ascii="宋体" w:hAnsi="宋体" w:cs="宋体"/>
                <w:kern w:val="0"/>
                <w:sz w:val="20"/>
                <w:szCs w:val="20"/>
              </w:rPr>
              <w:br w:type="page"/>
            </w:r>
            <w:r>
              <w:rPr>
                <w:rFonts w:hint="eastAsia" w:ascii="宋体" w:hAnsi="宋体" w:cs="宋体"/>
                <w:kern w:val="0"/>
                <w:sz w:val="20"/>
                <w:szCs w:val="20"/>
              </w:rPr>
              <w:t>功能要求：</w:t>
            </w:r>
          </w:p>
          <w:p w14:paraId="6F7D51D3">
            <w:pPr>
              <w:widowControl/>
              <w:jc w:val="left"/>
              <w:rPr>
                <w:rFonts w:hint="eastAsia" w:ascii="宋体" w:hAnsi="宋体" w:cs="宋体"/>
                <w:kern w:val="0"/>
                <w:sz w:val="20"/>
                <w:szCs w:val="20"/>
              </w:rPr>
            </w:pPr>
            <w:r>
              <w:rPr>
                <w:rFonts w:hint="eastAsia" w:ascii="宋体" w:hAnsi="宋体" w:cs="宋体"/>
                <w:kern w:val="0"/>
                <w:sz w:val="20"/>
                <w:szCs w:val="20"/>
              </w:rPr>
              <w:t>16、</w:t>
            </w:r>
            <w:r>
              <w:rPr>
                <w:rFonts w:hint="eastAsia" w:ascii="宋体" w:hAnsi="宋体" w:cs="宋体"/>
                <w:kern w:val="0"/>
                <w:sz w:val="20"/>
                <w:szCs w:val="20"/>
              </w:rPr>
              <w:br w:type="page"/>
            </w:r>
            <w:r>
              <w:rPr>
                <w:rFonts w:hint="eastAsia" w:ascii="宋体" w:hAnsi="宋体" w:cs="宋体"/>
                <w:kern w:val="0"/>
                <w:sz w:val="20"/>
                <w:szCs w:val="20"/>
              </w:rPr>
              <w:t>支持通过管理后台可视化设置</w:t>
            </w:r>
            <w:r>
              <w:rPr>
                <w:rFonts w:hint="eastAsia" w:ascii="宋体" w:hAnsi="宋体" w:cs="宋体"/>
                <w:kern w:val="0"/>
                <w:sz w:val="20"/>
                <w:szCs w:val="20"/>
              </w:rPr>
              <w:br w:type="page"/>
            </w:r>
            <w:r>
              <w:rPr>
                <w:rFonts w:hint="eastAsia" w:ascii="宋体" w:hAnsi="宋体" w:cs="宋体"/>
                <w:kern w:val="0"/>
                <w:sz w:val="20"/>
                <w:szCs w:val="20"/>
              </w:rPr>
              <w:t>（1）诊室名称展示方式可选择翻页展示、缩小展示、滚动展示</w:t>
            </w:r>
            <w:r>
              <w:rPr>
                <w:rFonts w:hint="eastAsia" w:ascii="宋体" w:hAnsi="宋体" w:cs="宋体"/>
                <w:kern w:val="0"/>
                <w:sz w:val="20"/>
                <w:szCs w:val="20"/>
              </w:rPr>
              <w:br w:type="page"/>
            </w:r>
            <w:r>
              <w:rPr>
                <w:rFonts w:hint="eastAsia" w:ascii="宋体" w:hAnsi="宋体" w:cs="宋体"/>
                <w:kern w:val="0"/>
                <w:sz w:val="20"/>
                <w:szCs w:val="20"/>
              </w:rPr>
              <w:t>（2）可自定义当前就诊患者姓名字体颜色、下一位患者姓名字体颜色</w:t>
            </w:r>
            <w:r>
              <w:rPr>
                <w:rFonts w:hint="eastAsia" w:ascii="宋体" w:hAnsi="宋体" w:cs="宋体"/>
                <w:kern w:val="0"/>
                <w:sz w:val="20"/>
                <w:szCs w:val="20"/>
              </w:rPr>
              <w:br w:type="page"/>
            </w:r>
            <w:r>
              <w:rPr>
                <w:rFonts w:hint="eastAsia" w:ascii="宋体" w:hAnsi="宋体" w:cs="宋体"/>
                <w:kern w:val="0"/>
                <w:sz w:val="20"/>
                <w:szCs w:val="20"/>
              </w:rPr>
              <w:t>（3）等待队列展示方式可选择翻页展示、缩小展示、滚动展示</w:t>
            </w:r>
            <w:r>
              <w:rPr>
                <w:rFonts w:hint="eastAsia" w:ascii="宋体" w:hAnsi="宋体" w:cs="宋体"/>
                <w:kern w:val="0"/>
                <w:sz w:val="20"/>
                <w:szCs w:val="20"/>
              </w:rPr>
              <w:br w:type="page"/>
            </w:r>
            <w:r>
              <w:rPr>
                <w:rFonts w:hint="eastAsia" w:ascii="宋体" w:hAnsi="宋体" w:cs="宋体"/>
                <w:kern w:val="0"/>
                <w:sz w:val="20"/>
                <w:szCs w:val="20"/>
              </w:rPr>
              <w:t>（4）可选择是否给患者姓名加*号做隐私保护</w:t>
            </w:r>
            <w:r>
              <w:rPr>
                <w:rFonts w:hint="eastAsia" w:ascii="宋体" w:hAnsi="宋体" w:cs="宋体"/>
                <w:kern w:val="0"/>
                <w:sz w:val="20"/>
                <w:szCs w:val="20"/>
              </w:rPr>
              <w:br w:type="page"/>
            </w:r>
            <w:r>
              <w:rPr>
                <w:rFonts w:hint="eastAsia" w:ascii="宋体" w:hAnsi="宋体" w:cs="宋体"/>
                <w:kern w:val="0"/>
                <w:sz w:val="20"/>
                <w:szCs w:val="20"/>
              </w:rPr>
              <w:t>（5）可选择是否显示患者的挂号时间或预约时间在患者姓名下方</w:t>
            </w:r>
            <w:r>
              <w:rPr>
                <w:rFonts w:hint="eastAsia" w:ascii="宋体" w:hAnsi="宋体" w:cs="宋体"/>
                <w:kern w:val="0"/>
                <w:sz w:val="20"/>
                <w:szCs w:val="20"/>
              </w:rPr>
              <w:br w:type="page"/>
            </w:r>
            <w:r>
              <w:rPr>
                <w:rFonts w:hint="eastAsia" w:ascii="宋体" w:hAnsi="宋体" w:cs="宋体"/>
                <w:kern w:val="0"/>
                <w:sz w:val="20"/>
                <w:szCs w:val="20"/>
              </w:rPr>
              <w:t>（6）可选择是否只显示登录医生队列</w:t>
            </w:r>
            <w:r>
              <w:rPr>
                <w:rFonts w:hint="eastAsia" w:ascii="宋体" w:hAnsi="宋体" w:cs="宋体"/>
                <w:kern w:val="0"/>
                <w:sz w:val="20"/>
                <w:szCs w:val="20"/>
              </w:rPr>
              <w:br w:type="page"/>
            </w:r>
            <w:r>
              <w:rPr>
                <w:rFonts w:hint="eastAsia" w:ascii="宋体" w:hAnsi="宋体" w:cs="宋体"/>
                <w:kern w:val="0"/>
                <w:sz w:val="20"/>
                <w:szCs w:val="20"/>
              </w:rPr>
              <w:t>（7）可选择是否只显示挂号医生队列</w:t>
            </w:r>
          </w:p>
          <w:p w14:paraId="1CDF0918">
            <w:pPr>
              <w:widowControl/>
              <w:jc w:val="left"/>
              <w:rPr>
                <w:rFonts w:hint="eastAsia" w:ascii="宋体" w:hAnsi="宋体" w:cs="宋体"/>
                <w:kern w:val="0"/>
                <w:sz w:val="20"/>
                <w:szCs w:val="20"/>
              </w:rPr>
            </w:pPr>
            <w:r>
              <w:rPr>
                <w:rFonts w:hint="eastAsia" w:ascii="宋体" w:hAnsi="宋体" w:cs="宋体"/>
                <w:kern w:val="0"/>
                <w:sz w:val="20"/>
                <w:szCs w:val="20"/>
              </w:rPr>
              <w:t>17、</w:t>
            </w:r>
            <w:r>
              <w:rPr>
                <w:rFonts w:hint="eastAsia" w:ascii="宋体" w:hAnsi="宋体" w:cs="宋体"/>
                <w:kern w:val="0"/>
                <w:sz w:val="20"/>
                <w:szCs w:val="20"/>
              </w:rPr>
              <w:br w:type="page"/>
            </w:r>
            <w:r>
              <w:rPr>
                <w:rFonts w:hint="eastAsia" w:ascii="宋体" w:hAnsi="宋体" w:cs="宋体"/>
                <w:kern w:val="0"/>
                <w:sz w:val="20"/>
                <w:szCs w:val="20"/>
              </w:rPr>
              <w:t>支持当前呼叫弹窗放大显示、支持一个诊区有多个集中显示屏可在一台设备上集中发声</w:t>
            </w:r>
          </w:p>
          <w:p w14:paraId="2348D360">
            <w:pPr>
              <w:widowControl/>
              <w:jc w:val="left"/>
              <w:rPr>
                <w:rFonts w:hint="eastAsia" w:ascii="宋体" w:hAnsi="宋体" w:cs="宋体"/>
                <w:kern w:val="0"/>
                <w:sz w:val="20"/>
                <w:szCs w:val="20"/>
              </w:rPr>
            </w:pPr>
            <w:r>
              <w:rPr>
                <w:rFonts w:hint="eastAsia" w:ascii="宋体" w:hAnsi="宋体" w:cs="宋体"/>
                <w:kern w:val="0"/>
                <w:sz w:val="20"/>
                <w:szCs w:val="20"/>
              </w:rPr>
              <w:t>18、</w:t>
            </w:r>
            <w:r>
              <w:rPr>
                <w:rFonts w:hint="eastAsia" w:ascii="宋体" w:hAnsi="宋体" w:cs="宋体"/>
                <w:kern w:val="0"/>
                <w:sz w:val="20"/>
                <w:szCs w:val="20"/>
              </w:rPr>
              <w:br w:type="page"/>
            </w:r>
            <w:r>
              <w:rPr>
                <w:rFonts w:hint="eastAsia" w:ascii="宋体" w:hAnsi="宋体" w:cs="宋体"/>
                <w:kern w:val="0"/>
                <w:sz w:val="20"/>
                <w:szCs w:val="20"/>
              </w:rPr>
              <w:t>支持通过管理软件一键发布全院所有设备的设备二维码，通过手机扫码添加并设备终端名称</w:t>
            </w:r>
          </w:p>
          <w:p w14:paraId="1B5B5D68">
            <w:pPr>
              <w:widowControl/>
              <w:jc w:val="left"/>
              <w:rPr>
                <w:rFonts w:hint="eastAsia" w:ascii="宋体" w:hAnsi="宋体" w:cs="宋体"/>
                <w:kern w:val="0"/>
                <w:sz w:val="20"/>
                <w:szCs w:val="20"/>
              </w:rPr>
            </w:pPr>
            <w:r>
              <w:rPr>
                <w:rFonts w:hint="eastAsia" w:ascii="宋体" w:hAnsi="宋体" w:cs="宋体"/>
                <w:kern w:val="0"/>
                <w:sz w:val="20"/>
                <w:szCs w:val="20"/>
              </w:rPr>
              <w:t>19、</w:t>
            </w:r>
            <w:r>
              <w:rPr>
                <w:rFonts w:hint="eastAsia" w:ascii="宋体" w:hAnsi="宋体" w:cs="宋体"/>
                <w:kern w:val="0"/>
                <w:sz w:val="20"/>
                <w:szCs w:val="20"/>
              </w:rPr>
              <w:br w:type="page"/>
            </w:r>
            <w:r>
              <w:rPr>
                <w:rFonts w:hint="eastAsia" w:ascii="宋体" w:hAnsi="宋体" w:cs="宋体"/>
                <w:kern w:val="0"/>
                <w:sz w:val="20"/>
                <w:szCs w:val="20"/>
              </w:rPr>
              <w:t>支持断网弹窗提醒、网络正常时弹窗自动关闭</w:t>
            </w:r>
          </w:p>
        </w:tc>
        <w:tc>
          <w:tcPr>
            <w:tcW w:w="981" w:type="dxa"/>
            <w:tcBorders>
              <w:top w:val="nil"/>
              <w:left w:val="nil"/>
              <w:bottom w:val="single" w:color="auto" w:sz="4" w:space="0"/>
              <w:right w:val="single" w:color="auto" w:sz="4" w:space="0"/>
            </w:tcBorders>
            <w:shd w:val="clear" w:color="auto" w:fill="auto"/>
            <w:vAlign w:val="center"/>
          </w:tcPr>
          <w:p w14:paraId="1038874E">
            <w:pPr>
              <w:widowControl/>
              <w:jc w:val="center"/>
              <w:rPr>
                <w:rFonts w:hint="eastAsia" w:ascii="宋体" w:hAnsi="宋体" w:cs="宋体"/>
                <w:kern w:val="0"/>
                <w:sz w:val="20"/>
                <w:szCs w:val="20"/>
              </w:rPr>
            </w:pPr>
            <w:r>
              <w:rPr>
                <w:rFonts w:hint="eastAsia" w:ascii="宋体" w:hAnsi="宋体" w:cs="宋体"/>
                <w:kern w:val="0"/>
                <w:sz w:val="20"/>
                <w:szCs w:val="20"/>
              </w:rPr>
              <w:t>台</w:t>
            </w:r>
          </w:p>
        </w:tc>
        <w:tc>
          <w:tcPr>
            <w:tcW w:w="1177" w:type="dxa"/>
            <w:tcBorders>
              <w:top w:val="nil"/>
              <w:left w:val="nil"/>
              <w:bottom w:val="single" w:color="auto" w:sz="4" w:space="0"/>
              <w:right w:val="single" w:color="auto" w:sz="4" w:space="0"/>
            </w:tcBorders>
            <w:shd w:val="clear" w:color="auto" w:fill="auto"/>
            <w:vAlign w:val="center"/>
          </w:tcPr>
          <w:p w14:paraId="172A3DBB">
            <w:pPr>
              <w:widowControl/>
              <w:jc w:val="center"/>
              <w:rPr>
                <w:rFonts w:hint="eastAsia" w:ascii="宋体" w:hAnsi="宋体" w:cs="宋体"/>
                <w:kern w:val="0"/>
                <w:sz w:val="20"/>
                <w:szCs w:val="20"/>
              </w:rPr>
            </w:pPr>
            <w:r>
              <w:rPr>
                <w:rFonts w:hint="eastAsia" w:ascii="宋体" w:hAnsi="宋体" w:cs="宋体"/>
                <w:kern w:val="0"/>
                <w:sz w:val="20"/>
                <w:szCs w:val="20"/>
              </w:rPr>
              <w:t>4</w:t>
            </w:r>
          </w:p>
        </w:tc>
      </w:tr>
      <w:tr w14:paraId="11B9C11A">
        <w:tblPrEx>
          <w:tblCellMar>
            <w:top w:w="0" w:type="dxa"/>
            <w:left w:w="108" w:type="dxa"/>
            <w:bottom w:w="0" w:type="dxa"/>
            <w:right w:w="108" w:type="dxa"/>
          </w:tblCellMar>
        </w:tblPrEx>
        <w:trPr>
          <w:trHeight w:val="7280" w:hRule="atLeast"/>
        </w:trPr>
        <w:tc>
          <w:tcPr>
            <w:tcW w:w="1080" w:type="dxa"/>
            <w:tcBorders>
              <w:top w:val="nil"/>
              <w:left w:val="single" w:color="auto" w:sz="4" w:space="0"/>
              <w:bottom w:val="single" w:color="auto" w:sz="4" w:space="0"/>
              <w:right w:val="single" w:color="auto" w:sz="4" w:space="0"/>
            </w:tcBorders>
            <w:shd w:val="clear" w:color="auto" w:fill="auto"/>
            <w:vAlign w:val="center"/>
          </w:tcPr>
          <w:p w14:paraId="119FE472">
            <w:pPr>
              <w:widowControl/>
              <w:jc w:val="center"/>
              <w:rPr>
                <w:rFonts w:hint="eastAsia" w:ascii="宋体" w:hAnsi="宋体" w:cs="宋体"/>
                <w:kern w:val="0"/>
                <w:sz w:val="20"/>
                <w:szCs w:val="20"/>
              </w:rPr>
            </w:pPr>
            <w:r>
              <w:rPr>
                <w:rFonts w:hint="eastAsia" w:ascii="宋体" w:hAnsi="宋体" w:cs="宋体"/>
                <w:kern w:val="0"/>
                <w:sz w:val="20"/>
                <w:szCs w:val="20"/>
              </w:rPr>
              <w:t>5</w:t>
            </w:r>
          </w:p>
        </w:tc>
        <w:tc>
          <w:tcPr>
            <w:tcW w:w="1325" w:type="dxa"/>
            <w:tcBorders>
              <w:top w:val="nil"/>
              <w:left w:val="nil"/>
              <w:bottom w:val="single" w:color="auto" w:sz="4" w:space="0"/>
              <w:right w:val="single" w:color="auto" w:sz="4" w:space="0"/>
            </w:tcBorders>
            <w:shd w:val="clear" w:color="auto" w:fill="auto"/>
            <w:vAlign w:val="center"/>
          </w:tcPr>
          <w:p w14:paraId="0AB99E61">
            <w:pPr>
              <w:widowControl/>
              <w:jc w:val="left"/>
              <w:rPr>
                <w:rFonts w:hint="eastAsia" w:ascii="宋体" w:hAnsi="宋体" w:cs="宋体"/>
                <w:kern w:val="0"/>
                <w:sz w:val="20"/>
                <w:szCs w:val="20"/>
              </w:rPr>
            </w:pPr>
            <w:r>
              <w:rPr>
                <w:rFonts w:hint="eastAsia" w:ascii="宋体" w:hAnsi="宋体" w:cs="宋体"/>
                <w:kern w:val="0"/>
                <w:sz w:val="20"/>
                <w:szCs w:val="20"/>
              </w:rPr>
              <w:t>商显一体机（宣教屏）</w:t>
            </w:r>
          </w:p>
        </w:tc>
        <w:tc>
          <w:tcPr>
            <w:tcW w:w="3515" w:type="dxa"/>
            <w:tcBorders>
              <w:top w:val="nil"/>
              <w:left w:val="nil"/>
              <w:bottom w:val="single" w:color="auto" w:sz="4" w:space="0"/>
              <w:right w:val="single" w:color="auto" w:sz="4" w:space="0"/>
            </w:tcBorders>
            <w:shd w:val="clear" w:color="auto" w:fill="auto"/>
            <w:vAlign w:val="center"/>
          </w:tcPr>
          <w:p w14:paraId="59A362F3">
            <w:pPr>
              <w:widowControl/>
              <w:jc w:val="left"/>
              <w:rPr>
                <w:rFonts w:hint="eastAsia" w:ascii="宋体" w:hAnsi="宋体" w:cs="宋体"/>
                <w:kern w:val="0"/>
                <w:sz w:val="20"/>
                <w:szCs w:val="20"/>
              </w:rPr>
            </w:pPr>
            <w:r>
              <w:rPr>
                <w:rFonts w:hint="eastAsia" w:ascii="宋体" w:hAnsi="宋体" w:cs="宋体"/>
                <w:kern w:val="0"/>
                <w:sz w:val="20"/>
                <w:szCs w:val="20"/>
              </w:rPr>
              <w:t>技术参数：</w:t>
            </w:r>
            <w:r>
              <w:rPr>
                <w:rFonts w:hint="eastAsia" w:ascii="宋体" w:hAnsi="宋体" w:cs="宋体"/>
                <w:kern w:val="0"/>
                <w:sz w:val="20"/>
                <w:szCs w:val="20"/>
              </w:rPr>
              <w:br w:type="textWrapping"/>
            </w:r>
            <w:r>
              <w:rPr>
                <w:rFonts w:hint="eastAsia" w:ascii="宋体" w:hAnsi="宋体" w:cs="宋体"/>
                <w:kern w:val="0"/>
                <w:sz w:val="20"/>
                <w:szCs w:val="20"/>
              </w:rPr>
              <w:t>1、尺寸：≥55英寸液晶屏</w:t>
            </w:r>
            <w:r>
              <w:rPr>
                <w:rFonts w:hint="eastAsia" w:ascii="宋体" w:hAnsi="宋体" w:cs="宋体"/>
                <w:kern w:val="0"/>
                <w:sz w:val="20"/>
                <w:szCs w:val="20"/>
              </w:rPr>
              <w:br w:type="textWrapping"/>
            </w:r>
            <w:r>
              <w:rPr>
                <w:rFonts w:hint="eastAsia" w:ascii="宋体" w:hAnsi="宋体" w:cs="宋体"/>
                <w:kern w:val="0"/>
                <w:sz w:val="20"/>
                <w:szCs w:val="20"/>
              </w:rPr>
              <w:t xml:space="preserve">2、分辨率：≥1920×1080    </w:t>
            </w:r>
            <w:r>
              <w:rPr>
                <w:rFonts w:hint="eastAsia" w:ascii="宋体" w:hAnsi="宋体" w:cs="宋体"/>
                <w:kern w:val="0"/>
                <w:sz w:val="20"/>
                <w:szCs w:val="20"/>
              </w:rPr>
              <w:br w:type="textWrapping"/>
            </w:r>
            <w:r>
              <w:rPr>
                <w:rFonts w:hint="eastAsia" w:ascii="宋体" w:hAnsi="宋体" w:cs="宋体"/>
                <w:kern w:val="0"/>
                <w:sz w:val="20"/>
                <w:szCs w:val="20"/>
              </w:rPr>
              <w:t xml:space="preserve">3、系统：Android 7.0及以上 </w:t>
            </w:r>
            <w:r>
              <w:rPr>
                <w:rFonts w:hint="eastAsia" w:ascii="宋体" w:hAnsi="宋体" w:cs="宋体"/>
                <w:kern w:val="0"/>
                <w:sz w:val="20"/>
                <w:szCs w:val="20"/>
              </w:rPr>
              <w:br w:type="textWrapping"/>
            </w:r>
            <w:r>
              <w:rPr>
                <w:rFonts w:hint="eastAsia" w:ascii="宋体" w:hAnsi="宋体" w:cs="宋体"/>
                <w:kern w:val="0"/>
                <w:sz w:val="20"/>
                <w:szCs w:val="20"/>
              </w:rPr>
              <w:t xml:space="preserve">4、CPU：四核ARM 架构，主频≥1.2GHz  </w:t>
            </w:r>
            <w:r>
              <w:rPr>
                <w:rFonts w:hint="eastAsia" w:ascii="宋体" w:hAnsi="宋体" w:cs="宋体"/>
                <w:kern w:val="0"/>
                <w:sz w:val="20"/>
                <w:szCs w:val="20"/>
              </w:rPr>
              <w:br w:type="textWrapping"/>
            </w:r>
            <w:r>
              <w:rPr>
                <w:rFonts w:hint="eastAsia" w:ascii="宋体" w:hAnsi="宋体" w:cs="宋体"/>
                <w:kern w:val="0"/>
                <w:sz w:val="20"/>
                <w:szCs w:val="20"/>
              </w:rPr>
              <w:t>5、内存：≥DDR3L  1GB</w:t>
            </w:r>
            <w:r>
              <w:rPr>
                <w:rFonts w:hint="eastAsia" w:ascii="宋体" w:hAnsi="宋体" w:cs="宋体"/>
                <w:kern w:val="0"/>
                <w:sz w:val="20"/>
                <w:szCs w:val="20"/>
              </w:rPr>
              <w:br w:type="textWrapping"/>
            </w:r>
            <w:r>
              <w:rPr>
                <w:rFonts w:hint="eastAsia" w:ascii="宋体" w:hAnsi="宋体" w:cs="宋体"/>
                <w:kern w:val="0"/>
                <w:sz w:val="20"/>
                <w:szCs w:val="20"/>
              </w:rPr>
              <w:t>6、外存：≥8G</w:t>
            </w:r>
            <w:r>
              <w:rPr>
                <w:rFonts w:hint="eastAsia" w:ascii="宋体" w:hAnsi="宋体" w:cs="宋体"/>
                <w:kern w:val="0"/>
                <w:sz w:val="20"/>
                <w:szCs w:val="20"/>
              </w:rPr>
              <w:br w:type="textWrapping"/>
            </w:r>
            <w:r>
              <w:rPr>
                <w:rFonts w:hint="eastAsia" w:ascii="宋体" w:hAnsi="宋体" w:cs="宋体"/>
                <w:kern w:val="0"/>
                <w:sz w:val="20"/>
                <w:szCs w:val="20"/>
              </w:rPr>
              <w:t>7、可视角度 (上/下/左/右)：89/89/89/89 (Typ.)(CR≥10)</w:t>
            </w:r>
            <w:r>
              <w:rPr>
                <w:rFonts w:hint="eastAsia" w:ascii="宋体" w:hAnsi="宋体" w:cs="宋体"/>
                <w:kern w:val="0"/>
                <w:sz w:val="20"/>
                <w:szCs w:val="20"/>
              </w:rPr>
              <w:br w:type="textWrapping"/>
            </w:r>
            <w:r>
              <w:rPr>
                <w:rFonts w:hint="eastAsia" w:ascii="宋体" w:hAnsi="宋体" w:cs="宋体"/>
                <w:kern w:val="0"/>
                <w:sz w:val="20"/>
                <w:szCs w:val="20"/>
              </w:rPr>
              <w:t>8、网卡：100Mb</w:t>
            </w:r>
            <w:r>
              <w:rPr>
                <w:rFonts w:hint="eastAsia" w:ascii="宋体" w:hAnsi="宋体" w:cs="宋体"/>
                <w:kern w:val="0"/>
                <w:sz w:val="20"/>
                <w:szCs w:val="20"/>
              </w:rPr>
              <w:br w:type="textWrapping"/>
            </w:r>
            <w:r>
              <w:rPr>
                <w:rFonts w:hint="eastAsia" w:ascii="宋体" w:hAnsi="宋体" w:cs="宋体"/>
                <w:kern w:val="0"/>
                <w:sz w:val="20"/>
                <w:szCs w:val="20"/>
              </w:rPr>
              <w:t>9、通讯接口：RJ45 TCP/IP协议</w:t>
            </w:r>
            <w:r>
              <w:rPr>
                <w:rFonts w:hint="eastAsia" w:ascii="宋体" w:hAnsi="宋体" w:cs="宋体"/>
                <w:kern w:val="0"/>
                <w:sz w:val="20"/>
                <w:szCs w:val="20"/>
              </w:rPr>
              <w:br w:type="textWrapping"/>
            </w:r>
            <w:r>
              <w:rPr>
                <w:rFonts w:hint="eastAsia" w:ascii="宋体" w:hAnsi="宋体" w:cs="宋体"/>
                <w:kern w:val="0"/>
                <w:sz w:val="20"/>
                <w:szCs w:val="20"/>
              </w:rPr>
              <w:t>10、网络支持：支持以太网</w:t>
            </w:r>
            <w:r>
              <w:rPr>
                <w:rFonts w:hint="eastAsia" w:ascii="宋体" w:hAnsi="宋体" w:cs="宋体"/>
                <w:kern w:val="0"/>
                <w:sz w:val="20"/>
                <w:szCs w:val="20"/>
              </w:rPr>
              <w:br w:type="textWrapping"/>
            </w:r>
            <w:r>
              <w:rPr>
                <w:rFonts w:hint="eastAsia" w:ascii="宋体" w:hAnsi="宋体" w:cs="宋体"/>
                <w:kern w:val="0"/>
                <w:sz w:val="20"/>
                <w:szCs w:val="20"/>
              </w:rPr>
              <w:t>11、工作电源：220V  AC</w:t>
            </w:r>
            <w:r>
              <w:rPr>
                <w:rFonts w:hint="eastAsia" w:ascii="宋体" w:hAnsi="宋体" w:cs="宋体"/>
                <w:kern w:val="0"/>
                <w:sz w:val="20"/>
                <w:szCs w:val="20"/>
              </w:rPr>
              <w:br w:type="textWrapping"/>
            </w:r>
            <w:r>
              <w:rPr>
                <w:rFonts w:hint="eastAsia" w:ascii="宋体" w:hAnsi="宋体" w:cs="宋体"/>
                <w:kern w:val="0"/>
                <w:sz w:val="20"/>
                <w:szCs w:val="20"/>
              </w:rPr>
              <w:t>12、工作时间：可7×24小时不间断工作</w:t>
            </w:r>
            <w:r>
              <w:rPr>
                <w:rFonts w:hint="eastAsia" w:ascii="宋体" w:hAnsi="宋体" w:cs="宋体"/>
                <w:kern w:val="0"/>
                <w:sz w:val="20"/>
                <w:szCs w:val="20"/>
              </w:rPr>
              <w:br w:type="textWrapping"/>
            </w:r>
            <w:r>
              <w:rPr>
                <w:rFonts w:hint="eastAsia" w:ascii="宋体" w:hAnsi="宋体" w:cs="宋体"/>
                <w:kern w:val="0"/>
                <w:sz w:val="20"/>
                <w:szCs w:val="20"/>
              </w:rPr>
              <w:t>13、工作温度：-10℃~55℃</w:t>
            </w:r>
            <w:r>
              <w:rPr>
                <w:rFonts w:hint="eastAsia" w:ascii="宋体" w:hAnsi="宋体" w:cs="宋体"/>
                <w:kern w:val="0"/>
                <w:sz w:val="20"/>
                <w:szCs w:val="20"/>
              </w:rPr>
              <w:br w:type="textWrapping"/>
            </w:r>
            <w:r>
              <w:rPr>
                <w:rFonts w:hint="eastAsia" w:ascii="宋体" w:hAnsi="宋体" w:cs="宋体"/>
                <w:kern w:val="0"/>
                <w:sz w:val="20"/>
                <w:szCs w:val="20"/>
              </w:rPr>
              <w:t>14、材质：塑胶面框，钣金背板</w:t>
            </w:r>
            <w:r>
              <w:rPr>
                <w:rFonts w:hint="eastAsia" w:ascii="宋体" w:hAnsi="宋体" w:cs="宋体"/>
                <w:kern w:val="0"/>
                <w:sz w:val="20"/>
                <w:szCs w:val="20"/>
              </w:rPr>
              <w:br w:type="textWrapping"/>
            </w:r>
            <w:r>
              <w:rPr>
                <w:rFonts w:hint="eastAsia" w:ascii="宋体" w:hAnsi="宋体" w:cs="宋体"/>
                <w:kern w:val="0"/>
                <w:sz w:val="20"/>
                <w:szCs w:val="20"/>
              </w:rPr>
              <w:t>15、安装：壁挂式</w:t>
            </w:r>
            <w:r>
              <w:rPr>
                <w:rFonts w:hint="eastAsia" w:ascii="宋体" w:hAnsi="宋体" w:cs="宋体"/>
                <w:kern w:val="0"/>
                <w:sz w:val="20"/>
                <w:szCs w:val="20"/>
              </w:rPr>
              <w:br w:type="textWrapping"/>
            </w:r>
            <w:r>
              <w:rPr>
                <w:rFonts w:hint="eastAsia" w:ascii="宋体" w:hAnsi="宋体" w:cs="宋体"/>
                <w:kern w:val="0"/>
                <w:sz w:val="20"/>
                <w:szCs w:val="20"/>
              </w:rPr>
              <w:t>功能要求：</w:t>
            </w:r>
            <w:r>
              <w:rPr>
                <w:rFonts w:hint="eastAsia" w:ascii="宋体" w:hAnsi="宋体" w:cs="宋体"/>
                <w:kern w:val="0"/>
                <w:sz w:val="20"/>
                <w:szCs w:val="20"/>
              </w:rPr>
              <w:br w:type="textWrapping"/>
            </w:r>
            <w:r>
              <w:rPr>
                <w:rFonts w:hint="eastAsia" w:ascii="宋体" w:hAnsi="宋体" w:cs="宋体"/>
                <w:kern w:val="0"/>
                <w:sz w:val="20"/>
                <w:szCs w:val="20"/>
              </w:rPr>
              <w:t>1、支持通过管理后台可视化设置</w:t>
            </w:r>
            <w:r>
              <w:rPr>
                <w:rFonts w:hint="eastAsia" w:ascii="宋体" w:hAnsi="宋体" w:cs="宋体"/>
                <w:kern w:val="0"/>
                <w:sz w:val="20"/>
                <w:szCs w:val="20"/>
              </w:rPr>
              <w:br w:type="textWrapping"/>
            </w:r>
            <w:r>
              <w:rPr>
                <w:rFonts w:hint="eastAsia" w:ascii="宋体" w:hAnsi="宋体" w:cs="宋体"/>
                <w:kern w:val="0"/>
                <w:sz w:val="20"/>
                <w:szCs w:val="20"/>
              </w:rPr>
              <w:t>（1）诊室名称展示方式可选择翻页展示、缩小展示、滚动展示</w:t>
            </w:r>
            <w:r>
              <w:rPr>
                <w:rFonts w:hint="eastAsia" w:ascii="宋体" w:hAnsi="宋体" w:cs="宋体"/>
                <w:kern w:val="0"/>
                <w:sz w:val="20"/>
                <w:szCs w:val="20"/>
              </w:rPr>
              <w:br w:type="textWrapping"/>
            </w:r>
            <w:r>
              <w:rPr>
                <w:rFonts w:hint="eastAsia" w:ascii="宋体" w:hAnsi="宋体" w:cs="宋体"/>
                <w:kern w:val="0"/>
                <w:sz w:val="20"/>
                <w:szCs w:val="20"/>
              </w:rPr>
              <w:t>（2）可自定义当前就诊患者姓名字体颜色、下一位患者姓名字体颜色</w:t>
            </w:r>
            <w:r>
              <w:rPr>
                <w:rFonts w:hint="eastAsia" w:ascii="宋体" w:hAnsi="宋体" w:cs="宋体"/>
                <w:kern w:val="0"/>
                <w:sz w:val="20"/>
                <w:szCs w:val="20"/>
              </w:rPr>
              <w:br w:type="textWrapping"/>
            </w:r>
            <w:r>
              <w:rPr>
                <w:rFonts w:hint="eastAsia" w:ascii="宋体" w:hAnsi="宋体" w:cs="宋体"/>
                <w:kern w:val="0"/>
                <w:sz w:val="20"/>
                <w:szCs w:val="20"/>
              </w:rPr>
              <w:t>（3）等待队列展示方式可选择翻页展示、缩小展示、滚动展示</w:t>
            </w:r>
            <w:r>
              <w:rPr>
                <w:rFonts w:hint="eastAsia" w:ascii="宋体" w:hAnsi="宋体" w:cs="宋体"/>
                <w:kern w:val="0"/>
                <w:sz w:val="20"/>
                <w:szCs w:val="20"/>
              </w:rPr>
              <w:br w:type="textWrapping"/>
            </w:r>
            <w:r>
              <w:rPr>
                <w:rFonts w:hint="eastAsia" w:ascii="宋体" w:hAnsi="宋体" w:cs="宋体"/>
                <w:kern w:val="0"/>
                <w:sz w:val="20"/>
                <w:szCs w:val="20"/>
              </w:rPr>
              <w:t>（4）可选择是否给患者姓名加*号做隐私保护</w:t>
            </w:r>
            <w:r>
              <w:rPr>
                <w:rFonts w:hint="eastAsia" w:ascii="宋体" w:hAnsi="宋体" w:cs="宋体"/>
                <w:kern w:val="0"/>
                <w:sz w:val="20"/>
                <w:szCs w:val="20"/>
              </w:rPr>
              <w:br w:type="textWrapping"/>
            </w:r>
            <w:r>
              <w:rPr>
                <w:rFonts w:hint="eastAsia" w:ascii="宋体" w:hAnsi="宋体" w:cs="宋体"/>
                <w:kern w:val="0"/>
                <w:sz w:val="20"/>
                <w:szCs w:val="20"/>
              </w:rPr>
              <w:t>（5）可选择是否显示患者的挂号时间或预约时间在患者姓名下方</w:t>
            </w:r>
            <w:r>
              <w:rPr>
                <w:rFonts w:hint="eastAsia" w:ascii="宋体" w:hAnsi="宋体" w:cs="宋体"/>
                <w:kern w:val="0"/>
                <w:sz w:val="20"/>
                <w:szCs w:val="20"/>
              </w:rPr>
              <w:br w:type="textWrapping"/>
            </w:r>
            <w:r>
              <w:rPr>
                <w:rFonts w:hint="eastAsia" w:ascii="宋体" w:hAnsi="宋体" w:cs="宋体"/>
                <w:kern w:val="0"/>
                <w:sz w:val="20"/>
                <w:szCs w:val="20"/>
              </w:rPr>
              <w:t>（6）可选择是否只显示登录医生队列</w:t>
            </w:r>
            <w:r>
              <w:rPr>
                <w:rFonts w:hint="eastAsia" w:ascii="宋体" w:hAnsi="宋体" w:cs="宋体"/>
                <w:kern w:val="0"/>
                <w:sz w:val="20"/>
                <w:szCs w:val="20"/>
              </w:rPr>
              <w:br w:type="textWrapping"/>
            </w:r>
            <w:r>
              <w:rPr>
                <w:rFonts w:hint="eastAsia" w:ascii="宋体" w:hAnsi="宋体" w:cs="宋体"/>
                <w:kern w:val="0"/>
                <w:sz w:val="20"/>
                <w:szCs w:val="20"/>
              </w:rPr>
              <w:t>（7）可选择是否只显示挂号医生队列</w:t>
            </w:r>
            <w:r>
              <w:rPr>
                <w:rFonts w:hint="eastAsia" w:ascii="宋体" w:hAnsi="宋体" w:cs="宋体"/>
                <w:kern w:val="0"/>
                <w:sz w:val="20"/>
                <w:szCs w:val="20"/>
              </w:rPr>
              <w:br w:type="textWrapping"/>
            </w:r>
            <w:r>
              <w:rPr>
                <w:rFonts w:hint="eastAsia" w:ascii="宋体" w:hAnsi="宋体" w:cs="宋体"/>
                <w:kern w:val="0"/>
                <w:sz w:val="20"/>
                <w:szCs w:val="20"/>
              </w:rPr>
              <w:t>2、支持当前呼叫弹窗放大显示、支持一个诊区有多个集中显示屏可在一台设备上集中发声</w:t>
            </w:r>
            <w:r>
              <w:rPr>
                <w:rFonts w:hint="eastAsia" w:ascii="宋体" w:hAnsi="宋体" w:cs="宋体"/>
                <w:kern w:val="0"/>
                <w:sz w:val="20"/>
                <w:szCs w:val="20"/>
              </w:rPr>
              <w:br w:type="textWrapping"/>
            </w:r>
            <w:r>
              <w:rPr>
                <w:rFonts w:hint="eastAsia" w:ascii="宋体" w:hAnsi="宋体" w:cs="宋体"/>
                <w:kern w:val="0"/>
                <w:sz w:val="20"/>
                <w:szCs w:val="20"/>
              </w:rPr>
              <w:t>3、支持通过管理软件一键发布全院所有设备的设备二维码，通过手机扫码添加并设备终端名称</w:t>
            </w:r>
            <w:r>
              <w:rPr>
                <w:rFonts w:hint="eastAsia" w:ascii="宋体" w:hAnsi="宋体" w:cs="宋体"/>
                <w:kern w:val="0"/>
                <w:sz w:val="20"/>
                <w:szCs w:val="20"/>
              </w:rPr>
              <w:br w:type="textWrapping"/>
            </w:r>
            <w:r>
              <w:rPr>
                <w:rFonts w:hint="eastAsia" w:ascii="宋体" w:hAnsi="宋体" w:cs="宋体"/>
                <w:kern w:val="0"/>
                <w:sz w:val="20"/>
                <w:szCs w:val="20"/>
              </w:rPr>
              <w:t>4、支持断网弹窗提醒、网络正常时弹窗自动关闭</w:t>
            </w:r>
          </w:p>
        </w:tc>
        <w:tc>
          <w:tcPr>
            <w:tcW w:w="981" w:type="dxa"/>
            <w:tcBorders>
              <w:top w:val="nil"/>
              <w:left w:val="nil"/>
              <w:bottom w:val="single" w:color="auto" w:sz="4" w:space="0"/>
              <w:right w:val="single" w:color="auto" w:sz="4" w:space="0"/>
            </w:tcBorders>
            <w:shd w:val="clear" w:color="auto" w:fill="auto"/>
            <w:vAlign w:val="center"/>
          </w:tcPr>
          <w:p w14:paraId="372AF47F">
            <w:pPr>
              <w:widowControl/>
              <w:jc w:val="center"/>
              <w:rPr>
                <w:rFonts w:hint="eastAsia" w:ascii="宋体" w:hAnsi="宋体" w:cs="宋体"/>
                <w:kern w:val="0"/>
                <w:sz w:val="20"/>
                <w:szCs w:val="20"/>
              </w:rPr>
            </w:pPr>
            <w:r>
              <w:rPr>
                <w:rFonts w:hint="eastAsia" w:ascii="宋体" w:hAnsi="宋体" w:cs="宋体"/>
                <w:kern w:val="0"/>
                <w:sz w:val="20"/>
                <w:szCs w:val="20"/>
              </w:rPr>
              <w:t>台</w:t>
            </w:r>
          </w:p>
        </w:tc>
        <w:tc>
          <w:tcPr>
            <w:tcW w:w="1177" w:type="dxa"/>
            <w:tcBorders>
              <w:top w:val="nil"/>
              <w:left w:val="nil"/>
              <w:bottom w:val="single" w:color="auto" w:sz="4" w:space="0"/>
              <w:right w:val="single" w:color="auto" w:sz="4" w:space="0"/>
            </w:tcBorders>
            <w:shd w:val="clear" w:color="auto" w:fill="auto"/>
            <w:vAlign w:val="center"/>
          </w:tcPr>
          <w:p w14:paraId="569B6624">
            <w:pPr>
              <w:widowControl/>
              <w:jc w:val="center"/>
              <w:rPr>
                <w:rFonts w:hint="eastAsia" w:ascii="宋体" w:hAnsi="宋体" w:cs="宋体"/>
                <w:kern w:val="0"/>
                <w:sz w:val="20"/>
                <w:szCs w:val="20"/>
              </w:rPr>
            </w:pPr>
            <w:r>
              <w:rPr>
                <w:rFonts w:hint="eastAsia" w:ascii="宋体" w:hAnsi="宋体" w:cs="宋体"/>
                <w:kern w:val="0"/>
                <w:sz w:val="20"/>
                <w:szCs w:val="20"/>
              </w:rPr>
              <w:t>7</w:t>
            </w:r>
          </w:p>
        </w:tc>
      </w:tr>
      <w:tr w14:paraId="029A097B">
        <w:tblPrEx>
          <w:tblCellMar>
            <w:top w:w="0" w:type="dxa"/>
            <w:left w:w="108" w:type="dxa"/>
            <w:bottom w:w="0" w:type="dxa"/>
            <w:right w:w="108" w:type="dxa"/>
          </w:tblCellMar>
        </w:tblPrEx>
        <w:trPr>
          <w:trHeight w:val="1357" w:hRule="atLeast"/>
        </w:trPr>
        <w:tc>
          <w:tcPr>
            <w:tcW w:w="1080" w:type="dxa"/>
            <w:tcBorders>
              <w:top w:val="nil"/>
              <w:left w:val="single" w:color="auto" w:sz="4" w:space="0"/>
              <w:bottom w:val="single" w:color="auto" w:sz="4" w:space="0"/>
              <w:right w:val="single" w:color="auto" w:sz="4" w:space="0"/>
            </w:tcBorders>
            <w:shd w:val="clear" w:color="auto" w:fill="auto"/>
            <w:vAlign w:val="center"/>
          </w:tcPr>
          <w:p w14:paraId="648EE1B2">
            <w:pPr>
              <w:widowControl/>
              <w:jc w:val="center"/>
              <w:rPr>
                <w:rFonts w:hint="eastAsia" w:ascii="宋体" w:hAnsi="宋体" w:cs="宋体"/>
                <w:kern w:val="0"/>
                <w:sz w:val="20"/>
                <w:szCs w:val="20"/>
              </w:rPr>
            </w:pPr>
            <w:r>
              <w:rPr>
                <w:rFonts w:hint="eastAsia" w:ascii="宋体" w:hAnsi="宋体" w:cs="宋体"/>
                <w:kern w:val="0"/>
                <w:sz w:val="20"/>
                <w:szCs w:val="20"/>
              </w:rPr>
              <w:t>6</w:t>
            </w:r>
          </w:p>
        </w:tc>
        <w:tc>
          <w:tcPr>
            <w:tcW w:w="1325" w:type="dxa"/>
            <w:tcBorders>
              <w:top w:val="nil"/>
              <w:left w:val="nil"/>
              <w:bottom w:val="single" w:color="auto" w:sz="4" w:space="0"/>
              <w:right w:val="single" w:color="auto" w:sz="4" w:space="0"/>
            </w:tcBorders>
            <w:shd w:val="clear" w:color="auto" w:fill="auto"/>
            <w:vAlign w:val="center"/>
          </w:tcPr>
          <w:p w14:paraId="6A67BC8D">
            <w:pPr>
              <w:widowControl/>
              <w:jc w:val="left"/>
              <w:rPr>
                <w:rFonts w:hint="eastAsia" w:ascii="宋体" w:hAnsi="宋体" w:cs="宋体"/>
                <w:kern w:val="0"/>
                <w:sz w:val="20"/>
                <w:szCs w:val="20"/>
              </w:rPr>
            </w:pPr>
            <w:r>
              <w:rPr>
                <w:rFonts w:hint="eastAsia" w:ascii="宋体" w:hAnsi="宋体" w:cs="宋体"/>
                <w:kern w:val="0"/>
                <w:sz w:val="20"/>
                <w:szCs w:val="20"/>
              </w:rPr>
              <w:t>商显一体机（手术室状态显示屏）</w:t>
            </w:r>
          </w:p>
        </w:tc>
        <w:tc>
          <w:tcPr>
            <w:tcW w:w="3515" w:type="dxa"/>
            <w:tcBorders>
              <w:top w:val="nil"/>
              <w:left w:val="nil"/>
              <w:bottom w:val="single" w:color="auto" w:sz="4" w:space="0"/>
              <w:right w:val="single" w:color="auto" w:sz="4" w:space="0"/>
            </w:tcBorders>
            <w:shd w:val="clear" w:color="auto" w:fill="auto"/>
            <w:vAlign w:val="center"/>
          </w:tcPr>
          <w:p w14:paraId="0C7B4D28">
            <w:pPr>
              <w:widowControl/>
              <w:jc w:val="left"/>
              <w:rPr>
                <w:rFonts w:hint="eastAsia" w:ascii="宋体" w:hAnsi="宋体" w:cs="宋体"/>
                <w:kern w:val="0"/>
                <w:sz w:val="20"/>
                <w:szCs w:val="20"/>
              </w:rPr>
            </w:pPr>
            <w:r>
              <w:rPr>
                <w:rFonts w:hint="eastAsia" w:ascii="宋体" w:hAnsi="宋体" w:cs="宋体"/>
                <w:kern w:val="0"/>
                <w:sz w:val="20"/>
                <w:szCs w:val="20"/>
              </w:rPr>
              <w:t>技术参数：</w:t>
            </w:r>
          </w:p>
          <w:p w14:paraId="3E0FFA6A">
            <w:pPr>
              <w:widowControl/>
              <w:numPr>
                <w:ilvl w:val="0"/>
                <w:numId w:val="6"/>
              </w:numPr>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尺寸：≥55英寸液晶屏</w:t>
            </w:r>
          </w:p>
          <w:p w14:paraId="6DD92C40">
            <w:pPr>
              <w:widowControl/>
              <w:numPr>
                <w:ilvl w:val="0"/>
                <w:numId w:val="6"/>
              </w:numPr>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 xml:space="preserve">分辨率：≥1920×1080    </w:t>
            </w:r>
          </w:p>
          <w:p w14:paraId="7A147B2D">
            <w:pPr>
              <w:widowControl/>
              <w:numPr>
                <w:ilvl w:val="0"/>
                <w:numId w:val="6"/>
              </w:numPr>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 xml:space="preserve">系统：Android 7.0及以上 </w:t>
            </w:r>
          </w:p>
          <w:p w14:paraId="08AD9F36">
            <w:pPr>
              <w:widowControl/>
              <w:numPr>
                <w:ilvl w:val="0"/>
                <w:numId w:val="6"/>
              </w:numPr>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 xml:space="preserve">CPU：四核ARM 架构，主频≥1.2GHz  </w:t>
            </w:r>
          </w:p>
          <w:p w14:paraId="69D54A21">
            <w:pPr>
              <w:widowControl/>
              <w:numPr>
                <w:ilvl w:val="0"/>
                <w:numId w:val="6"/>
              </w:numPr>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内存：≥DDR3L  1GB</w:t>
            </w:r>
          </w:p>
          <w:p w14:paraId="1BDAB3B4">
            <w:pPr>
              <w:widowControl/>
              <w:numPr>
                <w:ilvl w:val="0"/>
                <w:numId w:val="6"/>
              </w:numPr>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外存：≥8G</w:t>
            </w:r>
          </w:p>
          <w:p w14:paraId="3BA3C791">
            <w:pPr>
              <w:widowControl/>
              <w:numPr>
                <w:ilvl w:val="0"/>
                <w:numId w:val="6"/>
              </w:numPr>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可视角度 (上/下/左/右)：89/89/89/89 (Typ.)(CR≥10)</w:t>
            </w:r>
          </w:p>
          <w:p w14:paraId="77F2E048">
            <w:pPr>
              <w:widowControl/>
              <w:numPr>
                <w:ilvl w:val="0"/>
                <w:numId w:val="6"/>
              </w:numPr>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网卡：100Mb</w:t>
            </w:r>
          </w:p>
          <w:p w14:paraId="435069C2">
            <w:pPr>
              <w:widowControl/>
              <w:numPr>
                <w:ilvl w:val="0"/>
                <w:numId w:val="6"/>
              </w:numPr>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通讯接口：RJ45 TCP/IP协议</w:t>
            </w:r>
          </w:p>
          <w:p w14:paraId="66669999">
            <w:pPr>
              <w:widowControl/>
              <w:numPr>
                <w:ilvl w:val="0"/>
                <w:numId w:val="6"/>
              </w:numPr>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网络支持：支持以太网</w:t>
            </w:r>
          </w:p>
          <w:p w14:paraId="44B048DF">
            <w:pPr>
              <w:widowControl/>
              <w:numPr>
                <w:ilvl w:val="0"/>
                <w:numId w:val="6"/>
              </w:numPr>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工作电源：220V  AC</w:t>
            </w:r>
          </w:p>
          <w:p w14:paraId="09917476">
            <w:pPr>
              <w:widowControl/>
              <w:numPr>
                <w:ilvl w:val="0"/>
                <w:numId w:val="6"/>
              </w:numPr>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工作时间：可7×24小时不间断工作</w:t>
            </w:r>
          </w:p>
          <w:p w14:paraId="75B9F00B">
            <w:pPr>
              <w:widowControl/>
              <w:numPr>
                <w:ilvl w:val="0"/>
                <w:numId w:val="6"/>
              </w:numPr>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工作温度：-10℃~55℃</w:t>
            </w:r>
          </w:p>
          <w:p w14:paraId="670B292F">
            <w:pPr>
              <w:widowControl/>
              <w:numPr>
                <w:ilvl w:val="0"/>
                <w:numId w:val="6"/>
              </w:numPr>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材质：塑胶面框，钣金背板</w:t>
            </w:r>
          </w:p>
          <w:p w14:paraId="06E9D821">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15、安装：壁挂式</w:t>
            </w:r>
            <w:r>
              <w:rPr>
                <w:rFonts w:hint="eastAsia" w:ascii="宋体" w:hAnsi="宋体" w:cs="宋体"/>
                <w:kern w:val="0"/>
                <w:sz w:val="20"/>
                <w:szCs w:val="20"/>
              </w:rPr>
              <w:br w:type="page"/>
            </w:r>
            <w:r>
              <w:rPr>
                <w:rFonts w:hint="eastAsia" w:ascii="宋体" w:hAnsi="宋体" w:cs="宋体"/>
                <w:kern w:val="0"/>
                <w:sz w:val="20"/>
                <w:szCs w:val="20"/>
              </w:rPr>
              <w:t>功能特点：</w:t>
            </w:r>
            <w:r>
              <w:rPr>
                <w:rFonts w:hint="eastAsia" w:ascii="宋体" w:hAnsi="宋体" w:cs="宋体"/>
                <w:kern w:val="0"/>
                <w:sz w:val="20"/>
                <w:szCs w:val="20"/>
              </w:rPr>
              <w:br w:type="page"/>
            </w:r>
            <w:r>
              <w:rPr>
                <w:rFonts w:hint="eastAsia" w:ascii="宋体" w:hAnsi="宋体" w:cs="宋体"/>
                <w:kern w:val="0"/>
                <w:sz w:val="20"/>
                <w:szCs w:val="20"/>
              </w:rPr>
              <w:t>1、支持通过管理后台可视化设置</w:t>
            </w:r>
            <w:r>
              <w:rPr>
                <w:rFonts w:hint="eastAsia" w:ascii="宋体" w:hAnsi="宋体" w:cs="宋体"/>
                <w:kern w:val="0"/>
                <w:sz w:val="20"/>
                <w:szCs w:val="20"/>
              </w:rPr>
              <w:br w:type="page"/>
            </w:r>
            <w:r>
              <w:rPr>
                <w:rFonts w:hint="eastAsia" w:ascii="宋体" w:hAnsi="宋体" w:cs="宋体"/>
                <w:kern w:val="0"/>
                <w:sz w:val="20"/>
                <w:szCs w:val="20"/>
              </w:rPr>
              <w:t>（1）诊室名称展示方式可选择翻页展示、缩小展示、滚动展示</w:t>
            </w:r>
            <w:r>
              <w:rPr>
                <w:rFonts w:hint="eastAsia" w:ascii="宋体" w:hAnsi="宋体" w:cs="宋体"/>
                <w:kern w:val="0"/>
                <w:sz w:val="20"/>
                <w:szCs w:val="20"/>
              </w:rPr>
              <w:br w:type="page"/>
            </w:r>
            <w:r>
              <w:rPr>
                <w:rFonts w:hint="eastAsia" w:ascii="宋体" w:hAnsi="宋体" w:cs="宋体"/>
                <w:kern w:val="0"/>
                <w:sz w:val="20"/>
                <w:szCs w:val="20"/>
              </w:rPr>
              <w:t>（2）可自定义当前就诊患者姓名字体颜色、下一位患者姓名字体颜色</w:t>
            </w:r>
            <w:r>
              <w:rPr>
                <w:rFonts w:hint="eastAsia" w:ascii="宋体" w:hAnsi="宋体" w:cs="宋体"/>
                <w:kern w:val="0"/>
                <w:sz w:val="20"/>
                <w:szCs w:val="20"/>
              </w:rPr>
              <w:br w:type="page"/>
            </w:r>
            <w:r>
              <w:rPr>
                <w:rFonts w:hint="eastAsia" w:ascii="宋体" w:hAnsi="宋体" w:cs="宋体"/>
                <w:kern w:val="0"/>
                <w:sz w:val="20"/>
                <w:szCs w:val="20"/>
              </w:rPr>
              <w:t>（3）等待队列展示方式可选择翻页展示、缩小展示、滚动展示</w:t>
            </w:r>
            <w:r>
              <w:rPr>
                <w:rFonts w:hint="eastAsia" w:ascii="宋体" w:hAnsi="宋体" w:cs="宋体"/>
                <w:kern w:val="0"/>
                <w:sz w:val="20"/>
                <w:szCs w:val="20"/>
              </w:rPr>
              <w:br w:type="page"/>
            </w:r>
            <w:r>
              <w:rPr>
                <w:rFonts w:hint="eastAsia" w:ascii="宋体" w:hAnsi="宋体" w:cs="宋体"/>
                <w:kern w:val="0"/>
                <w:sz w:val="20"/>
                <w:szCs w:val="20"/>
              </w:rPr>
              <w:t>（4）可选择是否给患者姓名加*号做隐私保护</w:t>
            </w:r>
            <w:r>
              <w:rPr>
                <w:rFonts w:hint="eastAsia" w:ascii="宋体" w:hAnsi="宋体" w:cs="宋体"/>
                <w:kern w:val="0"/>
                <w:sz w:val="20"/>
                <w:szCs w:val="20"/>
              </w:rPr>
              <w:br w:type="page"/>
            </w:r>
            <w:r>
              <w:rPr>
                <w:rFonts w:hint="eastAsia" w:ascii="宋体" w:hAnsi="宋体" w:cs="宋体"/>
                <w:kern w:val="0"/>
                <w:sz w:val="20"/>
                <w:szCs w:val="20"/>
              </w:rPr>
              <w:t>（5）可选择是否显示患者的挂号时间或预约时间在患者姓名下方</w:t>
            </w:r>
            <w:r>
              <w:rPr>
                <w:rFonts w:hint="eastAsia" w:ascii="宋体" w:hAnsi="宋体" w:cs="宋体"/>
                <w:kern w:val="0"/>
                <w:sz w:val="20"/>
                <w:szCs w:val="20"/>
              </w:rPr>
              <w:br w:type="page"/>
            </w:r>
            <w:r>
              <w:rPr>
                <w:rFonts w:hint="eastAsia" w:ascii="宋体" w:hAnsi="宋体" w:cs="宋体"/>
                <w:kern w:val="0"/>
                <w:sz w:val="20"/>
                <w:szCs w:val="20"/>
              </w:rPr>
              <w:t>（6）可选择是否只显示登录医生队列</w:t>
            </w:r>
            <w:r>
              <w:rPr>
                <w:rFonts w:hint="eastAsia" w:ascii="宋体" w:hAnsi="宋体" w:cs="宋体"/>
                <w:kern w:val="0"/>
                <w:sz w:val="20"/>
                <w:szCs w:val="20"/>
              </w:rPr>
              <w:br w:type="page"/>
            </w:r>
            <w:r>
              <w:rPr>
                <w:rFonts w:hint="eastAsia" w:ascii="宋体" w:hAnsi="宋体" w:cs="宋体"/>
                <w:kern w:val="0"/>
                <w:sz w:val="20"/>
                <w:szCs w:val="20"/>
              </w:rPr>
              <w:t>（7）可选择是否只显示挂号医生队列</w:t>
            </w:r>
            <w:r>
              <w:rPr>
                <w:rFonts w:hint="eastAsia" w:ascii="宋体" w:hAnsi="宋体" w:cs="宋体"/>
                <w:kern w:val="0"/>
                <w:sz w:val="20"/>
                <w:szCs w:val="20"/>
              </w:rPr>
              <w:br w:type="page"/>
            </w:r>
            <w:r>
              <w:rPr>
                <w:rFonts w:hint="eastAsia" w:ascii="宋体" w:hAnsi="宋体" w:cs="宋体"/>
                <w:kern w:val="0"/>
                <w:sz w:val="20"/>
                <w:szCs w:val="20"/>
              </w:rPr>
              <w:t>2、支持当前呼叫弹窗放大显示、支持一个诊区有多个集中显示屏可在一台设备上集中发声</w:t>
            </w:r>
            <w:r>
              <w:rPr>
                <w:rFonts w:hint="eastAsia" w:ascii="宋体" w:hAnsi="宋体" w:cs="宋体"/>
                <w:kern w:val="0"/>
                <w:sz w:val="20"/>
                <w:szCs w:val="20"/>
              </w:rPr>
              <w:br w:type="page"/>
            </w:r>
            <w:r>
              <w:rPr>
                <w:rFonts w:hint="eastAsia" w:ascii="宋体" w:hAnsi="宋体" w:cs="宋体"/>
                <w:kern w:val="0"/>
                <w:sz w:val="20"/>
                <w:szCs w:val="20"/>
              </w:rPr>
              <w:t>3、支持通过管理软件一键发布全院所有设备的设备二维码，通过手机扫码添加并设备终端名称</w:t>
            </w:r>
            <w:r>
              <w:rPr>
                <w:rFonts w:hint="eastAsia" w:ascii="宋体" w:hAnsi="宋体" w:cs="宋体"/>
                <w:kern w:val="0"/>
                <w:sz w:val="20"/>
                <w:szCs w:val="20"/>
              </w:rPr>
              <w:br w:type="page"/>
            </w:r>
            <w:r>
              <w:rPr>
                <w:rFonts w:hint="eastAsia" w:ascii="宋体" w:hAnsi="宋体" w:cs="宋体"/>
                <w:kern w:val="0"/>
                <w:sz w:val="20"/>
                <w:szCs w:val="20"/>
              </w:rPr>
              <w:t>4、支持断网弹窗提醒、网络正常时弹窗自动关闭</w:t>
            </w:r>
          </w:p>
        </w:tc>
        <w:tc>
          <w:tcPr>
            <w:tcW w:w="981" w:type="dxa"/>
            <w:tcBorders>
              <w:top w:val="nil"/>
              <w:left w:val="nil"/>
              <w:bottom w:val="single" w:color="auto" w:sz="4" w:space="0"/>
              <w:right w:val="single" w:color="auto" w:sz="4" w:space="0"/>
            </w:tcBorders>
            <w:shd w:val="clear" w:color="auto" w:fill="auto"/>
            <w:vAlign w:val="center"/>
          </w:tcPr>
          <w:p w14:paraId="59DAFC78">
            <w:pPr>
              <w:widowControl/>
              <w:jc w:val="center"/>
              <w:rPr>
                <w:rFonts w:hint="eastAsia" w:ascii="宋体" w:hAnsi="宋体" w:cs="宋体"/>
                <w:kern w:val="0"/>
                <w:sz w:val="20"/>
                <w:szCs w:val="20"/>
              </w:rPr>
            </w:pPr>
            <w:r>
              <w:rPr>
                <w:rFonts w:hint="eastAsia" w:ascii="宋体" w:hAnsi="宋体" w:cs="宋体"/>
                <w:kern w:val="0"/>
                <w:sz w:val="20"/>
                <w:szCs w:val="20"/>
              </w:rPr>
              <w:t>台</w:t>
            </w:r>
          </w:p>
        </w:tc>
        <w:tc>
          <w:tcPr>
            <w:tcW w:w="1177" w:type="dxa"/>
            <w:tcBorders>
              <w:top w:val="nil"/>
              <w:left w:val="nil"/>
              <w:bottom w:val="single" w:color="auto" w:sz="4" w:space="0"/>
              <w:right w:val="single" w:color="auto" w:sz="4" w:space="0"/>
            </w:tcBorders>
            <w:shd w:val="clear" w:color="auto" w:fill="auto"/>
            <w:vAlign w:val="center"/>
          </w:tcPr>
          <w:p w14:paraId="7E22BED9">
            <w:pPr>
              <w:widowControl/>
              <w:jc w:val="center"/>
              <w:rPr>
                <w:rFonts w:hint="eastAsia" w:ascii="宋体" w:hAnsi="宋体" w:cs="宋体"/>
                <w:kern w:val="0"/>
                <w:sz w:val="20"/>
                <w:szCs w:val="20"/>
              </w:rPr>
            </w:pPr>
            <w:r>
              <w:rPr>
                <w:rFonts w:hint="eastAsia" w:ascii="宋体" w:hAnsi="宋体" w:cs="宋体"/>
                <w:kern w:val="0"/>
                <w:sz w:val="20"/>
                <w:szCs w:val="20"/>
              </w:rPr>
              <w:t>1</w:t>
            </w:r>
          </w:p>
        </w:tc>
      </w:tr>
      <w:tr w14:paraId="782F53D2">
        <w:tblPrEx>
          <w:tblCellMar>
            <w:top w:w="0" w:type="dxa"/>
            <w:left w:w="108" w:type="dxa"/>
            <w:bottom w:w="0" w:type="dxa"/>
            <w:right w:w="108" w:type="dxa"/>
          </w:tblCellMar>
        </w:tblPrEx>
        <w:trPr>
          <w:trHeight w:val="1455" w:hRule="atLeast"/>
        </w:trPr>
        <w:tc>
          <w:tcPr>
            <w:tcW w:w="1080" w:type="dxa"/>
            <w:tcBorders>
              <w:top w:val="nil"/>
              <w:left w:val="single" w:color="auto" w:sz="4" w:space="0"/>
              <w:bottom w:val="single" w:color="auto" w:sz="4" w:space="0"/>
              <w:right w:val="single" w:color="auto" w:sz="4" w:space="0"/>
            </w:tcBorders>
            <w:shd w:val="clear" w:color="auto" w:fill="auto"/>
            <w:vAlign w:val="center"/>
          </w:tcPr>
          <w:p w14:paraId="64655C1E">
            <w:pPr>
              <w:widowControl/>
              <w:jc w:val="center"/>
              <w:rPr>
                <w:rFonts w:hint="eastAsia" w:ascii="宋体" w:hAnsi="宋体" w:cs="宋体"/>
                <w:kern w:val="0"/>
                <w:sz w:val="20"/>
                <w:szCs w:val="20"/>
              </w:rPr>
            </w:pPr>
            <w:r>
              <w:rPr>
                <w:rFonts w:hint="eastAsia" w:ascii="宋体" w:hAnsi="宋体" w:cs="宋体"/>
                <w:kern w:val="0"/>
                <w:sz w:val="20"/>
                <w:szCs w:val="20"/>
              </w:rPr>
              <w:t>7</w:t>
            </w:r>
          </w:p>
        </w:tc>
        <w:tc>
          <w:tcPr>
            <w:tcW w:w="1325" w:type="dxa"/>
            <w:tcBorders>
              <w:top w:val="nil"/>
              <w:left w:val="nil"/>
              <w:bottom w:val="single" w:color="auto" w:sz="4" w:space="0"/>
              <w:right w:val="single" w:color="auto" w:sz="4" w:space="0"/>
            </w:tcBorders>
            <w:shd w:val="clear" w:color="auto" w:fill="auto"/>
            <w:vAlign w:val="center"/>
          </w:tcPr>
          <w:p w14:paraId="7C86B196">
            <w:pPr>
              <w:widowControl/>
              <w:jc w:val="left"/>
              <w:rPr>
                <w:rFonts w:hint="eastAsia" w:ascii="宋体" w:hAnsi="宋体" w:cs="宋体"/>
                <w:kern w:val="0"/>
                <w:sz w:val="20"/>
                <w:szCs w:val="20"/>
              </w:rPr>
            </w:pPr>
            <w:r>
              <w:rPr>
                <w:rFonts w:hint="eastAsia" w:ascii="宋体" w:hAnsi="宋体" w:cs="宋体"/>
                <w:kern w:val="0"/>
                <w:sz w:val="20"/>
                <w:szCs w:val="20"/>
              </w:rPr>
              <w:t>电梯口信息发布一体机</w:t>
            </w:r>
          </w:p>
        </w:tc>
        <w:tc>
          <w:tcPr>
            <w:tcW w:w="3515" w:type="dxa"/>
            <w:tcBorders>
              <w:top w:val="nil"/>
              <w:left w:val="nil"/>
              <w:bottom w:val="single" w:color="auto" w:sz="4" w:space="0"/>
              <w:right w:val="single" w:color="auto" w:sz="4" w:space="0"/>
            </w:tcBorders>
            <w:shd w:val="clear" w:color="auto" w:fill="auto"/>
            <w:vAlign w:val="center"/>
          </w:tcPr>
          <w:p w14:paraId="30AB716C">
            <w:pPr>
              <w:widowControl/>
              <w:jc w:val="left"/>
              <w:rPr>
                <w:rFonts w:hint="eastAsia" w:ascii="宋体" w:hAnsi="宋体" w:cs="宋体"/>
                <w:kern w:val="0"/>
                <w:sz w:val="20"/>
                <w:szCs w:val="20"/>
              </w:rPr>
            </w:pPr>
            <w:r>
              <w:rPr>
                <w:rFonts w:hint="eastAsia" w:ascii="宋体" w:hAnsi="宋体" w:cs="宋体"/>
                <w:kern w:val="0"/>
                <w:sz w:val="20"/>
                <w:szCs w:val="20"/>
              </w:rPr>
              <w:t>技术参数：</w:t>
            </w:r>
            <w:r>
              <w:rPr>
                <w:rFonts w:hint="eastAsia" w:ascii="宋体" w:hAnsi="宋体" w:cs="宋体"/>
                <w:kern w:val="0"/>
                <w:sz w:val="20"/>
                <w:szCs w:val="20"/>
              </w:rPr>
              <w:br w:type="textWrapping"/>
            </w:r>
            <w:r>
              <w:rPr>
                <w:rFonts w:hint="eastAsia" w:ascii="宋体" w:hAnsi="宋体" w:cs="宋体"/>
                <w:kern w:val="0"/>
                <w:sz w:val="20"/>
                <w:szCs w:val="20"/>
              </w:rPr>
              <w:t>1、尺寸：≥21.5英寸液晶屏</w:t>
            </w:r>
            <w:r>
              <w:rPr>
                <w:rFonts w:hint="eastAsia" w:ascii="宋体" w:hAnsi="宋体" w:cs="宋体"/>
                <w:kern w:val="0"/>
                <w:sz w:val="20"/>
                <w:szCs w:val="20"/>
              </w:rPr>
              <w:br w:type="textWrapping"/>
            </w:r>
            <w:r>
              <w:rPr>
                <w:rFonts w:hint="eastAsia" w:ascii="宋体" w:hAnsi="宋体" w:cs="宋体"/>
                <w:kern w:val="0"/>
                <w:sz w:val="20"/>
                <w:szCs w:val="20"/>
              </w:rPr>
              <w:t xml:space="preserve">2、分辨率：≥1920x1080 </w:t>
            </w:r>
            <w:r>
              <w:rPr>
                <w:rFonts w:hint="eastAsia" w:ascii="宋体" w:hAnsi="宋体" w:cs="宋体"/>
                <w:kern w:val="0"/>
                <w:sz w:val="20"/>
                <w:szCs w:val="20"/>
              </w:rPr>
              <w:br w:type="textWrapping"/>
            </w:r>
            <w:r>
              <w:rPr>
                <w:rFonts w:hint="eastAsia" w:ascii="宋体" w:hAnsi="宋体" w:cs="宋体"/>
                <w:kern w:val="0"/>
                <w:sz w:val="20"/>
                <w:szCs w:val="20"/>
              </w:rPr>
              <w:t xml:space="preserve">3、系统：安卓 Android 7.0及以上  </w:t>
            </w:r>
            <w:r>
              <w:rPr>
                <w:rFonts w:hint="eastAsia" w:ascii="宋体" w:hAnsi="宋体" w:cs="宋体"/>
                <w:kern w:val="0"/>
                <w:sz w:val="20"/>
                <w:szCs w:val="20"/>
              </w:rPr>
              <w:br w:type="textWrapping"/>
            </w:r>
            <w:r>
              <w:rPr>
                <w:rFonts w:hint="eastAsia" w:ascii="宋体" w:hAnsi="宋体" w:cs="宋体"/>
                <w:kern w:val="0"/>
                <w:sz w:val="20"/>
                <w:szCs w:val="20"/>
              </w:rPr>
              <w:t xml:space="preserve">4、CPU：四核ARM 架构，主频≥1.2GHz  </w:t>
            </w:r>
            <w:r>
              <w:rPr>
                <w:rFonts w:hint="eastAsia" w:ascii="宋体" w:hAnsi="宋体" w:cs="宋体"/>
                <w:kern w:val="0"/>
                <w:sz w:val="20"/>
                <w:szCs w:val="20"/>
              </w:rPr>
              <w:br w:type="textWrapping"/>
            </w:r>
            <w:r>
              <w:rPr>
                <w:rFonts w:hint="eastAsia" w:ascii="宋体" w:hAnsi="宋体" w:cs="宋体"/>
                <w:kern w:val="0"/>
                <w:sz w:val="20"/>
                <w:szCs w:val="20"/>
              </w:rPr>
              <w:t>5、内存：≥1GB</w:t>
            </w:r>
            <w:r>
              <w:rPr>
                <w:rFonts w:hint="eastAsia" w:ascii="宋体" w:hAnsi="宋体" w:cs="宋体"/>
                <w:kern w:val="0"/>
                <w:sz w:val="20"/>
                <w:szCs w:val="20"/>
              </w:rPr>
              <w:br w:type="textWrapping"/>
            </w:r>
            <w:r>
              <w:rPr>
                <w:rFonts w:hint="eastAsia" w:ascii="宋体" w:hAnsi="宋体" w:cs="宋体"/>
                <w:kern w:val="0"/>
                <w:sz w:val="20"/>
                <w:szCs w:val="20"/>
              </w:rPr>
              <w:t>6、外存：≥8G</w:t>
            </w:r>
            <w:r>
              <w:rPr>
                <w:rFonts w:hint="eastAsia" w:ascii="宋体" w:hAnsi="宋体" w:cs="宋体"/>
                <w:kern w:val="0"/>
                <w:sz w:val="20"/>
                <w:szCs w:val="20"/>
              </w:rPr>
              <w:br w:type="textWrapping"/>
            </w:r>
            <w:r>
              <w:rPr>
                <w:rFonts w:hint="eastAsia" w:ascii="宋体" w:hAnsi="宋体" w:cs="宋体"/>
                <w:kern w:val="0"/>
                <w:sz w:val="20"/>
                <w:szCs w:val="20"/>
              </w:rPr>
              <w:t>7、可视角度 (上/下/左/右)89°</w:t>
            </w:r>
            <w:r>
              <w:rPr>
                <w:rFonts w:hint="eastAsia" w:ascii="宋体" w:hAnsi="宋体" w:cs="宋体"/>
                <w:kern w:val="0"/>
                <w:sz w:val="20"/>
                <w:szCs w:val="20"/>
              </w:rPr>
              <w:br w:type="textWrapping"/>
            </w:r>
            <w:r>
              <w:rPr>
                <w:rFonts w:hint="eastAsia" w:ascii="宋体" w:hAnsi="宋体" w:cs="宋体"/>
                <w:kern w:val="0"/>
                <w:sz w:val="20"/>
                <w:szCs w:val="20"/>
              </w:rPr>
              <w:t>8、网卡：100M</w:t>
            </w:r>
            <w:r>
              <w:rPr>
                <w:rFonts w:hint="eastAsia" w:ascii="宋体" w:hAnsi="宋体" w:cs="宋体"/>
                <w:kern w:val="0"/>
                <w:sz w:val="20"/>
                <w:szCs w:val="20"/>
              </w:rPr>
              <w:br w:type="textWrapping"/>
            </w:r>
            <w:r>
              <w:rPr>
                <w:rFonts w:hint="eastAsia" w:ascii="宋体" w:hAnsi="宋体" w:cs="宋体"/>
                <w:kern w:val="0"/>
                <w:sz w:val="20"/>
                <w:szCs w:val="20"/>
              </w:rPr>
              <w:t>9、通讯接口：RJ45 TCP/IP协议</w:t>
            </w:r>
            <w:r>
              <w:rPr>
                <w:rFonts w:hint="eastAsia" w:ascii="宋体" w:hAnsi="宋体" w:cs="宋体"/>
                <w:kern w:val="0"/>
                <w:sz w:val="20"/>
                <w:szCs w:val="20"/>
              </w:rPr>
              <w:br w:type="textWrapping"/>
            </w:r>
            <w:r>
              <w:rPr>
                <w:rFonts w:hint="eastAsia" w:ascii="宋体" w:hAnsi="宋体" w:cs="宋体"/>
                <w:kern w:val="0"/>
                <w:sz w:val="20"/>
                <w:szCs w:val="20"/>
              </w:rPr>
              <w:t>10、网络支持：支持以太网</w:t>
            </w:r>
            <w:r>
              <w:rPr>
                <w:rFonts w:hint="eastAsia" w:ascii="宋体" w:hAnsi="宋体" w:cs="宋体"/>
                <w:kern w:val="0"/>
                <w:sz w:val="20"/>
                <w:szCs w:val="20"/>
              </w:rPr>
              <w:br w:type="textWrapping"/>
            </w:r>
            <w:r>
              <w:rPr>
                <w:rFonts w:hint="eastAsia" w:ascii="宋体" w:hAnsi="宋体" w:cs="宋体"/>
                <w:kern w:val="0"/>
                <w:sz w:val="20"/>
                <w:szCs w:val="20"/>
              </w:rPr>
              <w:t>11、工作电源：220V  AC</w:t>
            </w:r>
            <w:r>
              <w:rPr>
                <w:rFonts w:hint="eastAsia" w:ascii="宋体" w:hAnsi="宋体" w:cs="宋体"/>
                <w:kern w:val="0"/>
                <w:sz w:val="20"/>
                <w:szCs w:val="20"/>
              </w:rPr>
              <w:br w:type="textWrapping"/>
            </w:r>
            <w:r>
              <w:rPr>
                <w:rFonts w:hint="eastAsia" w:ascii="宋体" w:hAnsi="宋体" w:cs="宋体"/>
                <w:kern w:val="0"/>
                <w:sz w:val="20"/>
                <w:szCs w:val="20"/>
              </w:rPr>
              <w:t>12、工作时间：可7×24小时不间断工作</w:t>
            </w:r>
            <w:r>
              <w:rPr>
                <w:rFonts w:hint="eastAsia" w:ascii="宋体" w:hAnsi="宋体" w:cs="宋体"/>
                <w:kern w:val="0"/>
                <w:sz w:val="20"/>
                <w:szCs w:val="20"/>
              </w:rPr>
              <w:br w:type="textWrapping"/>
            </w:r>
            <w:r>
              <w:rPr>
                <w:rFonts w:hint="eastAsia" w:ascii="宋体" w:hAnsi="宋体" w:cs="宋体"/>
                <w:kern w:val="0"/>
                <w:sz w:val="20"/>
                <w:szCs w:val="20"/>
              </w:rPr>
              <w:t>13、工作温度：-10℃~55℃</w:t>
            </w:r>
            <w:r>
              <w:rPr>
                <w:rFonts w:hint="eastAsia" w:ascii="宋体" w:hAnsi="宋体" w:cs="宋体"/>
                <w:kern w:val="0"/>
                <w:sz w:val="20"/>
                <w:szCs w:val="20"/>
              </w:rPr>
              <w:br w:type="textWrapping"/>
            </w:r>
            <w:r>
              <w:rPr>
                <w:rFonts w:hint="eastAsia" w:ascii="宋体" w:hAnsi="宋体" w:cs="宋体"/>
                <w:kern w:val="0"/>
                <w:sz w:val="20"/>
                <w:szCs w:val="20"/>
              </w:rPr>
              <w:t>14、安装方式：壁挂式</w:t>
            </w:r>
            <w:r>
              <w:rPr>
                <w:rFonts w:hint="eastAsia" w:ascii="宋体" w:hAnsi="宋体" w:cs="宋体"/>
                <w:kern w:val="0"/>
                <w:sz w:val="20"/>
                <w:szCs w:val="20"/>
              </w:rPr>
              <w:br w:type="textWrapping"/>
            </w:r>
            <w:r>
              <w:rPr>
                <w:rFonts w:hint="eastAsia" w:ascii="宋体" w:hAnsi="宋体" w:cs="宋体"/>
                <w:kern w:val="0"/>
                <w:sz w:val="20"/>
                <w:szCs w:val="20"/>
              </w:rPr>
              <w:t>功能要求：</w:t>
            </w:r>
            <w:r>
              <w:rPr>
                <w:rFonts w:hint="eastAsia" w:ascii="宋体" w:hAnsi="宋体" w:cs="宋体"/>
                <w:kern w:val="0"/>
                <w:sz w:val="20"/>
                <w:szCs w:val="20"/>
              </w:rPr>
              <w:br w:type="textWrapping"/>
            </w:r>
            <w:r>
              <w:rPr>
                <w:rFonts w:hint="eastAsia" w:ascii="宋体" w:hAnsi="宋体" w:cs="宋体"/>
                <w:kern w:val="0"/>
                <w:sz w:val="20"/>
                <w:szCs w:val="20"/>
              </w:rPr>
              <w:t>1、支持通过管理后台可视化设置</w:t>
            </w:r>
            <w:r>
              <w:rPr>
                <w:rFonts w:hint="eastAsia" w:ascii="宋体" w:hAnsi="宋体" w:cs="宋体"/>
                <w:kern w:val="0"/>
                <w:sz w:val="20"/>
                <w:szCs w:val="20"/>
              </w:rPr>
              <w:br w:type="textWrapping"/>
            </w:r>
            <w:r>
              <w:rPr>
                <w:rFonts w:hint="eastAsia" w:ascii="宋体" w:hAnsi="宋体" w:cs="宋体"/>
                <w:kern w:val="0"/>
                <w:sz w:val="20"/>
                <w:szCs w:val="20"/>
              </w:rPr>
              <w:t>（1）支持二级分诊屏诊室名称可采用翻页、自动缩小、滚动展示。</w:t>
            </w:r>
            <w:r>
              <w:rPr>
                <w:rFonts w:hint="eastAsia" w:ascii="宋体" w:hAnsi="宋体" w:cs="宋体"/>
                <w:kern w:val="0"/>
                <w:sz w:val="20"/>
                <w:szCs w:val="20"/>
              </w:rPr>
              <w:br w:type="textWrapping"/>
            </w:r>
            <w:r>
              <w:rPr>
                <w:rFonts w:hint="eastAsia" w:ascii="宋体" w:hAnsi="宋体" w:cs="宋体"/>
                <w:kern w:val="0"/>
                <w:sz w:val="20"/>
                <w:szCs w:val="20"/>
              </w:rPr>
              <w:t>（2）支持医生介绍信息可采用翻页、自动缩小、滚动展示。</w:t>
            </w:r>
            <w:r>
              <w:rPr>
                <w:rFonts w:hint="eastAsia" w:ascii="宋体" w:hAnsi="宋体" w:cs="宋体"/>
                <w:kern w:val="0"/>
                <w:sz w:val="20"/>
                <w:szCs w:val="20"/>
              </w:rPr>
              <w:br w:type="textWrapping"/>
            </w:r>
            <w:r>
              <w:rPr>
                <w:rFonts w:hint="eastAsia" w:ascii="宋体" w:hAnsi="宋体" w:cs="宋体"/>
                <w:kern w:val="0"/>
                <w:sz w:val="20"/>
                <w:szCs w:val="20"/>
              </w:rPr>
              <w:t>（3）支持医生介绍信息翻页时间自定义。</w:t>
            </w:r>
            <w:r>
              <w:rPr>
                <w:rFonts w:hint="eastAsia" w:ascii="宋体" w:hAnsi="宋体" w:cs="宋体"/>
                <w:kern w:val="0"/>
                <w:sz w:val="20"/>
                <w:szCs w:val="20"/>
              </w:rPr>
              <w:br w:type="textWrapping"/>
            </w:r>
            <w:r>
              <w:rPr>
                <w:rFonts w:hint="eastAsia" w:ascii="宋体" w:hAnsi="宋体" w:cs="宋体"/>
                <w:kern w:val="0"/>
                <w:sz w:val="20"/>
                <w:szCs w:val="20"/>
              </w:rPr>
              <w:t>（4）支持医技科室二级分诊屏医生位置设置成科室宣教信息，宣教图片可以是一张或多张，可设置宣教图片自动切换间隔时间。</w:t>
            </w:r>
            <w:r>
              <w:rPr>
                <w:rFonts w:hint="eastAsia" w:ascii="宋体" w:hAnsi="宋体" w:cs="宋体"/>
                <w:kern w:val="0"/>
                <w:sz w:val="20"/>
                <w:szCs w:val="20"/>
              </w:rPr>
              <w:br w:type="textWrapping"/>
            </w:r>
            <w:r>
              <w:rPr>
                <w:rFonts w:hint="eastAsia" w:ascii="宋体" w:hAnsi="宋体" w:cs="宋体"/>
                <w:kern w:val="0"/>
                <w:sz w:val="20"/>
                <w:szCs w:val="20"/>
              </w:rPr>
              <w:t>（5）支持设置当前就诊患者姓名字体颜色。</w:t>
            </w:r>
            <w:r>
              <w:rPr>
                <w:rFonts w:hint="eastAsia" w:ascii="宋体" w:hAnsi="宋体" w:cs="宋体"/>
                <w:kern w:val="0"/>
                <w:sz w:val="20"/>
                <w:szCs w:val="20"/>
              </w:rPr>
              <w:br w:type="textWrapping"/>
            </w:r>
            <w:r>
              <w:rPr>
                <w:rFonts w:hint="eastAsia" w:ascii="宋体" w:hAnsi="宋体" w:cs="宋体"/>
                <w:kern w:val="0"/>
                <w:sz w:val="20"/>
                <w:szCs w:val="20"/>
              </w:rPr>
              <w:t>（6）支持设置下一位就诊患者姓名的字体颜色。</w:t>
            </w:r>
            <w:r>
              <w:rPr>
                <w:rFonts w:hint="eastAsia" w:ascii="宋体" w:hAnsi="宋体" w:cs="宋体"/>
                <w:kern w:val="0"/>
                <w:sz w:val="20"/>
                <w:szCs w:val="20"/>
              </w:rPr>
              <w:br w:type="textWrapping"/>
            </w:r>
            <w:r>
              <w:rPr>
                <w:rFonts w:hint="eastAsia" w:ascii="宋体" w:hAnsi="宋体" w:cs="宋体"/>
                <w:kern w:val="0"/>
                <w:sz w:val="20"/>
                <w:szCs w:val="20"/>
              </w:rPr>
              <w:t>（7）支持诊室呼叫时，当前呼叫信息弹窗显示。</w:t>
            </w:r>
            <w:r>
              <w:rPr>
                <w:rFonts w:hint="eastAsia" w:ascii="宋体" w:hAnsi="宋体" w:cs="宋体"/>
                <w:kern w:val="0"/>
                <w:sz w:val="20"/>
                <w:szCs w:val="20"/>
              </w:rPr>
              <w:br w:type="textWrapping"/>
            </w:r>
            <w:r>
              <w:rPr>
                <w:rFonts w:hint="eastAsia" w:ascii="宋体" w:hAnsi="宋体" w:cs="宋体"/>
                <w:kern w:val="0"/>
                <w:sz w:val="20"/>
                <w:szCs w:val="20"/>
              </w:rPr>
              <w:t>（8）支持设置呼叫弹窗信息字体大小。</w:t>
            </w:r>
            <w:r>
              <w:rPr>
                <w:rFonts w:hint="eastAsia" w:ascii="宋体" w:hAnsi="宋体" w:cs="宋体"/>
                <w:kern w:val="0"/>
                <w:sz w:val="20"/>
                <w:szCs w:val="20"/>
              </w:rPr>
              <w:br w:type="textWrapping"/>
            </w:r>
            <w:r>
              <w:rPr>
                <w:rFonts w:hint="eastAsia" w:ascii="宋体" w:hAnsi="宋体" w:cs="宋体"/>
                <w:kern w:val="0"/>
                <w:sz w:val="20"/>
                <w:szCs w:val="20"/>
              </w:rPr>
              <w:t>（9）支持设置温馨提示文本。</w:t>
            </w:r>
            <w:r>
              <w:rPr>
                <w:rFonts w:hint="eastAsia" w:ascii="宋体" w:hAnsi="宋体" w:cs="宋体"/>
                <w:kern w:val="0"/>
                <w:sz w:val="20"/>
                <w:szCs w:val="20"/>
              </w:rPr>
              <w:br w:type="textWrapping"/>
            </w:r>
            <w:r>
              <w:rPr>
                <w:rFonts w:hint="eastAsia" w:ascii="宋体" w:hAnsi="宋体" w:cs="宋体"/>
                <w:kern w:val="0"/>
                <w:sz w:val="20"/>
                <w:szCs w:val="20"/>
              </w:rPr>
              <w:t>（10）支持设置温馨提示内容颜色。</w:t>
            </w:r>
            <w:r>
              <w:rPr>
                <w:rFonts w:hint="eastAsia" w:ascii="宋体" w:hAnsi="宋体" w:cs="宋体"/>
                <w:kern w:val="0"/>
                <w:sz w:val="20"/>
                <w:szCs w:val="20"/>
              </w:rPr>
              <w:br w:type="textWrapping"/>
            </w:r>
            <w:r>
              <w:rPr>
                <w:rFonts w:hint="eastAsia" w:ascii="宋体" w:hAnsi="宋体" w:cs="宋体"/>
                <w:kern w:val="0"/>
                <w:sz w:val="20"/>
                <w:szCs w:val="20"/>
              </w:rPr>
              <w:t>（11）支持设置温习提示内容展示方式，可选择翻页和滚动模式。</w:t>
            </w:r>
            <w:r>
              <w:rPr>
                <w:rFonts w:hint="eastAsia" w:ascii="宋体" w:hAnsi="宋体" w:cs="宋体"/>
                <w:kern w:val="0"/>
                <w:sz w:val="20"/>
                <w:szCs w:val="20"/>
              </w:rPr>
              <w:br w:type="textWrapping"/>
            </w:r>
            <w:r>
              <w:rPr>
                <w:rFonts w:hint="eastAsia" w:ascii="宋体" w:hAnsi="宋体" w:cs="宋体"/>
                <w:kern w:val="0"/>
                <w:sz w:val="20"/>
                <w:szCs w:val="20"/>
              </w:rPr>
              <w:t>2、支持通过后台对终端设备进行远程控制；如开关屏、设置定时开关时间、重启、声音大小调节、截屏、升级等操作。</w:t>
            </w:r>
            <w:r>
              <w:rPr>
                <w:rFonts w:hint="eastAsia" w:ascii="宋体" w:hAnsi="宋体" w:cs="宋体"/>
                <w:kern w:val="0"/>
                <w:sz w:val="20"/>
                <w:szCs w:val="20"/>
              </w:rPr>
              <w:br w:type="textWrapping"/>
            </w:r>
            <w:r>
              <w:rPr>
                <w:rFonts w:hint="eastAsia" w:ascii="宋体" w:hAnsi="宋体" w:cs="宋体"/>
                <w:kern w:val="0"/>
                <w:sz w:val="20"/>
                <w:szCs w:val="20"/>
              </w:rPr>
              <w:t>3、终端程序支持开机自动运行、无需手动点击应用程序打开。</w:t>
            </w:r>
          </w:p>
        </w:tc>
        <w:tc>
          <w:tcPr>
            <w:tcW w:w="981" w:type="dxa"/>
            <w:tcBorders>
              <w:top w:val="nil"/>
              <w:left w:val="nil"/>
              <w:bottom w:val="single" w:color="auto" w:sz="4" w:space="0"/>
              <w:right w:val="single" w:color="auto" w:sz="4" w:space="0"/>
            </w:tcBorders>
            <w:shd w:val="clear" w:color="auto" w:fill="auto"/>
            <w:vAlign w:val="center"/>
          </w:tcPr>
          <w:p w14:paraId="06225B92">
            <w:pPr>
              <w:widowControl/>
              <w:jc w:val="center"/>
              <w:rPr>
                <w:rFonts w:hint="eastAsia" w:ascii="宋体" w:hAnsi="宋体" w:cs="宋体"/>
                <w:kern w:val="0"/>
                <w:sz w:val="20"/>
                <w:szCs w:val="20"/>
              </w:rPr>
            </w:pPr>
            <w:r>
              <w:rPr>
                <w:rFonts w:hint="eastAsia" w:ascii="宋体" w:hAnsi="宋体" w:cs="宋体"/>
                <w:kern w:val="0"/>
                <w:sz w:val="20"/>
                <w:szCs w:val="20"/>
              </w:rPr>
              <w:t>台</w:t>
            </w:r>
          </w:p>
        </w:tc>
        <w:tc>
          <w:tcPr>
            <w:tcW w:w="1177" w:type="dxa"/>
            <w:tcBorders>
              <w:top w:val="nil"/>
              <w:left w:val="nil"/>
              <w:bottom w:val="single" w:color="auto" w:sz="4" w:space="0"/>
              <w:right w:val="single" w:color="auto" w:sz="4" w:space="0"/>
            </w:tcBorders>
            <w:shd w:val="clear" w:color="auto" w:fill="auto"/>
            <w:vAlign w:val="center"/>
          </w:tcPr>
          <w:p w14:paraId="7C1BB74F">
            <w:pPr>
              <w:widowControl/>
              <w:jc w:val="center"/>
              <w:rPr>
                <w:rFonts w:hint="eastAsia" w:ascii="宋体" w:hAnsi="宋体" w:cs="宋体"/>
                <w:kern w:val="0"/>
                <w:sz w:val="20"/>
                <w:szCs w:val="20"/>
              </w:rPr>
            </w:pPr>
            <w:r>
              <w:rPr>
                <w:rFonts w:hint="eastAsia" w:ascii="宋体" w:hAnsi="宋体" w:cs="宋体"/>
                <w:kern w:val="0"/>
                <w:sz w:val="20"/>
                <w:szCs w:val="20"/>
              </w:rPr>
              <w:t>20</w:t>
            </w:r>
          </w:p>
        </w:tc>
      </w:tr>
      <w:tr w14:paraId="306CBAE5">
        <w:tblPrEx>
          <w:tblCellMar>
            <w:top w:w="0" w:type="dxa"/>
            <w:left w:w="108" w:type="dxa"/>
            <w:bottom w:w="0" w:type="dxa"/>
            <w:right w:w="108" w:type="dxa"/>
          </w:tblCellMar>
        </w:tblPrEx>
        <w:trPr>
          <w:trHeight w:val="1300" w:hRule="atLeast"/>
        </w:trPr>
        <w:tc>
          <w:tcPr>
            <w:tcW w:w="1080" w:type="dxa"/>
            <w:tcBorders>
              <w:top w:val="nil"/>
              <w:left w:val="single" w:color="auto" w:sz="4" w:space="0"/>
              <w:bottom w:val="single" w:color="auto" w:sz="4" w:space="0"/>
              <w:right w:val="single" w:color="auto" w:sz="4" w:space="0"/>
            </w:tcBorders>
            <w:shd w:val="clear" w:color="auto" w:fill="auto"/>
            <w:vAlign w:val="center"/>
          </w:tcPr>
          <w:p w14:paraId="3725C302">
            <w:pPr>
              <w:widowControl/>
              <w:jc w:val="center"/>
              <w:rPr>
                <w:rFonts w:hint="eastAsia" w:ascii="宋体" w:hAnsi="宋体" w:cs="宋体"/>
                <w:kern w:val="0"/>
                <w:sz w:val="20"/>
                <w:szCs w:val="20"/>
              </w:rPr>
            </w:pPr>
            <w:r>
              <w:rPr>
                <w:rFonts w:hint="eastAsia" w:ascii="宋体" w:hAnsi="宋体" w:cs="宋体"/>
                <w:kern w:val="0"/>
                <w:sz w:val="20"/>
                <w:szCs w:val="20"/>
              </w:rPr>
              <w:t>8</w:t>
            </w:r>
          </w:p>
        </w:tc>
        <w:tc>
          <w:tcPr>
            <w:tcW w:w="1325" w:type="dxa"/>
            <w:tcBorders>
              <w:top w:val="nil"/>
              <w:left w:val="nil"/>
              <w:bottom w:val="single" w:color="auto" w:sz="4" w:space="0"/>
              <w:right w:val="single" w:color="auto" w:sz="4" w:space="0"/>
            </w:tcBorders>
            <w:shd w:val="clear" w:color="auto" w:fill="auto"/>
            <w:vAlign w:val="center"/>
          </w:tcPr>
          <w:p w14:paraId="61C7A885">
            <w:pPr>
              <w:widowControl/>
              <w:jc w:val="left"/>
              <w:rPr>
                <w:rFonts w:hint="eastAsia" w:ascii="宋体" w:hAnsi="宋体" w:cs="宋体"/>
                <w:kern w:val="0"/>
                <w:sz w:val="20"/>
                <w:szCs w:val="20"/>
              </w:rPr>
            </w:pPr>
            <w:r>
              <w:rPr>
                <w:rFonts w:hint="eastAsia" w:ascii="宋体" w:hAnsi="宋体" w:cs="宋体"/>
                <w:kern w:val="0"/>
                <w:sz w:val="20"/>
                <w:szCs w:val="20"/>
              </w:rPr>
              <w:t>功率放大器</w:t>
            </w:r>
          </w:p>
        </w:tc>
        <w:tc>
          <w:tcPr>
            <w:tcW w:w="3515" w:type="dxa"/>
            <w:tcBorders>
              <w:top w:val="nil"/>
              <w:left w:val="nil"/>
              <w:bottom w:val="single" w:color="auto" w:sz="4" w:space="0"/>
              <w:right w:val="single" w:color="auto" w:sz="4" w:space="0"/>
            </w:tcBorders>
            <w:shd w:val="clear" w:color="auto" w:fill="auto"/>
            <w:vAlign w:val="center"/>
          </w:tcPr>
          <w:p w14:paraId="590D1D6B">
            <w:pPr>
              <w:widowControl/>
              <w:jc w:val="left"/>
              <w:rPr>
                <w:rFonts w:hint="eastAsia" w:ascii="宋体" w:hAnsi="宋体" w:cs="宋体"/>
                <w:kern w:val="0"/>
                <w:sz w:val="20"/>
                <w:szCs w:val="20"/>
              </w:rPr>
            </w:pPr>
            <w:r>
              <w:rPr>
                <w:rFonts w:hint="eastAsia" w:ascii="宋体" w:hAnsi="宋体" w:cs="宋体"/>
                <w:kern w:val="0"/>
                <w:sz w:val="20"/>
                <w:szCs w:val="20"/>
              </w:rPr>
              <w:t>技术参数：</w:t>
            </w:r>
          </w:p>
          <w:p w14:paraId="1FE8FD3D">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1、额定功率：120W。功率输出组:4-16Ω和两个通道分区100V。</w:t>
            </w:r>
            <w:r>
              <w:rPr>
                <w:rFonts w:hint="eastAsia" w:ascii="宋体" w:hAnsi="宋体" w:cs="宋体"/>
                <w:kern w:val="0"/>
                <w:sz w:val="20"/>
                <w:szCs w:val="20"/>
              </w:rPr>
              <w:br w:type="page"/>
            </w:r>
            <w:r>
              <w:rPr>
                <w:rFonts w:hint="eastAsia" w:ascii="宋体" w:hAnsi="宋体" w:cs="宋体"/>
                <w:kern w:val="0"/>
                <w:sz w:val="20"/>
                <w:szCs w:val="20"/>
              </w:rPr>
              <w:t>2、电源输入：AC220V/50Hz</w:t>
            </w:r>
            <w:r>
              <w:rPr>
                <w:rFonts w:hint="eastAsia" w:ascii="宋体" w:hAnsi="宋体" w:cs="宋体"/>
                <w:kern w:val="0"/>
                <w:sz w:val="20"/>
                <w:szCs w:val="20"/>
              </w:rPr>
              <w:br w:type="page"/>
            </w:r>
            <w:r>
              <w:rPr>
                <w:rFonts w:hint="eastAsia" w:ascii="宋体" w:hAnsi="宋体" w:cs="宋体"/>
                <w:kern w:val="0"/>
                <w:sz w:val="20"/>
                <w:szCs w:val="20"/>
              </w:rPr>
              <w:t>功能特点：</w:t>
            </w:r>
            <w:r>
              <w:rPr>
                <w:rFonts w:hint="eastAsia" w:ascii="宋体" w:hAnsi="宋体" w:cs="宋体"/>
                <w:kern w:val="0"/>
                <w:sz w:val="20"/>
                <w:szCs w:val="20"/>
              </w:rPr>
              <w:br w:type="page"/>
            </w:r>
            <w:r>
              <w:rPr>
                <w:rFonts w:hint="eastAsia" w:ascii="宋体" w:hAnsi="宋体" w:cs="宋体"/>
                <w:kern w:val="0"/>
                <w:sz w:val="20"/>
                <w:szCs w:val="20"/>
              </w:rPr>
              <w:t>1、接诊区等候区一级分诊屏、主要用于诊区声音大小控制、增大诊区叫号音量。</w:t>
            </w:r>
          </w:p>
        </w:tc>
        <w:tc>
          <w:tcPr>
            <w:tcW w:w="981" w:type="dxa"/>
            <w:tcBorders>
              <w:top w:val="nil"/>
              <w:left w:val="nil"/>
              <w:bottom w:val="single" w:color="auto" w:sz="4" w:space="0"/>
              <w:right w:val="single" w:color="auto" w:sz="4" w:space="0"/>
            </w:tcBorders>
            <w:shd w:val="clear" w:color="auto" w:fill="auto"/>
            <w:vAlign w:val="center"/>
          </w:tcPr>
          <w:p w14:paraId="5169A209">
            <w:pPr>
              <w:widowControl/>
              <w:jc w:val="center"/>
              <w:rPr>
                <w:rFonts w:hint="eastAsia" w:ascii="宋体" w:hAnsi="宋体" w:cs="宋体"/>
                <w:kern w:val="0"/>
                <w:sz w:val="20"/>
                <w:szCs w:val="20"/>
              </w:rPr>
            </w:pPr>
            <w:r>
              <w:rPr>
                <w:rFonts w:hint="eastAsia" w:ascii="宋体" w:hAnsi="宋体" w:cs="宋体"/>
                <w:kern w:val="0"/>
                <w:sz w:val="20"/>
                <w:szCs w:val="20"/>
              </w:rPr>
              <w:t>台</w:t>
            </w:r>
          </w:p>
        </w:tc>
        <w:tc>
          <w:tcPr>
            <w:tcW w:w="1177" w:type="dxa"/>
            <w:tcBorders>
              <w:top w:val="nil"/>
              <w:left w:val="nil"/>
              <w:bottom w:val="single" w:color="auto" w:sz="4" w:space="0"/>
              <w:right w:val="single" w:color="auto" w:sz="4" w:space="0"/>
            </w:tcBorders>
            <w:shd w:val="clear" w:color="auto" w:fill="auto"/>
            <w:vAlign w:val="center"/>
          </w:tcPr>
          <w:p w14:paraId="381EC057">
            <w:pPr>
              <w:widowControl/>
              <w:jc w:val="center"/>
              <w:rPr>
                <w:rFonts w:hint="eastAsia" w:ascii="宋体" w:hAnsi="宋体" w:cs="宋体"/>
                <w:kern w:val="0"/>
                <w:sz w:val="20"/>
                <w:szCs w:val="20"/>
              </w:rPr>
            </w:pPr>
            <w:r>
              <w:rPr>
                <w:rFonts w:hint="eastAsia" w:ascii="宋体" w:hAnsi="宋体" w:cs="宋体"/>
                <w:kern w:val="0"/>
                <w:sz w:val="20"/>
                <w:szCs w:val="20"/>
              </w:rPr>
              <w:t>9</w:t>
            </w:r>
          </w:p>
        </w:tc>
      </w:tr>
      <w:tr w14:paraId="376E7BC9">
        <w:tblPrEx>
          <w:tblCellMar>
            <w:top w:w="0" w:type="dxa"/>
            <w:left w:w="108" w:type="dxa"/>
            <w:bottom w:w="0" w:type="dxa"/>
            <w:right w:w="108" w:type="dxa"/>
          </w:tblCellMar>
        </w:tblPrEx>
        <w:trPr>
          <w:trHeight w:val="2600" w:hRule="atLeast"/>
        </w:trPr>
        <w:tc>
          <w:tcPr>
            <w:tcW w:w="1080" w:type="dxa"/>
            <w:tcBorders>
              <w:top w:val="nil"/>
              <w:left w:val="single" w:color="auto" w:sz="4" w:space="0"/>
              <w:bottom w:val="single" w:color="auto" w:sz="4" w:space="0"/>
              <w:right w:val="single" w:color="auto" w:sz="4" w:space="0"/>
            </w:tcBorders>
            <w:shd w:val="clear" w:color="auto" w:fill="auto"/>
            <w:vAlign w:val="center"/>
          </w:tcPr>
          <w:p w14:paraId="4CC428EC">
            <w:pPr>
              <w:widowControl/>
              <w:jc w:val="center"/>
              <w:rPr>
                <w:rFonts w:hint="eastAsia" w:ascii="宋体" w:hAnsi="宋体" w:cs="宋体"/>
                <w:kern w:val="0"/>
                <w:sz w:val="20"/>
                <w:szCs w:val="20"/>
              </w:rPr>
            </w:pPr>
            <w:r>
              <w:rPr>
                <w:rFonts w:hint="eastAsia" w:ascii="宋体" w:hAnsi="宋体" w:cs="宋体"/>
                <w:kern w:val="0"/>
                <w:sz w:val="20"/>
                <w:szCs w:val="20"/>
              </w:rPr>
              <w:t>9</w:t>
            </w:r>
          </w:p>
        </w:tc>
        <w:tc>
          <w:tcPr>
            <w:tcW w:w="1325" w:type="dxa"/>
            <w:tcBorders>
              <w:top w:val="nil"/>
              <w:left w:val="nil"/>
              <w:bottom w:val="single" w:color="auto" w:sz="4" w:space="0"/>
              <w:right w:val="single" w:color="auto" w:sz="4" w:space="0"/>
            </w:tcBorders>
            <w:shd w:val="clear" w:color="auto" w:fill="auto"/>
            <w:vAlign w:val="center"/>
          </w:tcPr>
          <w:p w14:paraId="17C69544">
            <w:pPr>
              <w:widowControl/>
              <w:jc w:val="left"/>
              <w:rPr>
                <w:rFonts w:hint="eastAsia" w:ascii="宋体" w:hAnsi="宋体" w:cs="宋体"/>
                <w:kern w:val="0"/>
                <w:sz w:val="20"/>
                <w:szCs w:val="20"/>
              </w:rPr>
            </w:pPr>
            <w:r>
              <w:rPr>
                <w:rFonts w:hint="eastAsia" w:ascii="宋体" w:hAnsi="宋体" w:cs="宋体"/>
                <w:kern w:val="0"/>
                <w:sz w:val="20"/>
                <w:szCs w:val="20"/>
              </w:rPr>
              <w:t>吸顶式喇叭</w:t>
            </w:r>
          </w:p>
        </w:tc>
        <w:tc>
          <w:tcPr>
            <w:tcW w:w="3515" w:type="dxa"/>
            <w:tcBorders>
              <w:top w:val="nil"/>
              <w:left w:val="nil"/>
              <w:bottom w:val="single" w:color="auto" w:sz="4" w:space="0"/>
              <w:right w:val="single" w:color="auto" w:sz="4" w:space="0"/>
            </w:tcBorders>
            <w:shd w:val="clear" w:color="auto" w:fill="auto"/>
            <w:vAlign w:val="center"/>
          </w:tcPr>
          <w:p w14:paraId="27E1860D">
            <w:pPr>
              <w:widowControl/>
              <w:jc w:val="left"/>
              <w:rPr>
                <w:rFonts w:hint="eastAsia" w:ascii="宋体" w:hAnsi="宋体" w:cs="宋体"/>
                <w:kern w:val="0"/>
                <w:sz w:val="20"/>
                <w:szCs w:val="20"/>
              </w:rPr>
            </w:pPr>
            <w:r>
              <w:rPr>
                <w:rFonts w:hint="eastAsia" w:ascii="宋体" w:hAnsi="宋体" w:cs="宋体"/>
                <w:kern w:val="0"/>
                <w:sz w:val="20"/>
                <w:szCs w:val="20"/>
              </w:rPr>
              <w:t>技术参数：</w:t>
            </w:r>
            <w:r>
              <w:rPr>
                <w:rFonts w:hint="eastAsia" w:ascii="宋体" w:hAnsi="宋体" w:cs="宋体"/>
                <w:kern w:val="0"/>
                <w:sz w:val="20"/>
                <w:szCs w:val="20"/>
              </w:rPr>
              <w:br w:type="textWrapping"/>
            </w:r>
            <w:r>
              <w:rPr>
                <w:rFonts w:hint="eastAsia" w:ascii="宋体" w:hAnsi="宋体" w:cs="宋体"/>
                <w:kern w:val="0"/>
                <w:sz w:val="20"/>
                <w:szCs w:val="20"/>
              </w:rPr>
              <w:t>1、扬声器尺寸： 5寸</w:t>
            </w:r>
            <w:r>
              <w:rPr>
                <w:rFonts w:hint="eastAsia" w:ascii="宋体" w:hAnsi="宋体" w:cs="宋体"/>
                <w:kern w:val="0"/>
                <w:sz w:val="20"/>
                <w:szCs w:val="20"/>
              </w:rPr>
              <w:br w:type="textWrapping"/>
            </w:r>
            <w:r>
              <w:rPr>
                <w:rFonts w:hint="eastAsia" w:ascii="宋体" w:hAnsi="宋体" w:cs="宋体"/>
                <w:kern w:val="0"/>
                <w:sz w:val="20"/>
                <w:szCs w:val="20"/>
              </w:rPr>
              <w:t>2、额定功率：3W/6W</w:t>
            </w:r>
            <w:r>
              <w:rPr>
                <w:rFonts w:hint="eastAsia" w:ascii="宋体" w:hAnsi="宋体" w:cs="宋体"/>
                <w:kern w:val="0"/>
                <w:sz w:val="20"/>
                <w:szCs w:val="20"/>
              </w:rPr>
              <w:br w:type="textWrapping"/>
            </w:r>
            <w:r>
              <w:rPr>
                <w:rFonts w:hint="eastAsia" w:ascii="宋体" w:hAnsi="宋体" w:cs="宋体"/>
                <w:kern w:val="0"/>
                <w:sz w:val="20"/>
                <w:szCs w:val="20"/>
              </w:rPr>
              <w:t>3、输入电压：70V/100V</w:t>
            </w:r>
            <w:r>
              <w:rPr>
                <w:rFonts w:hint="eastAsia" w:ascii="宋体" w:hAnsi="宋体" w:cs="宋体"/>
                <w:kern w:val="0"/>
                <w:sz w:val="20"/>
                <w:szCs w:val="20"/>
              </w:rPr>
              <w:br w:type="textWrapping"/>
            </w:r>
            <w:r>
              <w:rPr>
                <w:rFonts w:hint="eastAsia" w:ascii="宋体" w:hAnsi="宋体" w:cs="宋体"/>
                <w:kern w:val="0"/>
                <w:sz w:val="20"/>
                <w:szCs w:val="20"/>
              </w:rPr>
              <w:t>4、灵敏度(1m/1W)：93dB</w:t>
            </w:r>
            <w:r>
              <w:rPr>
                <w:rFonts w:hint="eastAsia" w:ascii="宋体" w:hAnsi="宋体" w:cs="宋体"/>
                <w:kern w:val="0"/>
                <w:sz w:val="20"/>
                <w:szCs w:val="20"/>
              </w:rPr>
              <w:br w:type="textWrapping"/>
            </w:r>
            <w:r>
              <w:rPr>
                <w:rFonts w:hint="eastAsia" w:ascii="宋体" w:hAnsi="宋体" w:cs="宋体"/>
                <w:kern w:val="0"/>
                <w:sz w:val="20"/>
                <w:szCs w:val="20"/>
              </w:rPr>
              <w:t>5、频率响应：100~15KHz</w:t>
            </w:r>
            <w:r>
              <w:rPr>
                <w:rFonts w:hint="eastAsia" w:ascii="宋体" w:hAnsi="宋体" w:cs="宋体"/>
                <w:kern w:val="0"/>
                <w:sz w:val="20"/>
                <w:szCs w:val="20"/>
              </w:rPr>
              <w:br w:type="textWrapping"/>
            </w:r>
            <w:r>
              <w:rPr>
                <w:rFonts w:hint="eastAsia" w:ascii="宋体" w:hAnsi="宋体" w:cs="宋体"/>
                <w:kern w:val="0"/>
                <w:sz w:val="20"/>
                <w:szCs w:val="20"/>
              </w:rPr>
              <w:t>功能要求：</w:t>
            </w:r>
            <w:r>
              <w:rPr>
                <w:rFonts w:hint="eastAsia" w:ascii="宋体" w:hAnsi="宋体" w:cs="宋体"/>
                <w:kern w:val="0"/>
                <w:sz w:val="20"/>
                <w:szCs w:val="20"/>
              </w:rPr>
              <w:br w:type="textWrapping"/>
            </w:r>
            <w:r>
              <w:rPr>
                <w:rFonts w:hint="eastAsia" w:ascii="宋体" w:hAnsi="宋体" w:cs="宋体"/>
                <w:kern w:val="0"/>
                <w:sz w:val="20"/>
                <w:szCs w:val="20"/>
              </w:rPr>
              <w:t>1、吸顶式安装、接诊区功放、用于诊区叫号声音播放。</w:t>
            </w:r>
          </w:p>
        </w:tc>
        <w:tc>
          <w:tcPr>
            <w:tcW w:w="981" w:type="dxa"/>
            <w:tcBorders>
              <w:top w:val="nil"/>
              <w:left w:val="nil"/>
              <w:bottom w:val="single" w:color="auto" w:sz="4" w:space="0"/>
              <w:right w:val="single" w:color="auto" w:sz="4" w:space="0"/>
            </w:tcBorders>
            <w:shd w:val="clear" w:color="auto" w:fill="auto"/>
            <w:vAlign w:val="center"/>
          </w:tcPr>
          <w:p w14:paraId="57304463">
            <w:pPr>
              <w:widowControl/>
              <w:jc w:val="center"/>
              <w:rPr>
                <w:rFonts w:hint="eastAsia" w:ascii="宋体" w:hAnsi="宋体" w:cs="宋体"/>
                <w:kern w:val="0"/>
                <w:sz w:val="20"/>
                <w:szCs w:val="20"/>
              </w:rPr>
            </w:pPr>
            <w:r>
              <w:rPr>
                <w:rFonts w:hint="eastAsia" w:ascii="宋体" w:hAnsi="宋体" w:cs="宋体"/>
                <w:kern w:val="0"/>
                <w:sz w:val="20"/>
                <w:szCs w:val="20"/>
              </w:rPr>
              <w:t>个</w:t>
            </w:r>
          </w:p>
        </w:tc>
        <w:tc>
          <w:tcPr>
            <w:tcW w:w="1177" w:type="dxa"/>
            <w:tcBorders>
              <w:top w:val="nil"/>
              <w:left w:val="nil"/>
              <w:bottom w:val="single" w:color="auto" w:sz="4" w:space="0"/>
              <w:right w:val="single" w:color="auto" w:sz="4" w:space="0"/>
            </w:tcBorders>
            <w:shd w:val="clear" w:color="auto" w:fill="auto"/>
            <w:vAlign w:val="center"/>
          </w:tcPr>
          <w:p w14:paraId="1052458E">
            <w:pPr>
              <w:widowControl/>
              <w:jc w:val="center"/>
              <w:rPr>
                <w:rFonts w:hint="eastAsia" w:ascii="宋体" w:hAnsi="宋体" w:cs="宋体"/>
                <w:kern w:val="0"/>
                <w:sz w:val="20"/>
                <w:szCs w:val="20"/>
              </w:rPr>
            </w:pPr>
            <w:r>
              <w:rPr>
                <w:rFonts w:hint="eastAsia" w:ascii="宋体" w:hAnsi="宋体" w:cs="宋体"/>
                <w:kern w:val="0"/>
                <w:sz w:val="20"/>
                <w:szCs w:val="20"/>
              </w:rPr>
              <w:t>23</w:t>
            </w:r>
          </w:p>
        </w:tc>
      </w:tr>
      <w:tr w14:paraId="66DC4A74">
        <w:tblPrEx>
          <w:tblCellMar>
            <w:top w:w="0" w:type="dxa"/>
            <w:left w:w="108" w:type="dxa"/>
            <w:bottom w:w="0" w:type="dxa"/>
            <w:right w:w="108" w:type="dxa"/>
          </w:tblCellMar>
        </w:tblPrEx>
        <w:trPr>
          <w:trHeight w:val="2340" w:hRule="atLeast"/>
        </w:trPr>
        <w:tc>
          <w:tcPr>
            <w:tcW w:w="1080" w:type="dxa"/>
            <w:tcBorders>
              <w:top w:val="nil"/>
              <w:left w:val="single" w:color="auto" w:sz="4" w:space="0"/>
              <w:bottom w:val="single" w:color="auto" w:sz="4" w:space="0"/>
              <w:right w:val="single" w:color="auto" w:sz="4" w:space="0"/>
            </w:tcBorders>
            <w:shd w:val="clear" w:color="auto" w:fill="auto"/>
            <w:vAlign w:val="center"/>
          </w:tcPr>
          <w:p w14:paraId="32A96F4D">
            <w:pPr>
              <w:widowControl/>
              <w:jc w:val="center"/>
              <w:rPr>
                <w:rFonts w:hint="eastAsia" w:ascii="宋体" w:hAnsi="宋体" w:cs="宋体"/>
                <w:kern w:val="0"/>
                <w:sz w:val="20"/>
                <w:szCs w:val="20"/>
              </w:rPr>
            </w:pPr>
            <w:r>
              <w:rPr>
                <w:rFonts w:hint="eastAsia" w:ascii="宋体" w:hAnsi="宋体" w:cs="宋体"/>
                <w:kern w:val="0"/>
                <w:sz w:val="20"/>
                <w:szCs w:val="20"/>
              </w:rPr>
              <w:t>10</w:t>
            </w:r>
          </w:p>
        </w:tc>
        <w:tc>
          <w:tcPr>
            <w:tcW w:w="1325" w:type="dxa"/>
            <w:tcBorders>
              <w:top w:val="nil"/>
              <w:left w:val="nil"/>
              <w:bottom w:val="single" w:color="auto" w:sz="4" w:space="0"/>
              <w:right w:val="single" w:color="auto" w:sz="4" w:space="0"/>
            </w:tcBorders>
            <w:shd w:val="clear" w:color="auto" w:fill="auto"/>
            <w:vAlign w:val="center"/>
          </w:tcPr>
          <w:p w14:paraId="39BE6757">
            <w:pPr>
              <w:widowControl/>
              <w:jc w:val="left"/>
              <w:rPr>
                <w:rFonts w:hint="eastAsia" w:ascii="宋体" w:hAnsi="宋体" w:cs="宋体"/>
                <w:kern w:val="0"/>
                <w:sz w:val="20"/>
                <w:szCs w:val="20"/>
              </w:rPr>
            </w:pPr>
            <w:r>
              <w:rPr>
                <w:rFonts w:hint="eastAsia" w:ascii="宋体" w:hAnsi="宋体" w:cs="宋体"/>
                <w:kern w:val="0"/>
                <w:sz w:val="20"/>
                <w:szCs w:val="20"/>
              </w:rPr>
              <w:t>窗口对讲机</w:t>
            </w:r>
          </w:p>
        </w:tc>
        <w:tc>
          <w:tcPr>
            <w:tcW w:w="3515" w:type="dxa"/>
            <w:tcBorders>
              <w:top w:val="nil"/>
              <w:left w:val="nil"/>
              <w:bottom w:val="single" w:color="auto" w:sz="4" w:space="0"/>
              <w:right w:val="single" w:color="auto" w:sz="4" w:space="0"/>
            </w:tcBorders>
            <w:shd w:val="clear" w:color="auto" w:fill="auto"/>
            <w:vAlign w:val="center"/>
          </w:tcPr>
          <w:p w14:paraId="44ABC2D3">
            <w:pPr>
              <w:widowControl/>
              <w:jc w:val="left"/>
              <w:rPr>
                <w:rFonts w:hint="eastAsia" w:ascii="宋体" w:hAnsi="宋体" w:cs="宋体"/>
                <w:kern w:val="0"/>
                <w:sz w:val="20"/>
                <w:szCs w:val="20"/>
              </w:rPr>
            </w:pPr>
            <w:r>
              <w:rPr>
                <w:rFonts w:hint="eastAsia" w:ascii="宋体" w:hAnsi="宋体" w:cs="宋体"/>
                <w:kern w:val="0"/>
                <w:sz w:val="20"/>
                <w:szCs w:val="20"/>
              </w:rPr>
              <w:t>材质：工程级ABS熟料</w:t>
            </w:r>
            <w:r>
              <w:rPr>
                <w:rFonts w:hint="eastAsia" w:ascii="宋体" w:hAnsi="宋体" w:cs="宋体"/>
                <w:kern w:val="0"/>
                <w:sz w:val="20"/>
                <w:szCs w:val="20"/>
              </w:rPr>
              <w:br w:type="textWrapping"/>
            </w:r>
            <w:r>
              <w:rPr>
                <w:rFonts w:hint="eastAsia" w:ascii="宋体" w:hAnsi="宋体" w:cs="宋体"/>
                <w:kern w:val="0"/>
                <w:sz w:val="20"/>
                <w:szCs w:val="20"/>
              </w:rPr>
              <w:t>规格：12V 500mA</w:t>
            </w:r>
            <w:r>
              <w:rPr>
                <w:rFonts w:hint="eastAsia" w:ascii="宋体" w:hAnsi="宋体" w:cs="宋体"/>
                <w:kern w:val="0"/>
                <w:sz w:val="20"/>
                <w:szCs w:val="20"/>
              </w:rPr>
              <w:br w:type="textWrapping"/>
            </w:r>
            <w:r>
              <w:rPr>
                <w:rFonts w:hint="eastAsia" w:ascii="宋体" w:hAnsi="宋体" w:cs="宋体"/>
                <w:kern w:val="0"/>
                <w:sz w:val="20"/>
                <w:szCs w:val="20"/>
              </w:rPr>
              <w:t>喇叭功率：10W(MAX)</w:t>
            </w:r>
            <w:r>
              <w:rPr>
                <w:rFonts w:hint="eastAsia" w:ascii="宋体" w:hAnsi="宋体" w:cs="宋体"/>
                <w:kern w:val="0"/>
                <w:sz w:val="20"/>
                <w:szCs w:val="20"/>
              </w:rPr>
              <w:br w:type="textWrapping"/>
            </w:r>
            <w:r>
              <w:rPr>
                <w:rFonts w:hint="eastAsia" w:ascii="宋体" w:hAnsi="宋体" w:cs="宋体"/>
                <w:kern w:val="0"/>
                <w:sz w:val="20"/>
                <w:szCs w:val="20"/>
              </w:rPr>
              <w:t>电源插头：5.5*2.1mm(DC 母口)</w:t>
            </w:r>
            <w:r>
              <w:rPr>
                <w:rFonts w:hint="eastAsia" w:ascii="宋体" w:hAnsi="宋体" w:cs="宋体"/>
                <w:kern w:val="0"/>
                <w:sz w:val="20"/>
                <w:szCs w:val="20"/>
              </w:rPr>
              <w:br w:type="textWrapping"/>
            </w:r>
            <w:r>
              <w:rPr>
                <w:rFonts w:hint="eastAsia" w:ascii="宋体" w:hAnsi="宋体" w:cs="宋体"/>
                <w:kern w:val="0"/>
                <w:sz w:val="20"/>
                <w:szCs w:val="20"/>
              </w:rPr>
              <w:t>电源线长：≥1.8米</w:t>
            </w:r>
            <w:r>
              <w:rPr>
                <w:rFonts w:hint="eastAsia" w:ascii="宋体" w:hAnsi="宋体" w:cs="宋体"/>
                <w:kern w:val="0"/>
                <w:sz w:val="20"/>
                <w:szCs w:val="20"/>
              </w:rPr>
              <w:br w:type="textWrapping"/>
            </w:r>
            <w:r>
              <w:rPr>
                <w:rFonts w:hint="eastAsia" w:ascii="宋体" w:hAnsi="宋体" w:cs="宋体"/>
                <w:kern w:val="0"/>
                <w:sz w:val="20"/>
                <w:szCs w:val="20"/>
              </w:rPr>
              <w:t>1、安装到挂号窗口、出入院窗口、药房窗口</w:t>
            </w:r>
            <w:r>
              <w:rPr>
                <w:rFonts w:hint="eastAsia" w:ascii="宋体" w:hAnsi="宋体" w:cs="宋体"/>
                <w:kern w:val="0"/>
                <w:sz w:val="20"/>
                <w:szCs w:val="20"/>
              </w:rPr>
              <w:br w:type="textWrapping"/>
            </w:r>
            <w:r>
              <w:rPr>
                <w:rFonts w:hint="eastAsia" w:ascii="宋体" w:hAnsi="宋体" w:cs="宋体"/>
                <w:kern w:val="0"/>
                <w:sz w:val="20"/>
                <w:szCs w:val="20"/>
              </w:rPr>
              <w:t>2、支持工作人员通过旋转开关调节主机和窗口喇叭的音量</w:t>
            </w:r>
            <w:r>
              <w:rPr>
                <w:rFonts w:hint="eastAsia" w:ascii="宋体" w:hAnsi="宋体" w:cs="宋体"/>
                <w:kern w:val="0"/>
                <w:sz w:val="20"/>
                <w:szCs w:val="20"/>
              </w:rPr>
              <w:br w:type="textWrapping"/>
            </w:r>
            <w:r>
              <w:rPr>
                <w:rFonts w:hint="eastAsia" w:ascii="宋体" w:hAnsi="宋体" w:cs="宋体"/>
                <w:kern w:val="0"/>
                <w:sz w:val="20"/>
                <w:szCs w:val="20"/>
              </w:rPr>
              <w:t>3、支持关闭主机声音或关闭窗口喇叭声音</w:t>
            </w:r>
            <w:r>
              <w:rPr>
                <w:rFonts w:hint="eastAsia" w:ascii="宋体" w:hAnsi="宋体" w:cs="宋体"/>
                <w:kern w:val="0"/>
                <w:sz w:val="20"/>
                <w:szCs w:val="20"/>
              </w:rPr>
              <w:br w:type="textWrapping"/>
            </w:r>
            <w:r>
              <w:rPr>
                <w:rFonts w:hint="eastAsia" w:ascii="宋体" w:hAnsi="宋体" w:cs="宋体"/>
                <w:kern w:val="0"/>
                <w:sz w:val="20"/>
                <w:szCs w:val="20"/>
              </w:rPr>
              <w:t>4、支持窗口工作人员和患者双向对讲</w:t>
            </w:r>
          </w:p>
        </w:tc>
        <w:tc>
          <w:tcPr>
            <w:tcW w:w="981" w:type="dxa"/>
            <w:tcBorders>
              <w:top w:val="nil"/>
              <w:left w:val="nil"/>
              <w:bottom w:val="single" w:color="auto" w:sz="4" w:space="0"/>
              <w:right w:val="single" w:color="auto" w:sz="4" w:space="0"/>
            </w:tcBorders>
            <w:shd w:val="clear" w:color="auto" w:fill="auto"/>
            <w:vAlign w:val="center"/>
          </w:tcPr>
          <w:p w14:paraId="2E41022E">
            <w:pPr>
              <w:widowControl/>
              <w:jc w:val="center"/>
              <w:rPr>
                <w:rFonts w:hint="eastAsia" w:ascii="宋体" w:hAnsi="宋体" w:cs="宋体"/>
                <w:kern w:val="0"/>
                <w:sz w:val="20"/>
                <w:szCs w:val="20"/>
              </w:rPr>
            </w:pPr>
            <w:r>
              <w:rPr>
                <w:rFonts w:hint="eastAsia" w:ascii="宋体" w:hAnsi="宋体" w:cs="宋体"/>
                <w:kern w:val="0"/>
                <w:sz w:val="20"/>
                <w:szCs w:val="20"/>
              </w:rPr>
              <w:t>台</w:t>
            </w:r>
          </w:p>
        </w:tc>
        <w:tc>
          <w:tcPr>
            <w:tcW w:w="1177" w:type="dxa"/>
            <w:tcBorders>
              <w:top w:val="nil"/>
              <w:left w:val="nil"/>
              <w:bottom w:val="single" w:color="auto" w:sz="4" w:space="0"/>
              <w:right w:val="single" w:color="auto" w:sz="4" w:space="0"/>
            </w:tcBorders>
            <w:shd w:val="clear" w:color="auto" w:fill="auto"/>
            <w:vAlign w:val="center"/>
          </w:tcPr>
          <w:p w14:paraId="604BE09D">
            <w:pPr>
              <w:widowControl/>
              <w:jc w:val="center"/>
              <w:rPr>
                <w:rFonts w:hint="eastAsia" w:ascii="宋体" w:hAnsi="宋体" w:cs="宋体"/>
                <w:kern w:val="0"/>
                <w:sz w:val="20"/>
                <w:szCs w:val="20"/>
              </w:rPr>
            </w:pPr>
            <w:r>
              <w:rPr>
                <w:rFonts w:hint="eastAsia" w:ascii="宋体" w:hAnsi="宋体" w:cs="宋体"/>
                <w:kern w:val="0"/>
                <w:sz w:val="20"/>
                <w:szCs w:val="20"/>
              </w:rPr>
              <w:t>23</w:t>
            </w:r>
          </w:p>
        </w:tc>
      </w:tr>
      <w:tr w14:paraId="48863849">
        <w:tblPrEx>
          <w:tblCellMar>
            <w:top w:w="0" w:type="dxa"/>
            <w:left w:w="108" w:type="dxa"/>
            <w:bottom w:w="0" w:type="dxa"/>
            <w:right w:w="108" w:type="dxa"/>
          </w:tblCellMar>
        </w:tblPrEx>
        <w:trPr>
          <w:trHeight w:val="1783" w:hRule="atLeast"/>
        </w:trPr>
        <w:tc>
          <w:tcPr>
            <w:tcW w:w="1080" w:type="dxa"/>
            <w:tcBorders>
              <w:top w:val="nil"/>
              <w:left w:val="single" w:color="auto" w:sz="4" w:space="0"/>
              <w:bottom w:val="single" w:color="auto" w:sz="4" w:space="0"/>
              <w:right w:val="single" w:color="auto" w:sz="4" w:space="0"/>
            </w:tcBorders>
            <w:shd w:val="clear" w:color="auto" w:fill="auto"/>
            <w:vAlign w:val="center"/>
          </w:tcPr>
          <w:p w14:paraId="67447054">
            <w:pPr>
              <w:widowControl/>
              <w:jc w:val="center"/>
              <w:rPr>
                <w:rFonts w:hint="eastAsia" w:ascii="宋体" w:hAnsi="宋体" w:cs="宋体"/>
                <w:kern w:val="0"/>
                <w:sz w:val="20"/>
                <w:szCs w:val="20"/>
              </w:rPr>
            </w:pPr>
            <w:r>
              <w:rPr>
                <w:rFonts w:hint="eastAsia" w:ascii="宋体" w:hAnsi="宋体" w:cs="宋体"/>
                <w:kern w:val="0"/>
                <w:sz w:val="20"/>
                <w:szCs w:val="20"/>
              </w:rPr>
              <w:t>11</w:t>
            </w:r>
          </w:p>
        </w:tc>
        <w:tc>
          <w:tcPr>
            <w:tcW w:w="1325" w:type="dxa"/>
            <w:tcBorders>
              <w:top w:val="nil"/>
              <w:left w:val="nil"/>
              <w:bottom w:val="single" w:color="auto" w:sz="4" w:space="0"/>
              <w:right w:val="single" w:color="auto" w:sz="4" w:space="0"/>
            </w:tcBorders>
            <w:shd w:val="clear" w:color="auto" w:fill="auto"/>
            <w:vAlign w:val="center"/>
          </w:tcPr>
          <w:p w14:paraId="59993435">
            <w:pPr>
              <w:widowControl/>
              <w:jc w:val="left"/>
              <w:rPr>
                <w:rFonts w:hint="eastAsia" w:ascii="宋体" w:hAnsi="宋体" w:cs="宋体"/>
                <w:kern w:val="0"/>
                <w:sz w:val="20"/>
                <w:szCs w:val="20"/>
              </w:rPr>
            </w:pPr>
            <w:r>
              <w:rPr>
                <w:rFonts w:hint="eastAsia" w:ascii="宋体" w:hAnsi="宋体" w:cs="宋体"/>
                <w:kern w:val="0"/>
                <w:sz w:val="20"/>
                <w:szCs w:val="20"/>
              </w:rPr>
              <w:t>硬件叫号器</w:t>
            </w:r>
          </w:p>
        </w:tc>
        <w:tc>
          <w:tcPr>
            <w:tcW w:w="3515" w:type="dxa"/>
            <w:tcBorders>
              <w:top w:val="nil"/>
              <w:left w:val="nil"/>
              <w:bottom w:val="single" w:color="auto" w:sz="4" w:space="0"/>
              <w:right w:val="single" w:color="auto" w:sz="4" w:space="0"/>
            </w:tcBorders>
            <w:shd w:val="clear" w:color="auto" w:fill="auto"/>
            <w:vAlign w:val="center"/>
          </w:tcPr>
          <w:p w14:paraId="494A67EE">
            <w:pPr>
              <w:widowControl/>
              <w:jc w:val="left"/>
              <w:rPr>
                <w:rFonts w:hint="eastAsia" w:ascii="宋体" w:hAnsi="宋体" w:cs="宋体"/>
                <w:kern w:val="0"/>
                <w:sz w:val="20"/>
                <w:szCs w:val="20"/>
              </w:rPr>
            </w:pPr>
            <w:r>
              <w:rPr>
                <w:rFonts w:hint="eastAsia" w:ascii="宋体" w:hAnsi="宋体" w:cs="宋体"/>
                <w:kern w:val="0"/>
                <w:sz w:val="20"/>
                <w:szCs w:val="20"/>
              </w:rPr>
              <w:t>技术参数：</w:t>
            </w:r>
            <w:r>
              <w:rPr>
                <w:rFonts w:hint="eastAsia" w:ascii="宋体" w:hAnsi="宋体" w:cs="宋体"/>
                <w:kern w:val="0"/>
                <w:sz w:val="20"/>
                <w:szCs w:val="20"/>
              </w:rPr>
              <w:br w:type="textWrapping"/>
            </w:r>
            <w:r>
              <w:rPr>
                <w:rFonts w:hint="eastAsia" w:ascii="宋体" w:hAnsi="宋体" w:cs="宋体"/>
                <w:kern w:val="0"/>
                <w:sz w:val="20"/>
                <w:szCs w:val="20"/>
              </w:rPr>
              <w:t>1、显示屏：≥10英寸彩色液晶屏</w:t>
            </w:r>
            <w:r>
              <w:rPr>
                <w:rFonts w:hint="eastAsia" w:ascii="宋体" w:hAnsi="宋体" w:cs="宋体"/>
                <w:kern w:val="0"/>
                <w:sz w:val="20"/>
                <w:szCs w:val="20"/>
              </w:rPr>
              <w:br w:type="textWrapping"/>
            </w:r>
            <w:r>
              <w:rPr>
                <w:rFonts w:hint="eastAsia" w:ascii="宋体" w:hAnsi="宋体" w:cs="宋体"/>
                <w:kern w:val="0"/>
                <w:sz w:val="20"/>
                <w:szCs w:val="20"/>
              </w:rPr>
              <w:t>2、内存：≥1GB</w:t>
            </w:r>
            <w:r>
              <w:rPr>
                <w:rFonts w:hint="eastAsia" w:ascii="宋体" w:hAnsi="宋体" w:cs="宋体"/>
                <w:kern w:val="0"/>
                <w:sz w:val="20"/>
                <w:szCs w:val="20"/>
              </w:rPr>
              <w:br w:type="textWrapping"/>
            </w:r>
            <w:r>
              <w:rPr>
                <w:rFonts w:hint="eastAsia" w:ascii="宋体" w:hAnsi="宋体" w:cs="宋体"/>
                <w:kern w:val="0"/>
                <w:sz w:val="20"/>
                <w:szCs w:val="20"/>
              </w:rPr>
              <w:t>3、存储：≥8GB</w:t>
            </w:r>
            <w:r>
              <w:rPr>
                <w:rFonts w:hint="eastAsia" w:ascii="宋体" w:hAnsi="宋体" w:cs="宋体"/>
                <w:kern w:val="0"/>
                <w:sz w:val="20"/>
                <w:szCs w:val="20"/>
              </w:rPr>
              <w:br w:type="textWrapping"/>
            </w:r>
            <w:r>
              <w:rPr>
                <w:rFonts w:hint="eastAsia" w:ascii="宋体" w:hAnsi="宋体" w:cs="宋体"/>
                <w:kern w:val="0"/>
                <w:sz w:val="20"/>
                <w:szCs w:val="20"/>
              </w:rPr>
              <w:t>4、分辨率：≥1024*600</w:t>
            </w:r>
            <w:r>
              <w:rPr>
                <w:rFonts w:hint="eastAsia" w:ascii="宋体" w:hAnsi="宋体" w:cs="宋体"/>
                <w:kern w:val="0"/>
                <w:sz w:val="20"/>
                <w:szCs w:val="20"/>
              </w:rPr>
              <w:br w:type="textWrapping"/>
            </w:r>
            <w:r>
              <w:rPr>
                <w:rFonts w:hint="eastAsia" w:ascii="宋体" w:hAnsi="宋体" w:cs="宋体"/>
                <w:kern w:val="0"/>
                <w:sz w:val="20"/>
                <w:szCs w:val="20"/>
              </w:rPr>
              <w:t>5、触摸屏：多点电容式触摸</w:t>
            </w:r>
            <w:r>
              <w:rPr>
                <w:rFonts w:hint="eastAsia" w:ascii="宋体" w:hAnsi="宋体" w:cs="宋体"/>
                <w:kern w:val="0"/>
                <w:sz w:val="20"/>
                <w:szCs w:val="20"/>
              </w:rPr>
              <w:br w:type="textWrapping"/>
            </w:r>
            <w:r>
              <w:rPr>
                <w:rFonts w:hint="eastAsia" w:ascii="宋体" w:hAnsi="宋体" w:cs="宋体"/>
                <w:kern w:val="0"/>
                <w:sz w:val="20"/>
                <w:szCs w:val="20"/>
              </w:rPr>
              <w:t>6、安装方式：台式</w:t>
            </w:r>
            <w:r>
              <w:rPr>
                <w:rFonts w:hint="eastAsia" w:ascii="宋体" w:hAnsi="宋体" w:cs="宋体"/>
                <w:kern w:val="0"/>
                <w:sz w:val="20"/>
                <w:szCs w:val="20"/>
              </w:rPr>
              <w:br w:type="textWrapping"/>
            </w:r>
            <w:r>
              <w:rPr>
                <w:rFonts w:hint="eastAsia" w:ascii="宋体" w:hAnsi="宋体" w:cs="宋体"/>
                <w:kern w:val="0"/>
                <w:sz w:val="20"/>
                <w:szCs w:val="20"/>
              </w:rPr>
              <w:t>功能要求：</w:t>
            </w:r>
            <w:r>
              <w:rPr>
                <w:rFonts w:hint="eastAsia" w:ascii="宋体" w:hAnsi="宋体" w:cs="宋体"/>
                <w:kern w:val="0"/>
                <w:sz w:val="20"/>
                <w:szCs w:val="20"/>
              </w:rPr>
              <w:br w:type="textWrapping"/>
            </w:r>
            <w:r>
              <w:rPr>
                <w:rFonts w:hint="eastAsia" w:ascii="宋体" w:hAnsi="宋体" w:cs="宋体"/>
                <w:kern w:val="0"/>
                <w:sz w:val="20"/>
                <w:szCs w:val="20"/>
              </w:rPr>
              <w:t>1、支持通过工号和密码登录、也可通过记住医生用户名和密码自动登录。</w:t>
            </w:r>
            <w:r>
              <w:rPr>
                <w:rFonts w:hint="eastAsia" w:ascii="宋体" w:hAnsi="宋体" w:cs="宋体"/>
                <w:kern w:val="0"/>
                <w:sz w:val="20"/>
                <w:szCs w:val="20"/>
              </w:rPr>
              <w:br w:type="textWrapping"/>
            </w:r>
            <w:r>
              <w:rPr>
                <w:rFonts w:hint="eastAsia" w:ascii="宋体" w:hAnsi="宋体" w:cs="宋体"/>
                <w:kern w:val="0"/>
                <w:sz w:val="20"/>
                <w:szCs w:val="20"/>
              </w:rPr>
              <w:t>2、支持通过排队号和姓名快速查找患者。</w:t>
            </w:r>
            <w:r>
              <w:rPr>
                <w:rFonts w:hint="eastAsia" w:ascii="宋体" w:hAnsi="宋体" w:cs="宋体"/>
                <w:kern w:val="0"/>
                <w:sz w:val="20"/>
                <w:szCs w:val="20"/>
              </w:rPr>
              <w:br w:type="textWrapping"/>
            </w:r>
            <w:r>
              <w:rPr>
                <w:rFonts w:hint="eastAsia" w:ascii="宋体" w:hAnsi="宋体" w:cs="宋体"/>
                <w:kern w:val="0"/>
                <w:sz w:val="20"/>
                <w:szCs w:val="20"/>
              </w:rPr>
              <w:t>3、支持对正在排队等候就诊患者进行指定呼叫、顺呼、重呼、诊结。</w:t>
            </w:r>
            <w:r>
              <w:rPr>
                <w:rFonts w:hint="eastAsia" w:ascii="宋体" w:hAnsi="宋体" w:cs="宋体"/>
                <w:kern w:val="0"/>
                <w:sz w:val="20"/>
                <w:szCs w:val="20"/>
              </w:rPr>
              <w:br w:type="textWrapping"/>
            </w:r>
            <w:r>
              <w:rPr>
                <w:rFonts w:hint="eastAsia" w:ascii="宋体" w:hAnsi="宋体" w:cs="宋体"/>
                <w:kern w:val="0"/>
                <w:sz w:val="20"/>
                <w:szCs w:val="20"/>
              </w:rPr>
              <w:t>4、支持查看已诊结患者、自动统计已排队总人数、已诊结人数、剩余多少未诊结人数。</w:t>
            </w:r>
            <w:r>
              <w:rPr>
                <w:rFonts w:hint="eastAsia" w:ascii="宋体" w:hAnsi="宋体" w:cs="宋体"/>
                <w:kern w:val="0"/>
                <w:sz w:val="20"/>
                <w:szCs w:val="20"/>
              </w:rPr>
              <w:br w:type="textWrapping"/>
            </w:r>
            <w:r>
              <w:rPr>
                <w:rFonts w:hint="eastAsia" w:ascii="宋体" w:hAnsi="宋体" w:cs="宋体"/>
                <w:kern w:val="0"/>
                <w:sz w:val="20"/>
                <w:szCs w:val="20"/>
              </w:rPr>
              <w:t>5、支持对过号患者进行指定呼叫。</w:t>
            </w:r>
            <w:r>
              <w:rPr>
                <w:rFonts w:hint="eastAsia" w:ascii="宋体" w:hAnsi="宋体" w:cs="宋体"/>
                <w:kern w:val="0"/>
                <w:sz w:val="20"/>
                <w:szCs w:val="20"/>
              </w:rPr>
              <w:br w:type="textWrapping"/>
            </w:r>
            <w:r>
              <w:rPr>
                <w:rFonts w:hint="eastAsia" w:ascii="宋体" w:hAnsi="宋体" w:cs="宋体"/>
                <w:kern w:val="0"/>
                <w:sz w:val="20"/>
                <w:szCs w:val="20"/>
              </w:rPr>
              <w:t>6、支持呼叫诊区护士站的分诊台电脑或分诊主机、实现双向对讲功能。</w:t>
            </w:r>
            <w:r>
              <w:rPr>
                <w:rFonts w:hint="eastAsia" w:ascii="宋体" w:hAnsi="宋体" w:cs="宋体"/>
                <w:kern w:val="0"/>
                <w:sz w:val="20"/>
                <w:szCs w:val="20"/>
              </w:rPr>
              <w:br w:type="textWrapping"/>
            </w:r>
            <w:r>
              <w:rPr>
                <w:rFonts w:hint="eastAsia" w:ascii="宋体" w:hAnsi="宋体" w:cs="宋体"/>
                <w:kern w:val="0"/>
                <w:sz w:val="20"/>
                <w:szCs w:val="20"/>
              </w:rPr>
              <w:t>7、支持医生遇到紧急情况时呼叫保安室分诊主机、实现双向对讲功能。</w:t>
            </w:r>
            <w:r>
              <w:rPr>
                <w:rFonts w:hint="eastAsia" w:ascii="宋体" w:hAnsi="宋体" w:cs="宋体"/>
                <w:kern w:val="0"/>
                <w:sz w:val="20"/>
                <w:szCs w:val="20"/>
              </w:rPr>
              <w:br w:type="textWrapping"/>
            </w:r>
            <w:r>
              <w:rPr>
                <w:rFonts w:hint="eastAsia" w:ascii="宋体" w:hAnsi="宋体" w:cs="宋体"/>
                <w:kern w:val="0"/>
                <w:sz w:val="20"/>
                <w:szCs w:val="20"/>
              </w:rPr>
              <w:t>8、进行中显示列表、已处理列表、过号列表显示内容可通过终端设备系统设置可选择。</w:t>
            </w:r>
            <w:r>
              <w:rPr>
                <w:rFonts w:hint="eastAsia" w:ascii="宋体" w:hAnsi="宋体" w:cs="宋体"/>
                <w:kern w:val="0"/>
                <w:sz w:val="20"/>
                <w:szCs w:val="20"/>
              </w:rPr>
              <w:br w:type="textWrapping"/>
            </w:r>
            <w:r>
              <w:rPr>
                <w:rFonts w:hint="eastAsia" w:ascii="宋体" w:hAnsi="宋体" w:cs="宋体"/>
                <w:kern w:val="0"/>
                <w:sz w:val="20"/>
                <w:szCs w:val="20"/>
              </w:rPr>
              <w:t>9、支持无等候患者状态下、新患者签到提醒。</w:t>
            </w:r>
          </w:p>
        </w:tc>
        <w:tc>
          <w:tcPr>
            <w:tcW w:w="981" w:type="dxa"/>
            <w:tcBorders>
              <w:top w:val="nil"/>
              <w:left w:val="nil"/>
              <w:bottom w:val="single" w:color="auto" w:sz="4" w:space="0"/>
              <w:right w:val="single" w:color="auto" w:sz="4" w:space="0"/>
            </w:tcBorders>
            <w:shd w:val="clear" w:color="auto" w:fill="auto"/>
            <w:vAlign w:val="center"/>
          </w:tcPr>
          <w:p w14:paraId="7077E64F">
            <w:pPr>
              <w:widowControl/>
              <w:jc w:val="center"/>
              <w:rPr>
                <w:rFonts w:hint="eastAsia" w:ascii="宋体" w:hAnsi="宋体" w:cs="宋体"/>
                <w:kern w:val="0"/>
                <w:sz w:val="20"/>
                <w:szCs w:val="20"/>
              </w:rPr>
            </w:pPr>
            <w:r>
              <w:rPr>
                <w:rFonts w:hint="eastAsia" w:ascii="宋体" w:hAnsi="宋体" w:cs="宋体"/>
                <w:kern w:val="0"/>
                <w:sz w:val="20"/>
                <w:szCs w:val="20"/>
              </w:rPr>
              <w:t>　台</w:t>
            </w:r>
          </w:p>
        </w:tc>
        <w:tc>
          <w:tcPr>
            <w:tcW w:w="1177" w:type="dxa"/>
            <w:tcBorders>
              <w:top w:val="nil"/>
              <w:left w:val="nil"/>
              <w:bottom w:val="single" w:color="auto" w:sz="4" w:space="0"/>
              <w:right w:val="single" w:color="auto" w:sz="4" w:space="0"/>
            </w:tcBorders>
            <w:shd w:val="clear" w:color="auto" w:fill="auto"/>
            <w:vAlign w:val="center"/>
          </w:tcPr>
          <w:p w14:paraId="13429430">
            <w:pPr>
              <w:widowControl/>
              <w:jc w:val="center"/>
              <w:rPr>
                <w:rFonts w:hint="eastAsia" w:ascii="宋体" w:hAnsi="宋体" w:cs="宋体"/>
                <w:kern w:val="0"/>
                <w:sz w:val="20"/>
                <w:szCs w:val="20"/>
              </w:rPr>
            </w:pPr>
            <w:r>
              <w:rPr>
                <w:rFonts w:hint="eastAsia" w:ascii="宋体" w:hAnsi="宋体" w:cs="宋体"/>
                <w:kern w:val="0"/>
                <w:sz w:val="20"/>
                <w:szCs w:val="20"/>
              </w:rPr>
              <w:t>1</w:t>
            </w:r>
          </w:p>
        </w:tc>
      </w:tr>
      <w:tr w14:paraId="591A87D3">
        <w:tblPrEx>
          <w:tblCellMar>
            <w:top w:w="0" w:type="dxa"/>
            <w:left w:w="108" w:type="dxa"/>
            <w:bottom w:w="0" w:type="dxa"/>
            <w:right w:w="108" w:type="dxa"/>
          </w:tblCellMar>
        </w:tblPrEx>
        <w:trPr>
          <w:trHeight w:val="260" w:hRule="atLeast"/>
        </w:trPr>
        <w:tc>
          <w:tcPr>
            <w:tcW w:w="8078" w:type="dxa"/>
            <w:gridSpan w:val="5"/>
            <w:tcBorders>
              <w:top w:val="nil"/>
              <w:left w:val="single" w:color="auto" w:sz="4" w:space="0"/>
              <w:bottom w:val="single" w:color="auto" w:sz="4" w:space="0"/>
              <w:right w:val="single" w:color="auto" w:sz="4" w:space="0"/>
            </w:tcBorders>
            <w:shd w:val="clear" w:color="auto" w:fill="auto"/>
            <w:vAlign w:val="center"/>
          </w:tcPr>
          <w:p w14:paraId="785DEBB5">
            <w:pPr>
              <w:widowControl/>
              <w:jc w:val="center"/>
              <w:rPr>
                <w:rFonts w:hint="eastAsia" w:ascii="宋体" w:hAnsi="宋体" w:cs="宋体"/>
                <w:kern w:val="0"/>
                <w:sz w:val="20"/>
                <w:szCs w:val="20"/>
              </w:rPr>
            </w:pPr>
            <w:r>
              <w:rPr>
                <w:rFonts w:hint="eastAsia" w:ascii="宋体" w:hAnsi="宋体" w:cs="宋体"/>
                <w:kern w:val="0"/>
                <w:sz w:val="20"/>
                <w:szCs w:val="20"/>
              </w:rPr>
              <w:t>软件　</w:t>
            </w:r>
          </w:p>
        </w:tc>
      </w:tr>
      <w:tr w14:paraId="53E3B498">
        <w:tblPrEx>
          <w:tblCellMar>
            <w:top w:w="0" w:type="dxa"/>
            <w:left w:w="108" w:type="dxa"/>
            <w:bottom w:w="0" w:type="dxa"/>
            <w:right w:w="108" w:type="dxa"/>
          </w:tblCellMar>
        </w:tblPrEx>
        <w:trPr>
          <w:trHeight w:val="4940" w:hRule="atLeast"/>
        </w:trPr>
        <w:tc>
          <w:tcPr>
            <w:tcW w:w="1080" w:type="dxa"/>
            <w:tcBorders>
              <w:top w:val="nil"/>
              <w:left w:val="single" w:color="auto" w:sz="4" w:space="0"/>
              <w:bottom w:val="single" w:color="auto" w:sz="4" w:space="0"/>
              <w:right w:val="single" w:color="auto" w:sz="4" w:space="0"/>
            </w:tcBorders>
            <w:shd w:val="clear" w:color="auto" w:fill="auto"/>
            <w:vAlign w:val="center"/>
          </w:tcPr>
          <w:p w14:paraId="6081F449">
            <w:pPr>
              <w:widowControl/>
              <w:jc w:val="center"/>
              <w:rPr>
                <w:rFonts w:hint="eastAsia" w:ascii="宋体" w:hAnsi="宋体" w:cs="宋体"/>
                <w:kern w:val="0"/>
                <w:sz w:val="20"/>
                <w:szCs w:val="20"/>
              </w:rPr>
            </w:pPr>
            <w:r>
              <w:rPr>
                <w:rFonts w:hint="eastAsia" w:ascii="宋体" w:hAnsi="宋体" w:cs="宋体"/>
                <w:kern w:val="0"/>
                <w:sz w:val="20"/>
                <w:szCs w:val="20"/>
              </w:rPr>
              <w:t>1</w:t>
            </w:r>
          </w:p>
        </w:tc>
        <w:tc>
          <w:tcPr>
            <w:tcW w:w="1325" w:type="dxa"/>
            <w:tcBorders>
              <w:top w:val="nil"/>
              <w:left w:val="nil"/>
              <w:bottom w:val="single" w:color="auto" w:sz="4" w:space="0"/>
              <w:right w:val="single" w:color="auto" w:sz="4" w:space="0"/>
            </w:tcBorders>
            <w:shd w:val="clear" w:color="auto" w:fill="auto"/>
            <w:vAlign w:val="center"/>
          </w:tcPr>
          <w:p w14:paraId="3ADC003E">
            <w:pPr>
              <w:widowControl/>
              <w:jc w:val="left"/>
              <w:rPr>
                <w:rFonts w:hint="eastAsia" w:ascii="宋体" w:hAnsi="宋体" w:cs="宋体"/>
                <w:kern w:val="0"/>
                <w:sz w:val="20"/>
                <w:szCs w:val="20"/>
              </w:rPr>
            </w:pPr>
            <w:r>
              <w:rPr>
                <w:rFonts w:hint="eastAsia" w:ascii="宋体" w:hAnsi="宋体" w:cs="宋体"/>
                <w:kern w:val="0"/>
                <w:sz w:val="20"/>
                <w:szCs w:val="20"/>
              </w:rPr>
              <w:t>护士站分诊台软件</w:t>
            </w:r>
          </w:p>
        </w:tc>
        <w:tc>
          <w:tcPr>
            <w:tcW w:w="3515" w:type="dxa"/>
            <w:tcBorders>
              <w:top w:val="nil"/>
              <w:left w:val="nil"/>
              <w:bottom w:val="single" w:color="auto" w:sz="4" w:space="0"/>
              <w:right w:val="single" w:color="auto" w:sz="4" w:space="0"/>
            </w:tcBorders>
            <w:shd w:val="clear" w:color="auto" w:fill="auto"/>
            <w:vAlign w:val="center"/>
          </w:tcPr>
          <w:p w14:paraId="643F9F51">
            <w:pPr>
              <w:widowControl/>
              <w:jc w:val="left"/>
              <w:rPr>
                <w:rFonts w:hint="eastAsia" w:ascii="宋体" w:hAnsi="宋体" w:cs="宋体"/>
                <w:kern w:val="0"/>
                <w:sz w:val="20"/>
                <w:szCs w:val="20"/>
              </w:rPr>
            </w:pPr>
            <w:r>
              <w:rPr>
                <w:rFonts w:hint="eastAsia" w:ascii="宋体" w:hAnsi="宋体" w:cs="宋体"/>
                <w:kern w:val="0"/>
                <w:sz w:val="20"/>
                <w:szCs w:val="20"/>
              </w:rPr>
              <w:t>功能特点：</w:t>
            </w:r>
            <w:r>
              <w:rPr>
                <w:rFonts w:hint="eastAsia" w:ascii="宋体" w:hAnsi="宋体" w:cs="宋体"/>
                <w:kern w:val="0"/>
                <w:sz w:val="20"/>
                <w:szCs w:val="20"/>
              </w:rPr>
              <w:br w:type="textWrapping"/>
            </w:r>
            <w:r>
              <w:rPr>
                <w:rFonts w:hint="eastAsia" w:ascii="宋体" w:hAnsi="宋体" w:cs="宋体"/>
                <w:kern w:val="0"/>
                <w:sz w:val="20"/>
                <w:szCs w:val="20"/>
              </w:rPr>
              <w:t>1、系统采用B/S架构设计、无需在护士站电脑上安装各种数据库软件</w:t>
            </w:r>
            <w:r>
              <w:rPr>
                <w:rFonts w:hint="eastAsia" w:ascii="宋体" w:hAnsi="宋体" w:cs="宋体"/>
                <w:kern w:val="0"/>
                <w:sz w:val="20"/>
                <w:szCs w:val="20"/>
              </w:rPr>
              <w:br w:type="textWrapping"/>
            </w:r>
            <w:r>
              <w:rPr>
                <w:rFonts w:hint="eastAsia" w:ascii="宋体" w:hAnsi="宋体" w:cs="宋体"/>
                <w:kern w:val="0"/>
                <w:sz w:val="20"/>
                <w:szCs w:val="20"/>
              </w:rPr>
              <w:t>2、分诊台管理可以对医生/叫号器队列管理、报到/分诊管理、医生信息管理、广播管理、设备管理</w:t>
            </w:r>
            <w:r>
              <w:rPr>
                <w:rFonts w:hint="eastAsia" w:ascii="宋体" w:hAnsi="宋体" w:cs="宋体"/>
                <w:kern w:val="0"/>
                <w:sz w:val="20"/>
                <w:szCs w:val="20"/>
              </w:rPr>
              <w:br w:type="textWrapping"/>
            </w:r>
            <w:r>
              <w:rPr>
                <w:rFonts w:hint="eastAsia" w:ascii="宋体" w:hAnsi="宋体" w:cs="宋体"/>
                <w:kern w:val="0"/>
                <w:sz w:val="20"/>
                <w:szCs w:val="20"/>
              </w:rPr>
              <w:t>3、支持对患者选择指定医生取号</w:t>
            </w:r>
            <w:r>
              <w:rPr>
                <w:rFonts w:hint="eastAsia" w:ascii="宋体" w:hAnsi="宋体" w:cs="宋体"/>
                <w:kern w:val="0"/>
                <w:sz w:val="20"/>
                <w:szCs w:val="20"/>
              </w:rPr>
              <w:br w:type="textWrapping"/>
            </w:r>
            <w:r>
              <w:rPr>
                <w:rFonts w:hint="eastAsia" w:ascii="宋体" w:hAnsi="宋体" w:cs="宋体"/>
                <w:kern w:val="0"/>
                <w:sz w:val="20"/>
                <w:szCs w:val="20"/>
              </w:rPr>
              <w:t>4、支持查看当前各医生/各科室候诊队列信息和已处理队列信息</w:t>
            </w:r>
            <w:r>
              <w:rPr>
                <w:rFonts w:hint="eastAsia" w:ascii="宋体" w:hAnsi="宋体" w:cs="宋体"/>
                <w:kern w:val="0"/>
                <w:sz w:val="20"/>
                <w:szCs w:val="20"/>
              </w:rPr>
              <w:br w:type="textWrapping"/>
            </w:r>
            <w:r>
              <w:rPr>
                <w:rFonts w:hint="eastAsia" w:ascii="宋体" w:hAnsi="宋体" w:cs="宋体"/>
                <w:kern w:val="0"/>
                <w:sz w:val="20"/>
                <w:szCs w:val="20"/>
              </w:rPr>
              <w:t>5、支持对指定患者进行优先、过号、延迟、挂起、转诊、弃号、调号处理</w:t>
            </w:r>
            <w:r>
              <w:rPr>
                <w:rFonts w:hint="eastAsia" w:ascii="宋体" w:hAnsi="宋体" w:cs="宋体"/>
                <w:kern w:val="0"/>
                <w:sz w:val="20"/>
                <w:szCs w:val="20"/>
              </w:rPr>
              <w:br w:type="textWrapping"/>
            </w:r>
            <w:r>
              <w:rPr>
                <w:rFonts w:hint="eastAsia" w:ascii="宋体" w:hAnsi="宋体" w:cs="宋体"/>
                <w:kern w:val="0"/>
                <w:sz w:val="20"/>
                <w:szCs w:val="20"/>
              </w:rPr>
              <w:t>6、支持查看待分诊队列和待报到队列信息</w:t>
            </w:r>
            <w:r>
              <w:rPr>
                <w:rFonts w:hint="eastAsia" w:ascii="宋体" w:hAnsi="宋体" w:cs="宋体"/>
                <w:kern w:val="0"/>
                <w:sz w:val="20"/>
                <w:szCs w:val="20"/>
              </w:rPr>
              <w:br w:type="textWrapping"/>
            </w:r>
            <w:r>
              <w:rPr>
                <w:rFonts w:hint="eastAsia" w:ascii="宋体" w:hAnsi="宋体" w:cs="宋体"/>
                <w:kern w:val="0"/>
                <w:sz w:val="20"/>
                <w:szCs w:val="20"/>
              </w:rPr>
              <w:t>7、可以对当日医生或检查室进行排班。</w:t>
            </w:r>
            <w:r>
              <w:rPr>
                <w:rFonts w:hint="eastAsia" w:ascii="宋体" w:hAnsi="宋体" w:cs="宋体"/>
                <w:kern w:val="0"/>
                <w:sz w:val="20"/>
                <w:szCs w:val="20"/>
              </w:rPr>
              <w:br w:type="textWrapping"/>
            </w:r>
            <w:r>
              <w:rPr>
                <w:rFonts w:hint="eastAsia" w:ascii="宋体" w:hAnsi="宋体" w:cs="宋体"/>
                <w:kern w:val="0"/>
                <w:sz w:val="20"/>
                <w:szCs w:val="20"/>
              </w:rPr>
              <w:t>8、支持对已报到患者进行分诊处理</w:t>
            </w:r>
            <w:r>
              <w:rPr>
                <w:rFonts w:hint="eastAsia" w:ascii="宋体" w:hAnsi="宋体" w:cs="宋体"/>
                <w:kern w:val="0"/>
                <w:sz w:val="20"/>
                <w:szCs w:val="20"/>
              </w:rPr>
              <w:br w:type="textWrapping"/>
            </w:r>
            <w:r>
              <w:rPr>
                <w:rFonts w:hint="eastAsia" w:ascii="宋体" w:hAnsi="宋体" w:cs="宋体"/>
                <w:kern w:val="0"/>
                <w:sz w:val="20"/>
                <w:szCs w:val="20"/>
              </w:rPr>
              <w:t>9、可以添加诊区医生基础信息，可编辑、修改、查看详情等。</w:t>
            </w:r>
            <w:r>
              <w:rPr>
                <w:rFonts w:hint="eastAsia" w:ascii="宋体" w:hAnsi="宋体" w:cs="宋体"/>
                <w:kern w:val="0"/>
                <w:sz w:val="20"/>
                <w:szCs w:val="20"/>
              </w:rPr>
              <w:br w:type="textWrapping"/>
            </w:r>
            <w:r>
              <w:rPr>
                <w:rFonts w:hint="eastAsia" w:ascii="宋体" w:hAnsi="宋体" w:cs="宋体"/>
                <w:kern w:val="0"/>
                <w:sz w:val="20"/>
                <w:szCs w:val="20"/>
              </w:rPr>
              <w:t>10、支持批量导入医生基础信息</w:t>
            </w:r>
            <w:r>
              <w:rPr>
                <w:rFonts w:hint="eastAsia" w:ascii="宋体" w:hAnsi="宋体" w:cs="宋体"/>
                <w:kern w:val="0"/>
                <w:sz w:val="20"/>
                <w:szCs w:val="20"/>
              </w:rPr>
              <w:br w:type="textWrapping"/>
            </w:r>
            <w:r>
              <w:rPr>
                <w:rFonts w:hint="eastAsia" w:ascii="宋体" w:hAnsi="宋体" w:cs="宋体"/>
                <w:kern w:val="0"/>
                <w:sz w:val="20"/>
                <w:szCs w:val="20"/>
              </w:rPr>
              <w:t>11、可以通过文本广播和语音广播、可指定执行播放次数、播放时间、广播音量、喊广播到等候区排队信息集中显示屏。</w:t>
            </w:r>
            <w:r>
              <w:rPr>
                <w:rFonts w:hint="eastAsia" w:ascii="宋体" w:hAnsi="宋体" w:cs="宋体"/>
                <w:kern w:val="0"/>
                <w:sz w:val="20"/>
                <w:szCs w:val="20"/>
              </w:rPr>
              <w:br w:type="textWrapping"/>
            </w:r>
            <w:r>
              <w:rPr>
                <w:rFonts w:hint="eastAsia" w:ascii="宋体" w:hAnsi="宋体" w:cs="宋体"/>
                <w:kern w:val="0"/>
                <w:sz w:val="20"/>
                <w:szCs w:val="20"/>
              </w:rPr>
              <w:t>12、支持对诊区的所有设备进行远程开关屏、定时开关屏、音量大小调节、远程截屏、远程重启</w:t>
            </w:r>
            <w:r>
              <w:rPr>
                <w:rFonts w:hint="eastAsia" w:ascii="宋体" w:hAnsi="宋体" w:cs="宋体"/>
                <w:kern w:val="0"/>
                <w:sz w:val="20"/>
                <w:szCs w:val="20"/>
              </w:rPr>
              <w:br w:type="textWrapping"/>
            </w:r>
            <w:r>
              <w:rPr>
                <w:rFonts w:hint="eastAsia" w:ascii="宋体" w:hAnsi="宋体" w:cs="宋体"/>
                <w:kern w:val="0"/>
                <w:sz w:val="20"/>
                <w:szCs w:val="20"/>
              </w:rPr>
              <w:t>13、支持和诊室通过分诊台话筒和医生端虚拟呼叫器双向语音对讲</w:t>
            </w:r>
            <w:r>
              <w:rPr>
                <w:rFonts w:hint="eastAsia" w:ascii="宋体" w:hAnsi="宋体" w:cs="宋体"/>
                <w:kern w:val="0"/>
                <w:sz w:val="20"/>
                <w:szCs w:val="20"/>
              </w:rPr>
              <w:br w:type="textWrapping"/>
            </w:r>
            <w:r>
              <w:rPr>
                <w:rFonts w:hint="eastAsia" w:ascii="宋体" w:hAnsi="宋体" w:cs="宋体"/>
                <w:kern w:val="0"/>
                <w:sz w:val="20"/>
                <w:szCs w:val="20"/>
              </w:rPr>
              <w:t>14、分诊台管理软件具有计算机软件著作权登记证书。（须提供证书复印件并加盖开发商公章）</w:t>
            </w:r>
          </w:p>
        </w:tc>
        <w:tc>
          <w:tcPr>
            <w:tcW w:w="981" w:type="dxa"/>
            <w:tcBorders>
              <w:top w:val="nil"/>
              <w:left w:val="nil"/>
              <w:bottom w:val="single" w:color="auto" w:sz="4" w:space="0"/>
              <w:right w:val="single" w:color="auto" w:sz="4" w:space="0"/>
            </w:tcBorders>
            <w:shd w:val="clear" w:color="auto" w:fill="auto"/>
            <w:vAlign w:val="center"/>
          </w:tcPr>
          <w:p w14:paraId="0DE56E34">
            <w:pPr>
              <w:widowControl/>
              <w:jc w:val="center"/>
              <w:rPr>
                <w:rFonts w:hint="eastAsia" w:ascii="宋体" w:hAnsi="宋体" w:cs="宋体"/>
                <w:kern w:val="0"/>
                <w:sz w:val="20"/>
                <w:szCs w:val="20"/>
              </w:rPr>
            </w:pPr>
            <w:r>
              <w:rPr>
                <w:rFonts w:hint="eastAsia" w:ascii="宋体" w:hAnsi="宋体" w:cs="宋体"/>
                <w:kern w:val="0"/>
                <w:sz w:val="20"/>
                <w:szCs w:val="20"/>
              </w:rPr>
              <w:t>套</w:t>
            </w:r>
          </w:p>
        </w:tc>
        <w:tc>
          <w:tcPr>
            <w:tcW w:w="1177" w:type="dxa"/>
            <w:tcBorders>
              <w:top w:val="nil"/>
              <w:left w:val="nil"/>
              <w:bottom w:val="single" w:color="auto" w:sz="4" w:space="0"/>
              <w:right w:val="single" w:color="auto" w:sz="4" w:space="0"/>
            </w:tcBorders>
            <w:shd w:val="clear" w:color="auto" w:fill="auto"/>
            <w:vAlign w:val="center"/>
          </w:tcPr>
          <w:p w14:paraId="4D5A6E13">
            <w:pPr>
              <w:widowControl/>
              <w:jc w:val="center"/>
              <w:rPr>
                <w:rFonts w:hint="eastAsia" w:ascii="宋体" w:hAnsi="宋体" w:cs="宋体"/>
                <w:kern w:val="0"/>
                <w:sz w:val="20"/>
                <w:szCs w:val="20"/>
              </w:rPr>
            </w:pPr>
            <w:r>
              <w:rPr>
                <w:rFonts w:hint="eastAsia" w:ascii="宋体" w:hAnsi="宋体" w:cs="宋体"/>
                <w:kern w:val="0"/>
                <w:sz w:val="20"/>
                <w:szCs w:val="20"/>
              </w:rPr>
              <w:t>8</w:t>
            </w:r>
          </w:p>
        </w:tc>
      </w:tr>
      <w:tr w14:paraId="43DCCBF3">
        <w:tblPrEx>
          <w:tblCellMar>
            <w:top w:w="0" w:type="dxa"/>
            <w:left w:w="108" w:type="dxa"/>
            <w:bottom w:w="0" w:type="dxa"/>
            <w:right w:w="108" w:type="dxa"/>
          </w:tblCellMar>
        </w:tblPrEx>
        <w:trPr>
          <w:trHeight w:val="207" w:hRule="atLeast"/>
        </w:trPr>
        <w:tc>
          <w:tcPr>
            <w:tcW w:w="1080" w:type="dxa"/>
            <w:tcBorders>
              <w:top w:val="nil"/>
              <w:left w:val="single" w:color="auto" w:sz="4" w:space="0"/>
              <w:bottom w:val="single" w:color="auto" w:sz="4" w:space="0"/>
              <w:right w:val="single" w:color="auto" w:sz="4" w:space="0"/>
            </w:tcBorders>
            <w:shd w:val="clear" w:color="auto" w:fill="auto"/>
            <w:vAlign w:val="center"/>
          </w:tcPr>
          <w:p w14:paraId="6F85F4B5">
            <w:pPr>
              <w:widowControl/>
              <w:jc w:val="center"/>
              <w:rPr>
                <w:rFonts w:hint="eastAsia" w:ascii="宋体" w:hAnsi="宋体" w:cs="宋体"/>
                <w:kern w:val="0"/>
                <w:sz w:val="20"/>
                <w:szCs w:val="20"/>
              </w:rPr>
            </w:pPr>
            <w:r>
              <w:rPr>
                <w:rFonts w:hint="eastAsia" w:ascii="宋体" w:hAnsi="宋体" w:cs="宋体"/>
                <w:kern w:val="0"/>
                <w:sz w:val="20"/>
                <w:szCs w:val="20"/>
              </w:rPr>
              <w:t>2</w:t>
            </w:r>
          </w:p>
        </w:tc>
        <w:tc>
          <w:tcPr>
            <w:tcW w:w="1325" w:type="dxa"/>
            <w:tcBorders>
              <w:top w:val="nil"/>
              <w:left w:val="nil"/>
              <w:bottom w:val="single" w:color="auto" w:sz="4" w:space="0"/>
              <w:right w:val="single" w:color="auto" w:sz="4" w:space="0"/>
            </w:tcBorders>
            <w:shd w:val="clear" w:color="auto" w:fill="auto"/>
            <w:vAlign w:val="center"/>
          </w:tcPr>
          <w:p w14:paraId="58191B9A">
            <w:pPr>
              <w:widowControl/>
              <w:jc w:val="left"/>
              <w:rPr>
                <w:rFonts w:hint="eastAsia" w:ascii="宋体" w:hAnsi="宋体" w:cs="宋体"/>
                <w:kern w:val="0"/>
                <w:sz w:val="20"/>
                <w:szCs w:val="20"/>
              </w:rPr>
            </w:pPr>
            <w:r>
              <w:rPr>
                <w:rFonts w:hint="eastAsia" w:ascii="宋体" w:hAnsi="宋体" w:cs="宋体"/>
                <w:kern w:val="0"/>
                <w:sz w:val="20"/>
                <w:szCs w:val="20"/>
              </w:rPr>
              <w:t>医护虚拟叫号软件</w:t>
            </w:r>
          </w:p>
        </w:tc>
        <w:tc>
          <w:tcPr>
            <w:tcW w:w="3515" w:type="dxa"/>
            <w:tcBorders>
              <w:top w:val="nil"/>
              <w:left w:val="nil"/>
              <w:bottom w:val="single" w:color="auto" w:sz="4" w:space="0"/>
              <w:right w:val="single" w:color="auto" w:sz="4" w:space="0"/>
            </w:tcBorders>
            <w:shd w:val="clear" w:color="auto" w:fill="auto"/>
            <w:vAlign w:val="center"/>
          </w:tcPr>
          <w:p w14:paraId="175813D5">
            <w:pPr>
              <w:widowControl/>
              <w:numPr>
                <w:ilvl w:val="0"/>
                <w:numId w:val="7"/>
              </w:numPr>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支持通过输入用户名和密码登录、可记住登录名和登录密码；</w:t>
            </w:r>
          </w:p>
          <w:p w14:paraId="547EE4EC">
            <w:pPr>
              <w:widowControl/>
              <w:numPr>
                <w:ilvl w:val="0"/>
                <w:numId w:val="7"/>
              </w:numPr>
              <w:jc w:val="left"/>
              <w:rPr>
                <w:rFonts w:hint="eastAsia" w:ascii="宋体" w:hAnsi="宋体" w:cs="宋体"/>
                <w:kern w:val="0"/>
                <w:sz w:val="20"/>
                <w:szCs w:val="20"/>
              </w:rPr>
            </w:pPr>
            <w:r>
              <w:rPr>
                <w:rFonts w:hint="eastAsia" w:ascii="宋体" w:hAnsi="宋体" w:cs="宋体"/>
                <w:kern w:val="0"/>
                <w:sz w:val="20"/>
                <w:szCs w:val="20"/>
              </w:rPr>
              <w:t>可以在诊室呼叫终端上设置服务器IP 地址、服务器端口号、呼叫器所属科室/诊室；</w:t>
            </w:r>
          </w:p>
          <w:p w14:paraId="461D3486">
            <w:pPr>
              <w:widowControl/>
              <w:numPr>
                <w:ilvl w:val="0"/>
                <w:numId w:val="7"/>
              </w:numPr>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支持查看当前诊室所有等候患者信息；已呼叫患者信息、过号患者信息；</w:t>
            </w:r>
          </w:p>
          <w:p w14:paraId="714A4A5B">
            <w:pPr>
              <w:widowControl/>
              <w:numPr>
                <w:ilvl w:val="0"/>
                <w:numId w:val="7"/>
              </w:numPr>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支持对患者进顺呼、重呼、指定呼叫、诊结、过号处理；</w:t>
            </w:r>
          </w:p>
          <w:p w14:paraId="61D2591D">
            <w:pPr>
              <w:widowControl/>
              <w:numPr>
                <w:ilvl w:val="0"/>
                <w:numId w:val="7"/>
              </w:numPr>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支持显示当前诊室等候总人数、已呼叫总人数、未就诊人数；</w:t>
            </w:r>
          </w:p>
          <w:p w14:paraId="6E7EF0C8">
            <w:pPr>
              <w:widowControl/>
              <w:numPr>
                <w:ilvl w:val="0"/>
                <w:numId w:val="7"/>
              </w:numPr>
              <w:jc w:val="left"/>
              <w:rPr>
                <w:rFonts w:hint="eastAsia" w:ascii="宋体" w:hAnsi="宋体" w:cs="宋体"/>
                <w:kern w:val="0"/>
                <w:sz w:val="20"/>
                <w:szCs w:val="20"/>
              </w:rPr>
            </w:pPr>
            <w:r>
              <w:rPr>
                <w:rFonts w:hint="eastAsia" w:ascii="宋体" w:hAnsi="宋体" w:cs="宋体"/>
                <w:kern w:val="0"/>
                <w:sz w:val="20"/>
                <w:szCs w:val="20"/>
              </w:rPr>
              <w:t>可以悬浮窗效果展示、只显示当前呼叫信息、下一位等待患者信息、诊结按钮、过号按钮、顺呼按钮、过号按钮；</w:t>
            </w:r>
          </w:p>
          <w:p w14:paraId="5F2B9110">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7、叫号客户端软件具有计算机软件著作权登记证书。（投标文件中须提供证书复印件并加盖开发商公章）</w:t>
            </w:r>
          </w:p>
        </w:tc>
        <w:tc>
          <w:tcPr>
            <w:tcW w:w="981" w:type="dxa"/>
            <w:tcBorders>
              <w:top w:val="nil"/>
              <w:left w:val="nil"/>
              <w:bottom w:val="single" w:color="auto" w:sz="4" w:space="0"/>
              <w:right w:val="single" w:color="auto" w:sz="4" w:space="0"/>
            </w:tcBorders>
            <w:shd w:val="clear" w:color="auto" w:fill="auto"/>
            <w:vAlign w:val="center"/>
          </w:tcPr>
          <w:p w14:paraId="6D9A7A04">
            <w:pPr>
              <w:widowControl/>
              <w:jc w:val="center"/>
              <w:rPr>
                <w:rFonts w:hint="eastAsia" w:ascii="宋体" w:hAnsi="宋体" w:cs="宋体"/>
                <w:kern w:val="0"/>
                <w:sz w:val="20"/>
                <w:szCs w:val="20"/>
              </w:rPr>
            </w:pPr>
            <w:r>
              <w:rPr>
                <w:rFonts w:hint="eastAsia" w:ascii="宋体" w:hAnsi="宋体" w:cs="宋体"/>
                <w:kern w:val="0"/>
                <w:sz w:val="20"/>
                <w:szCs w:val="20"/>
              </w:rPr>
              <w:t>套</w:t>
            </w:r>
          </w:p>
        </w:tc>
        <w:tc>
          <w:tcPr>
            <w:tcW w:w="1177" w:type="dxa"/>
            <w:tcBorders>
              <w:top w:val="nil"/>
              <w:left w:val="nil"/>
              <w:bottom w:val="single" w:color="auto" w:sz="4" w:space="0"/>
              <w:right w:val="single" w:color="auto" w:sz="4" w:space="0"/>
            </w:tcBorders>
            <w:shd w:val="clear" w:color="auto" w:fill="auto"/>
            <w:vAlign w:val="center"/>
          </w:tcPr>
          <w:p w14:paraId="154901CA">
            <w:pPr>
              <w:widowControl/>
              <w:jc w:val="center"/>
              <w:rPr>
                <w:rFonts w:hint="eastAsia" w:ascii="宋体" w:hAnsi="宋体" w:cs="宋体"/>
                <w:kern w:val="0"/>
                <w:sz w:val="20"/>
                <w:szCs w:val="20"/>
              </w:rPr>
            </w:pPr>
            <w:r>
              <w:rPr>
                <w:rFonts w:hint="eastAsia" w:ascii="宋体" w:hAnsi="宋体" w:cs="宋体"/>
                <w:kern w:val="0"/>
                <w:sz w:val="20"/>
                <w:szCs w:val="20"/>
              </w:rPr>
              <w:t>43</w:t>
            </w:r>
          </w:p>
        </w:tc>
      </w:tr>
      <w:tr w14:paraId="513A9509">
        <w:tblPrEx>
          <w:tblCellMar>
            <w:top w:w="0" w:type="dxa"/>
            <w:left w:w="108" w:type="dxa"/>
            <w:bottom w:w="0" w:type="dxa"/>
            <w:right w:w="108" w:type="dxa"/>
          </w:tblCellMar>
        </w:tblPrEx>
        <w:trPr>
          <w:trHeight w:val="4257" w:hRule="atLeast"/>
        </w:trPr>
        <w:tc>
          <w:tcPr>
            <w:tcW w:w="1080" w:type="dxa"/>
            <w:tcBorders>
              <w:top w:val="nil"/>
              <w:left w:val="single" w:color="auto" w:sz="4" w:space="0"/>
              <w:bottom w:val="single" w:color="auto" w:sz="4" w:space="0"/>
              <w:right w:val="single" w:color="auto" w:sz="4" w:space="0"/>
            </w:tcBorders>
            <w:shd w:val="clear" w:color="auto" w:fill="auto"/>
            <w:vAlign w:val="center"/>
          </w:tcPr>
          <w:p w14:paraId="2CB76A46">
            <w:pPr>
              <w:widowControl/>
              <w:jc w:val="center"/>
              <w:rPr>
                <w:rFonts w:hint="eastAsia" w:ascii="宋体" w:hAnsi="宋体" w:cs="宋体"/>
                <w:kern w:val="0"/>
                <w:sz w:val="20"/>
                <w:szCs w:val="20"/>
              </w:rPr>
            </w:pPr>
            <w:r>
              <w:rPr>
                <w:rFonts w:hint="eastAsia" w:ascii="宋体" w:hAnsi="宋体" w:cs="宋体"/>
                <w:kern w:val="0"/>
                <w:sz w:val="20"/>
                <w:szCs w:val="20"/>
              </w:rPr>
              <w:t>3</w:t>
            </w:r>
          </w:p>
        </w:tc>
        <w:tc>
          <w:tcPr>
            <w:tcW w:w="1325" w:type="dxa"/>
            <w:tcBorders>
              <w:top w:val="nil"/>
              <w:left w:val="nil"/>
              <w:bottom w:val="single" w:color="auto" w:sz="4" w:space="0"/>
              <w:right w:val="single" w:color="auto" w:sz="4" w:space="0"/>
            </w:tcBorders>
            <w:shd w:val="clear" w:color="auto" w:fill="auto"/>
            <w:vAlign w:val="center"/>
          </w:tcPr>
          <w:p w14:paraId="1600006C">
            <w:pPr>
              <w:widowControl/>
              <w:jc w:val="left"/>
              <w:rPr>
                <w:rFonts w:hint="eastAsia" w:ascii="宋体" w:hAnsi="宋体" w:cs="宋体"/>
                <w:kern w:val="0"/>
                <w:sz w:val="20"/>
                <w:szCs w:val="20"/>
              </w:rPr>
            </w:pPr>
            <w:r>
              <w:rPr>
                <w:rFonts w:hint="eastAsia" w:ascii="宋体" w:hAnsi="宋体" w:cs="宋体"/>
                <w:kern w:val="0"/>
                <w:sz w:val="20"/>
                <w:szCs w:val="20"/>
              </w:rPr>
              <w:t>导医分诊系统软件</w:t>
            </w:r>
          </w:p>
        </w:tc>
        <w:tc>
          <w:tcPr>
            <w:tcW w:w="3515" w:type="dxa"/>
            <w:tcBorders>
              <w:top w:val="nil"/>
              <w:left w:val="nil"/>
              <w:bottom w:val="single" w:color="auto" w:sz="4" w:space="0"/>
              <w:right w:val="single" w:color="auto" w:sz="4" w:space="0"/>
            </w:tcBorders>
            <w:shd w:val="clear" w:color="auto" w:fill="auto"/>
            <w:vAlign w:val="center"/>
          </w:tcPr>
          <w:p w14:paraId="6CD2FB06">
            <w:pPr>
              <w:widowControl/>
              <w:jc w:val="left"/>
              <w:rPr>
                <w:rFonts w:hint="eastAsia" w:ascii="宋体" w:hAnsi="宋体" w:cs="宋体"/>
                <w:kern w:val="0"/>
                <w:sz w:val="20"/>
                <w:szCs w:val="20"/>
              </w:rPr>
            </w:pPr>
            <w:r>
              <w:rPr>
                <w:rFonts w:hint="eastAsia" w:ascii="宋体" w:hAnsi="宋体" w:cs="宋体"/>
                <w:kern w:val="0"/>
                <w:sz w:val="20"/>
                <w:szCs w:val="20"/>
              </w:rPr>
              <w:t>功能：</w:t>
            </w:r>
            <w:r>
              <w:rPr>
                <w:rFonts w:hint="eastAsia" w:ascii="宋体" w:hAnsi="宋体" w:cs="宋体"/>
                <w:kern w:val="0"/>
                <w:sz w:val="20"/>
                <w:szCs w:val="20"/>
              </w:rPr>
              <w:br w:type="textWrapping"/>
            </w:r>
            <w:r>
              <w:rPr>
                <w:rFonts w:hint="eastAsia" w:ascii="宋体" w:hAnsi="宋体" w:cs="宋体"/>
                <w:kern w:val="0"/>
                <w:sz w:val="20"/>
                <w:szCs w:val="20"/>
              </w:rPr>
              <w:t>1、采用B/S架构，通过输入用户名和密码登录，可记住登录名和登录密码；</w:t>
            </w:r>
            <w:r>
              <w:rPr>
                <w:rFonts w:hint="eastAsia" w:ascii="宋体" w:hAnsi="宋体" w:cs="宋体"/>
                <w:kern w:val="0"/>
                <w:sz w:val="20"/>
                <w:szCs w:val="20"/>
              </w:rPr>
              <w:br w:type="textWrapping"/>
            </w:r>
            <w:r>
              <w:rPr>
                <w:rFonts w:hint="eastAsia" w:ascii="宋体" w:hAnsi="宋体" w:cs="宋体"/>
                <w:kern w:val="0"/>
                <w:sz w:val="20"/>
                <w:szCs w:val="20"/>
              </w:rPr>
              <w:t>2、支持新增病区、删除病区、查看病区定义、查看病区配置、一键导入病区信息/导出病区信息；</w:t>
            </w:r>
            <w:r>
              <w:rPr>
                <w:rFonts w:hint="eastAsia" w:ascii="宋体" w:hAnsi="宋体" w:cs="宋体"/>
                <w:kern w:val="0"/>
                <w:sz w:val="20"/>
                <w:szCs w:val="20"/>
              </w:rPr>
              <w:br w:type="textWrapping"/>
            </w:r>
            <w:r>
              <w:rPr>
                <w:rFonts w:hint="eastAsia" w:ascii="宋体" w:hAnsi="宋体" w:cs="宋体"/>
                <w:kern w:val="0"/>
                <w:sz w:val="20"/>
                <w:szCs w:val="20"/>
              </w:rPr>
              <w:t>3、支持设置各病区终端设备所属科室或设备所属病区；</w:t>
            </w:r>
            <w:r>
              <w:rPr>
                <w:rFonts w:hint="eastAsia" w:ascii="宋体" w:hAnsi="宋体" w:cs="宋体"/>
                <w:kern w:val="0"/>
                <w:sz w:val="20"/>
                <w:szCs w:val="20"/>
              </w:rPr>
              <w:br w:type="textWrapping"/>
            </w:r>
            <w:r>
              <w:rPr>
                <w:rFonts w:hint="eastAsia" w:ascii="宋体" w:hAnsi="宋体" w:cs="宋体"/>
                <w:kern w:val="0"/>
                <w:sz w:val="20"/>
                <w:szCs w:val="20"/>
              </w:rPr>
              <w:t>4、支持设置医生或护士访问权限，支持对指定的医生/护士账号信息进行修改、激活账号、禁用账号、重置密码；</w:t>
            </w:r>
            <w:r>
              <w:rPr>
                <w:rFonts w:hint="eastAsia" w:ascii="宋体" w:hAnsi="宋体" w:cs="宋体"/>
                <w:kern w:val="0"/>
                <w:sz w:val="20"/>
                <w:szCs w:val="20"/>
              </w:rPr>
              <w:br w:type="textWrapping"/>
            </w:r>
            <w:r>
              <w:rPr>
                <w:rFonts w:hint="eastAsia" w:ascii="宋体" w:hAnsi="宋体" w:cs="宋体"/>
                <w:kern w:val="0"/>
                <w:sz w:val="20"/>
                <w:szCs w:val="20"/>
              </w:rPr>
              <w:t>5、支持设置各诊区报到机签到后提醒的内容，可全院一键设置也可分诊区逐一设置；</w:t>
            </w:r>
            <w:r>
              <w:rPr>
                <w:rFonts w:hint="eastAsia" w:ascii="宋体" w:hAnsi="宋体" w:cs="宋体"/>
                <w:kern w:val="0"/>
                <w:sz w:val="20"/>
                <w:szCs w:val="20"/>
              </w:rPr>
              <w:br w:type="textWrapping"/>
            </w:r>
            <w:r>
              <w:rPr>
                <w:rFonts w:hint="eastAsia" w:ascii="宋体" w:hAnsi="宋体" w:cs="宋体"/>
                <w:kern w:val="0"/>
                <w:sz w:val="20"/>
                <w:szCs w:val="20"/>
              </w:rPr>
              <w:t>6、支持设置各诊区报到机、一级分诊屏、二级分诊屏的温馨提示内容，支持全院一键设置也可分诊区逐一设置；</w:t>
            </w:r>
            <w:r>
              <w:rPr>
                <w:rFonts w:hint="eastAsia" w:ascii="宋体" w:hAnsi="宋体" w:cs="宋体"/>
                <w:kern w:val="0"/>
                <w:sz w:val="20"/>
                <w:szCs w:val="20"/>
              </w:rPr>
              <w:br w:type="textWrapping"/>
            </w:r>
            <w:r>
              <w:rPr>
                <w:rFonts w:hint="eastAsia" w:ascii="宋体" w:hAnsi="宋体" w:cs="宋体"/>
                <w:kern w:val="0"/>
                <w:sz w:val="20"/>
                <w:szCs w:val="20"/>
              </w:rPr>
              <w:t>7、支持新增/修改医护人员编码、姓名、年龄、性别、联系电话、医护人员类型、职务、医护人员等级、备注信息；</w:t>
            </w:r>
            <w:r>
              <w:rPr>
                <w:rFonts w:hint="eastAsia" w:ascii="宋体" w:hAnsi="宋体" w:cs="宋体"/>
                <w:kern w:val="0"/>
                <w:sz w:val="20"/>
                <w:szCs w:val="20"/>
              </w:rPr>
              <w:br w:type="textWrapping"/>
            </w:r>
            <w:r>
              <w:rPr>
                <w:rFonts w:hint="eastAsia" w:ascii="宋体" w:hAnsi="宋体" w:cs="宋体"/>
                <w:kern w:val="0"/>
                <w:sz w:val="20"/>
                <w:szCs w:val="20"/>
              </w:rPr>
              <w:t>8、支持添加HIS病区和HIS科室进行关联、可修改、批量删除、支持查看各病区关联医护人员；</w:t>
            </w:r>
            <w:r>
              <w:rPr>
                <w:rFonts w:hint="eastAsia" w:ascii="宋体" w:hAnsi="宋体" w:cs="宋体"/>
                <w:kern w:val="0"/>
                <w:sz w:val="20"/>
                <w:szCs w:val="20"/>
              </w:rPr>
              <w:br w:type="textWrapping"/>
            </w:r>
            <w:r>
              <w:rPr>
                <w:rFonts w:hint="eastAsia" w:ascii="宋体" w:hAnsi="宋体" w:cs="宋体"/>
                <w:kern w:val="0"/>
                <w:sz w:val="20"/>
                <w:szCs w:val="20"/>
              </w:rPr>
              <w:t>9、支持新增/修改HIS体检诊区编码、HIS体检诊区名称，支持查询体检中心所有小科室，支持查询所有体检套餐；</w:t>
            </w:r>
            <w:r>
              <w:rPr>
                <w:rFonts w:hint="eastAsia" w:ascii="宋体" w:hAnsi="宋体" w:cs="宋体"/>
                <w:kern w:val="0"/>
                <w:sz w:val="20"/>
                <w:szCs w:val="20"/>
              </w:rPr>
              <w:br w:type="textWrapping"/>
            </w:r>
            <w:r>
              <w:rPr>
                <w:rFonts w:hint="eastAsia" w:ascii="宋体" w:hAnsi="宋体" w:cs="宋体"/>
                <w:kern w:val="0"/>
                <w:sz w:val="20"/>
                <w:szCs w:val="20"/>
              </w:rPr>
              <w:t>10、支持设置个诊区/病区各种类型设备显示样式、背光时间配置、呼叫类型信息配置、呼叫来电显示配置、待机内容项显示名称配置、付费类型颜色配置；</w:t>
            </w:r>
            <w:r>
              <w:rPr>
                <w:rFonts w:hint="eastAsia" w:ascii="宋体" w:hAnsi="宋体" w:cs="宋体"/>
                <w:kern w:val="0"/>
                <w:sz w:val="20"/>
                <w:szCs w:val="20"/>
              </w:rPr>
              <w:br w:type="textWrapping"/>
            </w:r>
            <w:r>
              <w:rPr>
                <w:rFonts w:hint="eastAsia" w:ascii="宋体" w:hAnsi="宋体" w:cs="宋体"/>
                <w:kern w:val="0"/>
                <w:sz w:val="20"/>
                <w:szCs w:val="20"/>
              </w:rPr>
              <w:t>11、支持批量新增设备、修改设备类型、分配设备IP地址、修改设备名称；</w:t>
            </w:r>
            <w:r>
              <w:rPr>
                <w:rFonts w:hint="eastAsia" w:ascii="宋体" w:hAnsi="宋体" w:cs="宋体"/>
                <w:kern w:val="0"/>
                <w:sz w:val="20"/>
                <w:szCs w:val="20"/>
              </w:rPr>
              <w:br w:type="textWrapping"/>
            </w:r>
            <w:r>
              <w:rPr>
                <w:rFonts w:hint="eastAsia" w:ascii="宋体" w:hAnsi="宋体" w:cs="宋体"/>
                <w:kern w:val="0"/>
                <w:sz w:val="20"/>
                <w:szCs w:val="20"/>
              </w:rPr>
              <w:t>12、支持查看各病区/诊区设备名称、所属诊区、设备编号、设备类型、IP地址、网关、设备在线状态；</w:t>
            </w:r>
            <w:r>
              <w:rPr>
                <w:rFonts w:hint="eastAsia" w:ascii="宋体" w:hAnsi="宋体" w:cs="宋体"/>
                <w:kern w:val="0"/>
                <w:sz w:val="20"/>
                <w:szCs w:val="20"/>
              </w:rPr>
              <w:br w:type="textWrapping"/>
            </w:r>
            <w:r>
              <w:rPr>
                <w:rFonts w:hint="eastAsia" w:ascii="宋体" w:hAnsi="宋体" w:cs="宋体"/>
                <w:kern w:val="0"/>
                <w:sz w:val="20"/>
                <w:szCs w:val="20"/>
              </w:rPr>
              <w:t>13、支持新增设备分组，可查看各组终端设备信息；</w:t>
            </w:r>
            <w:r>
              <w:rPr>
                <w:rFonts w:hint="eastAsia" w:ascii="宋体" w:hAnsi="宋体" w:cs="宋体"/>
                <w:kern w:val="0"/>
                <w:sz w:val="20"/>
                <w:szCs w:val="20"/>
              </w:rPr>
              <w:br w:type="textWrapping"/>
            </w:r>
            <w:r>
              <w:rPr>
                <w:rFonts w:hint="eastAsia" w:ascii="宋体" w:hAnsi="宋体" w:cs="宋体"/>
                <w:kern w:val="0"/>
                <w:sz w:val="20"/>
                <w:szCs w:val="20"/>
              </w:rPr>
              <w:t>14、支持上传各种终端的升级包到管理后台；可对指定设备进行远程升级、可设置终端软件设计开始时间；</w:t>
            </w:r>
            <w:r>
              <w:rPr>
                <w:rFonts w:hint="eastAsia" w:ascii="宋体" w:hAnsi="宋体" w:cs="宋体"/>
                <w:kern w:val="0"/>
                <w:sz w:val="20"/>
                <w:szCs w:val="20"/>
              </w:rPr>
              <w:br w:type="textWrapping"/>
            </w:r>
            <w:r>
              <w:rPr>
                <w:rFonts w:hint="eastAsia" w:ascii="宋体" w:hAnsi="宋体" w:cs="宋体"/>
                <w:kern w:val="0"/>
                <w:sz w:val="20"/>
                <w:szCs w:val="20"/>
              </w:rPr>
              <w:t>15、支持对各诊室医生呼叫器激活账号、禁用账号、重置密码</w:t>
            </w:r>
            <w:r>
              <w:rPr>
                <w:rFonts w:hint="eastAsia" w:ascii="宋体" w:hAnsi="宋体" w:cs="宋体"/>
                <w:kern w:val="0"/>
                <w:sz w:val="20"/>
                <w:szCs w:val="20"/>
              </w:rPr>
              <w:br w:type="textWrapping"/>
            </w:r>
            <w:r>
              <w:rPr>
                <w:rFonts w:hint="eastAsia" w:ascii="宋体" w:hAnsi="宋体" w:cs="宋体"/>
                <w:kern w:val="0"/>
                <w:sz w:val="20"/>
                <w:szCs w:val="20"/>
              </w:rPr>
              <w:t>16、支持编辑单个诊区排队规则、可一键设置全院所有科室的排队规则；如过号患者过号后在等候队列中时间隔多少个患者穿插排列，还是顺延第几位或排列在队尾都可通过后台可视划设置；</w:t>
            </w:r>
            <w:r>
              <w:rPr>
                <w:rFonts w:hint="eastAsia" w:ascii="宋体" w:hAnsi="宋体" w:cs="宋体"/>
                <w:kern w:val="0"/>
                <w:sz w:val="20"/>
                <w:szCs w:val="20"/>
              </w:rPr>
              <w:br w:type="textWrapping"/>
            </w:r>
            <w:r>
              <w:rPr>
                <w:rFonts w:hint="eastAsia" w:ascii="宋体" w:hAnsi="宋体" w:cs="宋体"/>
                <w:kern w:val="0"/>
                <w:sz w:val="20"/>
                <w:szCs w:val="20"/>
              </w:rPr>
              <w:t>17、可以选择按预约时间排队、按挂号系统提供的排队号排队、按挂号时间排队、按报到时间排队；</w:t>
            </w:r>
            <w:r>
              <w:rPr>
                <w:rFonts w:hint="eastAsia" w:ascii="宋体" w:hAnsi="宋体" w:cs="宋体"/>
                <w:kern w:val="0"/>
                <w:sz w:val="20"/>
                <w:szCs w:val="20"/>
              </w:rPr>
              <w:br w:type="textWrapping"/>
            </w:r>
            <w:r>
              <w:rPr>
                <w:rFonts w:hint="eastAsia" w:ascii="宋体" w:hAnsi="宋体" w:cs="宋体"/>
                <w:kern w:val="0"/>
                <w:sz w:val="20"/>
                <w:szCs w:val="20"/>
              </w:rPr>
              <w:t>18、可以按全天号、上午号、下午号分别设置不同的排队规则；</w:t>
            </w:r>
            <w:r>
              <w:rPr>
                <w:rFonts w:hint="eastAsia" w:ascii="宋体" w:hAnsi="宋体" w:cs="宋体"/>
                <w:kern w:val="0"/>
                <w:sz w:val="20"/>
                <w:szCs w:val="20"/>
              </w:rPr>
              <w:br w:type="textWrapping"/>
            </w:r>
            <w:r>
              <w:rPr>
                <w:rFonts w:hint="eastAsia" w:ascii="宋体" w:hAnsi="宋体" w:cs="宋体"/>
                <w:kern w:val="0"/>
                <w:sz w:val="20"/>
                <w:szCs w:val="20"/>
              </w:rPr>
              <w:t>19、系统可对接医院微信公众号，为推送到号提醒和在线查询排队进度提供数据支持；</w:t>
            </w:r>
            <w:r>
              <w:rPr>
                <w:rFonts w:hint="eastAsia" w:ascii="宋体" w:hAnsi="宋体" w:cs="宋体"/>
                <w:kern w:val="0"/>
                <w:sz w:val="20"/>
                <w:szCs w:val="20"/>
              </w:rPr>
              <w:br w:type="textWrapping"/>
            </w:r>
            <w:r>
              <w:rPr>
                <w:rFonts w:hint="eastAsia" w:ascii="宋体" w:hAnsi="宋体" w:cs="宋体"/>
                <w:kern w:val="0"/>
                <w:sz w:val="20"/>
                <w:szCs w:val="20"/>
              </w:rPr>
              <w:t>20、智能导医分诊系统管理软件具有计算机软件著作权登记证书。（投标文件中须提供证书复印件并加盖制造商公章）</w:t>
            </w:r>
          </w:p>
        </w:tc>
        <w:tc>
          <w:tcPr>
            <w:tcW w:w="981" w:type="dxa"/>
            <w:tcBorders>
              <w:top w:val="nil"/>
              <w:left w:val="nil"/>
              <w:bottom w:val="single" w:color="auto" w:sz="4" w:space="0"/>
              <w:right w:val="single" w:color="auto" w:sz="4" w:space="0"/>
            </w:tcBorders>
            <w:shd w:val="clear" w:color="auto" w:fill="auto"/>
            <w:vAlign w:val="center"/>
          </w:tcPr>
          <w:p w14:paraId="1DF0CE74">
            <w:pPr>
              <w:widowControl/>
              <w:jc w:val="center"/>
              <w:rPr>
                <w:rFonts w:hint="eastAsia" w:ascii="宋体" w:hAnsi="宋体" w:cs="宋体"/>
                <w:kern w:val="0"/>
                <w:sz w:val="20"/>
                <w:szCs w:val="20"/>
              </w:rPr>
            </w:pPr>
            <w:r>
              <w:rPr>
                <w:rFonts w:hint="eastAsia" w:ascii="宋体" w:hAnsi="宋体" w:cs="宋体"/>
                <w:kern w:val="0"/>
                <w:sz w:val="20"/>
                <w:szCs w:val="20"/>
              </w:rPr>
              <w:t>套</w:t>
            </w:r>
          </w:p>
        </w:tc>
        <w:tc>
          <w:tcPr>
            <w:tcW w:w="1177" w:type="dxa"/>
            <w:tcBorders>
              <w:top w:val="nil"/>
              <w:left w:val="nil"/>
              <w:bottom w:val="single" w:color="auto" w:sz="4" w:space="0"/>
              <w:right w:val="single" w:color="auto" w:sz="4" w:space="0"/>
            </w:tcBorders>
            <w:shd w:val="clear" w:color="auto" w:fill="auto"/>
            <w:vAlign w:val="center"/>
          </w:tcPr>
          <w:p w14:paraId="28A4CB5A">
            <w:pPr>
              <w:widowControl/>
              <w:jc w:val="center"/>
              <w:rPr>
                <w:rFonts w:hint="eastAsia" w:ascii="宋体" w:hAnsi="宋体" w:cs="宋体"/>
                <w:kern w:val="0"/>
                <w:sz w:val="20"/>
                <w:szCs w:val="20"/>
              </w:rPr>
            </w:pPr>
            <w:r>
              <w:rPr>
                <w:rFonts w:hint="eastAsia" w:ascii="宋体" w:hAnsi="宋体" w:cs="宋体"/>
                <w:kern w:val="0"/>
                <w:sz w:val="20"/>
                <w:szCs w:val="20"/>
              </w:rPr>
              <w:t>1</w:t>
            </w:r>
          </w:p>
        </w:tc>
      </w:tr>
      <w:tr w14:paraId="250DAFD2">
        <w:tblPrEx>
          <w:tblCellMar>
            <w:top w:w="0" w:type="dxa"/>
            <w:left w:w="108" w:type="dxa"/>
            <w:bottom w:w="0" w:type="dxa"/>
            <w:right w:w="108" w:type="dxa"/>
          </w:tblCellMar>
        </w:tblPrEx>
        <w:trPr>
          <w:trHeight w:val="4160" w:hRule="atLeast"/>
        </w:trPr>
        <w:tc>
          <w:tcPr>
            <w:tcW w:w="1080" w:type="dxa"/>
            <w:tcBorders>
              <w:top w:val="nil"/>
              <w:left w:val="single" w:color="auto" w:sz="4" w:space="0"/>
              <w:bottom w:val="single" w:color="auto" w:sz="4" w:space="0"/>
              <w:right w:val="single" w:color="auto" w:sz="4" w:space="0"/>
            </w:tcBorders>
            <w:shd w:val="clear" w:color="auto" w:fill="auto"/>
            <w:vAlign w:val="center"/>
          </w:tcPr>
          <w:p w14:paraId="731ED341">
            <w:pPr>
              <w:widowControl/>
              <w:jc w:val="center"/>
              <w:rPr>
                <w:rFonts w:hint="eastAsia" w:ascii="宋体" w:hAnsi="宋体" w:cs="宋体"/>
                <w:kern w:val="0"/>
                <w:sz w:val="20"/>
                <w:szCs w:val="20"/>
              </w:rPr>
            </w:pPr>
            <w:r>
              <w:rPr>
                <w:rFonts w:hint="eastAsia" w:ascii="宋体" w:hAnsi="宋体" w:cs="宋体"/>
                <w:kern w:val="0"/>
                <w:sz w:val="20"/>
                <w:szCs w:val="20"/>
              </w:rPr>
              <w:t>4</w:t>
            </w:r>
          </w:p>
        </w:tc>
        <w:tc>
          <w:tcPr>
            <w:tcW w:w="1325" w:type="dxa"/>
            <w:tcBorders>
              <w:top w:val="nil"/>
              <w:left w:val="nil"/>
              <w:bottom w:val="single" w:color="auto" w:sz="4" w:space="0"/>
              <w:right w:val="single" w:color="auto" w:sz="4" w:space="0"/>
            </w:tcBorders>
            <w:shd w:val="clear" w:color="auto" w:fill="auto"/>
            <w:vAlign w:val="center"/>
          </w:tcPr>
          <w:p w14:paraId="5F5C1BCC">
            <w:pPr>
              <w:widowControl/>
              <w:jc w:val="left"/>
              <w:rPr>
                <w:rFonts w:hint="eastAsia" w:ascii="宋体" w:hAnsi="宋体" w:cs="宋体"/>
                <w:kern w:val="0"/>
                <w:sz w:val="20"/>
                <w:szCs w:val="20"/>
              </w:rPr>
            </w:pPr>
            <w:r>
              <w:rPr>
                <w:rFonts w:hint="eastAsia" w:ascii="宋体" w:hAnsi="宋体" w:cs="宋体"/>
                <w:kern w:val="0"/>
                <w:sz w:val="20"/>
                <w:szCs w:val="20"/>
              </w:rPr>
              <w:t>多媒体信息发布系统</w:t>
            </w:r>
          </w:p>
        </w:tc>
        <w:tc>
          <w:tcPr>
            <w:tcW w:w="3515" w:type="dxa"/>
            <w:tcBorders>
              <w:top w:val="nil"/>
              <w:left w:val="nil"/>
              <w:bottom w:val="single" w:color="auto" w:sz="4" w:space="0"/>
              <w:right w:val="single" w:color="auto" w:sz="4" w:space="0"/>
            </w:tcBorders>
            <w:shd w:val="clear" w:color="auto" w:fill="auto"/>
            <w:vAlign w:val="center"/>
          </w:tcPr>
          <w:p w14:paraId="1CF54BB3">
            <w:pPr>
              <w:widowControl/>
              <w:jc w:val="left"/>
              <w:rPr>
                <w:rFonts w:hint="eastAsia" w:ascii="宋体" w:hAnsi="宋体" w:cs="宋体"/>
                <w:kern w:val="0"/>
                <w:sz w:val="20"/>
                <w:szCs w:val="20"/>
              </w:rPr>
            </w:pPr>
            <w:r>
              <w:rPr>
                <w:rFonts w:hint="eastAsia" w:ascii="宋体" w:hAnsi="宋体" w:cs="宋体"/>
                <w:kern w:val="0"/>
                <w:sz w:val="20"/>
                <w:szCs w:val="20"/>
              </w:rPr>
              <w:t>功能：</w:t>
            </w:r>
            <w:r>
              <w:rPr>
                <w:rFonts w:hint="eastAsia" w:ascii="宋体" w:hAnsi="宋体" w:cs="宋体"/>
                <w:kern w:val="0"/>
                <w:sz w:val="20"/>
                <w:szCs w:val="20"/>
              </w:rPr>
              <w:br w:type="textWrapping"/>
            </w:r>
            <w:r>
              <w:rPr>
                <w:rFonts w:hint="eastAsia" w:ascii="宋体" w:hAnsi="宋体" w:cs="宋体"/>
                <w:kern w:val="0"/>
                <w:sz w:val="20"/>
                <w:szCs w:val="20"/>
              </w:rPr>
              <w:t>1、系统所有设备安装同一个APP软件；</w:t>
            </w:r>
            <w:r>
              <w:rPr>
                <w:rFonts w:hint="eastAsia" w:ascii="宋体" w:hAnsi="宋体" w:cs="宋体"/>
                <w:kern w:val="0"/>
                <w:sz w:val="20"/>
                <w:szCs w:val="20"/>
              </w:rPr>
              <w:br w:type="textWrapping"/>
            </w:r>
            <w:r>
              <w:rPr>
                <w:rFonts w:hint="eastAsia" w:ascii="宋体" w:hAnsi="宋体" w:cs="宋体"/>
                <w:kern w:val="0"/>
                <w:sz w:val="20"/>
                <w:szCs w:val="20"/>
              </w:rPr>
              <w:t>2、系统采用B/S架构；</w:t>
            </w:r>
            <w:r>
              <w:rPr>
                <w:rFonts w:hint="eastAsia" w:ascii="宋体" w:hAnsi="宋体" w:cs="宋体"/>
                <w:kern w:val="0"/>
                <w:sz w:val="20"/>
                <w:szCs w:val="20"/>
              </w:rPr>
              <w:br w:type="textWrapping"/>
            </w:r>
            <w:r>
              <w:rPr>
                <w:rFonts w:hint="eastAsia" w:ascii="宋体" w:hAnsi="宋体" w:cs="宋体"/>
                <w:kern w:val="0"/>
                <w:sz w:val="20"/>
                <w:szCs w:val="20"/>
              </w:rPr>
              <w:t>3、可管理后台设置多级管理权限，每个权限账号可选择不同的业务管理类型；</w:t>
            </w:r>
            <w:r>
              <w:rPr>
                <w:rFonts w:hint="eastAsia" w:ascii="宋体" w:hAnsi="宋体" w:cs="宋体"/>
                <w:kern w:val="0"/>
                <w:sz w:val="20"/>
                <w:szCs w:val="20"/>
              </w:rPr>
              <w:br w:type="textWrapping"/>
            </w:r>
            <w:r>
              <w:rPr>
                <w:rFonts w:hint="eastAsia" w:ascii="宋体" w:hAnsi="宋体" w:cs="宋体"/>
                <w:kern w:val="0"/>
                <w:sz w:val="20"/>
                <w:szCs w:val="20"/>
              </w:rPr>
              <w:t>4、可远程终端系统升级，远程截屏，远程调节声音大小，远程开关机，远程查看设备在线状态；</w:t>
            </w:r>
            <w:r>
              <w:rPr>
                <w:rFonts w:hint="eastAsia" w:ascii="宋体" w:hAnsi="宋体" w:cs="宋体"/>
                <w:kern w:val="0"/>
                <w:sz w:val="20"/>
                <w:szCs w:val="20"/>
              </w:rPr>
              <w:br w:type="textWrapping"/>
            </w:r>
            <w:r>
              <w:rPr>
                <w:rFonts w:hint="eastAsia" w:ascii="宋体" w:hAnsi="宋体" w:cs="宋体"/>
                <w:kern w:val="0"/>
                <w:sz w:val="20"/>
                <w:szCs w:val="20"/>
              </w:rPr>
              <w:t>5、所有设备可一键导入注册码授权；</w:t>
            </w:r>
            <w:r>
              <w:rPr>
                <w:rFonts w:hint="eastAsia" w:ascii="宋体" w:hAnsi="宋体" w:cs="宋体"/>
                <w:kern w:val="0"/>
                <w:sz w:val="20"/>
                <w:szCs w:val="20"/>
              </w:rPr>
              <w:br w:type="textWrapping"/>
            </w:r>
            <w:r>
              <w:rPr>
                <w:rFonts w:hint="eastAsia" w:ascii="宋体" w:hAnsi="宋体" w:cs="宋体"/>
                <w:kern w:val="0"/>
                <w:sz w:val="20"/>
                <w:szCs w:val="20"/>
              </w:rPr>
              <w:t>6、节目界面采用模块化设计，各种组件布局可以随意拖动，一个界面可以只放置一种也可放多种组件混合布局；</w:t>
            </w:r>
            <w:r>
              <w:rPr>
                <w:rFonts w:hint="eastAsia" w:ascii="宋体" w:hAnsi="宋体" w:cs="宋体"/>
                <w:kern w:val="0"/>
                <w:sz w:val="20"/>
                <w:szCs w:val="20"/>
              </w:rPr>
              <w:br w:type="textWrapping"/>
            </w:r>
            <w:r>
              <w:rPr>
                <w:rFonts w:hint="eastAsia" w:ascii="宋体" w:hAnsi="宋体" w:cs="宋体"/>
                <w:kern w:val="0"/>
                <w:sz w:val="20"/>
                <w:szCs w:val="20"/>
              </w:rPr>
              <w:t>7、节目个数不限，播放时可单独发送一个也可多个节目同时发送，节目播放先后顺序可自定义；</w:t>
            </w:r>
            <w:r>
              <w:rPr>
                <w:rFonts w:hint="eastAsia" w:ascii="宋体" w:hAnsi="宋体" w:cs="宋体"/>
                <w:kern w:val="0"/>
                <w:sz w:val="20"/>
                <w:szCs w:val="20"/>
              </w:rPr>
              <w:br w:type="textWrapping"/>
            </w:r>
            <w:r>
              <w:rPr>
                <w:rFonts w:hint="eastAsia" w:ascii="宋体" w:hAnsi="宋体" w:cs="宋体"/>
                <w:kern w:val="0"/>
                <w:sz w:val="20"/>
                <w:szCs w:val="20"/>
              </w:rPr>
              <w:t>8、具备插播、顺播、轮播功能、定时播放；</w:t>
            </w:r>
            <w:r>
              <w:rPr>
                <w:rFonts w:hint="eastAsia" w:ascii="宋体" w:hAnsi="宋体" w:cs="宋体"/>
                <w:kern w:val="0"/>
                <w:sz w:val="20"/>
                <w:szCs w:val="20"/>
              </w:rPr>
              <w:br w:type="textWrapping"/>
            </w:r>
            <w:r>
              <w:rPr>
                <w:rFonts w:hint="eastAsia" w:ascii="宋体" w:hAnsi="宋体" w:cs="宋体"/>
                <w:kern w:val="0"/>
                <w:sz w:val="20"/>
                <w:szCs w:val="20"/>
              </w:rPr>
              <w:t>9、终端系统具备播放程序本地存储功能，断网不影响界面正常播放；</w:t>
            </w:r>
            <w:r>
              <w:rPr>
                <w:rFonts w:hint="eastAsia" w:ascii="宋体" w:hAnsi="宋体" w:cs="宋体"/>
                <w:kern w:val="0"/>
                <w:sz w:val="20"/>
                <w:szCs w:val="20"/>
              </w:rPr>
              <w:br w:type="textWrapping"/>
            </w:r>
            <w:r>
              <w:rPr>
                <w:rFonts w:hint="eastAsia" w:ascii="宋体" w:hAnsi="宋体" w:cs="宋体"/>
                <w:kern w:val="0"/>
                <w:sz w:val="20"/>
                <w:szCs w:val="20"/>
              </w:rPr>
              <w:t>10、节目更新过程中，原节目界面不变正常播放，节目更新完后才自动切换成新节目内容；以前节目自动清零；</w:t>
            </w:r>
            <w:r>
              <w:rPr>
                <w:rFonts w:hint="eastAsia" w:ascii="宋体" w:hAnsi="宋体" w:cs="宋体"/>
                <w:kern w:val="0"/>
                <w:sz w:val="20"/>
                <w:szCs w:val="20"/>
              </w:rPr>
              <w:br w:type="textWrapping"/>
            </w:r>
            <w:r>
              <w:rPr>
                <w:rFonts w:hint="eastAsia" w:ascii="宋体" w:hAnsi="宋体" w:cs="宋体"/>
                <w:kern w:val="0"/>
                <w:sz w:val="20"/>
                <w:szCs w:val="20"/>
              </w:rPr>
              <w:t>11、具备定时开关机。</w:t>
            </w:r>
          </w:p>
        </w:tc>
        <w:tc>
          <w:tcPr>
            <w:tcW w:w="981" w:type="dxa"/>
            <w:tcBorders>
              <w:top w:val="nil"/>
              <w:left w:val="nil"/>
              <w:bottom w:val="single" w:color="auto" w:sz="4" w:space="0"/>
              <w:right w:val="single" w:color="auto" w:sz="4" w:space="0"/>
            </w:tcBorders>
            <w:shd w:val="clear" w:color="auto" w:fill="auto"/>
            <w:vAlign w:val="center"/>
          </w:tcPr>
          <w:p w14:paraId="3C82707B">
            <w:pPr>
              <w:widowControl/>
              <w:jc w:val="center"/>
              <w:rPr>
                <w:rFonts w:hint="eastAsia" w:ascii="宋体" w:hAnsi="宋体" w:cs="宋体"/>
                <w:kern w:val="0"/>
                <w:sz w:val="20"/>
                <w:szCs w:val="20"/>
              </w:rPr>
            </w:pPr>
            <w:r>
              <w:rPr>
                <w:rFonts w:hint="eastAsia" w:ascii="宋体" w:hAnsi="宋体" w:cs="宋体"/>
                <w:kern w:val="0"/>
                <w:sz w:val="20"/>
                <w:szCs w:val="20"/>
              </w:rPr>
              <w:t>套</w:t>
            </w:r>
          </w:p>
        </w:tc>
        <w:tc>
          <w:tcPr>
            <w:tcW w:w="1177" w:type="dxa"/>
            <w:tcBorders>
              <w:top w:val="nil"/>
              <w:left w:val="nil"/>
              <w:bottom w:val="single" w:color="auto" w:sz="4" w:space="0"/>
              <w:right w:val="single" w:color="auto" w:sz="4" w:space="0"/>
            </w:tcBorders>
            <w:shd w:val="clear" w:color="auto" w:fill="auto"/>
            <w:vAlign w:val="center"/>
          </w:tcPr>
          <w:p w14:paraId="464EC521">
            <w:pPr>
              <w:widowControl/>
              <w:jc w:val="center"/>
              <w:rPr>
                <w:rFonts w:hint="eastAsia" w:ascii="宋体" w:hAnsi="宋体" w:cs="宋体"/>
                <w:kern w:val="0"/>
                <w:sz w:val="20"/>
                <w:szCs w:val="20"/>
              </w:rPr>
            </w:pPr>
            <w:r>
              <w:rPr>
                <w:rFonts w:hint="eastAsia" w:ascii="宋体" w:hAnsi="宋体" w:cs="宋体"/>
                <w:kern w:val="0"/>
                <w:sz w:val="20"/>
                <w:szCs w:val="20"/>
              </w:rPr>
              <w:t>1</w:t>
            </w:r>
          </w:p>
        </w:tc>
      </w:tr>
      <w:tr w14:paraId="3EBBC29C">
        <w:tblPrEx>
          <w:tblCellMar>
            <w:top w:w="0" w:type="dxa"/>
            <w:left w:w="108" w:type="dxa"/>
            <w:bottom w:w="0" w:type="dxa"/>
            <w:right w:w="108" w:type="dxa"/>
          </w:tblCellMar>
        </w:tblPrEx>
        <w:trPr>
          <w:trHeight w:val="1560" w:hRule="atLeast"/>
        </w:trPr>
        <w:tc>
          <w:tcPr>
            <w:tcW w:w="1080" w:type="dxa"/>
            <w:tcBorders>
              <w:top w:val="nil"/>
              <w:left w:val="single" w:color="auto" w:sz="4" w:space="0"/>
              <w:bottom w:val="single" w:color="auto" w:sz="4" w:space="0"/>
              <w:right w:val="single" w:color="auto" w:sz="4" w:space="0"/>
            </w:tcBorders>
            <w:shd w:val="clear" w:color="auto" w:fill="auto"/>
            <w:vAlign w:val="center"/>
          </w:tcPr>
          <w:p w14:paraId="7EAD156C">
            <w:pPr>
              <w:widowControl/>
              <w:jc w:val="center"/>
              <w:rPr>
                <w:rFonts w:hint="eastAsia" w:ascii="宋体" w:hAnsi="宋体" w:cs="宋体"/>
                <w:kern w:val="0"/>
                <w:sz w:val="20"/>
                <w:szCs w:val="20"/>
              </w:rPr>
            </w:pPr>
            <w:r>
              <w:rPr>
                <w:rFonts w:hint="eastAsia" w:ascii="宋体" w:hAnsi="宋体" w:cs="宋体"/>
                <w:kern w:val="0"/>
                <w:sz w:val="20"/>
                <w:szCs w:val="20"/>
              </w:rPr>
              <w:t>5</w:t>
            </w:r>
          </w:p>
        </w:tc>
        <w:tc>
          <w:tcPr>
            <w:tcW w:w="1325" w:type="dxa"/>
            <w:tcBorders>
              <w:top w:val="nil"/>
              <w:left w:val="nil"/>
              <w:bottom w:val="single" w:color="auto" w:sz="4" w:space="0"/>
              <w:right w:val="single" w:color="auto" w:sz="4" w:space="0"/>
            </w:tcBorders>
            <w:shd w:val="clear" w:color="auto" w:fill="auto"/>
            <w:vAlign w:val="center"/>
          </w:tcPr>
          <w:p w14:paraId="3F4EA646">
            <w:pPr>
              <w:widowControl/>
              <w:jc w:val="left"/>
              <w:rPr>
                <w:rFonts w:hint="eastAsia" w:ascii="宋体" w:hAnsi="宋体" w:cs="宋体"/>
                <w:kern w:val="0"/>
                <w:sz w:val="20"/>
                <w:szCs w:val="20"/>
              </w:rPr>
            </w:pPr>
            <w:r>
              <w:rPr>
                <w:rFonts w:hint="eastAsia" w:ascii="宋体" w:hAnsi="宋体" w:cs="宋体"/>
                <w:kern w:val="0"/>
                <w:sz w:val="20"/>
                <w:szCs w:val="20"/>
              </w:rPr>
              <w:t>语音模块接口软件</w:t>
            </w:r>
          </w:p>
        </w:tc>
        <w:tc>
          <w:tcPr>
            <w:tcW w:w="3515" w:type="dxa"/>
            <w:tcBorders>
              <w:top w:val="nil"/>
              <w:left w:val="nil"/>
              <w:bottom w:val="single" w:color="auto" w:sz="4" w:space="0"/>
              <w:right w:val="single" w:color="auto" w:sz="4" w:space="0"/>
            </w:tcBorders>
            <w:shd w:val="clear" w:color="auto" w:fill="auto"/>
            <w:vAlign w:val="center"/>
          </w:tcPr>
          <w:p w14:paraId="47150CBE">
            <w:pPr>
              <w:widowControl/>
              <w:jc w:val="left"/>
              <w:rPr>
                <w:rFonts w:hint="eastAsia" w:ascii="宋体" w:hAnsi="宋体" w:cs="宋体"/>
                <w:kern w:val="0"/>
                <w:sz w:val="20"/>
                <w:szCs w:val="20"/>
              </w:rPr>
            </w:pPr>
            <w:r>
              <w:rPr>
                <w:rFonts w:hint="eastAsia" w:ascii="宋体" w:hAnsi="宋体" w:cs="宋体"/>
                <w:kern w:val="0"/>
                <w:sz w:val="20"/>
                <w:szCs w:val="20"/>
              </w:rPr>
              <w:t>功能：</w:t>
            </w:r>
            <w:r>
              <w:rPr>
                <w:rFonts w:hint="eastAsia" w:ascii="宋体" w:hAnsi="宋体" w:cs="宋体"/>
                <w:kern w:val="0"/>
                <w:sz w:val="20"/>
                <w:szCs w:val="20"/>
              </w:rPr>
              <w:br w:type="textWrapping"/>
            </w:r>
            <w:r>
              <w:rPr>
                <w:rFonts w:hint="eastAsia" w:ascii="宋体" w:hAnsi="宋体" w:cs="宋体"/>
                <w:kern w:val="0"/>
                <w:sz w:val="20"/>
                <w:szCs w:val="20"/>
              </w:rPr>
              <w:t>1、支持不同诊区播放不同的叫号语音格式</w:t>
            </w:r>
            <w:r>
              <w:rPr>
                <w:rFonts w:hint="eastAsia" w:ascii="宋体" w:hAnsi="宋体" w:cs="宋体"/>
                <w:kern w:val="0"/>
                <w:sz w:val="20"/>
                <w:szCs w:val="20"/>
              </w:rPr>
              <w:br w:type="textWrapping"/>
            </w:r>
            <w:r>
              <w:rPr>
                <w:rFonts w:hint="eastAsia" w:ascii="宋体" w:hAnsi="宋体" w:cs="宋体"/>
                <w:kern w:val="0"/>
                <w:sz w:val="20"/>
                <w:szCs w:val="20"/>
              </w:rPr>
              <w:t>2、支持一级分诊屏、二级分诊屏叫号语音播报</w:t>
            </w:r>
            <w:r>
              <w:rPr>
                <w:rFonts w:hint="eastAsia" w:ascii="宋体" w:hAnsi="宋体" w:cs="宋体"/>
                <w:kern w:val="0"/>
                <w:sz w:val="20"/>
                <w:szCs w:val="20"/>
              </w:rPr>
              <w:br w:type="textWrapping"/>
            </w:r>
            <w:r>
              <w:rPr>
                <w:rFonts w:hint="eastAsia" w:ascii="宋体" w:hAnsi="宋体" w:cs="宋体"/>
                <w:kern w:val="0"/>
                <w:sz w:val="20"/>
                <w:szCs w:val="20"/>
              </w:rPr>
              <w:t>3、支持生僻字自动识别</w:t>
            </w:r>
            <w:r>
              <w:rPr>
                <w:rFonts w:hint="eastAsia" w:ascii="宋体" w:hAnsi="宋体" w:cs="宋体"/>
                <w:kern w:val="0"/>
                <w:sz w:val="20"/>
                <w:szCs w:val="20"/>
              </w:rPr>
              <w:br w:type="textWrapping"/>
            </w:r>
            <w:r>
              <w:rPr>
                <w:rFonts w:hint="eastAsia" w:ascii="宋体" w:hAnsi="宋体" w:cs="宋体"/>
                <w:kern w:val="0"/>
                <w:sz w:val="20"/>
                <w:szCs w:val="20"/>
              </w:rPr>
              <w:t>4、支持调整语音语速语调</w:t>
            </w:r>
            <w:r>
              <w:rPr>
                <w:rFonts w:hint="eastAsia" w:ascii="宋体" w:hAnsi="宋体" w:cs="宋体"/>
                <w:kern w:val="0"/>
                <w:sz w:val="20"/>
                <w:szCs w:val="20"/>
              </w:rPr>
              <w:br w:type="textWrapping"/>
            </w:r>
            <w:r>
              <w:rPr>
                <w:rFonts w:hint="eastAsia" w:ascii="宋体" w:hAnsi="宋体" w:cs="宋体"/>
                <w:kern w:val="0"/>
                <w:sz w:val="20"/>
                <w:szCs w:val="20"/>
              </w:rPr>
              <w:t>5、男女声可选</w:t>
            </w:r>
          </w:p>
        </w:tc>
        <w:tc>
          <w:tcPr>
            <w:tcW w:w="981" w:type="dxa"/>
            <w:tcBorders>
              <w:top w:val="nil"/>
              <w:left w:val="nil"/>
              <w:bottom w:val="single" w:color="auto" w:sz="4" w:space="0"/>
              <w:right w:val="single" w:color="auto" w:sz="4" w:space="0"/>
            </w:tcBorders>
            <w:shd w:val="clear" w:color="auto" w:fill="auto"/>
            <w:vAlign w:val="center"/>
          </w:tcPr>
          <w:p w14:paraId="4C0B142F">
            <w:pPr>
              <w:widowControl/>
              <w:jc w:val="center"/>
              <w:rPr>
                <w:rFonts w:hint="eastAsia" w:ascii="宋体" w:hAnsi="宋体" w:cs="宋体"/>
                <w:kern w:val="0"/>
                <w:sz w:val="20"/>
                <w:szCs w:val="20"/>
              </w:rPr>
            </w:pPr>
            <w:r>
              <w:rPr>
                <w:rFonts w:hint="eastAsia" w:ascii="宋体" w:hAnsi="宋体" w:cs="宋体"/>
                <w:kern w:val="0"/>
                <w:sz w:val="20"/>
                <w:szCs w:val="20"/>
              </w:rPr>
              <w:t>套</w:t>
            </w:r>
          </w:p>
        </w:tc>
        <w:tc>
          <w:tcPr>
            <w:tcW w:w="1177" w:type="dxa"/>
            <w:tcBorders>
              <w:top w:val="nil"/>
              <w:left w:val="nil"/>
              <w:bottom w:val="single" w:color="auto" w:sz="4" w:space="0"/>
              <w:right w:val="single" w:color="auto" w:sz="4" w:space="0"/>
            </w:tcBorders>
            <w:shd w:val="clear" w:color="auto" w:fill="auto"/>
            <w:vAlign w:val="center"/>
          </w:tcPr>
          <w:p w14:paraId="3DB89E82">
            <w:pPr>
              <w:widowControl/>
              <w:jc w:val="center"/>
              <w:rPr>
                <w:rFonts w:hint="eastAsia" w:ascii="宋体" w:hAnsi="宋体" w:cs="宋体"/>
                <w:kern w:val="0"/>
                <w:sz w:val="20"/>
                <w:szCs w:val="20"/>
              </w:rPr>
            </w:pPr>
            <w:r>
              <w:rPr>
                <w:rFonts w:hint="eastAsia" w:ascii="宋体" w:hAnsi="宋体" w:cs="宋体"/>
                <w:kern w:val="0"/>
                <w:sz w:val="20"/>
                <w:szCs w:val="20"/>
              </w:rPr>
              <w:t>1</w:t>
            </w:r>
          </w:p>
        </w:tc>
      </w:tr>
      <w:tr w14:paraId="57E60D70">
        <w:tblPrEx>
          <w:tblCellMar>
            <w:top w:w="0" w:type="dxa"/>
            <w:left w:w="108" w:type="dxa"/>
            <w:bottom w:w="0" w:type="dxa"/>
            <w:right w:w="108" w:type="dxa"/>
          </w:tblCellMar>
        </w:tblPrEx>
        <w:trPr>
          <w:trHeight w:val="1300" w:hRule="atLeast"/>
        </w:trPr>
        <w:tc>
          <w:tcPr>
            <w:tcW w:w="1080" w:type="dxa"/>
            <w:tcBorders>
              <w:top w:val="nil"/>
              <w:left w:val="single" w:color="auto" w:sz="4" w:space="0"/>
              <w:bottom w:val="single" w:color="auto" w:sz="4" w:space="0"/>
              <w:right w:val="single" w:color="auto" w:sz="4" w:space="0"/>
            </w:tcBorders>
            <w:shd w:val="clear" w:color="auto" w:fill="auto"/>
            <w:vAlign w:val="center"/>
          </w:tcPr>
          <w:p w14:paraId="798E77CB">
            <w:pPr>
              <w:widowControl/>
              <w:jc w:val="center"/>
              <w:rPr>
                <w:rFonts w:hint="eastAsia" w:ascii="宋体" w:hAnsi="宋体" w:cs="宋体"/>
                <w:kern w:val="0"/>
                <w:sz w:val="20"/>
                <w:szCs w:val="20"/>
              </w:rPr>
            </w:pPr>
            <w:r>
              <w:rPr>
                <w:rFonts w:hint="eastAsia" w:ascii="宋体" w:hAnsi="宋体" w:cs="宋体"/>
                <w:kern w:val="0"/>
                <w:sz w:val="20"/>
                <w:szCs w:val="20"/>
              </w:rPr>
              <w:t>6</w:t>
            </w:r>
          </w:p>
        </w:tc>
        <w:tc>
          <w:tcPr>
            <w:tcW w:w="1325" w:type="dxa"/>
            <w:tcBorders>
              <w:top w:val="nil"/>
              <w:left w:val="nil"/>
              <w:bottom w:val="single" w:color="auto" w:sz="4" w:space="0"/>
              <w:right w:val="single" w:color="auto" w:sz="4" w:space="0"/>
            </w:tcBorders>
            <w:shd w:val="clear" w:color="auto" w:fill="auto"/>
            <w:vAlign w:val="center"/>
          </w:tcPr>
          <w:p w14:paraId="3A32172D">
            <w:pPr>
              <w:widowControl/>
              <w:jc w:val="left"/>
              <w:rPr>
                <w:rFonts w:hint="eastAsia" w:ascii="宋体" w:hAnsi="宋体" w:cs="宋体"/>
                <w:kern w:val="0"/>
                <w:sz w:val="20"/>
                <w:szCs w:val="20"/>
              </w:rPr>
            </w:pPr>
            <w:r>
              <w:rPr>
                <w:rFonts w:hint="eastAsia" w:ascii="宋体" w:hAnsi="宋体" w:cs="宋体"/>
                <w:kern w:val="0"/>
                <w:sz w:val="20"/>
                <w:szCs w:val="20"/>
              </w:rPr>
              <w:t>PACS系统数据处理软件</w:t>
            </w:r>
          </w:p>
        </w:tc>
        <w:tc>
          <w:tcPr>
            <w:tcW w:w="3515" w:type="dxa"/>
            <w:tcBorders>
              <w:top w:val="nil"/>
              <w:left w:val="nil"/>
              <w:bottom w:val="single" w:color="auto" w:sz="4" w:space="0"/>
              <w:right w:val="single" w:color="auto" w:sz="4" w:space="0"/>
            </w:tcBorders>
            <w:shd w:val="clear" w:color="auto" w:fill="auto"/>
            <w:vAlign w:val="center"/>
          </w:tcPr>
          <w:p w14:paraId="4AF42442">
            <w:pPr>
              <w:widowControl/>
              <w:jc w:val="left"/>
              <w:rPr>
                <w:rFonts w:hint="eastAsia" w:ascii="宋体" w:hAnsi="宋体" w:cs="宋体"/>
                <w:kern w:val="0"/>
                <w:sz w:val="20"/>
                <w:szCs w:val="20"/>
              </w:rPr>
            </w:pPr>
            <w:r>
              <w:rPr>
                <w:rFonts w:hint="eastAsia" w:ascii="宋体" w:hAnsi="宋体" w:cs="宋体"/>
                <w:kern w:val="0"/>
                <w:sz w:val="20"/>
                <w:szCs w:val="20"/>
              </w:rPr>
              <w:t>功能：</w:t>
            </w:r>
          </w:p>
          <w:p w14:paraId="64F50FE9">
            <w:pPr>
              <w:widowControl/>
              <w:numPr>
                <w:ilvl w:val="0"/>
                <w:numId w:val="8"/>
              </w:numPr>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获取检查信息，如基础信息、检查状态、过程时间节点等；</w:t>
            </w:r>
          </w:p>
          <w:p w14:paraId="06B4621E">
            <w:pPr>
              <w:widowControl/>
              <w:numPr>
                <w:ilvl w:val="0"/>
                <w:numId w:val="8"/>
              </w:numPr>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获取检查报告详情信息，如检查报告状态、检查结果、危急值、报告文件等；</w:t>
            </w:r>
          </w:p>
          <w:p w14:paraId="43A4C33E">
            <w:pPr>
              <w:widowControl/>
              <w:numPr>
                <w:ilvl w:val="0"/>
                <w:numId w:val="8"/>
              </w:numPr>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获取检查预约信息，如预约科室、预约时间等；</w:t>
            </w:r>
          </w:p>
          <w:p w14:paraId="5CA33C0A">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4、获取检查排队信息等</w:t>
            </w:r>
          </w:p>
        </w:tc>
        <w:tc>
          <w:tcPr>
            <w:tcW w:w="981" w:type="dxa"/>
            <w:tcBorders>
              <w:top w:val="nil"/>
              <w:left w:val="nil"/>
              <w:bottom w:val="single" w:color="auto" w:sz="4" w:space="0"/>
              <w:right w:val="single" w:color="auto" w:sz="4" w:space="0"/>
            </w:tcBorders>
            <w:shd w:val="clear" w:color="auto" w:fill="auto"/>
            <w:vAlign w:val="center"/>
          </w:tcPr>
          <w:p w14:paraId="367F84D7">
            <w:pPr>
              <w:widowControl/>
              <w:jc w:val="center"/>
              <w:rPr>
                <w:rFonts w:hint="eastAsia" w:ascii="宋体" w:hAnsi="宋体" w:cs="宋体"/>
                <w:kern w:val="0"/>
                <w:sz w:val="20"/>
                <w:szCs w:val="20"/>
              </w:rPr>
            </w:pPr>
            <w:r>
              <w:rPr>
                <w:rFonts w:hint="eastAsia" w:ascii="宋体" w:hAnsi="宋体" w:cs="宋体"/>
                <w:kern w:val="0"/>
                <w:sz w:val="20"/>
                <w:szCs w:val="20"/>
              </w:rPr>
              <w:t>套</w:t>
            </w:r>
          </w:p>
        </w:tc>
        <w:tc>
          <w:tcPr>
            <w:tcW w:w="1177" w:type="dxa"/>
            <w:tcBorders>
              <w:top w:val="nil"/>
              <w:left w:val="nil"/>
              <w:bottom w:val="single" w:color="auto" w:sz="4" w:space="0"/>
              <w:right w:val="single" w:color="auto" w:sz="4" w:space="0"/>
            </w:tcBorders>
            <w:shd w:val="clear" w:color="auto" w:fill="auto"/>
            <w:vAlign w:val="center"/>
          </w:tcPr>
          <w:p w14:paraId="2CCFCA30">
            <w:pPr>
              <w:widowControl/>
              <w:jc w:val="center"/>
              <w:rPr>
                <w:rFonts w:hint="eastAsia" w:ascii="宋体" w:hAnsi="宋体" w:cs="宋体"/>
                <w:kern w:val="0"/>
                <w:sz w:val="20"/>
                <w:szCs w:val="20"/>
              </w:rPr>
            </w:pPr>
            <w:r>
              <w:rPr>
                <w:rFonts w:hint="eastAsia" w:ascii="宋体" w:hAnsi="宋体" w:cs="宋体"/>
                <w:kern w:val="0"/>
                <w:sz w:val="20"/>
                <w:szCs w:val="20"/>
              </w:rPr>
              <w:t>1</w:t>
            </w:r>
          </w:p>
        </w:tc>
      </w:tr>
      <w:tr w14:paraId="3ABCB70C">
        <w:tblPrEx>
          <w:tblCellMar>
            <w:top w:w="0" w:type="dxa"/>
            <w:left w:w="108" w:type="dxa"/>
            <w:bottom w:w="0" w:type="dxa"/>
            <w:right w:w="108" w:type="dxa"/>
          </w:tblCellMar>
        </w:tblPrEx>
        <w:trPr>
          <w:trHeight w:val="546" w:hRule="atLeast"/>
        </w:trPr>
        <w:tc>
          <w:tcPr>
            <w:tcW w:w="1080" w:type="dxa"/>
            <w:tcBorders>
              <w:top w:val="nil"/>
              <w:left w:val="single" w:color="auto" w:sz="4" w:space="0"/>
              <w:bottom w:val="single" w:color="auto" w:sz="4" w:space="0"/>
              <w:right w:val="single" w:color="auto" w:sz="4" w:space="0"/>
            </w:tcBorders>
            <w:shd w:val="clear" w:color="auto" w:fill="auto"/>
            <w:vAlign w:val="center"/>
          </w:tcPr>
          <w:p w14:paraId="611A7934">
            <w:pPr>
              <w:widowControl/>
              <w:jc w:val="center"/>
              <w:rPr>
                <w:rFonts w:hint="eastAsia" w:ascii="宋体" w:hAnsi="宋体" w:cs="宋体"/>
                <w:kern w:val="0"/>
                <w:sz w:val="20"/>
                <w:szCs w:val="20"/>
              </w:rPr>
            </w:pPr>
            <w:r>
              <w:rPr>
                <w:rFonts w:hint="eastAsia" w:ascii="宋体" w:hAnsi="宋体" w:cs="宋体"/>
                <w:kern w:val="0"/>
                <w:sz w:val="20"/>
                <w:szCs w:val="20"/>
              </w:rPr>
              <w:t>7</w:t>
            </w:r>
          </w:p>
        </w:tc>
        <w:tc>
          <w:tcPr>
            <w:tcW w:w="1325" w:type="dxa"/>
            <w:tcBorders>
              <w:top w:val="nil"/>
              <w:left w:val="nil"/>
              <w:bottom w:val="single" w:color="auto" w:sz="4" w:space="0"/>
              <w:right w:val="single" w:color="auto" w:sz="4" w:space="0"/>
            </w:tcBorders>
            <w:shd w:val="clear" w:color="auto" w:fill="auto"/>
            <w:vAlign w:val="center"/>
          </w:tcPr>
          <w:p w14:paraId="22AA8931">
            <w:pPr>
              <w:widowControl/>
              <w:jc w:val="left"/>
              <w:rPr>
                <w:rFonts w:hint="eastAsia" w:ascii="宋体" w:hAnsi="宋体" w:cs="宋体"/>
                <w:kern w:val="0"/>
                <w:sz w:val="20"/>
                <w:szCs w:val="20"/>
              </w:rPr>
            </w:pPr>
            <w:r>
              <w:rPr>
                <w:rFonts w:hint="eastAsia" w:ascii="宋体" w:hAnsi="宋体" w:cs="宋体"/>
                <w:kern w:val="0"/>
                <w:sz w:val="20"/>
                <w:szCs w:val="20"/>
              </w:rPr>
              <w:t>医技排队软件</w:t>
            </w:r>
          </w:p>
        </w:tc>
        <w:tc>
          <w:tcPr>
            <w:tcW w:w="3515" w:type="dxa"/>
            <w:tcBorders>
              <w:top w:val="nil"/>
              <w:left w:val="nil"/>
              <w:bottom w:val="single" w:color="auto" w:sz="4" w:space="0"/>
              <w:right w:val="single" w:color="auto" w:sz="4" w:space="0"/>
            </w:tcBorders>
            <w:shd w:val="clear" w:color="auto" w:fill="auto"/>
            <w:vAlign w:val="center"/>
          </w:tcPr>
          <w:p w14:paraId="075C7414">
            <w:pPr>
              <w:widowControl/>
              <w:jc w:val="left"/>
              <w:rPr>
                <w:rFonts w:hint="eastAsia" w:ascii="宋体" w:hAnsi="宋体" w:cs="宋体"/>
                <w:kern w:val="0"/>
                <w:sz w:val="20"/>
                <w:szCs w:val="20"/>
              </w:rPr>
            </w:pPr>
            <w:r>
              <w:rPr>
                <w:rFonts w:hint="eastAsia" w:ascii="宋体" w:hAnsi="宋体" w:cs="宋体"/>
                <w:kern w:val="0"/>
                <w:sz w:val="20"/>
                <w:szCs w:val="20"/>
              </w:rPr>
              <w:t>功能：</w:t>
            </w:r>
            <w:r>
              <w:rPr>
                <w:rFonts w:hint="eastAsia" w:ascii="宋体" w:hAnsi="宋体" w:cs="宋体"/>
                <w:kern w:val="0"/>
                <w:sz w:val="20"/>
                <w:szCs w:val="20"/>
              </w:rPr>
              <w:br w:type="textWrapping"/>
            </w:r>
            <w:r>
              <w:rPr>
                <w:rFonts w:hint="eastAsia" w:ascii="宋体" w:hAnsi="宋体" w:cs="宋体"/>
                <w:kern w:val="0"/>
                <w:sz w:val="20"/>
                <w:szCs w:val="20"/>
              </w:rPr>
              <w:t>1、与医院PACS系统对接、实现数据和PACS系统数据互通</w:t>
            </w:r>
            <w:r>
              <w:rPr>
                <w:rFonts w:hint="eastAsia" w:ascii="宋体" w:hAnsi="宋体" w:cs="宋体"/>
                <w:kern w:val="0"/>
                <w:sz w:val="20"/>
                <w:szCs w:val="20"/>
              </w:rPr>
              <w:br w:type="textWrapping"/>
            </w:r>
            <w:r>
              <w:rPr>
                <w:rFonts w:hint="eastAsia" w:ascii="宋体" w:hAnsi="宋体" w:cs="宋体"/>
                <w:kern w:val="0"/>
                <w:sz w:val="20"/>
                <w:szCs w:val="20"/>
              </w:rPr>
              <w:t>2、支持和现有PACS管理系统共有一个分诊台管理软件、检查患者在登记窗口登记后无需再登陆一套分诊台管理软件重复操作</w:t>
            </w:r>
            <w:r>
              <w:rPr>
                <w:rFonts w:hint="eastAsia" w:ascii="宋体" w:hAnsi="宋体" w:cs="宋体"/>
                <w:kern w:val="0"/>
                <w:sz w:val="20"/>
                <w:szCs w:val="20"/>
              </w:rPr>
              <w:br w:type="textWrapping"/>
            </w:r>
            <w:r>
              <w:rPr>
                <w:rFonts w:hint="eastAsia" w:ascii="宋体" w:hAnsi="宋体" w:cs="宋体"/>
                <w:kern w:val="0"/>
                <w:sz w:val="20"/>
                <w:szCs w:val="20"/>
              </w:rPr>
              <w:t>3、检查室登陆后可对检查室患者进行呼叫、一级显示屏同步显示</w:t>
            </w:r>
            <w:r>
              <w:rPr>
                <w:rFonts w:hint="eastAsia" w:ascii="宋体" w:hAnsi="宋体" w:cs="宋体"/>
                <w:kern w:val="0"/>
                <w:sz w:val="20"/>
                <w:szCs w:val="20"/>
              </w:rPr>
              <w:br w:type="textWrapping"/>
            </w:r>
            <w:r>
              <w:rPr>
                <w:rFonts w:hint="eastAsia" w:ascii="宋体" w:hAnsi="宋体" w:cs="宋体"/>
                <w:kern w:val="0"/>
                <w:sz w:val="20"/>
                <w:szCs w:val="20"/>
              </w:rPr>
              <w:t>4、一级屏可分检查室显示当前各检查时当前检查患者信息、等候患者信息、等候人数</w:t>
            </w:r>
            <w:r>
              <w:rPr>
                <w:rFonts w:hint="eastAsia" w:ascii="宋体" w:hAnsi="宋体" w:cs="宋体"/>
                <w:kern w:val="0"/>
                <w:sz w:val="20"/>
                <w:szCs w:val="20"/>
              </w:rPr>
              <w:br w:type="textWrapping"/>
            </w:r>
            <w:r>
              <w:rPr>
                <w:rFonts w:hint="eastAsia" w:ascii="宋体" w:hAnsi="宋体" w:cs="宋体"/>
                <w:kern w:val="0"/>
                <w:sz w:val="20"/>
                <w:szCs w:val="20"/>
              </w:rPr>
              <w:t>5、检查区叫号语音支持通过一级屏发声</w:t>
            </w:r>
            <w:r>
              <w:rPr>
                <w:rFonts w:hint="eastAsia" w:ascii="宋体" w:hAnsi="宋体" w:cs="宋体"/>
                <w:kern w:val="0"/>
                <w:sz w:val="20"/>
                <w:szCs w:val="20"/>
              </w:rPr>
              <w:br w:type="textWrapping"/>
            </w:r>
            <w:r>
              <w:rPr>
                <w:rFonts w:hint="eastAsia" w:ascii="宋体" w:hAnsi="宋体" w:cs="宋体"/>
                <w:kern w:val="0"/>
                <w:sz w:val="20"/>
                <w:szCs w:val="20"/>
              </w:rPr>
              <w:t>6、等候区一级屏支持定时播放温馨提示内容、提示内容可通过管理后台设置</w:t>
            </w:r>
            <w:r>
              <w:rPr>
                <w:rFonts w:hint="eastAsia" w:ascii="宋体" w:hAnsi="宋体" w:cs="宋体"/>
                <w:kern w:val="0"/>
                <w:sz w:val="20"/>
                <w:szCs w:val="20"/>
              </w:rPr>
              <w:br w:type="textWrapping"/>
            </w:r>
            <w:r>
              <w:rPr>
                <w:rFonts w:hint="eastAsia" w:ascii="宋体" w:hAnsi="宋体" w:cs="宋体"/>
                <w:kern w:val="0"/>
                <w:sz w:val="20"/>
                <w:szCs w:val="20"/>
              </w:rPr>
              <w:t>7、当不满足检查患者检查室可对当前患者挂起操作、当满足条件后可通过分诊台登记后自动激活、恢复到正常排队等候队列</w:t>
            </w:r>
            <w:r>
              <w:rPr>
                <w:rFonts w:hint="eastAsia" w:ascii="宋体" w:hAnsi="宋体" w:cs="宋体"/>
                <w:kern w:val="0"/>
                <w:sz w:val="20"/>
                <w:szCs w:val="20"/>
              </w:rPr>
              <w:br w:type="textWrapping"/>
            </w:r>
            <w:r>
              <w:rPr>
                <w:rFonts w:hint="eastAsia" w:ascii="宋体" w:hAnsi="宋体" w:cs="宋体"/>
                <w:kern w:val="0"/>
                <w:sz w:val="20"/>
                <w:szCs w:val="20"/>
              </w:rPr>
              <w:t>8、特殊检查科室如内镜、鼻镜支持多级呼叫</w:t>
            </w:r>
            <w:r>
              <w:rPr>
                <w:rFonts w:hint="eastAsia" w:ascii="宋体" w:hAnsi="宋体" w:cs="宋体"/>
                <w:kern w:val="0"/>
                <w:sz w:val="20"/>
                <w:szCs w:val="20"/>
              </w:rPr>
              <w:br w:type="textWrapping"/>
            </w:r>
            <w:r>
              <w:rPr>
                <w:rFonts w:hint="eastAsia" w:ascii="宋体" w:hAnsi="宋体" w:cs="宋体"/>
                <w:kern w:val="0"/>
                <w:sz w:val="20"/>
                <w:szCs w:val="20"/>
              </w:rPr>
              <w:t>9、可预约至精确的时间段内、时间跨度可灵活设置、最小时间跨度不大于0.25小时</w:t>
            </w:r>
            <w:r>
              <w:rPr>
                <w:rFonts w:hint="eastAsia" w:ascii="宋体" w:hAnsi="宋体" w:cs="宋体"/>
                <w:kern w:val="0"/>
                <w:sz w:val="20"/>
                <w:szCs w:val="20"/>
              </w:rPr>
              <w:br w:type="textWrapping"/>
            </w:r>
            <w:r>
              <w:rPr>
                <w:rFonts w:hint="eastAsia" w:ascii="宋体" w:hAnsi="宋体" w:cs="宋体"/>
                <w:kern w:val="0"/>
                <w:sz w:val="20"/>
                <w:szCs w:val="20"/>
              </w:rPr>
              <w:t>10、一天内单一检查项预约人数超出预警人数时、系统应有明显提示；单一检查项下的峰值可预设、也可以根据实际情况临时调整峰值</w:t>
            </w:r>
            <w:r>
              <w:rPr>
                <w:rFonts w:hint="eastAsia" w:ascii="宋体" w:hAnsi="宋体" w:cs="宋体"/>
                <w:kern w:val="0"/>
                <w:sz w:val="20"/>
                <w:szCs w:val="20"/>
              </w:rPr>
              <w:br w:type="textWrapping"/>
            </w:r>
            <w:r>
              <w:rPr>
                <w:rFonts w:hint="eastAsia" w:ascii="宋体" w:hAnsi="宋体" w:cs="宋体"/>
                <w:kern w:val="0"/>
                <w:sz w:val="20"/>
                <w:szCs w:val="20"/>
              </w:rPr>
              <w:t>11、预约完成后、患者可获得预约单、预约单上要求有患者姓名、年龄、检查项、预约日期、预约时间段、注意事项等</w:t>
            </w:r>
            <w:r>
              <w:rPr>
                <w:rFonts w:hint="eastAsia" w:ascii="宋体" w:hAnsi="宋体" w:cs="宋体"/>
                <w:kern w:val="0"/>
                <w:sz w:val="20"/>
                <w:szCs w:val="20"/>
              </w:rPr>
              <w:br w:type="textWrapping"/>
            </w:r>
            <w:r>
              <w:rPr>
                <w:rFonts w:hint="eastAsia" w:ascii="宋体" w:hAnsi="宋体" w:cs="宋体"/>
                <w:kern w:val="0"/>
                <w:sz w:val="20"/>
                <w:szCs w:val="20"/>
              </w:rPr>
              <w:t>12、住院病人、预约患者在预约时段内、可设置优先原则</w:t>
            </w:r>
            <w:r>
              <w:rPr>
                <w:rFonts w:hint="eastAsia" w:ascii="宋体" w:hAnsi="宋体" w:cs="宋体"/>
                <w:kern w:val="0"/>
                <w:sz w:val="20"/>
                <w:szCs w:val="20"/>
              </w:rPr>
              <w:br w:type="textWrapping"/>
            </w:r>
            <w:r>
              <w:rPr>
                <w:rFonts w:hint="eastAsia" w:ascii="宋体" w:hAnsi="宋体" w:cs="宋体"/>
                <w:kern w:val="0"/>
                <w:sz w:val="20"/>
                <w:szCs w:val="20"/>
              </w:rPr>
              <w:t>13、门诊医生/住院部医生可跟患者预约医技检查或取消预约、可对预约信息进行修改</w:t>
            </w:r>
            <w:r>
              <w:rPr>
                <w:rFonts w:hint="eastAsia" w:ascii="宋体" w:hAnsi="宋体" w:cs="宋体"/>
                <w:kern w:val="0"/>
                <w:sz w:val="20"/>
                <w:szCs w:val="20"/>
              </w:rPr>
              <w:br w:type="textWrapping"/>
            </w:r>
            <w:r>
              <w:rPr>
                <w:rFonts w:hint="eastAsia" w:ascii="宋体" w:hAnsi="宋体" w:cs="宋体"/>
                <w:kern w:val="0"/>
                <w:sz w:val="20"/>
                <w:szCs w:val="20"/>
              </w:rPr>
              <w:t>14、可查看当前预约患者的检查结果状态</w:t>
            </w:r>
            <w:r>
              <w:rPr>
                <w:rFonts w:hint="eastAsia" w:ascii="宋体" w:hAnsi="宋体" w:cs="宋体"/>
                <w:kern w:val="0"/>
                <w:sz w:val="20"/>
                <w:szCs w:val="20"/>
              </w:rPr>
              <w:br w:type="textWrapping"/>
            </w:r>
            <w:r>
              <w:rPr>
                <w:rFonts w:hint="eastAsia" w:ascii="宋体" w:hAnsi="宋体" w:cs="宋体"/>
                <w:kern w:val="0"/>
                <w:sz w:val="20"/>
                <w:szCs w:val="20"/>
              </w:rPr>
              <w:t>15、检查排队叫号系统具有计算机软件著作权登记证书。（须提供证书复印件并加盖制造商或投标公司公章）</w:t>
            </w:r>
          </w:p>
        </w:tc>
        <w:tc>
          <w:tcPr>
            <w:tcW w:w="981" w:type="dxa"/>
            <w:tcBorders>
              <w:top w:val="nil"/>
              <w:left w:val="nil"/>
              <w:bottom w:val="single" w:color="auto" w:sz="4" w:space="0"/>
              <w:right w:val="single" w:color="auto" w:sz="4" w:space="0"/>
            </w:tcBorders>
            <w:shd w:val="clear" w:color="auto" w:fill="auto"/>
            <w:vAlign w:val="center"/>
          </w:tcPr>
          <w:p w14:paraId="7AC731D8">
            <w:pPr>
              <w:widowControl/>
              <w:jc w:val="center"/>
              <w:rPr>
                <w:rFonts w:hint="eastAsia" w:ascii="宋体" w:hAnsi="宋体" w:cs="宋体"/>
                <w:kern w:val="0"/>
                <w:sz w:val="20"/>
                <w:szCs w:val="20"/>
              </w:rPr>
            </w:pPr>
            <w:r>
              <w:rPr>
                <w:rFonts w:hint="eastAsia" w:ascii="宋体" w:hAnsi="宋体" w:cs="宋体"/>
                <w:kern w:val="0"/>
                <w:sz w:val="20"/>
                <w:szCs w:val="20"/>
              </w:rPr>
              <w:t>套</w:t>
            </w:r>
          </w:p>
        </w:tc>
        <w:tc>
          <w:tcPr>
            <w:tcW w:w="1177" w:type="dxa"/>
            <w:tcBorders>
              <w:top w:val="nil"/>
              <w:left w:val="nil"/>
              <w:bottom w:val="single" w:color="auto" w:sz="4" w:space="0"/>
              <w:right w:val="single" w:color="auto" w:sz="4" w:space="0"/>
            </w:tcBorders>
            <w:shd w:val="clear" w:color="auto" w:fill="auto"/>
            <w:vAlign w:val="center"/>
          </w:tcPr>
          <w:p w14:paraId="3B9633EB">
            <w:pPr>
              <w:widowControl/>
              <w:jc w:val="center"/>
              <w:rPr>
                <w:rFonts w:hint="eastAsia" w:ascii="宋体" w:hAnsi="宋体" w:cs="宋体"/>
                <w:kern w:val="0"/>
                <w:sz w:val="20"/>
                <w:szCs w:val="20"/>
              </w:rPr>
            </w:pPr>
            <w:r>
              <w:rPr>
                <w:rFonts w:hint="eastAsia" w:ascii="宋体" w:hAnsi="宋体" w:cs="宋体"/>
                <w:kern w:val="0"/>
                <w:sz w:val="20"/>
                <w:szCs w:val="20"/>
              </w:rPr>
              <w:t>1</w:t>
            </w:r>
          </w:p>
        </w:tc>
      </w:tr>
      <w:tr w14:paraId="3E547D9B">
        <w:tblPrEx>
          <w:tblCellMar>
            <w:top w:w="0" w:type="dxa"/>
            <w:left w:w="108" w:type="dxa"/>
            <w:bottom w:w="0" w:type="dxa"/>
            <w:right w:w="108" w:type="dxa"/>
          </w:tblCellMar>
        </w:tblPrEx>
        <w:trPr>
          <w:trHeight w:val="1040" w:hRule="atLeast"/>
        </w:trPr>
        <w:tc>
          <w:tcPr>
            <w:tcW w:w="1080" w:type="dxa"/>
            <w:tcBorders>
              <w:top w:val="nil"/>
              <w:left w:val="single" w:color="auto" w:sz="4" w:space="0"/>
              <w:bottom w:val="single" w:color="auto" w:sz="4" w:space="0"/>
              <w:right w:val="single" w:color="auto" w:sz="4" w:space="0"/>
            </w:tcBorders>
            <w:shd w:val="clear" w:color="auto" w:fill="auto"/>
            <w:vAlign w:val="center"/>
          </w:tcPr>
          <w:p w14:paraId="54523339">
            <w:pPr>
              <w:widowControl/>
              <w:jc w:val="center"/>
              <w:rPr>
                <w:rFonts w:hint="eastAsia" w:ascii="宋体" w:hAnsi="宋体" w:cs="宋体"/>
                <w:kern w:val="0"/>
                <w:sz w:val="20"/>
                <w:szCs w:val="20"/>
              </w:rPr>
            </w:pPr>
            <w:r>
              <w:rPr>
                <w:rFonts w:hint="eastAsia" w:ascii="宋体" w:hAnsi="宋体" w:cs="宋体"/>
                <w:kern w:val="0"/>
                <w:sz w:val="20"/>
                <w:szCs w:val="20"/>
              </w:rPr>
              <w:t>8</w:t>
            </w:r>
          </w:p>
        </w:tc>
        <w:tc>
          <w:tcPr>
            <w:tcW w:w="1325" w:type="dxa"/>
            <w:tcBorders>
              <w:top w:val="nil"/>
              <w:left w:val="nil"/>
              <w:bottom w:val="single" w:color="auto" w:sz="4" w:space="0"/>
              <w:right w:val="single" w:color="auto" w:sz="4" w:space="0"/>
            </w:tcBorders>
            <w:shd w:val="clear" w:color="auto" w:fill="auto"/>
            <w:vAlign w:val="center"/>
          </w:tcPr>
          <w:p w14:paraId="4E565D2F">
            <w:pPr>
              <w:widowControl/>
              <w:jc w:val="left"/>
              <w:rPr>
                <w:rFonts w:hint="eastAsia" w:ascii="宋体" w:hAnsi="宋体" w:cs="宋体"/>
                <w:kern w:val="0"/>
                <w:sz w:val="20"/>
                <w:szCs w:val="20"/>
              </w:rPr>
            </w:pPr>
            <w:r>
              <w:rPr>
                <w:rFonts w:hint="eastAsia" w:ascii="宋体" w:hAnsi="宋体" w:cs="宋体"/>
                <w:kern w:val="0"/>
                <w:sz w:val="20"/>
                <w:szCs w:val="20"/>
              </w:rPr>
              <w:t>LIS系统数据处理软件</w:t>
            </w:r>
          </w:p>
        </w:tc>
        <w:tc>
          <w:tcPr>
            <w:tcW w:w="3515" w:type="dxa"/>
            <w:tcBorders>
              <w:top w:val="nil"/>
              <w:left w:val="nil"/>
              <w:bottom w:val="single" w:color="auto" w:sz="4" w:space="0"/>
              <w:right w:val="single" w:color="auto" w:sz="4" w:space="0"/>
            </w:tcBorders>
            <w:shd w:val="clear" w:color="auto" w:fill="auto"/>
            <w:vAlign w:val="center"/>
          </w:tcPr>
          <w:p w14:paraId="2B99083E">
            <w:pPr>
              <w:widowControl/>
              <w:jc w:val="left"/>
              <w:rPr>
                <w:rFonts w:hint="eastAsia" w:ascii="宋体" w:hAnsi="宋体" w:cs="宋体"/>
                <w:kern w:val="0"/>
                <w:sz w:val="20"/>
                <w:szCs w:val="20"/>
              </w:rPr>
            </w:pPr>
            <w:r>
              <w:rPr>
                <w:rFonts w:hint="eastAsia" w:ascii="宋体" w:hAnsi="宋体" w:cs="宋体"/>
                <w:kern w:val="0"/>
                <w:sz w:val="20"/>
                <w:szCs w:val="20"/>
              </w:rPr>
              <w:t>功能：</w:t>
            </w:r>
            <w:r>
              <w:rPr>
                <w:rFonts w:hint="eastAsia" w:ascii="宋体" w:hAnsi="宋体" w:cs="宋体"/>
                <w:kern w:val="0"/>
                <w:sz w:val="20"/>
                <w:szCs w:val="20"/>
              </w:rPr>
              <w:br w:type="textWrapping"/>
            </w:r>
            <w:r>
              <w:rPr>
                <w:rFonts w:hint="eastAsia" w:ascii="宋体" w:hAnsi="宋体" w:cs="宋体"/>
                <w:kern w:val="0"/>
                <w:sz w:val="20"/>
                <w:szCs w:val="20"/>
              </w:rPr>
              <w:t>1、获取检验概况信息，如基础信息、检查状态、过程时间节点等</w:t>
            </w:r>
            <w:r>
              <w:rPr>
                <w:rFonts w:hint="eastAsia" w:ascii="宋体" w:hAnsi="宋体" w:cs="宋体"/>
                <w:kern w:val="0"/>
                <w:sz w:val="20"/>
                <w:szCs w:val="20"/>
              </w:rPr>
              <w:br w:type="textWrapping"/>
            </w:r>
            <w:r>
              <w:rPr>
                <w:rFonts w:hint="eastAsia" w:ascii="宋体" w:hAnsi="宋体" w:cs="宋体"/>
                <w:kern w:val="0"/>
                <w:sz w:val="20"/>
                <w:szCs w:val="20"/>
              </w:rPr>
              <w:t>2、获取检验详情信息，如各项检验数据、参考范围、检验结果等</w:t>
            </w:r>
            <w:r>
              <w:rPr>
                <w:rFonts w:hint="eastAsia" w:ascii="宋体" w:hAnsi="宋体" w:cs="宋体"/>
                <w:kern w:val="0"/>
                <w:sz w:val="20"/>
                <w:szCs w:val="20"/>
              </w:rPr>
              <w:br w:type="textWrapping"/>
            </w:r>
            <w:r>
              <w:rPr>
                <w:rFonts w:hint="eastAsia" w:ascii="宋体" w:hAnsi="宋体" w:cs="宋体"/>
                <w:kern w:val="0"/>
                <w:sz w:val="20"/>
                <w:szCs w:val="20"/>
              </w:rPr>
              <w:t>3、获取检验危急值信息等</w:t>
            </w:r>
          </w:p>
        </w:tc>
        <w:tc>
          <w:tcPr>
            <w:tcW w:w="981" w:type="dxa"/>
            <w:tcBorders>
              <w:top w:val="nil"/>
              <w:left w:val="nil"/>
              <w:bottom w:val="single" w:color="auto" w:sz="4" w:space="0"/>
              <w:right w:val="single" w:color="auto" w:sz="4" w:space="0"/>
            </w:tcBorders>
            <w:shd w:val="clear" w:color="auto" w:fill="auto"/>
            <w:vAlign w:val="center"/>
          </w:tcPr>
          <w:p w14:paraId="0DD3A024">
            <w:pPr>
              <w:widowControl/>
              <w:jc w:val="center"/>
              <w:rPr>
                <w:rFonts w:hint="eastAsia" w:ascii="宋体" w:hAnsi="宋体" w:cs="宋体"/>
                <w:kern w:val="0"/>
                <w:sz w:val="20"/>
                <w:szCs w:val="20"/>
              </w:rPr>
            </w:pPr>
            <w:r>
              <w:rPr>
                <w:rFonts w:hint="eastAsia" w:ascii="宋体" w:hAnsi="宋体" w:cs="宋体"/>
                <w:kern w:val="0"/>
                <w:sz w:val="20"/>
                <w:szCs w:val="20"/>
              </w:rPr>
              <w:t>套</w:t>
            </w:r>
          </w:p>
        </w:tc>
        <w:tc>
          <w:tcPr>
            <w:tcW w:w="1177" w:type="dxa"/>
            <w:tcBorders>
              <w:top w:val="nil"/>
              <w:left w:val="nil"/>
              <w:bottom w:val="single" w:color="auto" w:sz="4" w:space="0"/>
              <w:right w:val="single" w:color="auto" w:sz="4" w:space="0"/>
            </w:tcBorders>
            <w:shd w:val="clear" w:color="auto" w:fill="auto"/>
            <w:vAlign w:val="center"/>
          </w:tcPr>
          <w:p w14:paraId="23FDB60F">
            <w:pPr>
              <w:widowControl/>
              <w:jc w:val="center"/>
              <w:rPr>
                <w:rFonts w:hint="eastAsia" w:ascii="宋体" w:hAnsi="宋体" w:cs="宋体"/>
                <w:kern w:val="0"/>
                <w:sz w:val="20"/>
                <w:szCs w:val="20"/>
              </w:rPr>
            </w:pPr>
            <w:r>
              <w:rPr>
                <w:rFonts w:hint="eastAsia" w:ascii="宋体" w:hAnsi="宋体" w:cs="宋体"/>
                <w:kern w:val="0"/>
                <w:sz w:val="20"/>
                <w:szCs w:val="20"/>
              </w:rPr>
              <w:t>1</w:t>
            </w:r>
          </w:p>
        </w:tc>
      </w:tr>
      <w:tr w14:paraId="71C89CD6">
        <w:tblPrEx>
          <w:tblCellMar>
            <w:top w:w="0" w:type="dxa"/>
            <w:left w:w="108" w:type="dxa"/>
            <w:bottom w:w="0" w:type="dxa"/>
            <w:right w:w="108" w:type="dxa"/>
          </w:tblCellMar>
        </w:tblPrEx>
        <w:trPr>
          <w:trHeight w:val="3900" w:hRule="atLeast"/>
        </w:trPr>
        <w:tc>
          <w:tcPr>
            <w:tcW w:w="1080" w:type="dxa"/>
            <w:tcBorders>
              <w:top w:val="nil"/>
              <w:left w:val="single" w:color="auto" w:sz="4" w:space="0"/>
              <w:bottom w:val="single" w:color="auto" w:sz="4" w:space="0"/>
              <w:right w:val="single" w:color="auto" w:sz="4" w:space="0"/>
            </w:tcBorders>
            <w:shd w:val="clear" w:color="auto" w:fill="auto"/>
            <w:vAlign w:val="center"/>
          </w:tcPr>
          <w:p w14:paraId="49C70E85">
            <w:pPr>
              <w:widowControl/>
              <w:jc w:val="center"/>
              <w:rPr>
                <w:rFonts w:hint="eastAsia" w:ascii="宋体" w:hAnsi="宋体" w:cs="宋体"/>
                <w:kern w:val="0"/>
                <w:sz w:val="20"/>
                <w:szCs w:val="20"/>
              </w:rPr>
            </w:pPr>
            <w:r>
              <w:rPr>
                <w:rFonts w:hint="eastAsia" w:ascii="宋体" w:hAnsi="宋体" w:cs="宋体"/>
                <w:kern w:val="0"/>
                <w:sz w:val="20"/>
                <w:szCs w:val="20"/>
              </w:rPr>
              <w:t>9</w:t>
            </w:r>
          </w:p>
        </w:tc>
        <w:tc>
          <w:tcPr>
            <w:tcW w:w="1325" w:type="dxa"/>
            <w:tcBorders>
              <w:top w:val="nil"/>
              <w:left w:val="nil"/>
              <w:bottom w:val="single" w:color="auto" w:sz="4" w:space="0"/>
              <w:right w:val="single" w:color="auto" w:sz="4" w:space="0"/>
            </w:tcBorders>
            <w:shd w:val="clear" w:color="auto" w:fill="auto"/>
            <w:vAlign w:val="center"/>
          </w:tcPr>
          <w:p w14:paraId="1EC321D5">
            <w:pPr>
              <w:widowControl/>
              <w:jc w:val="left"/>
              <w:rPr>
                <w:rFonts w:hint="eastAsia" w:ascii="宋体" w:hAnsi="宋体" w:cs="宋体"/>
                <w:kern w:val="0"/>
                <w:sz w:val="20"/>
                <w:szCs w:val="20"/>
              </w:rPr>
            </w:pPr>
            <w:r>
              <w:rPr>
                <w:rFonts w:hint="eastAsia" w:ascii="宋体" w:hAnsi="宋体" w:cs="宋体"/>
                <w:kern w:val="0"/>
                <w:sz w:val="20"/>
                <w:szCs w:val="20"/>
              </w:rPr>
              <w:t>检验科排队软件</w:t>
            </w:r>
          </w:p>
        </w:tc>
        <w:tc>
          <w:tcPr>
            <w:tcW w:w="3515" w:type="dxa"/>
            <w:tcBorders>
              <w:top w:val="nil"/>
              <w:left w:val="nil"/>
              <w:bottom w:val="single" w:color="auto" w:sz="4" w:space="0"/>
              <w:right w:val="single" w:color="auto" w:sz="4" w:space="0"/>
            </w:tcBorders>
            <w:shd w:val="clear" w:color="auto" w:fill="auto"/>
            <w:vAlign w:val="center"/>
          </w:tcPr>
          <w:p w14:paraId="58D048FC">
            <w:pPr>
              <w:widowControl/>
              <w:jc w:val="left"/>
              <w:rPr>
                <w:rFonts w:hint="eastAsia" w:ascii="宋体" w:hAnsi="宋体" w:cs="宋体"/>
                <w:kern w:val="0"/>
                <w:sz w:val="20"/>
                <w:szCs w:val="20"/>
              </w:rPr>
            </w:pPr>
            <w:r>
              <w:rPr>
                <w:rFonts w:hint="eastAsia" w:ascii="宋体" w:hAnsi="宋体" w:cs="宋体"/>
                <w:kern w:val="0"/>
                <w:sz w:val="20"/>
                <w:szCs w:val="20"/>
              </w:rPr>
              <w:t>功能：</w:t>
            </w:r>
            <w:r>
              <w:rPr>
                <w:rFonts w:hint="eastAsia" w:ascii="宋体" w:hAnsi="宋体" w:cs="宋体"/>
                <w:kern w:val="0"/>
                <w:sz w:val="20"/>
                <w:szCs w:val="20"/>
              </w:rPr>
              <w:br w:type="textWrapping"/>
            </w:r>
            <w:r>
              <w:rPr>
                <w:rFonts w:hint="eastAsia" w:ascii="宋体" w:hAnsi="宋体" w:cs="宋体"/>
                <w:kern w:val="0"/>
                <w:sz w:val="20"/>
                <w:szCs w:val="20"/>
              </w:rPr>
              <w:t>1、支持通过支持多种方式报到取号、如：就诊卡、身份证、电子健康卡、电子就诊卡、电子社保卡、电子健康码、社保卡实体卡、住院号等</w:t>
            </w:r>
            <w:r>
              <w:rPr>
                <w:rFonts w:hint="eastAsia" w:ascii="宋体" w:hAnsi="宋体" w:cs="宋体"/>
                <w:kern w:val="0"/>
                <w:sz w:val="20"/>
                <w:szCs w:val="20"/>
              </w:rPr>
              <w:br w:type="textWrapping"/>
            </w:r>
            <w:r>
              <w:rPr>
                <w:rFonts w:hint="eastAsia" w:ascii="宋体" w:hAnsi="宋体" w:cs="宋体"/>
                <w:kern w:val="0"/>
                <w:sz w:val="20"/>
                <w:szCs w:val="20"/>
              </w:rPr>
              <w:t>2、支持通报到后打印排队小票或通过报到机终端软件设置报到后不打印小票</w:t>
            </w:r>
            <w:r>
              <w:rPr>
                <w:rFonts w:hint="eastAsia" w:ascii="宋体" w:hAnsi="宋体" w:cs="宋体"/>
                <w:kern w:val="0"/>
                <w:sz w:val="20"/>
                <w:szCs w:val="20"/>
              </w:rPr>
              <w:br w:type="textWrapping"/>
            </w:r>
            <w:r>
              <w:rPr>
                <w:rFonts w:hint="eastAsia" w:ascii="宋体" w:hAnsi="宋体" w:cs="宋体"/>
                <w:kern w:val="0"/>
                <w:sz w:val="20"/>
                <w:szCs w:val="20"/>
              </w:rPr>
              <w:t>3、检验科窗口显示屏支持液晶窗口屏和LED双基色显示屏</w:t>
            </w:r>
            <w:r>
              <w:rPr>
                <w:rFonts w:hint="eastAsia" w:ascii="宋体" w:hAnsi="宋体" w:cs="宋体"/>
                <w:kern w:val="0"/>
                <w:sz w:val="20"/>
                <w:szCs w:val="20"/>
              </w:rPr>
              <w:br w:type="textWrapping"/>
            </w:r>
            <w:r>
              <w:rPr>
                <w:rFonts w:hint="eastAsia" w:ascii="宋体" w:hAnsi="宋体" w:cs="宋体"/>
                <w:kern w:val="0"/>
                <w:sz w:val="20"/>
                <w:szCs w:val="20"/>
              </w:rPr>
              <w:t>4、窗口呼叫支持虚拟呼叫器和液晶呼叫器</w:t>
            </w:r>
            <w:r>
              <w:rPr>
                <w:rFonts w:hint="eastAsia" w:ascii="宋体" w:hAnsi="宋体" w:cs="宋体"/>
                <w:kern w:val="0"/>
                <w:sz w:val="20"/>
                <w:szCs w:val="20"/>
              </w:rPr>
              <w:br w:type="textWrapping"/>
            </w:r>
            <w:r>
              <w:rPr>
                <w:rFonts w:hint="eastAsia" w:ascii="宋体" w:hAnsi="宋体" w:cs="宋体"/>
                <w:kern w:val="0"/>
                <w:sz w:val="20"/>
                <w:szCs w:val="20"/>
              </w:rPr>
              <w:t>5、窗口显示屏支持通过管理后台远程设置窗口号字体颜色、窗口名称字体颜色、当前呼叫字体颜色、患者姓名是否加“*”号、温馨提示内容设置、温馨提示字体颜色设置、温馨提示展示方式、叫号时呼叫信息返回到首界面的时间</w:t>
            </w:r>
            <w:r>
              <w:rPr>
                <w:rFonts w:hint="eastAsia" w:ascii="宋体" w:hAnsi="宋体" w:cs="宋体"/>
                <w:kern w:val="0"/>
                <w:sz w:val="20"/>
                <w:szCs w:val="20"/>
              </w:rPr>
              <w:br w:type="textWrapping"/>
            </w:r>
            <w:r>
              <w:rPr>
                <w:rFonts w:hint="eastAsia" w:ascii="宋体" w:hAnsi="宋体" w:cs="宋体"/>
                <w:kern w:val="0"/>
                <w:sz w:val="20"/>
                <w:szCs w:val="20"/>
              </w:rPr>
              <w:t>6、支持通过后台对终端设备进行远程控制；如开关屏、设置定时开关时间、重启、声音大小调节、截屏、升级等操作</w:t>
            </w:r>
            <w:r>
              <w:rPr>
                <w:rFonts w:hint="eastAsia" w:ascii="宋体" w:hAnsi="宋体" w:cs="宋体"/>
                <w:kern w:val="0"/>
                <w:sz w:val="20"/>
                <w:szCs w:val="20"/>
              </w:rPr>
              <w:br w:type="textWrapping"/>
            </w:r>
            <w:r>
              <w:rPr>
                <w:rFonts w:hint="eastAsia" w:ascii="宋体" w:hAnsi="宋体" w:cs="宋体"/>
                <w:kern w:val="0"/>
                <w:sz w:val="20"/>
                <w:szCs w:val="20"/>
              </w:rPr>
              <w:t>7、支持针对特殊类型患者可在管理后台设置优先排队等级</w:t>
            </w:r>
            <w:r>
              <w:rPr>
                <w:rFonts w:hint="eastAsia" w:ascii="宋体" w:hAnsi="宋体" w:cs="宋体"/>
                <w:kern w:val="0"/>
                <w:sz w:val="20"/>
                <w:szCs w:val="20"/>
              </w:rPr>
              <w:br w:type="textWrapping"/>
            </w:r>
            <w:r>
              <w:rPr>
                <w:rFonts w:hint="eastAsia" w:ascii="宋体" w:hAnsi="宋体" w:cs="宋体"/>
                <w:kern w:val="0"/>
                <w:sz w:val="20"/>
                <w:szCs w:val="20"/>
              </w:rPr>
              <w:t>8、支持对重复过号患者进行设置不同的规则</w:t>
            </w:r>
            <w:r>
              <w:rPr>
                <w:rFonts w:hint="eastAsia" w:ascii="宋体" w:hAnsi="宋体" w:cs="宋体"/>
                <w:kern w:val="0"/>
                <w:sz w:val="20"/>
                <w:szCs w:val="20"/>
              </w:rPr>
              <w:br w:type="textWrapping"/>
            </w:r>
            <w:r>
              <w:rPr>
                <w:rFonts w:hint="eastAsia" w:ascii="宋体" w:hAnsi="宋体" w:cs="宋体"/>
                <w:kern w:val="0"/>
                <w:sz w:val="20"/>
                <w:szCs w:val="20"/>
              </w:rPr>
              <w:t>9、检验排队叫号系统具有计算机软件著作权登记证书。（须提供证书复印件并加盖制造商公章）</w:t>
            </w:r>
          </w:p>
        </w:tc>
        <w:tc>
          <w:tcPr>
            <w:tcW w:w="981" w:type="dxa"/>
            <w:tcBorders>
              <w:top w:val="nil"/>
              <w:left w:val="nil"/>
              <w:bottom w:val="single" w:color="auto" w:sz="4" w:space="0"/>
              <w:right w:val="single" w:color="auto" w:sz="4" w:space="0"/>
            </w:tcBorders>
            <w:shd w:val="clear" w:color="auto" w:fill="auto"/>
            <w:vAlign w:val="center"/>
          </w:tcPr>
          <w:p w14:paraId="35D12BF9">
            <w:pPr>
              <w:widowControl/>
              <w:jc w:val="center"/>
              <w:rPr>
                <w:rFonts w:hint="eastAsia" w:ascii="宋体" w:hAnsi="宋体" w:cs="宋体"/>
                <w:kern w:val="0"/>
                <w:sz w:val="20"/>
                <w:szCs w:val="20"/>
              </w:rPr>
            </w:pPr>
            <w:r>
              <w:rPr>
                <w:rFonts w:hint="eastAsia" w:ascii="宋体" w:hAnsi="宋体" w:cs="宋体"/>
                <w:kern w:val="0"/>
                <w:sz w:val="20"/>
                <w:szCs w:val="20"/>
              </w:rPr>
              <w:t>套</w:t>
            </w:r>
          </w:p>
        </w:tc>
        <w:tc>
          <w:tcPr>
            <w:tcW w:w="1177" w:type="dxa"/>
            <w:tcBorders>
              <w:top w:val="nil"/>
              <w:left w:val="nil"/>
              <w:bottom w:val="single" w:color="auto" w:sz="4" w:space="0"/>
              <w:right w:val="single" w:color="auto" w:sz="4" w:space="0"/>
            </w:tcBorders>
            <w:shd w:val="clear" w:color="auto" w:fill="auto"/>
            <w:vAlign w:val="center"/>
          </w:tcPr>
          <w:p w14:paraId="22041F84">
            <w:pPr>
              <w:widowControl/>
              <w:jc w:val="center"/>
              <w:rPr>
                <w:rFonts w:hint="eastAsia" w:ascii="宋体" w:hAnsi="宋体" w:cs="宋体"/>
                <w:kern w:val="0"/>
                <w:sz w:val="20"/>
                <w:szCs w:val="20"/>
              </w:rPr>
            </w:pPr>
            <w:r>
              <w:rPr>
                <w:rFonts w:hint="eastAsia" w:ascii="宋体" w:hAnsi="宋体" w:cs="宋体"/>
                <w:kern w:val="0"/>
                <w:sz w:val="20"/>
                <w:szCs w:val="20"/>
              </w:rPr>
              <w:t>1</w:t>
            </w:r>
          </w:p>
        </w:tc>
      </w:tr>
      <w:tr w14:paraId="03977167">
        <w:tblPrEx>
          <w:tblCellMar>
            <w:top w:w="0" w:type="dxa"/>
            <w:left w:w="108" w:type="dxa"/>
            <w:bottom w:w="0" w:type="dxa"/>
            <w:right w:w="108" w:type="dxa"/>
          </w:tblCellMar>
        </w:tblPrEx>
        <w:trPr>
          <w:trHeight w:val="644" w:hRule="atLeast"/>
        </w:trPr>
        <w:tc>
          <w:tcPr>
            <w:tcW w:w="1080" w:type="dxa"/>
            <w:tcBorders>
              <w:top w:val="nil"/>
              <w:left w:val="single" w:color="auto" w:sz="4" w:space="0"/>
              <w:bottom w:val="single" w:color="auto" w:sz="4" w:space="0"/>
              <w:right w:val="single" w:color="auto" w:sz="4" w:space="0"/>
            </w:tcBorders>
            <w:shd w:val="clear" w:color="auto" w:fill="auto"/>
            <w:vAlign w:val="center"/>
          </w:tcPr>
          <w:p w14:paraId="25764D10">
            <w:pPr>
              <w:widowControl/>
              <w:jc w:val="center"/>
              <w:rPr>
                <w:rFonts w:hint="eastAsia" w:ascii="宋体" w:hAnsi="宋体" w:cs="宋体"/>
                <w:kern w:val="0"/>
                <w:sz w:val="20"/>
                <w:szCs w:val="20"/>
              </w:rPr>
            </w:pPr>
            <w:r>
              <w:rPr>
                <w:rFonts w:hint="eastAsia" w:ascii="宋体" w:hAnsi="宋体" w:cs="宋体"/>
                <w:kern w:val="0"/>
                <w:sz w:val="20"/>
                <w:szCs w:val="20"/>
              </w:rPr>
              <w:t>10</w:t>
            </w:r>
          </w:p>
        </w:tc>
        <w:tc>
          <w:tcPr>
            <w:tcW w:w="1325" w:type="dxa"/>
            <w:tcBorders>
              <w:top w:val="nil"/>
              <w:left w:val="nil"/>
              <w:bottom w:val="single" w:color="auto" w:sz="4" w:space="0"/>
              <w:right w:val="single" w:color="auto" w:sz="4" w:space="0"/>
            </w:tcBorders>
            <w:shd w:val="clear" w:color="auto" w:fill="auto"/>
            <w:vAlign w:val="center"/>
          </w:tcPr>
          <w:p w14:paraId="1D8906A5">
            <w:pPr>
              <w:widowControl/>
              <w:jc w:val="left"/>
              <w:rPr>
                <w:rFonts w:hint="eastAsia" w:ascii="宋体" w:hAnsi="宋体" w:cs="宋体"/>
                <w:kern w:val="0"/>
                <w:sz w:val="20"/>
                <w:szCs w:val="20"/>
              </w:rPr>
            </w:pPr>
            <w:r>
              <w:rPr>
                <w:rFonts w:hint="eastAsia" w:ascii="宋体" w:hAnsi="宋体" w:cs="宋体"/>
                <w:kern w:val="0"/>
                <w:sz w:val="20"/>
                <w:szCs w:val="20"/>
              </w:rPr>
              <w:t>手术进度系统</w:t>
            </w:r>
          </w:p>
        </w:tc>
        <w:tc>
          <w:tcPr>
            <w:tcW w:w="3515" w:type="dxa"/>
            <w:tcBorders>
              <w:top w:val="nil"/>
              <w:left w:val="nil"/>
              <w:bottom w:val="single" w:color="auto" w:sz="4" w:space="0"/>
              <w:right w:val="single" w:color="auto" w:sz="4" w:space="0"/>
            </w:tcBorders>
            <w:shd w:val="clear" w:color="auto" w:fill="auto"/>
            <w:vAlign w:val="center"/>
          </w:tcPr>
          <w:p w14:paraId="2D1B8D61">
            <w:pPr>
              <w:widowControl/>
              <w:jc w:val="left"/>
              <w:rPr>
                <w:rFonts w:hint="eastAsia" w:ascii="宋体" w:hAnsi="宋体" w:cs="宋体"/>
                <w:kern w:val="0"/>
                <w:sz w:val="20"/>
                <w:szCs w:val="20"/>
              </w:rPr>
            </w:pPr>
            <w:r>
              <w:rPr>
                <w:rFonts w:hint="eastAsia" w:ascii="宋体" w:hAnsi="宋体" w:cs="宋体"/>
                <w:kern w:val="0"/>
                <w:sz w:val="20"/>
                <w:szCs w:val="20"/>
              </w:rPr>
              <w:t>1、支持和医院手麻系统对接</w:t>
            </w:r>
            <w:r>
              <w:rPr>
                <w:rFonts w:hint="eastAsia" w:ascii="宋体" w:hAnsi="宋体" w:cs="宋体"/>
                <w:kern w:val="0"/>
                <w:sz w:val="20"/>
                <w:szCs w:val="20"/>
              </w:rPr>
              <w:br w:type="textWrapping"/>
            </w:r>
            <w:r>
              <w:rPr>
                <w:rFonts w:hint="eastAsia" w:ascii="宋体" w:hAnsi="宋体" w:cs="宋体"/>
                <w:kern w:val="0"/>
                <w:sz w:val="20"/>
                <w:szCs w:val="20"/>
              </w:rPr>
              <w:t>2、支持安装到手术室等候区液晶一体机安卓大屏</w:t>
            </w:r>
            <w:r>
              <w:rPr>
                <w:rFonts w:hint="eastAsia" w:ascii="宋体" w:hAnsi="宋体" w:cs="宋体"/>
                <w:kern w:val="0"/>
                <w:sz w:val="20"/>
                <w:szCs w:val="20"/>
              </w:rPr>
              <w:br w:type="textWrapping"/>
            </w:r>
            <w:r>
              <w:rPr>
                <w:rFonts w:hint="eastAsia" w:ascii="宋体" w:hAnsi="宋体" w:cs="宋体"/>
                <w:kern w:val="0"/>
                <w:sz w:val="20"/>
                <w:szCs w:val="20"/>
              </w:rPr>
              <w:t>3、支持显示手术室、手术室间、患者姓名、科室、手术名称、手术医生、手术当前状态</w:t>
            </w:r>
            <w:r>
              <w:rPr>
                <w:rFonts w:hint="eastAsia" w:ascii="宋体" w:hAnsi="宋体" w:cs="宋体"/>
                <w:kern w:val="0"/>
                <w:sz w:val="20"/>
                <w:szCs w:val="20"/>
              </w:rPr>
              <w:br w:type="textWrapping"/>
            </w:r>
            <w:r>
              <w:rPr>
                <w:rFonts w:hint="eastAsia" w:ascii="宋体" w:hAnsi="宋体" w:cs="宋体"/>
                <w:kern w:val="0"/>
                <w:sz w:val="20"/>
                <w:szCs w:val="20"/>
              </w:rPr>
              <w:t>4、支持手术室过多一页显示不完，可分页切换展示，切换时间长短用户可自定义</w:t>
            </w:r>
            <w:r>
              <w:rPr>
                <w:rFonts w:hint="eastAsia" w:ascii="宋体" w:hAnsi="宋体" w:cs="宋体"/>
                <w:kern w:val="0"/>
                <w:sz w:val="20"/>
                <w:szCs w:val="20"/>
              </w:rPr>
              <w:br w:type="textWrapping"/>
            </w:r>
            <w:r>
              <w:rPr>
                <w:rFonts w:hint="eastAsia" w:ascii="宋体" w:hAnsi="宋体" w:cs="宋体"/>
                <w:kern w:val="0"/>
                <w:sz w:val="20"/>
                <w:szCs w:val="20"/>
              </w:rPr>
              <w:t>5、支持所有手术室没有人做手术室可播放宣教信息</w:t>
            </w:r>
            <w:r>
              <w:rPr>
                <w:rFonts w:hint="eastAsia" w:ascii="宋体" w:hAnsi="宋体" w:cs="宋体"/>
                <w:kern w:val="0"/>
                <w:sz w:val="20"/>
                <w:szCs w:val="20"/>
              </w:rPr>
              <w:br w:type="textWrapping"/>
            </w:r>
            <w:r>
              <w:rPr>
                <w:rFonts w:hint="eastAsia" w:ascii="宋体" w:hAnsi="宋体" w:cs="宋体"/>
                <w:kern w:val="0"/>
                <w:sz w:val="20"/>
                <w:szCs w:val="20"/>
              </w:rPr>
              <w:t>6、支持定时开关屏</w:t>
            </w:r>
            <w:r>
              <w:rPr>
                <w:rFonts w:hint="eastAsia" w:ascii="宋体" w:hAnsi="宋体" w:cs="宋体"/>
                <w:kern w:val="0"/>
                <w:sz w:val="20"/>
                <w:szCs w:val="20"/>
              </w:rPr>
              <w:br w:type="textWrapping"/>
            </w:r>
            <w:r>
              <w:rPr>
                <w:rFonts w:hint="eastAsia" w:ascii="宋体" w:hAnsi="宋体" w:cs="宋体"/>
                <w:kern w:val="0"/>
                <w:sz w:val="20"/>
                <w:szCs w:val="20"/>
              </w:rPr>
              <w:t>7、支持远程升级</w:t>
            </w:r>
          </w:p>
        </w:tc>
        <w:tc>
          <w:tcPr>
            <w:tcW w:w="981" w:type="dxa"/>
            <w:tcBorders>
              <w:top w:val="nil"/>
              <w:left w:val="nil"/>
              <w:bottom w:val="single" w:color="auto" w:sz="4" w:space="0"/>
              <w:right w:val="single" w:color="auto" w:sz="4" w:space="0"/>
            </w:tcBorders>
            <w:shd w:val="clear" w:color="auto" w:fill="auto"/>
            <w:vAlign w:val="center"/>
          </w:tcPr>
          <w:p w14:paraId="55B02F26">
            <w:pPr>
              <w:widowControl/>
              <w:jc w:val="center"/>
              <w:rPr>
                <w:rFonts w:hint="eastAsia" w:ascii="宋体" w:hAnsi="宋体" w:cs="宋体"/>
                <w:kern w:val="0"/>
                <w:sz w:val="20"/>
                <w:szCs w:val="20"/>
              </w:rPr>
            </w:pPr>
            <w:r>
              <w:rPr>
                <w:rFonts w:hint="eastAsia" w:ascii="宋体" w:hAnsi="宋体" w:cs="宋体"/>
                <w:kern w:val="0"/>
                <w:sz w:val="20"/>
                <w:szCs w:val="20"/>
              </w:rPr>
              <w:t>套</w:t>
            </w:r>
          </w:p>
        </w:tc>
        <w:tc>
          <w:tcPr>
            <w:tcW w:w="1177" w:type="dxa"/>
            <w:tcBorders>
              <w:top w:val="nil"/>
              <w:left w:val="nil"/>
              <w:bottom w:val="single" w:color="auto" w:sz="4" w:space="0"/>
              <w:right w:val="single" w:color="auto" w:sz="4" w:space="0"/>
            </w:tcBorders>
            <w:shd w:val="clear" w:color="auto" w:fill="auto"/>
            <w:vAlign w:val="center"/>
          </w:tcPr>
          <w:p w14:paraId="5C857777">
            <w:pPr>
              <w:widowControl/>
              <w:jc w:val="center"/>
              <w:rPr>
                <w:rFonts w:hint="eastAsia" w:ascii="宋体" w:hAnsi="宋体" w:cs="宋体"/>
                <w:kern w:val="0"/>
                <w:sz w:val="20"/>
                <w:szCs w:val="20"/>
              </w:rPr>
            </w:pPr>
            <w:r>
              <w:rPr>
                <w:rFonts w:hint="eastAsia" w:ascii="宋体" w:hAnsi="宋体" w:cs="宋体"/>
                <w:kern w:val="0"/>
                <w:sz w:val="20"/>
                <w:szCs w:val="20"/>
              </w:rPr>
              <w:t>1</w:t>
            </w:r>
          </w:p>
        </w:tc>
      </w:tr>
      <w:tr w14:paraId="3C12C783">
        <w:tblPrEx>
          <w:tblCellMar>
            <w:top w:w="0" w:type="dxa"/>
            <w:left w:w="108" w:type="dxa"/>
            <w:bottom w:w="0" w:type="dxa"/>
            <w:right w:w="108" w:type="dxa"/>
          </w:tblCellMar>
        </w:tblPrEx>
        <w:trPr>
          <w:trHeight w:val="280" w:hRule="atLeast"/>
        </w:trPr>
        <w:tc>
          <w:tcPr>
            <w:tcW w:w="1080" w:type="dxa"/>
            <w:tcBorders>
              <w:top w:val="nil"/>
              <w:left w:val="single" w:color="auto" w:sz="4" w:space="0"/>
              <w:bottom w:val="single" w:color="auto" w:sz="4" w:space="0"/>
              <w:right w:val="single" w:color="auto" w:sz="4" w:space="0"/>
            </w:tcBorders>
            <w:shd w:val="clear" w:color="auto" w:fill="auto"/>
            <w:vAlign w:val="center"/>
          </w:tcPr>
          <w:p w14:paraId="2E2ACFA2">
            <w:pPr>
              <w:widowControl/>
              <w:jc w:val="center"/>
              <w:rPr>
                <w:rFonts w:hint="eastAsia" w:ascii="宋体" w:hAnsi="宋体" w:cs="宋体"/>
                <w:kern w:val="0"/>
                <w:sz w:val="20"/>
                <w:szCs w:val="20"/>
              </w:rPr>
            </w:pPr>
            <w:r>
              <w:rPr>
                <w:rFonts w:hint="eastAsia" w:ascii="宋体" w:hAnsi="宋体" w:cs="宋体"/>
                <w:kern w:val="0"/>
                <w:sz w:val="20"/>
                <w:szCs w:val="20"/>
              </w:rPr>
              <w:t>11</w:t>
            </w:r>
          </w:p>
        </w:tc>
        <w:tc>
          <w:tcPr>
            <w:tcW w:w="1325" w:type="dxa"/>
            <w:tcBorders>
              <w:top w:val="nil"/>
              <w:left w:val="nil"/>
              <w:bottom w:val="single" w:color="auto" w:sz="4" w:space="0"/>
              <w:right w:val="single" w:color="auto" w:sz="4" w:space="0"/>
            </w:tcBorders>
            <w:shd w:val="clear" w:color="auto" w:fill="auto"/>
            <w:vAlign w:val="center"/>
          </w:tcPr>
          <w:p w14:paraId="2A7A1B60">
            <w:pPr>
              <w:widowControl/>
              <w:jc w:val="left"/>
              <w:rPr>
                <w:rFonts w:hint="eastAsia" w:ascii="宋体" w:hAnsi="宋体" w:cs="宋体"/>
                <w:kern w:val="0"/>
                <w:sz w:val="20"/>
                <w:szCs w:val="20"/>
              </w:rPr>
            </w:pPr>
            <w:r>
              <w:rPr>
                <w:rFonts w:hint="eastAsia" w:ascii="宋体" w:hAnsi="宋体" w:cs="宋体"/>
                <w:kern w:val="0"/>
                <w:sz w:val="20"/>
                <w:szCs w:val="20"/>
              </w:rPr>
              <w:t>安装集成调试</w:t>
            </w:r>
          </w:p>
        </w:tc>
        <w:tc>
          <w:tcPr>
            <w:tcW w:w="3515" w:type="dxa"/>
            <w:tcBorders>
              <w:top w:val="nil"/>
              <w:left w:val="nil"/>
              <w:bottom w:val="single" w:color="auto" w:sz="4" w:space="0"/>
              <w:right w:val="single" w:color="auto" w:sz="4" w:space="0"/>
            </w:tcBorders>
            <w:shd w:val="clear" w:color="auto" w:fill="auto"/>
            <w:vAlign w:val="center"/>
          </w:tcPr>
          <w:p w14:paraId="1B72F2CE">
            <w:pPr>
              <w:widowControl/>
              <w:jc w:val="left"/>
              <w:rPr>
                <w:rFonts w:hint="eastAsia" w:ascii="宋体" w:hAnsi="宋体" w:cs="宋体"/>
                <w:kern w:val="0"/>
                <w:sz w:val="20"/>
                <w:szCs w:val="20"/>
              </w:rPr>
            </w:pPr>
            <w:r>
              <w:rPr>
                <w:rFonts w:hint="eastAsia" w:ascii="宋体" w:hAnsi="宋体" w:cs="宋体"/>
                <w:kern w:val="0"/>
                <w:sz w:val="20"/>
                <w:szCs w:val="20"/>
              </w:rPr>
              <w:t>定制</w:t>
            </w:r>
          </w:p>
        </w:tc>
        <w:tc>
          <w:tcPr>
            <w:tcW w:w="981" w:type="dxa"/>
            <w:tcBorders>
              <w:top w:val="nil"/>
              <w:left w:val="nil"/>
              <w:bottom w:val="single" w:color="auto" w:sz="4" w:space="0"/>
              <w:right w:val="single" w:color="auto" w:sz="4" w:space="0"/>
            </w:tcBorders>
            <w:shd w:val="clear" w:color="auto" w:fill="auto"/>
            <w:vAlign w:val="center"/>
          </w:tcPr>
          <w:p w14:paraId="40373493">
            <w:pPr>
              <w:widowControl/>
              <w:jc w:val="center"/>
              <w:rPr>
                <w:rFonts w:hint="eastAsia" w:ascii="宋体" w:hAnsi="宋体" w:cs="宋体"/>
                <w:kern w:val="0"/>
                <w:sz w:val="20"/>
                <w:szCs w:val="20"/>
              </w:rPr>
            </w:pPr>
            <w:r>
              <w:rPr>
                <w:rFonts w:hint="eastAsia" w:ascii="宋体" w:hAnsi="宋体" w:cs="宋体"/>
                <w:kern w:val="0"/>
                <w:sz w:val="20"/>
                <w:szCs w:val="20"/>
              </w:rPr>
              <w:t>项</w:t>
            </w:r>
          </w:p>
        </w:tc>
        <w:tc>
          <w:tcPr>
            <w:tcW w:w="1177" w:type="dxa"/>
            <w:tcBorders>
              <w:top w:val="nil"/>
              <w:left w:val="nil"/>
              <w:bottom w:val="single" w:color="auto" w:sz="4" w:space="0"/>
              <w:right w:val="single" w:color="auto" w:sz="4" w:space="0"/>
            </w:tcBorders>
            <w:shd w:val="clear" w:color="auto" w:fill="auto"/>
            <w:vAlign w:val="center"/>
          </w:tcPr>
          <w:p w14:paraId="1B28678B">
            <w:pPr>
              <w:widowControl/>
              <w:jc w:val="center"/>
              <w:rPr>
                <w:rFonts w:hint="eastAsia" w:ascii="宋体" w:hAnsi="宋体" w:cs="宋体"/>
                <w:kern w:val="0"/>
                <w:sz w:val="20"/>
                <w:szCs w:val="20"/>
              </w:rPr>
            </w:pPr>
            <w:r>
              <w:rPr>
                <w:rFonts w:hint="eastAsia" w:ascii="宋体" w:hAnsi="宋体" w:cs="宋体"/>
                <w:kern w:val="0"/>
                <w:sz w:val="20"/>
                <w:szCs w:val="20"/>
              </w:rPr>
              <w:t>1</w:t>
            </w:r>
          </w:p>
        </w:tc>
      </w:tr>
      <w:tr w14:paraId="15F139A8">
        <w:tblPrEx>
          <w:tblCellMar>
            <w:top w:w="0" w:type="dxa"/>
            <w:left w:w="108" w:type="dxa"/>
            <w:bottom w:w="0" w:type="dxa"/>
            <w:right w:w="108" w:type="dxa"/>
          </w:tblCellMar>
        </w:tblPrEx>
        <w:trPr>
          <w:trHeight w:val="280" w:hRule="atLeast"/>
        </w:trPr>
        <w:tc>
          <w:tcPr>
            <w:tcW w:w="2405" w:type="dxa"/>
            <w:gridSpan w:val="2"/>
            <w:tcBorders>
              <w:top w:val="single" w:color="auto" w:sz="4" w:space="0"/>
              <w:left w:val="single" w:color="auto" w:sz="4" w:space="0"/>
              <w:bottom w:val="single" w:color="auto" w:sz="4" w:space="0"/>
              <w:right w:val="nil"/>
            </w:tcBorders>
            <w:shd w:val="clear" w:color="000000" w:fill="AEAAAA"/>
            <w:noWrap/>
            <w:vAlign w:val="center"/>
          </w:tcPr>
          <w:p w14:paraId="08A9AFBE">
            <w:pPr>
              <w:widowControl/>
              <w:jc w:val="left"/>
              <w:rPr>
                <w:rFonts w:hint="eastAsia" w:ascii="宋体" w:hAnsi="宋体" w:cs="宋体"/>
                <w:b/>
                <w:bCs/>
                <w:kern w:val="0"/>
                <w:sz w:val="20"/>
                <w:szCs w:val="20"/>
              </w:rPr>
            </w:pPr>
            <w:r>
              <w:rPr>
                <w:rFonts w:hint="eastAsia" w:ascii="宋体" w:hAnsi="宋体" w:cs="宋体"/>
                <w:b/>
                <w:bCs/>
                <w:kern w:val="0"/>
                <w:sz w:val="20"/>
                <w:szCs w:val="20"/>
              </w:rPr>
              <w:t>四.时钟系统</w:t>
            </w:r>
          </w:p>
        </w:tc>
        <w:tc>
          <w:tcPr>
            <w:tcW w:w="3515" w:type="dxa"/>
            <w:tcBorders>
              <w:top w:val="nil"/>
              <w:left w:val="nil"/>
              <w:bottom w:val="single" w:color="auto" w:sz="4" w:space="0"/>
              <w:right w:val="nil"/>
            </w:tcBorders>
            <w:shd w:val="clear" w:color="000000" w:fill="A6A6A6"/>
            <w:noWrap/>
            <w:vAlign w:val="center"/>
          </w:tcPr>
          <w:p w14:paraId="2910E176">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981" w:type="dxa"/>
            <w:tcBorders>
              <w:top w:val="nil"/>
              <w:left w:val="nil"/>
              <w:bottom w:val="single" w:color="auto" w:sz="4" w:space="0"/>
              <w:right w:val="nil"/>
            </w:tcBorders>
            <w:shd w:val="clear" w:color="000000" w:fill="AEAAAA"/>
            <w:noWrap/>
            <w:vAlign w:val="center"/>
          </w:tcPr>
          <w:p w14:paraId="27BA6BAE">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1177" w:type="dxa"/>
            <w:tcBorders>
              <w:top w:val="nil"/>
              <w:left w:val="nil"/>
              <w:bottom w:val="single" w:color="auto" w:sz="4" w:space="0"/>
              <w:right w:val="nil"/>
            </w:tcBorders>
            <w:shd w:val="clear" w:color="000000" w:fill="AEAAAA"/>
            <w:noWrap/>
            <w:vAlign w:val="center"/>
          </w:tcPr>
          <w:p w14:paraId="73BA035E">
            <w:pPr>
              <w:widowControl/>
              <w:jc w:val="center"/>
              <w:rPr>
                <w:rFonts w:hint="eastAsia" w:ascii="宋体" w:hAnsi="宋体" w:cs="宋体"/>
                <w:kern w:val="0"/>
                <w:sz w:val="20"/>
                <w:szCs w:val="20"/>
              </w:rPr>
            </w:pPr>
            <w:r>
              <w:rPr>
                <w:rFonts w:hint="eastAsia" w:ascii="宋体" w:hAnsi="宋体" w:cs="宋体"/>
                <w:kern w:val="0"/>
                <w:sz w:val="20"/>
                <w:szCs w:val="20"/>
              </w:rPr>
              <w:t>　</w:t>
            </w:r>
          </w:p>
        </w:tc>
      </w:tr>
      <w:tr w14:paraId="5F085FA8">
        <w:tblPrEx>
          <w:tblCellMar>
            <w:top w:w="0" w:type="dxa"/>
            <w:left w:w="108" w:type="dxa"/>
            <w:bottom w:w="0" w:type="dxa"/>
            <w:right w:w="108" w:type="dxa"/>
          </w:tblCellMar>
        </w:tblPrEx>
        <w:trPr>
          <w:trHeight w:val="28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1E3411B1">
            <w:pPr>
              <w:widowControl/>
              <w:jc w:val="center"/>
              <w:rPr>
                <w:rFonts w:hint="eastAsia" w:ascii="宋体" w:hAnsi="宋体" w:cs="宋体"/>
                <w:b/>
                <w:bCs/>
                <w:kern w:val="0"/>
                <w:sz w:val="20"/>
                <w:szCs w:val="20"/>
              </w:rPr>
            </w:pPr>
            <w:r>
              <w:rPr>
                <w:rFonts w:hint="eastAsia" w:ascii="宋体" w:hAnsi="宋体" w:cs="宋体"/>
                <w:b/>
                <w:bCs/>
                <w:kern w:val="0"/>
                <w:sz w:val="20"/>
                <w:szCs w:val="20"/>
              </w:rPr>
              <w:t xml:space="preserve">序号 </w:t>
            </w:r>
          </w:p>
        </w:tc>
        <w:tc>
          <w:tcPr>
            <w:tcW w:w="1325" w:type="dxa"/>
            <w:tcBorders>
              <w:top w:val="nil"/>
              <w:left w:val="nil"/>
              <w:bottom w:val="single" w:color="auto" w:sz="4" w:space="0"/>
              <w:right w:val="single" w:color="auto" w:sz="4" w:space="0"/>
            </w:tcBorders>
            <w:shd w:val="clear" w:color="auto" w:fill="auto"/>
            <w:noWrap/>
            <w:vAlign w:val="center"/>
          </w:tcPr>
          <w:p w14:paraId="4368B0D6">
            <w:pPr>
              <w:widowControl/>
              <w:jc w:val="left"/>
              <w:rPr>
                <w:rFonts w:hint="eastAsia" w:ascii="宋体" w:hAnsi="宋体" w:cs="宋体"/>
                <w:b/>
                <w:bCs/>
                <w:kern w:val="0"/>
                <w:sz w:val="20"/>
                <w:szCs w:val="20"/>
              </w:rPr>
            </w:pPr>
            <w:r>
              <w:rPr>
                <w:rFonts w:hint="eastAsia" w:ascii="宋体" w:hAnsi="宋体" w:cs="宋体"/>
                <w:b/>
                <w:bCs/>
                <w:kern w:val="0"/>
                <w:sz w:val="20"/>
                <w:szCs w:val="20"/>
              </w:rPr>
              <w:t>货物名称</w:t>
            </w:r>
          </w:p>
        </w:tc>
        <w:tc>
          <w:tcPr>
            <w:tcW w:w="3515" w:type="dxa"/>
            <w:tcBorders>
              <w:top w:val="nil"/>
              <w:left w:val="nil"/>
              <w:bottom w:val="single" w:color="auto" w:sz="4" w:space="0"/>
              <w:right w:val="single" w:color="auto" w:sz="4" w:space="0"/>
            </w:tcBorders>
            <w:shd w:val="clear" w:color="auto" w:fill="auto"/>
            <w:noWrap/>
            <w:vAlign w:val="center"/>
          </w:tcPr>
          <w:p w14:paraId="65988352">
            <w:pPr>
              <w:widowControl/>
              <w:jc w:val="left"/>
              <w:rPr>
                <w:rFonts w:hint="eastAsia" w:ascii="宋体" w:hAnsi="宋体" w:cs="宋体"/>
                <w:b/>
                <w:bCs/>
                <w:kern w:val="0"/>
                <w:sz w:val="20"/>
                <w:szCs w:val="20"/>
              </w:rPr>
            </w:pPr>
            <w:r>
              <w:rPr>
                <w:rFonts w:hint="eastAsia" w:ascii="宋体" w:hAnsi="宋体" w:cs="宋体"/>
                <w:b/>
                <w:bCs/>
                <w:kern w:val="0"/>
                <w:sz w:val="20"/>
                <w:szCs w:val="20"/>
              </w:rPr>
              <w:t>主要功能配置及技术指标要求</w:t>
            </w:r>
          </w:p>
        </w:tc>
        <w:tc>
          <w:tcPr>
            <w:tcW w:w="981" w:type="dxa"/>
            <w:tcBorders>
              <w:top w:val="nil"/>
              <w:left w:val="nil"/>
              <w:bottom w:val="single" w:color="auto" w:sz="4" w:space="0"/>
              <w:right w:val="single" w:color="auto" w:sz="4" w:space="0"/>
            </w:tcBorders>
            <w:shd w:val="clear" w:color="auto" w:fill="auto"/>
            <w:noWrap/>
            <w:vAlign w:val="center"/>
          </w:tcPr>
          <w:p w14:paraId="3AAA1291">
            <w:pPr>
              <w:widowControl/>
              <w:jc w:val="center"/>
              <w:rPr>
                <w:rFonts w:hint="eastAsia" w:ascii="宋体" w:hAnsi="宋体" w:cs="宋体"/>
                <w:b/>
                <w:bCs/>
                <w:kern w:val="0"/>
                <w:sz w:val="20"/>
                <w:szCs w:val="20"/>
              </w:rPr>
            </w:pPr>
            <w:r>
              <w:rPr>
                <w:rFonts w:hint="eastAsia" w:ascii="宋体" w:hAnsi="宋体" w:cs="宋体"/>
                <w:b/>
                <w:bCs/>
                <w:kern w:val="0"/>
                <w:sz w:val="20"/>
                <w:szCs w:val="20"/>
              </w:rPr>
              <w:t>单位</w:t>
            </w:r>
          </w:p>
        </w:tc>
        <w:tc>
          <w:tcPr>
            <w:tcW w:w="1177" w:type="dxa"/>
            <w:tcBorders>
              <w:top w:val="nil"/>
              <w:left w:val="nil"/>
              <w:bottom w:val="single" w:color="auto" w:sz="4" w:space="0"/>
              <w:right w:val="single" w:color="auto" w:sz="4" w:space="0"/>
            </w:tcBorders>
            <w:shd w:val="clear" w:color="auto" w:fill="auto"/>
            <w:noWrap/>
            <w:vAlign w:val="center"/>
          </w:tcPr>
          <w:p w14:paraId="4697A12A">
            <w:pPr>
              <w:widowControl/>
              <w:jc w:val="center"/>
              <w:rPr>
                <w:rFonts w:hint="eastAsia" w:ascii="宋体" w:hAnsi="宋体" w:cs="宋体"/>
                <w:b/>
                <w:bCs/>
                <w:kern w:val="0"/>
                <w:sz w:val="20"/>
                <w:szCs w:val="20"/>
              </w:rPr>
            </w:pPr>
            <w:r>
              <w:rPr>
                <w:rFonts w:hint="eastAsia" w:ascii="宋体" w:hAnsi="宋体" w:cs="宋体"/>
                <w:b/>
                <w:bCs/>
                <w:kern w:val="0"/>
                <w:sz w:val="20"/>
                <w:szCs w:val="20"/>
              </w:rPr>
              <w:t>数量</w:t>
            </w:r>
          </w:p>
        </w:tc>
      </w:tr>
      <w:tr w14:paraId="2F3451CD">
        <w:tblPrEx>
          <w:tblCellMar>
            <w:top w:w="0" w:type="dxa"/>
            <w:left w:w="108" w:type="dxa"/>
            <w:bottom w:w="0" w:type="dxa"/>
            <w:right w:w="108" w:type="dxa"/>
          </w:tblCellMar>
        </w:tblPrEx>
        <w:trPr>
          <w:trHeight w:val="2080" w:hRule="atLeast"/>
        </w:trPr>
        <w:tc>
          <w:tcPr>
            <w:tcW w:w="1080" w:type="dxa"/>
            <w:tcBorders>
              <w:top w:val="nil"/>
              <w:left w:val="single" w:color="auto" w:sz="4" w:space="0"/>
              <w:bottom w:val="single" w:color="auto" w:sz="4" w:space="0"/>
              <w:right w:val="single" w:color="auto" w:sz="4" w:space="0"/>
            </w:tcBorders>
            <w:shd w:val="clear" w:color="auto" w:fill="auto"/>
            <w:vAlign w:val="center"/>
          </w:tcPr>
          <w:p w14:paraId="4D18AECF">
            <w:pPr>
              <w:widowControl/>
              <w:jc w:val="center"/>
              <w:rPr>
                <w:rFonts w:hint="eastAsia" w:ascii="宋体" w:hAnsi="宋体" w:cs="宋体"/>
                <w:kern w:val="0"/>
                <w:sz w:val="20"/>
                <w:szCs w:val="20"/>
              </w:rPr>
            </w:pPr>
            <w:r>
              <w:rPr>
                <w:rFonts w:hint="eastAsia" w:ascii="宋体" w:hAnsi="宋体" w:cs="宋体"/>
                <w:kern w:val="0"/>
                <w:sz w:val="20"/>
                <w:szCs w:val="20"/>
              </w:rPr>
              <w:t>1</w:t>
            </w:r>
          </w:p>
        </w:tc>
        <w:tc>
          <w:tcPr>
            <w:tcW w:w="1325" w:type="dxa"/>
            <w:tcBorders>
              <w:top w:val="nil"/>
              <w:left w:val="nil"/>
              <w:bottom w:val="single" w:color="auto" w:sz="4" w:space="0"/>
              <w:right w:val="single" w:color="auto" w:sz="4" w:space="0"/>
            </w:tcBorders>
            <w:shd w:val="clear" w:color="auto" w:fill="auto"/>
            <w:vAlign w:val="center"/>
          </w:tcPr>
          <w:p w14:paraId="708A62F9">
            <w:pPr>
              <w:widowControl/>
              <w:jc w:val="left"/>
              <w:rPr>
                <w:rFonts w:hint="eastAsia" w:ascii="宋体" w:hAnsi="宋体" w:cs="宋体"/>
                <w:kern w:val="0"/>
                <w:sz w:val="20"/>
                <w:szCs w:val="20"/>
              </w:rPr>
            </w:pPr>
            <w:r>
              <w:rPr>
                <w:rFonts w:hint="eastAsia" w:ascii="宋体" w:hAnsi="宋体" w:cs="宋体"/>
                <w:kern w:val="0"/>
                <w:sz w:val="20"/>
                <w:szCs w:val="20"/>
              </w:rPr>
              <w:t>时钟管理系统</w:t>
            </w:r>
          </w:p>
        </w:tc>
        <w:tc>
          <w:tcPr>
            <w:tcW w:w="3515" w:type="dxa"/>
            <w:tcBorders>
              <w:top w:val="nil"/>
              <w:left w:val="nil"/>
              <w:bottom w:val="single" w:color="auto" w:sz="4" w:space="0"/>
              <w:right w:val="single" w:color="auto" w:sz="4" w:space="0"/>
            </w:tcBorders>
            <w:shd w:val="clear" w:color="auto" w:fill="auto"/>
            <w:vAlign w:val="center"/>
          </w:tcPr>
          <w:p w14:paraId="3385A878">
            <w:pPr>
              <w:widowControl/>
              <w:numPr>
                <w:ilvl w:val="0"/>
                <w:numId w:val="9"/>
              </w:numPr>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支持网络配置信息的查询，支持单网口、多网口bonding信息设置。</w:t>
            </w:r>
          </w:p>
          <w:p w14:paraId="3A0EB0BC">
            <w:pPr>
              <w:widowControl/>
              <w:numPr>
                <w:ilvl w:val="0"/>
                <w:numId w:val="9"/>
              </w:numPr>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设备上电自动完成校时，并提供支持多网段的NTP同步授时服务。</w:t>
            </w:r>
          </w:p>
          <w:p w14:paraId="025B85D7">
            <w:pPr>
              <w:widowControl/>
              <w:numPr>
                <w:ilvl w:val="0"/>
                <w:numId w:val="9"/>
              </w:numPr>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支持卫星模式选择、搜星状态查询。</w:t>
            </w:r>
          </w:p>
          <w:p w14:paraId="41361DAD">
            <w:pPr>
              <w:widowControl/>
              <w:numPr>
                <w:ilvl w:val="0"/>
                <w:numId w:val="9"/>
              </w:numPr>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支持NTP服务状态查询及配置。</w:t>
            </w:r>
          </w:p>
          <w:p w14:paraId="7217EE0A">
            <w:pPr>
              <w:widowControl/>
              <w:numPr>
                <w:ilvl w:val="0"/>
                <w:numId w:val="9"/>
              </w:numPr>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支持系统状态、设备产品信息查询。</w:t>
            </w:r>
          </w:p>
          <w:p w14:paraId="2B809AEF">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6、具备日志功能，支持用户登录、修改操作、告警等信息查询。</w:t>
            </w:r>
            <w:r>
              <w:rPr>
                <w:rFonts w:hint="eastAsia" w:ascii="宋体" w:hAnsi="宋体" w:cs="宋体"/>
                <w:kern w:val="0"/>
                <w:sz w:val="20"/>
                <w:szCs w:val="20"/>
              </w:rPr>
              <w:br w:type="page"/>
            </w:r>
            <w:r>
              <w:rPr>
                <w:rFonts w:hint="eastAsia" w:ascii="宋体" w:hAnsi="宋体" w:cs="宋体"/>
                <w:kern w:val="0"/>
                <w:sz w:val="20"/>
                <w:szCs w:val="20"/>
              </w:rPr>
              <w:t>7、支持tracelog集中监控功能，查询客户端同步信息。</w:t>
            </w:r>
          </w:p>
        </w:tc>
        <w:tc>
          <w:tcPr>
            <w:tcW w:w="981" w:type="dxa"/>
            <w:tcBorders>
              <w:top w:val="nil"/>
              <w:left w:val="nil"/>
              <w:bottom w:val="single" w:color="auto" w:sz="4" w:space="0"/>
              <w:right w:val="single" w:color="auto" w:sz="4" w:space="0"/>
            </w:tcBorders>
            <w:shd w:val="clear" w:color="auto" w:fill="auto"/>
            <w:vAlign w:val="center"/>
          </w:tcPr>
          <w:p w14:paraId="61102091">
            <w:pPr>
              <w:widowControl/>
              <w:jc w:val="center"/>
              <w:rPr>
                <w:rFonts w:hint="eastAsia" w:ascii="宋体" w:hAnsi="宋体" w:cs="宋体"/>
                <w:kern w:val="0"/>
                <w:sz w:val="20"/>
                <w:szCs w:val="20"/>
              </w:rPr>
            </w:pPr>
            <w:r>
              <w:rPr>
                <w:rFonts w:hint="eastAsia" w:ascii="宋体" w:hAnsi="宋体" w:cs="宋体"/>
                <w:kern w:val="0"/>
                <w:sz w:val="20"/>
                <w:szCs w:val="20"/>
              </w:rPr>
              <w:t>套</w:t>
            </w:r>
          </w:p>
        </w:tc>
        <w:tc>
          <w:tcPr>
            <w:tcW w:w="1177" w:type="dxa"/>
            <w:tcBorders>
              <w:top w:val="nil"/>
              <w:left w:val="nil"/>
              <w:bottom w:val="single" w:color="auto" w:sz="4" w:space="0"/>
              <w:right w:val="single" w:color="auto" w:sz="4" w:space="0"/>
            </w:tcBorders>
            <w:shd w:val="clear" w:color="auto" w:fill="auto"/>
            <w:vAlign w:val="center"/>
          </w:tcPr>
          <w:p w14:paraId="64CD0D95">
            <w:pPr>
              <w:widowControl/>
              <w:jc w:val="center"/>
              <w:rPr>
                <w:rFonts w:hint="eastAsia" w:ascii="宋体" w:hAnsi="宋体" w:cs="宋体"/>
                <w:kern w:val="0"/>
                <w:sz w:val="20"/>
                <w:szCs w:val="20"/>
              </w:rPr>
            </w:pPr>
            <w:r>
              <w:rPr>
                <w:rFonts w:hint="eastAsia" w:ascii="宋体" w:hAnsi="宋体" w:cs="宋体"/>
                <w:kern w:val="0"/>
                <w:sz w:val="20"/>
                <w:szCs w:val="20"/>
              </w:rPr>
              <w:t>1</w:t>
            </w:r>
          </w:p>
        </w:tc>
      </w:tr>
      <w:tr w14:paraId="39E9A39C">
        <w:tblPrEx>
          <w:tblCellMar>
            <w:top w:w="0" w:type="dxa"/>
            <w:left w:w="108" w:type="dxa"/>
            <w:bottom w:w="0" w:type="dxa"/>
            <w:right w:w="108" w:type="dxa"/>
          </w:tblCellMar>
        </w:tblPrEx>
        <w:trPr>
          <w:trHeight w:val="8190" w:hRule="atLeast"/>
        </w:trPr>
        <w:tc>
          <w:tcPr>
            <w:tcW w:w="1080" w:type="dxa"/>
            <w:tcBorders>
              <w:top w:val="nil"/>
              <w:left w:val="single" w:color="auto" w:sz="4" w:space="0"/>
              <w:bottom w:val="single" w:color="auto" w:sz="4" w:space="0"/>
              <w:right w:val="single" w:color="auto" w:sz="4" w:space="0"/>
            </w:tcBorders>
            <w:shd w:val="clear" w:color="auto" w:fill="auto"/>
            <w:vAlign w:val="center"/>
          </w:tcPr>
          <w:p w14:paraId="3879F7BD">
            <w:pPr>
              <w:widowControl/>
              <w:jc w:val="center"/>
              <w:rPr>
                <w:rFonts w:hint="eastAsia" w:ascii="宋体" w:hAnsi="宋体" w:cs="宋体"/>
                <w:kern w:val="0"/>
                <w:sz w:val="20"/>
                <w:szCs w:val="20"/>
              </w:rPr>
            </w:pPr>
            <w:r>
              <w:rPr>
                <w:rFonts w:hint="eastAsia" w:ascii="宋体" w:hAnsi="宋体" w:cs="宋体"/>
                <w:kern w:val="0"/>
                <w:sz w:val="20"/>
                <w:szCs w:val="20"/>
              </w:rPr>
              <w:t>2</w:t>
            </w:r>
          </w:p>
        </w:tc>
        <w:tc>
          <w:tcPr>
            <w:tcW w:w="1325" w:type="dxa"/>
            <w:tcBorders>
              <w:top w:val="nil"/>
              <w:left w:val="nil"/>
              <w:bottom w:val="single" w:color="auto" w:sz="4" w:space="0"/>
              <w:right w:val="single" w:color="auto" w:sz="4" w:space="0"/>
            </w:tcBorders>
            <w:shd w:val="clear" w:color="auto" w:fill="auto"/>
            <w:vAlign w:val="center"/>
          </w:tcPr>
          <w:p w14:paraId="4C4C2206">
            <w:pPr>
              <w:widowControl/>
              <w:jc w:val="left"/>
              <w:rPr>
                <w:rFonts w:hint="eastAsia" w:ascii="宋体" w:hAnsi="宋体" w:cs="宋体"/>
                <w:kern w:val="0"/>
                <w:sz w:val="20"/>
                <w:szCs w:val="20"/>
              </w:rPr>
            </w:pPr>
            <w:r>
              <w:rPr>
                <w:rFonts w:hint="eastAsia" w:ascii="宋体" w:hAnsi="宋体" w:cs="宋体"/>
                <w:kern w:val="0"/>
                <w:sz w:val="20"/>
                <w:szCs w:val="20"/>
              </w:rPr>
              <w:t>NTP标准时间授时服务器</w:t>
            </w:r>
          </w:p>
        </w:tc>
        <w:tc>
          <w:tcPr>
            <w:tcW w:w="3515" w:type="dxa"/>
            <w:tcBorders>
              <w:top w:val="nil"/>
              <w:left w:val="nil"/>
              <w:bottom w:val="single" w:color="auto" w:sz="4" w:space="0"/>
              <w:right w:val="single" w:color="auto" w:sz="4" w:space="0"/>
            </w:tcBorders>
            <w:shd w:val="clear" w:color="auto" w:fill="auto"/>
            <w:vAlign w:val="center"/>
          </w:tcPr>
          <w:p w14:paraId="160E57FD">
            <w:pPr>
              <w:widowControl/>
              <w:jc w:val="left"/>
              <w:rPr>
                <w:rFonts w:hint="eastAsia" w:ascii="宋体" w:hAnsi="宋体" w:cs="宋体"/>
                <w:kern w:val="0"/>
                <w:sz w:val="20"/>
                <w:szCs w:val="20"/>
              </w:rPr>
            </w:pPr>
            <w:r>
              <w:rPr>
                <w:rFonts w:hint="eastAsia" w:ascii="宋体" w:hAnsi="宋体" w:cs="宋体"/>
                <w:kern w:val="0"/>
                <w:sz w:val="20"/>
                <w:szCs w:val="20"/>
              </w:rPr>
              <w:t>技术参数：</w:t>
            </w:r>
            <w:r>
              <w:rPr>
                <w:rFonts w:hint="eastAsia" w:ascii="宋体" w:hAnsi="宋体" w:cs="宋体"/>
                <w:kern w:val="0"/>
                <w:sz w:val="20"/>
                <w:szCs w:val="20"/>
              </w:rPr>
              <w:br w:type="textWrapping"/>
            </w:r>
            <w:r>
              <w:rPr>
                <w:rFonts w:hint="eastAsia" w:ascii="宋体" w:hAnsi="宋体" w:cs="宋体"/>
                <w:kern w:val="0"/>
                <w:sz w:val="20"/>
                <w:szCs w:val="20"/>
              </w:rPr>
              <w:t>1、自动接收外部IRIG-B提供的标准时间信号</w:t>
            </w:r>
            <w:r>
              <w:rPr>
                <w:rFonts w:hint="eastAsia" w:ascii="宋体" w:hAnsi="宋体" w:cs="宋体"/>
                <w:kern w:val="0"/>
                <w:sz w:val="20"/>
                <w:szCs w:val="20"/>
              </w:rPr>
              <w:br w:type="textWrapping"/>
            </w:r>
            <w:r>
              <w:rPr>
                <w:rFonts w:hint="eastAsia" w:ascii="宋体" w:hAnsi="宋体" w:cs="宋体"/>
                <w:kern w:val="0"/>
                <w:sz w:val="20"/>
                <w:szCs w:val="20"/>
              </w:rPr>
              <w:t xml:space="preserve">2、1PPS精度：1uS </w:t>
            </w:r>
            <w:r>
              <w:rPr>
                <w:rFonts w:hint="eastAsia" w:ascii="宋体" w:hAnsi="宋体" w:cs="宋体"/>
                <w:kern w:val="0"/>
                <w:sz w:val="20"/>
                <w:szCs w:val="20"/>
              </w:rPr>
              <w:br w:type="textWrapping"/>
            </w:r>
            <w:r>
              <w:rPr>
                <w:rFonts w:hint="eastAsia" w:ascii="宋体" w:hAnsi="宋体" w:cs="宋体"/>
                <w:kern w:val="0"/>
                <w:sz w:val="20"/>
                <w:szCs w:val="20"/>
              </w:rPr>
              <w:t>3、服务器时间等级：1级</w:t>
            </w:r>
            <w:r>
              <w:rPr>
                <w:rFonts w:hint="eastAsia" w:ascii="宋体" w:hAnsi="宋体" w:cs="宋体"/>
                <w:kern w:val="0"/>
                <w:sz w:val="20"/>
                <w:szCs w:val="20"/>
              </w:rPr>
              <w:br w:type="textWrapping"/>
            </w:r>
            <w:r>
              <w:rPr>
                <w:rFonts w:hint="eastAsia" w:ascii="宋体" w:hAnsi="宋体" w:cs="宋体"/>
                <w:kern w:val="0"/>
                <w:sz w:val="20"/>
                <w:szCs w:val="20"/>
              </w:rPr>
              <w:t>4、服务器时间精度：&lt;2mS</w:t>
            </w:r>
            <w:r>
              <w:rPr>
                <w:rFonts w:hint="eastAsia" w:ascii="宋体" w:hAnsi="宋体" w:cs="宋体"/>
                <w:kern w:val="0"/>
                <w:sz w:val="20"/>
                <w:szCs w:val="20"/>
              </w:rPr>
              <w:br w:type="textWrapping"/>
            </w:r>
            <w:r>
              <w:rPr>
                <w:rFonts w:hint="eastAsia" w:ascii="宋体" w:hAnsi="宋体" w:cs="宋体"/>
                <w:kern w:val="0"/>
                <w:sz w:val="20"/>
                <w:szCs w:val="20"/>
              </w:rPr>
              <w:t>5、客户机精度：≤± 10mS（和环境有关）</w:t>
            </w:r>
            <w:r>
              <w:rPr>
                <w:rFonts w:hint="eastAsia" w:ascii="宋体" w:hAnsi="宋体" w:cs="宋体"/>
                <w:kern w:val="0"/>
                <w:sz w:val="20"/>
                <w:szCs w:val="20"/>
              </w:rPr>
              <w:br w:type="textWrapping"/>
            </w:r>
            <w:r>
              <w:rPr>
                <w:rFonts w:hint="eastAsia" w:ascii="宋体" w:hAnsi="宋体" w:cs="宋体"/>
                <w:kern w:val="0"/>
                <w:sz w:val="20"/>
                <w:szCs w:val="20"/>
              </w:rPr>
              <w:t>6、守时精度：≤±0.001S/天</w:t>
            </w:r>
            <w:r>
              <w:rPr>
                <w:rFonts w:hint="eastAsia" w:ascii="宋体" w:hAnsi="宋体" w:cs="宋体"/>
                <w:kern w:val="0"/>
                <w:sz w:val="20"/>
                <w:szCs w:val="20"/>
              </w:rPr>
              <w:br w:type="textWrapping"/>
            </w:r>
            <w:r>
              <w:rPr>
                <w:rFonts w:hint="eastAsia" w:ascii="宋体" w:hAnsi="宋体" w:cs="宋体"/>
                <w:kern w:val="0"/>
                <w:sz w:val="20"/>
                <w:szCs w:val="20"/>
              </w:rPr>
              <w:t>7、授时容量：&gt;10000次/秒</w:t>
            </w:r>
            <w:r>
              <w:rPr>
                <w:rFonts w:hint="eastAsia" w:ascii="宋体" w:hAnsi="宋体" w:cs="宋体"/>
                <w:kern w:val="0"/>
                <w:sz w:val="20"/>
                <w:szCs w:val="20"/>
              </w:rPr>
              <w:br w:type="textWrapping"/>
            </w:r>
            <w:r>
              <w:rPr>
                <w:rFonts w:hint="eastAsia" w:ascii="宋体" w:hAnsi="宋体" w:cs="宋体"/>
                <w:kern w:val="0"/>
                <w:sz w:val="20"/>
                <w:szCs w:val="20"/>
              </w:rPr>
              <w:t>8、接口方式：标准RJ45接口</w:t>
            </w:r>
            <w:r>
              <w:rPr>
                <w:rFonts w:hint="eastAsia" w:ascii="宋体" w:hAnsi="宋体" w:cs="宋体"/>
                <w:kern w:val="0"/>
                <w:sz w:val="20"/>
                <w:szCs w:val="20"/>
              </w:rPr>
              <w:br w:type="textWrapping"/>
            </w:r>
            <w:r>
              <w:rPr>
                <w:rFonts w:hint="eastAsia" w:ascii="宋体" w:hAnsi="宋体" w:cs="宋体"/>
                <w:kern w:val="0"/>
                <w:sz w:val="20"/>
                <w:szCs w:val="20"/>
              </w:rPr>
              <w:t>9、4个独立IP地址的10M/100M/1000M自适应以太网接口</w:t>
            </w:r>
            <w:r>
              <w:rPr>
                <w:rFonts w:hint="eastAsia" w:ascii="宋体" w:hAnsi="宋体" w:cs="宋体"/>
                <w:kern w:val="0"/>
                <w:sz w:val="20"/>
                <w:szCs w:val="20"/>
              </w:rPr>
              <w:br w:type="textWrapping"/>
            </w:r>
            <w:r>
              <w:rPr>
                <w:rFonts w:hint="eastAsia" w:ascii="宋体" w:hAnsi="宋体" w:cs="宋体"/>
                <w:kern w:val="0"/>
                <w:sz w:val="20"/>
                <w:szCs w:val="20"/>
              </w:rPr>
              <w:t>10、支持IPv4/IPv6协议，支持多网口bonding功能</w:t>
            </w:r>
            <w:r>
              <w:rPr>
                <w:rFonts w:hint="eastAsia" w:ascii="宋体" w:hAnsi="宋体" w:cs="宋体"/>
                <w:kern w:val="0"/>
                <w:sz w:val="20"/>
                <w:szCs w:val="20"/>
              </w:rPr>
              <w:br w:type="textWrapping"/>
            </w:r>
            <w:r>
              <w:rPr>
                <w:rFonts w:hint="eastAsia" w:ascii="宋体" w:hAnsi="宋体" w:cs="宋体"/>
                <w:kern w:val="0"/>
                <w:sz w:val="20"/>
                <w:szCs w:val="20"/>
              </w:rPr>
              <w:t>11、采用RFC1119/1305 NTP协议（Network Time Protocol）传递时间，支持RFC1769/2030 SNTP协议（Simple Network Time Protocol）</w:t>
            </w:r>
            <w:r>
              <w:rPr>
                <w:rFonts w:hint="eastAsia" w:ascii="宋体" w:hAnsi="宋体" w:cs="宋体"/>
                <w:kern w:val="0"/>
                <w:sz w:val="20"/>
                <w:szCs w:val="20"/>
              </w:rPr>
              <w:br w:type="textWrapping"/>
            </w:r>
            <w:r>
              <w:rPr>
                <w:rFonts w:hint="eastAsia" w:ascii="宋体" w:hAnsi="宋体" w:cs="宋体"/>
                <w:kern w:val="0"/>
                <w:sz w:val="20"/>
                <w:szCs w:val="20"/>
              </w:rPr>
              <w:t>12、客户端支持Windows、Linux、Unix、AIX、HpUX、FreeBSD等操作系统，适应不同的应用场合</w:t>
            </w:r>
            <w:r>
              <w:rPr>
                <w:rFonts w:hint="eastAsia" w:ascii="宋体" w:hAnsi="宋体" w:cs="宋体"/>
                <w:kern w:val="0"/>
                <w:sz w:val="20"/>
                <w:szCs w:val="20"/>
              </w:rPr>
              <w:br w:type="textWrapping"/>
            </w:r>
            <w:r>
              <w:rPr>
                <w:rFonts w:hint="eastAsia" w:ascii="宋体" w:hAnsi="宋体" w:cs="宋体"/>
                <w:kern w:val="0"/>
                <w:sz w:val="20"/>
                <w:szCs w:val="20"/>
              </w:rPr>
              <w:t>13、支持syslog日志，有iptables安全策略防护</w:t>
            </w:r>
            <w:r>
              <w:rPr>
                <w:rFonts w:hint="eastAsia" w:ascii="宋体" w:hAnsi="宋体" w:cs="宋体"/>
                <w:kern w:val="0"/>
                <w:sz w:val="20"/>
                <w:szCs w:val="20"/>
              </w:rPr>
              <w:br w:type="textWrapping"/>
            </w:r>
            <w:r>
              <w:rPr>
                <w:rFonts w:hint="eastAsia" w:ascii="宋体" w:hAnsi="宋体" w:cs="宋体"/>
                <w:kern w:val="0"/>
                <w:sz w:val="20"/>
                <w:szCs w:val="20"/>
              </w:rPr>
              <w:t>14、支持tracelog客户端集中监控</w:t>
            </w:r>
            <w:r>
              <w:rPr>
                <w:rFonts w:hint="eastAsia" w:ascii="宋体" w:hAnsi="宋体" w:cs="宋体"/>
                <w:kern w:val="0"/>
                <w:sz w:val="20"/>
                <w:szCs w:val="20"/>
              </w:rPr>
              <w:br w:type="textWrapping"/>
            </w:r>
            <w:r>
              <w:rPr>
                <w:rFonts w:hint="eastAsia" w:ascii="宋体" w:hAnsi="宋体" w:cs="宋体"/>
                <w:kern w:val="0"/>
                <w:sz w:val="20"/>
                <w:szCs w:val="20"/>
              </w:rPr>
              <w:t>15、多种配置方法，可使用面板按键显示、UART调试、SSH服务、WEB服务等方式进行远程管理、配置。</w:t>
            </w:r>
            <w:r>
              <w:rPr>
                <w:rFonts w:hint="eastAsia" w:ascii="宋体" w:hAnsi="宋体" w:cs="宋体"/>
                <w:kern w:val="0"/>
                <w:sz w:val="20"/>
                <w:szCs w:val="20"/>
              </w:rPr>
              <w:br w:type="textWrapping"/>
            </w:r>
            <w:r>
              <w:rPr>
                <w:rFonts w:hint="eastAsia" w:ascii="宋体" w:hAnsi="宋体" w:cs="宋体"/>
                <w:kern w:val="0"/>
                <w:sz w:val="20"/>
                <w:szCs w:val="20"/>
              </w:rPr>
              <w:t>16、MTBF：≥8万小时</w:t>
            </w:r>
            <w:r>
              <w:rPr>
                <w:rFonts w:hint="eastAsia" w:ascii="宋体" w:hAnsi="宋体" w:cs="宋体"/>
                <w:kern w:val="0"/>
                <w:sz w:val="20"/>
                <w:szCs w:val="20"/>
              </w:rPr>
              <w:br w:type="textWrapping"/>
            </w:r>
            <w:r>
              <w:rPr>
                <w:rFonts w:hint="eastAsia" w:ascii="宋体" w:hAnsi="宋体" w:cs="宋体"/>
                <w:kern w:val="0"/>
                <w:sz w:val="20"/>
                <w:szCs w:val="20"/>
              </w:rPr>
              <w:t>17、年老化率：OCXO：年老化率1E-7</w:t>
            </w:r>
            <w:r>
              <w:rPr>
                <w:rFonts w:hint="eastAsia" w:ascii="宋体" w:hAnsi="宋体" w:cs="宋体"/>
                <w:kern w:val="0"/>
                <w:sz w:val="20"/>
                <w:szCs w:val="20"/>
              </w:rPr>
              <w:br w:type="textWrapping"/>
            </w:r>
            <w:r>
              <w:rPr>
                <w:rFonts w:hint="eastAsia" w:ascii="宋体" w:hAnsi="宋体" w:cs="宋体"/>
                <w:kern w:val="0"/>
                <w:sz w:val="20"/>
                <w:szCs w:val="20"/>
              </w:rPr>
              <w:t>18、机械特性：19英寸1U标准机架安装</w:t>
            </w:r>
            <w:r>
              <w:rPr>
                <w:rFonts w:hint="eastAsia" w:ascii="宋体" w:hAnsi="宋体" w:cs="宋体"/>
                <w:kern w:val="0"/>
                <w:sz w:val="20"/>
                <w:szCs w:val="20"/>
              </w:rPr>
              <w:br w:type="textWrapping"/>
            </w:r>
            <w:r>
              <w:rPr>
                <w:rFonts w:hint="eastAsia" w:ascii="宋体" w:hAnsi="宋体" w:cs="宋体"/>
                <w:kern w:val="0"/>
                <w:sz w:val="20"/>
                <w:szCs w:val="20"/>
              </w:rPr>
              <w:t>19、电源：双电源AC100～240V， 50HZ±10％</w:t>
            </w:r>
            <w:r>
              <w:rPr>
                <w:rFonts w:hint="eastAsia" w:ascii="宋体" w:hAnsi="宋体" w:cs="宋体"/>
                <w:kern w:val="0"/>
                <w:sz w:val="20"/>
                <w:szCs w:val="20"/>
              </w:rPr>
              <w:br w:type="textWrapping"/>
            </w:r>
            <w:r>
              <w:rPr>
                <w:rFonts w:hint="eastAsia" w:ascii="宋体" w:hAnsi="宋体" w:cs="宋体"/>
                <w:kern w:val="0"/>
                <w:sz w:val="20"/>
                <w:szCs w:val="20"/>
              </w:rPr>
              <w:t>20、功耗：≤25W</w:t>
            </w:r>
            <w:r>
              <w:rPr>
                <w:rFonts w:hint="eastAsia" w:ascii="宋体" w:hAnsi="宋体" w:cs="宋体"/>
                <w:kern w:val="0"/>
                <w:sz w:val="20"/>
                <w:szCs w:val="20"/>
              </w:rPr>
              <w:br w:type="textWrapping"/>
            </w:r>
            <w:r>
              <w:rPr>
                <w:rFonts w:hint="eastAsia" w:ascii="宋体" w:hAnsi="宋体" w:cs="宋体"/>
                <w:kern w:val="0"/>
                <w:sz w:val="20"/>
                <w:szCs w:val="20"/>
              </w:rPr>
              <w:t>21、环境温度：-10℃～55℃</w:t>
            </w:r>
            <w:r>
              <w:rPr>
                <w:rFonts w:hint="eastAsia" w:ascii="宋体" w:hAnsi="宋体" w:cs="宋体"/>
                <w:kern w:val="0"/>
                <w:sz w:val="20"/>
                <w:szCs w:val="20"/>
              </w:rPr>
              <w:br w:type="textWrapping"/>
            </w:r>
            <w:r>
              <w:rPr>
                <w:rFonts w:hint="eastAsia" w:ascii="宋体" w:hAnsi="宋体" w:cs="宋体"/>
                <w:kern w:val="0"/>
                <w:sz w:val="20"/>
                <w:szCs w:val="20"/>
              </w:rPr>
              <w:t>22、相对湿度：10％～95％</w:t>
            </w:r>
            <w:r>
              <w:rPr>
                <w:rFonts w:hint="eastAsia" w:ascii="宋体" w:hAnsi="宋体" w:cs="宋体"/>
                <w:kern w:val="0"/>
                <w:sz w:val="20"/>
                <w:szCs w:val="20"/>
              </w:rPr>
              <w:br w:type="textWrapping"/>
            </w:r>
            <w:r>
              <w:rPr>
                <w:rFonts w:hint="eastAsia" w:ascii="宋体" w:hAnsi="宋体" w:cs="宋体"/>
                <w:kern w:val="0"/>
                <w:sz w:val="20"/>
                <w:szCs w:val="20"/>
              </w:rPr>
              <w:t>功能：</w:t>
            </w:r>
            <w:r>
              <w:rPr>
                <w:rFonts w:hint="eastAsia" w:ascii="宋体" w:hAnsi="宋体" w:cs="宋体"/>
                <w:kern w:val="0"/>
                <w:sz w:val="20"/>
                <w:szCs w:val="20"/>
              </w:rPr>
              <w:br w:type="textWrapping"/>
            </w:r>
            <w:r>
              <w:rPr>
                <w:rFonts w:hint="eastAsia" w:ascii="宋体" w:hAnsi="宋体" w:cs="宋体"/>
                <w:kern w:val="0"/>
                <w:sz w:val="20"/>
                <w:szCs w:val="20"/>
              </w:rPr>
              <w:t>1、NTP服务器配有年、月、日、时、分、秒显示（高端OLED显示屏），并配有按键功能（17个按键），可以操作显示屏幕菜单查询状态或配置系统参数，同时配有多个LED指示灯能显示设备当前的工作状态。</w:t>
            </w:r>
            <w:r>
              <w:rPr>
                <w:rFonts w:hint="eastAsia" w:ascii="宋体" w:hAnsi="宋体" w:cs="宋体"/>
                <w:kern w:val="0"/>
                <w:sz w:val="20"/>
                <w:szCs w:val="20"/>
              </w:rPr>
              <w:br w:type="textWrapping"/>
            </w:r>
            <w:r>
              <w:rPr>
                <w:rFonts w:hint="eastAsia" w:ascii="宋体" w:hAnsi="宋体" w:cs="宋体"/>
                <w:kern w:val="0"/>
                <w:sz w:val="20"/>
                <w:szCs w:val="20"/>
              </w:rPr>
              <w:t>2、NTP服务器使用2路互为主备的外部IRIG-B作为时间源，并有最多4个10M/100M/1000M自适应网口对外提供NTP授时服务</w:t>
            </w:r>
            <w:r>
              <w:rPr>
                <w:rFonts w:hint="eastAsia" w:ascii="宋体" w:hAnsi="宋体" w:cs="宋体"/>
                <w:kern w:val="0"/>
                <w:sz w:val="20"/>
                <w:szCs w:val="20"/>
              </w:rPr>
              <w:br w:type="textWrapping"/>
            </w:r>
            <w:r>
              <w:rPr>
                <w:rFonts w:hint="eastAsia" w:ascii="宋体" w:hAnsi="宋体" w:cs="宋体"/>
                <w:kern w:val="0"/>
                <w:sz w:val="20"/>
                <w:szCs w:val="20"/>
              </w:rPr>
              <w:t>3、NTP服务器采用高稳恒温晶振/铷原子钟为备用时钟源（可选），当接收不到外部IRIG-B信号时自动切换至守时模式，使用恒温晶振作为时间源并对外提供授时服务。</w:t>
            </w:r>
            <w:r>
              <w:rPr>
                <w:rFonts w:hint="eastAsia" w:ascii="宋体" w:hAnsi="宋体" w:cs="宋体"/>
                <w:kern w:val="0"/>
                <w:sz w:val="20"/>
                <w:szCs w:val="20"/>
              </w:rPr>
              <w:br w:type="textWrapping"/>
            </w:r>
            <w:r>
              <w:rPr>
                <w:rFonts w:hint="eastAsia" w:ascii="宋体" w:hAnsi="宋体" w:cs="宋体"/>
                <w:kern w:val="0"/>
                <w:sz w:val="20"/>
                <w:szCs w:val="20"/>
              </w:rPr>
              <w:t xml:space="preserve">4、NTP服务器提供1个UART调试接口，1个用户USB接口，方便管理人员现场调试使用；  </w:t>
            </w:r>
            <w:r>
              <w:rPr>
                <w:rFonts w:hint="eastAsia" w:ascii="宋体" w:hAnsi="宋体" w:cs="宋体"/>
                <w:kern w:val="0"/>
                <w:sz w:val="20"/>
                <w:szCs w:val="20"/>
              </w:rPr>
              <w:br w:type="textWrapping"/>
            </w:r>
            <w:r>
              <w:rPr>
                <w:rFonts w:hint="eastAsia" w:ascii="宋体" w:hAnsi="宋体" w:cs="宋体"/>
                <w:kern w:val="0"/>
                <w:sz w:val="20"/>
                <w:szCs w:val="20"/>
              </w:rPr>
              <w:t>5、NTP服务器设备具有故障告警功能，并将故障告警信号送至干节点。</w:t>
            </w:r>
          </w:p>
        </w:tc>
        <w:tc>
          <w:tcPr>
            <w:tcW w:w="981" w:type="dxa"/>
            <w:tcBorders>
              <w:top w:val="nil"/>
              <w:left w:val="nil"/>
              <w:bottom w:val="single" w:color="auto" w:sz="4" w:space="0"/>
              <w:right w:val="single" w:color="auto" w:sz="4" w:space="0"/>
            </w:tcBorders>
            <w:shd w:val="clear" w:color="auto" w:fill="auto"/>
            <w:vAlign w:val="center"/>
          </w:tcPr>
          <w:p w14:paraId="327C2167">
            <w:pPr>
              <w:widowControl/>
              <w:jc w:val="center"/>
              <w:rPr>
                <w:rFonts w:hint="eastAsia" w:ascii="宋体" w:hAnsi="宋体" w:cs="宋体"/>
                <w:kern w:val="0"/>
                <w:sz w:val="20"/>
                <w:szCs w:val="20"/>
              </w:rPr>
            </w:pPr>
            <w:r>
              <w:rPr>
                <w:rFonts w:hint="eastAsia" w:ascii="宋体" w:hAnsi="宋体" w:cs="宋体"/>
                <w:kern w:val="0"/>
                <w:sz w:val="20"/>
                <w:szCs w:val="20"/>
              </w:rPr>
              <w:t>台</w:t>
            </w:r>
          </w:p>
        </w:tc>
        <w:tc>
          <w:tcPr>
            <w:tcW w:w="1177" w:type="dxa"/>
            <w:tcBorders>
              <w:top w:val="nil"/>
              <w:left w:val="nil"/>
              <w:bottom w:val="single" w:color="auto" w:sz="4" w:space="0"/>
              <w:right w:val="single" w:color="auto" w:sz="4" w:space="0"/>
            </w:tcBorders>
            <w:shd w:val="clear" w:color="auto" w:fill="auto"/>
            <w:vAlign w:val="center"/>
          </w:tcPr>
          <w:p w14:paraId="30C64AA5">
            <w:pPr>
              <w:widowControl/>
              <w:jc w:val="center"/>
              <w:rPr>
                <w:rFonts w:hint="eastAsia" w:ascii="宋体" w:hAnsi="宋体" w:cs="宋体"/>
                <w:kern w:val="0"/>
                <w:sz w:val="20"/>
                <w:szCs w:val="20"/>
              </w:rPr>
            </w:pPr>
            <w:r>
              <w:rPr>
                <w:rFonts w:hint="eastAsia" w:ascii="宋体" w:hAnsi="宋体" w:cs="宋体"/>
                <w:kern w:val="0"/>
                <w:sz w:val="20"/>
                <w:szCs w:val="20"/>
              </w:rPr>
              <w:t>1</w:t>
            </w:r>
          </w:p>
        </w:tc>
      </w:tr>
      <w:tr w14:paraId="604091AC">
        <w:tblPrEx>
          <w:tblCellMar>
            <w:top w:w="0" w:type="dxa"/>
            <w:left w:w="108" w:type="dxa"/>
            <w:bottom w:w="0" w:type="dxa"/>
            <w:right w:w="108" w:type="dxa"/>
          </w:tblCellMar>
        </w:tblPrEx>
        <w:trPr>
          <w:trHeight w:val="2097" w:hRule="atLeast"/>
        </w:trPr>
        <w:tc>
          <w:tcPr>
            <w:tcW w:w="1080" w:type="dxa"/>
            <w:tcBorders>
              <w:top w:val="nil"/>
              <w:left w:val="single" w:color="auto" w:sz="4" w:space="0"/>
              <w:bottom w:val="single" w:color="auto" w:sz="4" w:space="0"/>
              <w:right w:val="single" w:color="auto" w:sz="4" w:space="0"/>
            </w:tcBorders>
            <w:shd w:val="clear" w:color="auto" w:fill="auto"/>
            <w:vAlign w:val="center"/>
          </w:tcPr>
          <w:p w14:paraId="5B9EC053">
            <w:pPr>
              <w:widowControl/>
              <w:jc w:val="center"/>
              <w:rPr>
                <w:rFonts w:hint="eastAsia" w:ascii="宋体" w:hAnsi="宋体" w:cs="宋体"/>
                <w:kern w:val="0"/>
                <w:sz w:val="20"/>
                <w:szCs w:val="20"/>
              </w:rPr>
            </w:pPr>
            <w:r>
              <w:rPr>
                <w:rFonts w:hint="eastAsia" w:ascii="宋体" w:hAnsi="宋体" w:cs="宋体"/>
                <w:kern w:val="0"/>
                <w:sz w:val="20"/>
                <w:szCs w:val="20"/>
              </w:rPr>
              <w:t>3</w:t>
            </w:r>
          </w:p>
        </w:tc>
        <w:tc>
          <w:tcPr>
            <w:tcW w:w="1325" w:type="dxa"/>
            <w:tcBorders>
              <w:top w:val="nil"/>
              <w:left w:val="nil"/>
              <w:bottom w:val="single" w:color="auto" w:sz="4" w:space="0"/>
              <w:right w:val="single" w:color="auto" w:sz="4" w:space="0"/>
            </w:tcBorders>
            <w:shd w:val="clear" w:color="auto" w:fill="auto"/>
            <w:vAlign w:val="center"/>
          </w:tcPr>
          <w:p w14:paraId="0AADF465">
            <w:pPr>
              <w:widowControl/>
              <w:jc w:val="left"/>
              <w:rPr>
                <w:rFonts w:hint="eastAsia" w:ascii="宋体" w:hAnsi="宋体" w:cs="宋体"/>
                <w:kern w:val="0"/>
                <w:sz w:val="20"/>
                <w:szCs w:val="20"/>
              </w:rPr>
            </w:pPr>
            <w:r>
              <w:rPr>
                <w:rFonts w:hint="eastAsia" w:ascii="宋体" w:hAnsi="宋体" w:cs="宋体"/>
                <w:kern w:val="0"/>
                <w:sz w:val="20"/>
                <w:szCs w:val="20"/>
              </w:rPr>
              <w:t>中心母钟</w:t>
            </w:r>
          </w:p>
        </w:tc>
        <w:tc>
          <w:tcPr>
            <w:tcW w:w="3515" w:type="dxa"/>
            <w:tcBorders>
              <w:top w:val="nil"/>
              <w:left w:val="nil"/>
              <w:bottom w:val="single" w:color="auto" w:sz="4" w:space="0"/>
              <w:right w:val="single" w:color="auto" w:sz="4" w:space="0"/>
            </w:tcBorders>
            <w:shd w:val="clear" w:color="auto" w:fill="auto"/>
            <w:vAlign w:val="center"/>
          </w:tcPr>
          <w:p w14:paraId="1CEDCA29">
            <w:pPr>
              <w:widowControl/>
              <w:jc w:val="left"/>
              <w:rPr>
                <w:rFonts w:hint="eastAsia" w:ascii="宋体" w:hAnsi="宋体" w:cs="宋体"/>
                <w:kern w:val="0"/>
                <w:sz w:val="20"/>
                <w:szCs w:val="20"/>
              </w:rPr>
            </w:pPr>
            <w:r>
              <w:rPr>
                <w:rFonts w:hint="eastAsia" w:ascii="宋体" w:hAnsi="宋体" w:cs="宋体"/>
                <w:kern w:val="0"/>
                <w:sz w:val="20"/>
                <w:szCs w:val="20"/>
              </w:rPr>
              <w:t>1.北斗授时源；</w:t>
            </w:r>
            <w:r>
              <w:rPr>
                <w:rFonts w:hint="eastAsia" w:ascii="宋体" w:hAnsi="宋体" w:cs="宋体"/>
                <w:kern w:val="0"/>
                <w:sz w:val="20"/>
                <w:szCs w:val="20"/>
              </w:rPr>
              <w:br w:type="textWrapping"/>
            </w:r>
            <w:r>
              <w:rPr>
                <w:rFonts w:hint="eastAsia" w:ascii="宋体" w:hAnsi="宋体" w:cs="宋体"/>
                <w:kern w:val="0"/>
                <w:sz w:val="20"/>
                <w:szCs w:val="20"/>
              </w:rPr>
              <w:t>2.VFD显示屏，显示时钟源信息、信号强度、时间、日期及数据有效性；</w:t>
            </w:r>
            <w:r>
              <w:rPr>
                <w:rFonts w:hint="eastAsia" w:ascii="宋体" w:hAnsi="宋体" w:cs="宋体"/>
                <w:kern w:val="0"/>
                <w:sz w:val="20"/>
                <w:szCs w:val="20"/>
              </w:rPr>
              <w:br w:type="textWrapping"/>
            </w:r>
            <w:r>
              <w:rPr>
                <w:rFonts w:hint="eastAsia" w:ascii="宋体" w:hAnsi="宋体" w:cs="宋体"/>
                <w:kern w:val="0"/>
                <w:sz w:val="20"/>
                <w:szCs w:val="20"/>
              </w:rPr>
              <w:t>3.高效Linux系统，高性能工业级主板，防震、无硬盘和风扇设计，稳定可靠，MTBF&gt;80000小时；</w:t>
            </w:r>
            <w:r>
              <w:rPr>
                <w:rFonts w:hint="eastAsia" w:ascii="宋体" w:hAnsi="宋体" w:cs="宋体"/>
                <w:kern w:val="0"/>
                <w:sz w:val="20"/>
                <w:szCs w:val="20"/>
              </w:rPr>
              <w:br w:type="textWrapping"/>
            </w:r>
            <w:r>
              <w:rPr>
                <w:rFonts w:hint="eastAsia" w:ascii="宋体" w:hAnsi="宋体" w:cs="宋体"/>
                <w:kern w:val="0"/>
                <w:sz w:val="20"/>
                <w:szCs w:val="20"/>
              </w:rPr>
              <w:t>4.客户端支持WINDOWS9X、WINDOWS NT/2000/XP/2003、LINUX、UNIX、SUN SOLARIS、IBM AIX等操作系统；</w:t>
            </w:r>
            <w:r>
              <w:rPr>
                <w:rFonts w:hint="eastAsia" w:ascii="宋体" w:hAnsi="宋体" w:cs="宋体"/>
                <w:kern w:val="0"/>
                <w:sz w:val="20"/>
                <w:szCs w:val="20"/>
              </w:rPr>
              <w:br w:type="textWrapping"/>
            </w:r>
            <w:r>
              <w:rPr>
                <w:rFonts w:hint="eastAsia" w:ascii="宋体" w:hAnsi="宋体" w:cs="宋体"/>
                <w:kern w:val="0"/>
                <w:sz w:val="20"/>
                <w:szCs w:val="20"/>
              </w:rPr>
              <w:t>5. 输出RS232、RS485、PPS、10MHZ；</w:t>
            </w:r>
            <w:r>
              <w:rPr>
                <w:rFonts w:hint="eastAsia" w:ascii="宋体" w:hAnsi="宋体" w:cs="宋体"/>
                <w:kern w:val="0"/>
                <w:sz w:val="20"/>
                <w:szCs w:val="20"/>
              </w:rPr>
              <w:br w:type="textWrapping"/>
            </w:r>
            <w:r>
              <w:rPr>
                <w:rFonts w:hint="eastAsia" w:ascii="宋体" w:hAnsi="宋体" w:cs="宋体"/>
                <w:kern w:val="0"/>
                <w:sz w:val="20"/>
                <w:szCs w:val="20"/>
              </w:rPr>
              <w:t>6.内置温补晶振；</w:t>
            </w:r>
            <w:r>
              <w:rPr>
                <w:rFonts w:hint="eastAsia" w:ascii="宋体" w:hAnsi="宋体" w:cs="宋体"/>
                <w:kern w:val="0"/>
                <w:sz w:val="20"/>
                <w:szCs w:val="20"/>
              </w:rPr>
              <w:br w:type="textWrapping"/>
            </w:r>
            <w:r>
              <w:rPr>
                <w:rFonts w:hint="eastAsia" w:ascii="宋体" w:hAnsi="宋体" w:cs="宋体"/>
                <w:kern w:val="0"/>
                <w:sz w:val="20"/>
                <w:szCs w:val="20"/>
              </w:rPr>
              <w:t>7.16路RS-485授时接口，支持modbus协议；</w:t>
            </w:r>
            <w:r>
              <w:rPr>
                <w:rFonts w:hint="eastAsia" w:ascii="宋体" w:hAnsi="宋体" w:cs="宋体"/>
                <w:kern w:val="0"/>
                <w:sz w:val="20"/>
                <w:szCs w:val="20"/>
              </w:rPr>
              <w:br w:type="textWrapping"/>
            </w:r>
            <w:r>
              <w:rPr>
                <w:rFonts w:hint="eastAsia" w:ascii="宋体" w:hAnsi="宋体" w:cs="宋体"/>
                <w:kern w:val="0"/>
                <w:sz w:val="20"/>
                <w:szCs w:val="20"/>
              </w:rPr>
              <w:t>8.内置webServer，默认IP：192.168.1.108，登录密码：654321;</w:t>
            </w:r>
            <w:r>
              <w:rPr>
                <w:rFonts w:hint="eastAsia" w:ascii="宋体" w:hAnsi="宋体" w:cs="宋体"/>
                <w:kern w:val="0"/>
                <w:sz w:val="20"/>
                <w:szCs w:val="20"/>
              </w:rPr>
              <w:br w:type="textWrapping"/>
            </w:r>
            <w:r>
              <w:rPr>
                <w:rFonts w:hint="eastAsia" w:ascii="宋体" w:hAnsi="宋体" w:cs="宋体"/>
                <w:kern w:val="0"/>
                <w:sz w:val="20"/>
                <w:szCs w:val="20"/>
              </w:rPr>
              <w:t>9.具有故障告警功能。并将故障告警信号送至时钟系统网管设备；</w:t>
            </w:r>
            <w:r>
              <w:rPr>
                <w:rFonts w:hint="eastAsia" w:ascii="宋体" w:hAnsi="宋体" w:cs="宋体"/>
                <w:kern w:val="0"/>
                <w:sz w:val="20"/>
                <w:szCs w:val="20"/>
              </w:rPr>
              <w:br w:type="textWrapping"/>
            </w:r>
            <w:r>
              <w:rPr>
                <w:rFonts w:hint="eastAsia" w:ascii="宋体" w:hAnsi="宋体" w:cs="宋体"/>
                <w:kern w:val="0"/>
                <w:sz w:val="20"/>
                <w:szCs w:val="20"/>
              </w:rPr>
              <w:t>10.标准计时精度：≤± 1S/年；</w:t>
            </w:r>
            <w:r>
              <w:rPr>
                <w:rFonts w:hint="eastAsia" w:ascii="宋体" w:hAnsi="宋体" w:cs="宋体"/>
                <w:kern w:val="0"/>
                <w:sz w:val="20"/>
                <w:szCs w:val="20"/>
              </w:rPr>
              <w:br w:type="textWrapping"/>
            </w:r>
            <w:r>
              <w:rPr>
                <w:rFonts w:hint="eastAsia" w:ascii="宋体" w:hAnsi="宋体" w:cs="宋体"/>
                <w:kern w:val="0"/>
                <w:sz w:val="20"/>
                <w:szCs w:val="20"/>
              </w:rPr>
              <w:t>11.自身计时精度：≤±0.001S/天；</w:t>
            </w:r>
            <w:r>
              <w:rPr>
                <w:rFonts w:hint="eastAsia" w:ascii="宋体" w:hAnsi="宋体" w:cs="宋体"/>
                <w:kern w:val="0"/>
                <w:sz w:val="20"/>
                <w:szCs w:val="20"/>
              </w:rPr>
              <w:br w:type="textWrapping"/>
            </w:r>
            <w:r>
              <w:rPr>
                <w:rFonts w:hint="eastAsia" w:ascii="宋体" w:hAnsi="宋体" w:cs="宋体"/>
                <w:kern w:val="0"/>
                <w:sz w:val="20"/>
                <w:szCs w:val="20"/>
              </w:rPr>
              <w:t>12.同步误差：≤1~10ms</w:t>
            </w:r>
            <w:r>
              <w:rPr>
                <w:rFonts w:hint="eastAsia" w:ascii="宋体" w:hAnsi="宋体" w:cs="宋体"/>
                <w:kern w:val="0"/>
                <w:sz w:val="20"/>
                <w:szCs w:val="20"/>
              </w:rPr>
              <w:br w:type="textWrapping"/>
            </w:r>
            <w:r>
              <w:rPr>
                <w:rFonts w:hint="eastAsia" w:ascii="宋体" w:hAnsi="宋体" w:cs="宋体"/>
                <w:kern w:val="0"/>
                <w:sz w:val="20"/>
                <w:szCs w:val="20"/>
              </w:rPr>
              <w:t>13.环境要求：工作温度：0～＋50℃；</w:t>
            </w:r>
            <w:r>
              <w:rPr>
                <w:rFonts w:hint="eastAsia" w:ascii="宋体" w:hAnsi="宋体" w:cs="宋体"/>
                <w:kern w:val="0"/>
                <w:sz w:val="20"/>
                <w:szCs w:val="20"/>
              </w:rPr>
              <w:br w:type="textWrapping"/>
            </w:r>
            <w:r>
              <w:rPr>
                <w:rFonts w:hint="eastAsia" w:ascii="宋体" w:hAnsi="宋体" w:cs="宋体"/>
                <w:kern w:val="0"/>
                <w:sz w:val="20"/>
                <w:szCs w:val="20"/>
              </w:rPr>
              <w:t>14.电源电压：220V±15％；</w:t>
            </w:r>
            <w:r>
              <w:rPr>
                <w:rFonts w:hint="eastAsia" w:ascii="宋体" w:hAnsi="宋体" w:cs="宋体"/>
                <w:kern w:val="0"/>
                <w:sz w:val="20"/>
                <w:szCs w:val="20"/>
              </w:rPr>
              <w:br w:type="textWrapping"/>
            </w:r>
            <w:r>
              <w:rPr>
                <w:rFonts w:hint="eastAsia" w:ascii="宋体" w:hAnsi="宋体" w:cs="宋体"/>
                <w:kern w:val="0"/>
                <w:sz w:val="20"/>
                <w:szCs w:val="20"/>
              </w:rPr>
              <w:t>15.电源频率：50Hz±5%；</w:t>
            </w:r>
            <w:r>
              <w:rPr>
                <w:rFonts w:hint="eastAsia" w:ascii="宋体" w:hAnsi="宋体" w:cs="宋体"/>
                <w:kern w:val="0"/>
                <w:sz w:val="20"/>
                <w:szCs w:val="20"/>
              </w:rPr>
              <w:br w:type="textWrapping"/>
            </w:r>
            <w:r>
              <w:rPr>
                <w:rFonts w:hint="eastAsia" w:ascii="宋体" w:hAnsi="宋体" w:cs="宋体"/>
                <w:kern w:val="0"/>
                <w:sz w:val="20"/>
                <w:szCs w:val="20"/>
              </w:rPr>
              <w:t>16.19-1U机箱。</w:t>
            </w:r>
          </w:p>
        </w:tc>
        <w:tc>
          <w:tcPr>
            <w:tcW w:w="981" w:type="dxa"/>
            <w:tcBorders>
              <w:top w:val="nil"/>
              <w:left w:val="nil"/>
              <w:bottom w:val="single" w:color="auto" w:sz="4" w:space="0"/>
              <w:right w:val="single" w:color="auto" w:sz="4" w:space="0"/>
            </w:tcBorders>
            <w:shd w:val="clear" w:color="auto" w:fill="auto"/>
            <w:vAlign w:val="center"/>
          </w:tcPr>
          <w:p w14:paraId="71E625D6">
            <w:pPr>
              <w:widowControl/>
              <w:jc w:val="center"/>
              <w:rPr>
                <w:rFonts w:hint="eastAsia" w:ascii="宋体" w:hAnsi="宋体" w:cs="宋体"/>
                <w:kern w:val="0"/>
                <w:sz w:val="20"/>
                <w:szCs w:val="20"/>
              </w:rPr>
            </w:pPr>
            <w:r>
              <w:rPr>
                <w:rFonts w:hint="eastAsia" w:ascii="宋体" w:hAnsi="宋体" w:cs="宋体"/>
                <w:kern w:val="0"/>
                <w:sz w:val="20"/>
                <w:szCs w:val="20"/>
              </w:rPr>
              <w:t>台</w:t>
            </w:r>
          </w:p>
        </w:tc>
        <w:tc>
          <w:tcPr>
            <w:tcW w:w="1177" w:type="dxa"/>
            <w:tcBorders>
              <w:top w:val="nil"/>
              <w:left w:val="nil"/>
              <w:bottom w:val="single" w:color="auto" w:sz="4" w:space="0"/>
              <w:right w:val="single" w:color="auto" w:sz="4" w:space="0"/>
            </w:tcBorders>
            <w:shd w:val="clear" w:color="auto" w:fill="auto"/>
            <w:vAlign w:val="center"/>
          </w:tcPr>
          <w:p w14:paraId="57B7B394">
            <w:pPr>
              <w:widowControl/>
              <w:jc w:val="center"/>
              <w:rPr>
                <w:rFonts w:hint="eastAsia" w:ascii="宋体" w:hAnsi="宋体" w:cs="宋体"/>
                <w:kern w:val="0"/>
                <w:sz w:val="20"/>
                <w:szCs w:val="20"/>
              </w:rPr>
            </w:pPr>
            <w:r>
              <w:rPr>
                <w:rFonts w:hint="eastAsia" w:ascii="宋体" w:hAnsi="宋体" w:cs="宋体"/>
                <w:kern w:val="0"/>
                <w:sz w:val="20"/>
                <w:szCs w:val="20"/>
              </w:rPr>
              <w:t>1</w:t>
            </w:r>
          </w:p>
        </w:tc>
      </w:tr>
      <w:tr w14:paraId="52FB64DE">
        <w:tblPrEx>
          <w:tblCellMar>
            <w:top w:w="0" w:type="dxa"/>
            <w:left w:w="108" w:type="dxa"/>
            <w:bottom w:w="0" w:type="dxa"/>
            <w:right w:w="108" w:type="dxa"/>
          </w:tblCellMar>
        </w:tblPrEx>
        <w:trPr>
          <w:trHeight w:val="2080" w:hRule="atLeast"/>
        </w:trPr>
        <w:tc>
          <w:tcPr>
            <w:tcW w:w="1080" w:type="dxa"/>
            <w:tcBorders>
              <w:top w:val="nil"/>
              <w:left w:val="single" w:color="auto" w:sz="4" w:space="0"/>
              <w:bottom w:val="single" w:color="auto" w:sz="4" w:space="0"/>
              <w:right w:val="single" w:color="auto" w:sz="4" w:space="0"/>
            </w:tcBorders>
            <w:shd w:val="clear" w:color="auto" w:fill="auto"/>
            <w:vAlign w:val="center"/>
          </w:tcPr>
          <w:p w14:paraId="0218FE63">
            <w:pPr>
              <w:widowControl/>
              <w:jc w:val="center"/>
              <w:rPr>
                <w:rFonts w:hint="eastAsia" w:ascii="宋体" w:hAnsi="宋体" w:cs="宋体"/>
                <w:kern w:val="0"/>
                <w:sz w:val="20"/>
                <w:szCs w:val="20"/>
              </w:rPr>
            </w:pPr>
            <w:r>
              <w:rPr>
                <w:rFonts w:hint="eastAsia" w:ascii="宋体" w:hAnsi="宋体" w:cs="宋体"/>
                <w:kern w:val="0"/>
                <w:sz w:val="20"/>
                <w:szCs w:val="20"/>
              </w:rPr>
              <w:t>4</w:t>
            </w:r>
          </w:p>
        </w:tc>
        <w:tc>
          <w:tcPr>
            <w:tcW w:w="1325" w:type="dxa"/>
            <w:tcBorders>
              <w:top w:val="nil"/>
              <w:left w:val="nil"/>
              <w:bottom w:val="single" w:color="auto" w:sz="4" w:space="0"/>
              <w:right w:val="single" w:color="auto" w:sz="4" w:space="0"/>
            </w:tcBorders>
            <w:shd w:val="clear" w:color="auto" w:fill="auto"/>
            <w:vAlign w:val="center"/>
          </w:tcPr>
          <w:p w14:paraId="7B643AEF">
            <w:pPr>
              <w:widowControl/>
              <w:jc w:val="left"/>
              <w:rPr>
                <w:rFonts w:hint="eastAsia" w:ascii="宋体" w:hAnsi="宋体" w:cs="宋体"/>
                <w:kern w:val="0"/>
                <w:sz w:val="20"/>
                <w:szCs w:val="20"/>
              </w:rPr>
            </w:pPr>
            <w:r>
              <w:rPr>
                <w:rFonts w:hint="eastAsia" w:ascii="宋体" w:hAnsi="宋体" w:cs="宋体"/>
                <w:kern w:val="0"/>
                <w:sz w:val="20"/>
                <w:szCs w:val="20"/>
              </w:rPr>
              <w:t>双面3+1寸日历子钟</w:t>
            </w:r>
          </w:p>
        </w:tc>
        <w:tc>
          <w:tcPr>
            <w:tcW w:w="3515" w:type="dxa"/>
            <w:tcBorders>
              <w:top w:val="nil"/>
              <w:left w:val="nil"/>
              <w:bottom w:val="single" w:color="auto" w:sz="4" w:space="0"/>
              <w:right w:val="single" w:color="auto" w:sz="4" w:space="0"/>
            </w:tcBorders>
            <w:shd w:val="clear" w:color="auto" w:fill="auto"/>
            <w:vAlign w:val="center"/>
          </w:tcPr>
          <w:p w14:paraId="6D7325CC">
            <w:pPr>
              <w:widowControl/>
              <w:numPr>
                <w:ilvl w:val="0"/>
                <w:numId w:val="10"/>
              </w:numPr>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自身计时精度：≤±0.5秒/天。</w:t>
            </w:r>
          </w:p>
          <w:p w14:paraId="78DA4515">
            <w:pPr>
              <w:widowControl/>
              <w:numPr>
                <w:ilvl w:val="0"/>
                <w:numId w:val="10"/>
              </w:numPr>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采用NTP以太网对时接口。</w:t>
            </w:r>
          </w:p>
          <w:p w14:paraId="01C0208B">
            <w:pPr>
              <w:widowControl/>
              <w:numPr>
                <w:ilvl w:val="0"/>
                <w:numId w:val="10"/>
              </w:numPr>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供电电压：220VAC，50Hz（可选POE供电）。</w:t>
            </w:r>
          </w:p>
          <w:p w14:paraId="6C6E0F43">
            <w:pPr>
              <w:widowControl/>
              <w:numPr>
                <w:ilvl w:val="0"/>
                <w:numId w:val="10"/>
              </w:numPr>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特制高亮数码显示时、分、秒；LED发光强度≥1200mcd，LED刷新速度≥150帧/秒。</w:t>
            </w:r>
          </w:p>
          <w:p w14:paraId="23ED058A">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5、内置网管协议，无缝接入集成化管理软件，实现参数设置、状态监控等。</w:t>
            </w:r>
          </w:p>
        </w:tc>
        <w:tc>
          <w:tcPr>
            <w:tcW w:w="981" w:type="dxa"/>
            <w:tcBorders>
              <w:top w:val="nil"/>
              <w:left w:val="nil"/>
              <w:bottom w:val="single" w:color="auto" w:sz="4" w:space="0"/>
              <w:right w:val="single" w:color="auto" w:sz="4" w:space="0"/>
            </w:tcBorders>
            <w:shd w:val="clear" w:color="auto" w:fill="auto"/>
            <w:vAlign w:val="center"/>
          </w:tcPr>
          <w:p w14:paraId="02639F74">
            <w:pPr>
              <w:widowControl/>
              <w:jc w:val="center"/>
              <w:rPr>
                <w:rFonts w:hint="eastAsia" w:ascii="宋体" w:hAnsi="宋体" w:cs="宋体"/>
                <w:kern w:val="0"/>
                <w:sz w:val="20"/>
                <w:szCs w:val="20"/>
              </w:rPr>
            </w:pPr>
            <w:r>
              <w:rPr>
                <w:rFonts w:hint="eastAsia" w:ascii="宋体" w:hAnsi="宋体" w:cs="宋体"/>
                <w:kern w:val="0"/>
                <w:sz w:val="20"/>
                <w:szCs w:val="20"/>
              </w:rPr>
              <w:t>台</w:t>
            </w:r>
          </w:p>
        </w:tc>
        <w:tc>
          <w:tcPr>
            <w:tcW w:w="1177" w:type="dxa"/>
            <w:tcBorders>
              <w:top w:val="nil"/>
              <w:left w:val="nil"/>
              <w:bottom w:val="single" w:color="auto" w:sz="4" w:space="0"/>
              <w:right w:val="single" w:color="auto" w:sz="4" w:space="0"/>
            </w:tcBorders>
            <w:shd w:val="clear" w:color="auto" w:fill="auto"/>
            <w:vAlign w:val="center"/>
          </w:tcPr>
          <w:p w14:paraId="3ACD28B4">
            <w:pPr>
              <w:widowControl/>
              <w:jc w:val="center"/>
              <w:rPr>
                <w:rFonts w:hint="eastAsia" w:ascii="宋体" w:hAnsi="宋体" w:cs="宋体"/>
                <w:kern w:val="0"/>
                <w:sz w:val="20"/>
                <w:szCs w:val="20"/>
              </w:rPr>
            </w:pPr>
            <w:r>
              <w:rPr>
                <w:rFonts w:hint="eastAsia" w:ascii="宋体" w:hAnsi="宋体" w:cs="宋体"/>
                <w:kern w:val="0"/>
                <w:sz w:val="20"/>
                <w:szCs w:val="20"/>
              </w:rPr>
              <w:t>22</w:t>
            </w:r>
          </w:p>
        </w:tc>
      </w:tr>
      <w:tr w14:paraId="3DD2378D">
        <w:tblPrEx>
          <w:tblCellMar>
            <w:top w:w="0" w:type="dxa"/>
            <w:left w:w="108" w:type="dxa"/>
            <w:bottom w:w="0" w:type="dxa"/>
            <w:right w:w="108" w:type="dxa"/>
          </w:tblCellMar>
        </w:tblPrEx>
        <w:trPr>
          <w:trHeight w:val="2860" w:hRule="atLeast"/>
        </w:trPr>
        <w:tc>
          <w:tcPr>
            <w:tcW w:w="1080" w:type="dxa"/>
            <w:tcBorders>
              <w:top w:val="nil"/>
              <w:left w:val="single" w:color="auto" w:sz="4" w:space="0"/>
              <w:bottom w:val="single" w:color="auto" w:sz="4" w:space="0"/>
              <w:right w:val="single" w:color="auto" w:sz="4" w:space="0"/>
            </w:tcBorders>
            <w:shd w:val="clear" w:color="auto" w:fill="auto"/>
            <w:vAlign w:val="center"/>
          </w:tcPr>
          <w:p w14:paraId="3FBCB636">
            <w:pPr>
              <w:widowControl/>
              <w:jc w:val="center"/>
              <w:rPr>
                <w:rFonts w:hint="eastAsia" w:ascii="宋体" w:hAnsi="宋体" w:cs="宋体"/>
                <w:kern w:val="0"/>
                <w:sz w:val="20"/>
                <w:szCs w:val="20"/>
              </w:rPr>
            </w:pPr>
            <w:r>
              <w:rPr>
                <w:rFonts w:hint="eastAsia" w:ascii="宋体" w:hAnsi="宋体" w:cs="宋体"/>
                <w:kern w:val="0"/>
                <w:sz w:val="20"/>
                <w:szCs w:val="20"/>
              </w:rPr>
              <w:t>5</w:t>
            </w:r>
          </w:p>
        </w:tc>
        <w:tc>
          <w:tcPr>
            <w:tcW w:w="1325" w:type="dxa"/>
            <w:tcBorders>
              <w:top w:val="nil"/>
              <w:left w:val="nil"/>
              <w:bottom w:val="single" w:color="auto" w:sz="4" w:space="0"/>
              <w:right w:val="single" w:color="auto" w:sz="4" w:space="0"/>
            </w:tcBorders>
            <w:shd w:val="clear" w:color="auto" w:fill="auto"/>
            <w:vAlign w:val="center"/>
          </w:tcPr>
          <w:p w14:paraId="2B479961">
            <w:pPr>
              <w:widowControl/>
              <w:jc w:val="left"/>
              <w:rPr>
                <w:rFonts w:hint="eastAsia" w:ascii="宋体" w:hAnsi="宋体" w:cs="宋体"/>
                <w:kern w:val="0"/>
                <w:sz w:val="20"/>
                <w:szCs w:val="20"/>
              </w:rPr>
            </w:pPr>
            <w:r>
              <w:rPr>
                <w:rFonts w:hint="eastAsia" w:ascii="宋体" w:hAnsi="宋体" w:cs="宋体"/>
                <w:kern w:val="0"/>
                <w:sz w:val="20"/>
                <w:szCs w:val="20"/>
              </w:rPr>
              <w:t>手术室倒计时子钟</w:t>
            </w:r>
          </w:p>
        </w:tc>
        <w:tc>
          <w:tcPr>
            <w:tcW w:w="3515" w:type="dxa"/>
            <w:tcBorders>
              <w:top w:val="nil"/>
              <w:left w:val="nil"/>
              <w:bottom w:val="single" w:color="auto" w:sz="4" w:space="0"/>
              <w:right w:val="single" w:color="auto" w:sz="4" w:space="0"/>
            </w:tcBorders>
            <w:shd w:val="clear" w:color="auto" w:fill="auto"/>
            <w:vAlign w:val="center"/>
          </w:tcPr>
          <w:p w14:paraId="0F88C90A">
            <w:pPr>
              <w:widowControl/>
              <w:jc w:val="left"/>
              <w:rPr>
                <w:rFonts w:hint="eastAsia" w:ascii="宋体" w:hAnsi="宋体" w:cs="宋体"/>
                <w:kern w:val="0"/>
                <w:sz w:val="20"/>
                <w:szCs w:val="20"/>
              </w:rPr>
            </w:pPr>
            <w:r>
              <w:rPr>
                <w:rFonts w:hint="eastAsia" w:ascii="宋体" w:hAnsi="宋体" w:cs="宋体"/>
                <w:kern w:val="0"/>
                <w:sz w:val="20"/>
                <w:szCs w:val="20"/>
              </w:rPr>
              <w:t>技术参数：</w:t>
            </w:r>
            <w:r>
              <w:rPr>
                <w:rFonts w:hint="eastAsia" w:ascii="宋体" w:hAnsi="宋体" w:cs="宋体"/>
                <w:kern w:val="0"/>
                <w:sz w:val="20"/>
                <w:szCs w:val="20"/>
              </w:rPr>
              <w:br w:type="textWrapping"/>
            </w:r>
            <w:r>
              <w:rPr>
                <w:rFonts w:hint="eastAsia" w:ascii="宋体" w:hAnsi="宋体" w:cs="宋体"/>
                <w:kern w:val="0"/>
                <w:sz w:val="20"/>
                <w:szCs w:val="20"/>
              </w:rPr>
              <w:t>1、自身计时精度：≤±0.5秒/天。</w:t>
            </w:r>
            <w:r>
              <w:rPr>
                <w:rFonts w:hint="eastAsia" w:ascii="宋体" w:hAnsi="宋体" w:cs="宋体"/>
                <w:kern w:val="0"/>
                <w:sz w:val="20"/>
                <w:szCs w:val="20"/>
              </w:rPr>
              <w:br w:type="textWrapping"/>
            </w:r>
            <w:r>
              <w:rPr>
                <w:rFonts w:hint="eastAsia" w:ascii="宋体" w:hAnsi="宋体" w:cs="宋体"/>
                <w:kern w:val="0"/>
                <w:sz w:val="20"/>
                <w:szCs w:val="20"/>
              </w:rPr>
              <w:t>2、采用NTP以太网对时方式。</w:t>
            </w:r>
            <w:r>
              <w:rPr>
                <w:rFonts w:hint="eastAsia" w:ascii="宋体" w:hAnsi="宋体" w:cs="宋体"/>
                <w:kern w:val="0"/>
                <w:sz w:val="20"/>
                <w:szCs w:val="20"/>
              </w:rPr>
              <w:br w:type="textWrapping"/>
            </w:r>
            <w:r>
              <w:rPr>
                <w:rFonts w:hint="eastAsia" w:ascii="宋体" w:hAnsi="宋体" w:cs="宋体"/>
                <w:kern w:val="0"/>
                <w:sz w:val="20"/>
                <w:szCs w:val="20"/>
              </w:rPr>
              <w:t>3、供电电压：220VAC，50Hz（可选POE供电）。</w:t>
            </w:r>
            <w:r>
              <w:rPr>
                <w:rFonts w:hint="eastAsia" w:ascii="宋体" w:hAnsi="宋体" w:cs="宋体"/>
                <w:kern w:val="0"/>
                <w:sz w:val="20"/>
                <w:szCs w:val="20"/>
              </w:rPr>
              <w:br w:type="textWrapping"/>
            </w:r>
            <w:r>
              <w:rPr>
                <w:rFonts w:hint="eastAsia" w:ascii="宋体" w:hAnsi="宋体" w:cs="宋体"/>
                <w:kern w:val="0"/>
                <w:sz w:val="20"/>
                <w:szCs w:val="20"/>
              </w:rPr>
              <w:t>4、特制高亮2.3寸数码显示手术计时、麻醉计时、北京时间、温湿度；LED发光强度≥200mcd，对比度≥10：1；可视视角：≥±65º；</w:t>
            </w:r>
            <w:r>
              <w:rPr>
                <w:rFonts w:hint="eastAsia" w:ascii="宋体" w:hAnsi="宋体" w:cs="宋体"/>
                <w:kern w:val="0"/>
                <w:sz w:val="20"/>
                <w:szCs w:val="20"/>
              </w:rPr>
              <w:br w:type="textWrapping"/>
            </w:r>
            <w:r>
              <w:rPr>
                <w:rFonts w:hint="eastAsia" w:ascii="宋体" w:hAnsi="宋体" w:cs="宋体"/>
                <w:kern w:val="0"/>
                <w:sz w:val="20"/>
                <w:szCs w:val="20"/>
              </w:rPr>
              <w:t xml:space="preserve">5、遥控设定计时时间，遥控距离：红外遥控≤10M </w:t>
            </w:r>
            <w:r>
              <w:rPr>
                <w:rFonts w:hint="eastAsia" w:ascii="宋体" w:hAnsi="宋体" w:cs="宋体"/>
                <w:kern w:val="0"/>
                <w:sz w:val="20"/>
                <w:szCs w:val="20"/>
              </w:rPr>
              <w:br w:type="textWrapping"/>
            </w:r>
            <w:r>
              <w:rPr>
                <w:rFonts w:hint="eastAsia" w:ascii="宋体" w:hAnsi="宋体" w:cs="宋体"/>
                <w:kern w:val="0"/>
                <w:sz w:val="20"/>
                <w:szCs w:val="20"/>
              </w:rPr>
              <w:t>6、内置网管协议，无缝接入集成化管理软件，实现参数设置、状态监控等。支持倒计时、正计时、远程开关机、指定时段显示、亮度调节等功能管理。</w:t>
            </w:r>
          </w:p>
        </w:tc>
        <w:tc>
          <w:tcPr>
            <w:tcW w:w="981" w:type="dxa"/>
            <w:tcBorders>
              <w:top w:val="nil"/>
              <w:left w:val="nil"/>
              <w:bottom w:val="single" w:color="auto" w:sz="4" w:space="0"/>
              <w:right w:val="single" w:color="auto" w:sz="4" w:space="0"/>
            </w:tcBorders>
            <w:shd w:val="clear" w:color="auto" w:fill="auto"/>
            <w:vAlign w:val="center"/>
          </w:tcPr>
          <w:p w14:paraId="217CD2ED">
            <w:pPr>
              <w:widowControl/>
              <w:jc w:val="center"/>
              <w:rPr>
                <w:rFonts w:hint="eastAsia" w:ascii="宋体" w:hAnsi="宋体" w:cs="宋体"/>
                <w:kern w:val="0"/>
                <w:sz w:val="20"/>
                <w:szCs w:val="20"/>
              </w:rPr>
            </w:pPr>
            <w:r>
              <w:rPr>
                <w:rFonts w:hint="eastAsia" w:ascii="宋体" w:hAnsi="宋体" w:cs="宋体"/>
                <w:kern w:val="0"/>
                <w:sz w:val="20"/>
                <w:szCs w:val="20"/>
              </w:rPr>
              <w:t>台</w:t>
            </w:r>
          </w:p>
        </w:tc>
        <w:tc>
          <w:tcPr>
            <w:tcW w:w="1177" w:type="dxa"/>
            <w:tcBorders>
              <w:top w:val="nil"/>
              <w:left w:val="nil"/>
              <w:bottom w:val="single" w:color="auto" w:sz="4" w:space="0"/>
              <w:right w:val="single" w:color="auto" w:sz="4" w:space="0"/>
            </w:tcBorders>
            <w:shd w:val="clear" w:color="auto" w:fill="auto"/>
            <w:vAlign w:val="center"/>
          </w:tcPr>
          <w:p w14:paraId="7F3D0404">
            <w:pPr>
              <w:widowControl/>
              <w:jc w:val="center"/>
              <w:rPr>
                <w:rFonts w:hint="eastAsia" w:ascii="宋体" w:hAnsi="宋体" w:cs="宋体"/>
                <w:kern w:val="0"/>
                <w:sz w:val="20"/>
                <w:szCs w:val="20"/>
              </w:rPr>
            </w:pPr>
            <w:r>
              <w:rPr>
                <w:rFonts w:hint="eastAsia" w:ascii="宋体" w:hAnsi="宋体" w:cs="宋体"/>
                <w:kern w:val="0"/>
                <w:sz w:val="20"/>
                <w:szCs w:val="20"/>
              </w:rPr>
              <w:t>6</w:t>
            </w:r>
          </w:p>
        </w:tc>
      </w:tr>
      <w:tr w14:paraId="6FC255A7">
        <w:tblPrEx>
          <w:tblCellMar>
            <w:top w:w="0" w:type="dxa"/>
            <w:left w:w="108" w:type="dxa"/>
            <w:bottom w:w="0" w:type="dxa"/>
            <w:right w:w="108" w:type="dxa"/>
          </w:tblCellMar>
        </w:tblPrEx>
        <w:trPr>
          <w:trHeight w:val="280" w:hRule="atLeast"/>
        </w:trPr>
        <w:tc>
          <w:tcPr>
            <w:tcW w:w="1080" w:type="dxa"/>
            <w:tcBorders>
              <w:top w:val="nil"/>
              <w:left w:val="single" w:color="auto" w:sz="4" w:space="0"/>
              <w:bottom w:val="single" w:color="auto" w:sz="4" w:space="0"/>
              <w:right w:val="single" w:color="auto" w:sz="4" w:space="0"/>
            </w:tcBorders>
            <w:shd w:val="clear" w:color="auto" w:fill="auto"/>
            <w:vAlign w:val="center"/>
          </w:tcPr>
          <w:p w14:paraId="5B73F794">
            <w:pPr>
              <w:widowControl/>
              <w:jc w:val="center"/>
              <w:rPr>
                <w:rFonts w:hint="eastAsia" w:ascii="宋体" w:hAnsi="宋体" w:cs="宋体"/>
                <w:kern w:val="0"/>
                <w:sz w:val="20"/>
                <w:szCs w:val="20"/>
              </w:rPr>
            </w:pPr>
            <w:r>
              <w:rPr>
                <w:rFonts w:hint="eastAsia" w:ascii="宋体" w:hAnsi="宋体" w:cs="宋体"/>
                <w:kern w:val="0"/>
                <w:sz w:val="20"/>
                <w:szCs w:val="20"/>
              </w:rPr>
              <w:t>6</w:t>
            </w:r>
          </w:p>
        </w:tc>
        <w:tc>
          <w:tcPr>
            <w:tcW w:w="1325" w:type="dxa"/>
            <w:tcBorders>
              <w:top w:val="nil"/>
              <w:left w:val="nil"/>
              <w:bottom w:val="single" w:color="auto" w:sz="4" w:space="0"/>
              <w:right w:val="single" w:color="auto" w:sz="4" w:space="0"/>
            </w:tcBorders>
            <w:shd w:val="clear" w:color="auto" w:fill="auto"/>
            <w:vAlign w:val="center"/>
          </w:tcPr>
          <w:p w14:paraId="26E367E2">
            <w:pPr>
              <w:widowControl/>
              <w:jc w:val="left"/>
              <w:rPr>
                <w:rFonts w:hint="eastAsia" w:ascii="宋体" w:hAnsi="宋体" w:cs="宋体"/>
                <w:kern w:val="0"/>
                <w:sz w:val="20"/>
                <w:szCs w:val="20"/>
              </w:rPr>
            </w:pPr>
            <w:r>
              <w:rPr>
                <w:rFonts w:hint="eastAsia" w:ascii="宋体" w:hAnsi="宋体" w:cs="宋体"/>
                <w:kern w:val="0"/>
                <w:sz w:val="20"/>
                <w:szCs w:val="20"/>
              </w:rPr>
              <w:t>安装集成调试</w:t>
            </w:r>
          </w:p>
        </w:tc>
        <w:tc>
          <w:tcPr>
            <w:tcW w:w="3515" w:type="dxa"/>
            <w:tcBorders>
              <w:top w:val="nil"/>
              <w:left w:val="nil"/>
              <w:bottom w:val="single" w:color="auto" w:sz="4" w:space="0"/>
              <w:right w:val="single" w:color="auto" w:sz="4" w:space="0"/>
            </w:tcBorders>
            <w:shd w:val="clear" w:color="auto" w:fill="auto"/>
            <w:vAlign w:val="center"/>
          </w:tcPr>
          <w:p w14:paraId="55A0271E">
            <w:pPr>
              <w:widowControl/>
              <w:jc w:val="left"/>
              <w:rPr>
                <w:rFonts w:hint="eastAsia" w:ascii="宋体" w:hAnsi="宋体" w:cs="宋体"/>
                <w:kern w:val="0"/>
                <w:sz w:val="20"/>
                <w:szCs w:val="20"/>
              </w:rPr>
            </w:pPr>
            <w:r>
              <w:rPr>
                <w:rFonts w:hint="eastAsia" w:ascii="宋体" w:hAnsi="宋体" w:cs="宋体"/>
                <w:kern w:val="0"/>
                <w:sz w:val="20"/>
                <w:szCs w:val="20"/>
              </w:rPr>
              <w:t>定制</w:t>
            </w:r>
          </w:p>
        </w:tc>
        <w:tc>
          <w:tcPr>
            <w:tcW w:w="981" w:type="dxa"/>
            <w:tcBorders>
              <w:top w:val="nil"/>
              <w:left w:val="nil"/>
              <w:bottom w:val="single" w:color="auto" w:sz="4" w:space="0"/>
              <w:right w:val="single" w:color="auto" w:sz="4" w:space="0"/>
            </w:tcBorders>
            <w:shd w:val="clear" w:color="auto" w:fill="auto"/>
            <w:vAlign w:val="center"/>
          </w:tcPr>
          <w:p w14:paraId="5C7B5ECE">
            <w:pPr>
              <w:widowControl/>
              <w:jc w:val="center"/>
              <w:rPr>
                <w:rFonts w:hint="eastAsia" w:ascii="宋体" w:hAnsi="宋体" w:cs="宋体"/>
                <w:kern w:val="0"/>
                <w:sz w:val="20"/>
                <w:szCs w:val="20"/>
              </w:rPr>
            </w:pPr>
            <w:r>
              <w:rPr>
                <w:rFonts w:hint="eastAsia" w:ascii="宋体" w:hAnsi="宋体" w:cs="宋体"/>
                <w:kern w:val="0"/>
                <w:sz w:val="20"/>
                <w:szCs w:val="20"/>
              </w:rPr>
              <w:t>项</w:t>
            </w:r>
          </w:p>
        </w:tc>
        <w:tc>
          <w:tcPr>
            <w:tcW w:w="1177" w:type="dxa"/>
            <w:tcBorders>
              <w:top w:val="nil"/>
              <w:left w:val="nil"/>
              <w:bottom w:val="single" w:color="auto" w:sz="4" w:space="0"/>
              <w:right w:val="single" w:color="auto" w:sz="4" w:space="0"/>
            </w:tcBorders>
            <w:shd w:val="clear" w:color="auto" w:fill="auto"/>
            <w:vAlign w:val="center"/>
          </w:tcPr>
          <w:p w14:paraId="446C8C12">
            <w:pPr>
              <w:widowControl/>
              <w:jc w:val="center"/>
              <w:rPr>
                <w:rFonts w:hint="eastAsia" w:ascii="宋体" w:hAnsi="宋体" w:cs="宋体"/>
                <w:kern w:val="0"/>
                <w:sz w:val="20"/>
                <w:szCs w:val="20"/>
              </w:rPr>
            </w:pPr>
            <w:r>
              <w:rPr>
                <w:rFonts w:hint="eastAsia" w:ascii="宋体" w:hAnsi="宋体" w:cs="宋体"/>
                <w:kern w:val="0"/>
                <w:sz w:val="20"/>
                <w:szCs w:val="20"/>
              </w:rPr>
              <w:t>1</w:t>
            </w:r>
          </w:p>
        </w:tc>
      </w:tr>
      <w:tr w14:paraId="392741A3">
        <w:tblPrEx>
          <w:tblCellMar>
            <w:top w:w="0" w:type="dxa"/>
            <w:left w:w="108" w:type="dxa"/>
            <w:bottom w:w="0" w:type="dxa"/>
            <w:right w:w="108" w:type="dxa"/>
          </w:tblCellMar>
        </w:tblPrEx>
        <w:trPr>
          <w:trHeight w:val="280" w:hRule="atLeast"/>
        </w:trPr>
        <w:tc>
          <w:tcPr>
            <w:tcW w:w="2405" w:type="dxa"/>
            <w:gridSpan w:val="2"/>
            <w:tcBorders>
              <w:top w:val="single" w:color="auto" w:sz="4" w:space="0"/>
              <w:left w:val="single" w:color="auto" w:sz="4" w:space="0"/>
              <w:bottom w:val="single" w:color="auto" w:sz="4" w:space="0"/>
              <w:right w:val="nil"/>
            </w:tcBorders>
            <w:shd w:val="clear" w:color="000000" w:fill="AEAAAA"/>
            <w:noWrap/>
            <w:vAlign w:val="center"/>
          </w:tcPr>
          <w:p w14:paraId="1E158618">
            <w:pPr>
              <w:widowControl/>
              <w:jc w:val="left"/>
              <w:rPr>
                <w:rFonts w:hint="eastAsia" w:ascii="宋体" w:hAnsi="宋体" w:cs="宋体"/>
                <w:b/>
                <w:bCs/>
                <w:kern w:val="0"/>
                <w:sz w:val="20"/>
                <w:szCs w:val="20"/>
              </w:rPr>
            </w:pPr>
            <w:r>
              <w:rPr>
                <w:rFonts w:hint="eastAsia" w:ascii="宋体" w:hAnsi="宋体" w:cs="宋体"/>
                <w:b/>
                <w:bCs/>
                <w:kern w:val="0"/>
                <w:sz w:val="20"/>
                <w:szCs w:val="20"/>
              </w:rPr>
              <w:t>五.会议系统及大屏</w:t>
            </w:r>
          </w:p>
        </w:tc>
        <w:tc>
          <w:tcPr>
            <w:tcW w:w="4496" w:type="dxa"/>
            <w:gridSpan w:val="2"/>
            <w:tcBorders>
              <w:top w:val="single" w:color="auto" w:sz="4" w:space="0"/>
              <w:left w:val="single" w:color="auto" w:sz="4" w:space="0"/>
              <w:bottom w:val="single" w:color="auto" w:sz="4" w:space="0"/>
              <w:right w:val="nil"/>
            </w:tcBorders>
            <w:shd w:val="clear" w:color="000000" w:fill="AEAAAA"/>
            <w:noWrap/>
            <w:vAlign w:val="center"/>
          </w:tcPr>
          <w:p w14:paraId="5BA28431">
            <w:pPr>
              <w:widowControl/>
              <w:jc w:val="left"/>
              <w:rPr>
                <w:rFonts w:hint="eastAsia" w:ascii="宋体" w:hAnsi="宋体" w:cs="宋体"/>
                <w:b/>
                <w:bCs/>
                <w:kern w:val="0"/>
                <w:sz w:val="20"/>
                <w:szCs w:val="20"/>
              </w:rPr>
            </w:pPr>
            <w:r>
              <w:rPr>
                <w:rFonts w:hint="eastAsia" w:ascii="宋体" w:hAnsi="宋体" w:cs="宋体"/>
                <w:b/>
                <w:bCs/>
                <w:kern w:val="0"/>
                <w:sz w:val="20"/>
                <w:szCs w:val="20"/>
              </w:rPr>
              <w:t>　</w:t>
            </w:r>
          </w:p>
        </w:tc>
        <w:tc>
          <w:tcPr>
            <w:tcW w:w="1177" w:type="dxa"/>
            <w:tcBorders>
              <w:top w:val="nil"/>
              <w:left w:val="nil"/>
              <w:bottom w:val="single" w:color="auto" w:sz="4" w:space="0"/>
              <w:right w:val="nil"/>
            </w:tcBorders>
            <w:shd w:val="clear" w:color="000000" w:fill="AEAAAA"/>
            <w:noWrap/>
            <w:vAlign w:val="center"/>
          </w:tcPr>
          <w:p w14:paraId="69940465">
            <w:pPr>
              <w:widowControl/>
              <w:jc w:val="center"/>
              <w:rPr>
                <w:rFonts w:hint="eastAsia" w:ascii="宋体" w:hAnsi="宋体" w:cs="宋体"/>
                <w:kern w:val="0"/>
                <w:sz w:val="20"/>
                <w:szCs w:val="20"/>
              </w:rPr>
            </w:pPr>
            <w:r>
              <w:rPr>
                <w:rFonts w:hint="eastAsia" w:ascii="宋体" w:hAnsi="宋体" w:cs="宋体"/>
                <w:kern w:val="0"/>
                <w:sz w:val="20"/>
                <w:szCs w:val="20"/>
              </w:rPr>
              <w:t>　</w:t>
            </w:r>
          </w:p>
        </w:tc>
      </w:tr>
      <w:tr w14:paraId="26EAC94B">
        <w:tblPrEx>
          <w:tblCellMar>
            <w:top w:w="0" w:type="dxa"/>
            <w:left w:w="108" w:type="dxa"/>
            <w:bottom w:w="0" w:type="dxa"/>
            <w:right w:w="108" w:type="dxa"/>
          </w:tblCellMar>
        </w:tblPrEx>
        <w:trPr>
          <w:trHeight w:val="28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5C74742A">
            <w:pPr>
              <w:widowControl/>
              <w:jc w:val="center"/>
              <w:rPr>
                <w:rFonts w:hint="eastAsia" w:ascii="宋体" w:hAnsi="宋体" w:cs="宋体"/>
                <w:b/>
                <w:bCs/>
                <w:kern w:val="0"/>
                <w:sz w:val="20"/>
                <w:szCs w:val="20"/>
              </w:rPr>
            </w:pPr>
            <w:r>
              <w:rPr>
                <w:rFonts w:hint="eastAsia" w:ascii="宋体" w:hAnsi="宋体" w:cs="宋体"/>
                <w:b/>
                <w:bCs/>
                <w:kern w:val="0"/>
                <w:sz w:val="20"/>
                <w:szCs w:val="20"/>
              </w:rPr>
              <w:t xml:space="preserve">序号 </w:t>
            </w:r>
          </w:p>
        </w:tc>
        <w:tc>
          <w:tcPr>
            <w:tcW w:w="1325" w:type="dxa"/>
            <w:tcBorders>
              <w:top w:val="nil"/>
              <w:left w:val="nil"/>
              <w:bottom w:val="single" w:color="auto" w:sz="4" w:space="0"/>
              <w:right w:val="single" w:color="auto" w:sz="4" w:space="0"/>
            </w:tcBorders>
            <w:shd w:val="clear" w:color="auto" w:fill="auto"/>
            <w:noWrap/>
            <w:vAlign w:val="center"/>
          </w:tcPr>
          <w:p w14:paraId="3B4E8517">
            <w:pPr>
              <w:widowControl/>
              <w:jc w:val="left"/>
              <w:rPr>
                <w:rFonts w:hint="eastAsia" w:ascii="宋体" w:hAnsi="宋体" w:cs="宋体"/>
                <w:b/>
                <w:bCs/>
                <w:kern w:val="0"/>
                <w:sz w:val="20"/>
                <w:szCs w:val="20"/>
              </w:rPr>
            </w:pPr>
            <w:r>
              <w:rPr>
                <w:rFonts w:hint="eastAsia" w:ascii="宋体" w:hAnsi="宋体" w:cs="宋体"/>
                <w:b/>
                <w:bCs/>
                <w:kern w:val="0"/>
                <w:sz w:val="20"/>
                <w:szCs w:val="20"/>
              </w:rPr>
              <w:t>货物名称</w:t>
            </w:r>
          </w:p>
        </w:tc>
        <w:tc>
          <w:tcPr>
            <w:tcW w:w="3515" w:type="dxa"/>
            <w:tcBorders>
              <w:top w:val="nil"/>
              <w:left w:val="nil"/>
              <w:bottom w:val="single" w:color="auto" w:sz="4" w:space="0"/>
              <w:right w:val="single" w:color="auto" w:sz="4" w:space="0"/>
            </w:tcBorders>
            <w:shd w:val="clear" w:color="auto" w:fill="auto"/>
            <w:noWrap/>
            <w:vAlign w:val="center"/>
          </w:tcPr>
          <w:p w14:paraId="28EDCC83">
            <w:pPr>
              <w:widowControl/>
              <w:jc w:val="left"/>
              <w:rPr>
                <w:rFonts w:hint="eastAsia" w:ascii="宋体" w:hAnsi="宋体" w:cs="宋体"/>
                <w:b/>
                <w:bCs/>
                <w:kern w:val="0"/>
                <w:sz w:val="20"/>
                <w:szCs w:val="20"/>
              </w:rPr>
            </w:pPr>
            <w:r>
              <w:rPr>
                <w:rFonts w:hint="eastAsia" w:ascii="宋体" w:hAnsi="宋体" w:cs="宋体"/>
                <w:b/>
                <w:bCs/>
                <w:kern w:val="0"/>
                <w:sz w:val="20"/>
                <w:szCs w:val="20"/>
              </w:rPr>
              <w:t>主要功能配置及技术指标要求</w:t>
            </w:r>
          </w:p>
        </w:tc>
        <w:tc>
          <w:tcPr>
            <w:tcW w:w="981" w:type="dxa"/>
            <w:tcBorders>
              <w:top w:val="nil"/>
              <w:left w:val="nil"/>
              <w:bottom w:val="single" w:color="auto" w:sz="4" w:space="0"/>
              <w:right w:val="single" w:color="auto" w:sz="4" w:space="0"/>
            </w:tcBorders>
            <w:shd w:val="clear" w:color="auto" w:fill="auto"/>
            <w:noWrap/>
            <w:vAlign w:val="center"/>
          </w:tcPr>
          <w:p w14:paraId="251239AA">
            <w:pPr>
              <w:widowControl/>
              <w:jc w:val="center"/>
              <w:rPr>
                <w:rFonts w:hint="eastAsia" w:ascii="宋体" w:hAnsi="宋体" w:cs="宋体"/>
                <w:b/>
                <w:bCs/>
                <w:kern w:val="0"/>
                <w:sz w:val="20"/>
                <w:szCs w:val="20"/>
              </w:rPr>
            </w:pPr>
            <w:r>
              <w:rPr>
                <w:rFonts w:hint="eastAsia" w:ascii="宋体" w:hAnsi="宋体" w:cs="宋体"/>
                <w:b/>
                <w:bCs/>
                <w:kern w:val="0"/>
                <w:sz w:val="20"/>
                <w:szCs w:val="20"/>
              </w:rPr>
              <w:t>单位</w:t>
            </w:r>
          </w:p>
        </w:tc>
        <w:tc>
          <w:tcPr>
            <w:tcW w:w="1177" w:type="dxa"/>
            <w:tcBorders>
              <w:top w:val="nil"/>
              <w:left w:val="nil"/>
              <w:bottom w:val="single" w:color="auto" w:sz="4" w:space="0"/>
              <w:right w:val="single" w:color="auto" w:sz="4" w:space="0"/>
            </w:tcBorders>
            <w:shd w:val="clear" w:color="auto" w:fill="auto"/>
            <w:noWrap/>
            <w:vAlign w:val="center"/>
          </w:tcPr>
          <w:p w14:paraId="73B2543F">
            <w:pPr>
              <w:widowControl/>
              <w:jc w:val="center"/>
              <w:rPr>
                <w:rFonts w:hint="eastAsia" w:ascii="宋体" w:hAnsi="宋体" w:cs="宋体"/>
                <w:b/>
                <w:bCs/>
                <w:kern w:val="0"/>
                <w:sz w:val="20"/>
                <w:szCs w:val="20"/>
              </w:rPr>
            </w:pPr>
            <w:r>
              <w:rPr>
                <w:rFonts w:hint="eastAsia" w:ascii="宋体" w:hAnsi="宋体" w:cs="宋体"/>
                <w:b/>
                <w:bCs/>
                <w:kern w:val="0"/>
                <w:sz w:val="20"/>
                <w:szCs w:val="20"/>
              </w:rPr>
              <w:t>数量</w:t>
            </w:r>
          </w:p>
        </w:tc>
      </w:tr>
      <w:tr w14:paraId="20135DCE">
        <w:tblPrEx>
          <w:tblCellMar>
            <w:top w:w="0" w:type="dxa"/>
            <w:left w:w="108" w:type="dxa"/>
            <w:bottom w:w="0" w:type="dxa"/>
            <w:right w:w="108" w:type="dxa"/>
          </w:tblCellMar>
        </w:tblPrEx>
        <w:trPr>
          <w:trHeight w:val="94"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0422C6D2">
            <w:pPr>
              <w:widowControl/>
              <w:jc w:val="center"/>
              <w:rPr>
                <w:rFonts w:hint="eastAsia" w:ascii="宋体" w:hAnsi="宋体" w:cs="宋体"/>
                <w:kern w:val="0"/>
                <w:sz w:val="20"/>
                <w:szCs w:val="20"/>
              </w:rPr>
            </w:pPr>
            <w:r>
              <w:rPr>
                <w:rFonts w:hint="eastAsia" w:ascii="宋体" w:hAnsi="宋体" w:cs="宋体"/>
                <w:kern w:val="0"/>
                <w:sz w:val="20"/>
                <w:szCs w:val="20"/>
              </w:rPr>
              <w:t>1</w:t>
            </w:r>
          </w:p>
        </w:tc>
        <w:tc>
          <w:tcPr>
            <w:tcW w:w="1325" w:type="dxa"/>
            <w:tcBorders>
              <w:top w:val="nil"/>
              <w:left w:val="nil"/>
              <w:bottom w:val="single" w:color="auto" w:sz="4" w:space="0"/>
              <w:right w:val="single" w:color="auto" w:sz="4" w:space="0"/>
            </w:tcBorders>
            <w:shd w:val="clear" w:color="auto" w:fill="auto"/>
            <w:vAlign w:val="center"/>
          </w:tcPr>
          <w:p w14:paraId="08473514">
            <w:pPr>
              <w:widowControl/>
              <w:jc w:val="left"/>
              <w:rPr>
                <w:rFonts w:hint="eastAsia" w:ascii="宋体" w:hAnsi="宋体" w:cs="宋体"/>
                <w:kern w:val="0"/>
                <w:sz w:val="20"/>
                <w:szCs w:val="20"/>
              </w:rPr>
            </w:pPr>
            <w:r>
              <w:rPr>
                <w:rFonts w:hint="eastAsia" w:ascii="宋体" w:hAnsi="宋体" w:cs="宋体"/>
                <w:kern w:val="0"/>
                <w:sz w:val="20"/>
                <w:szCs w:val="20"/>
              </w:rPr>
              <w:t>户内全彩LED屏</w:t>
            </w:r>
          </w:p>
        </w:tc>
        <w:tc>
          <w:tcPr>
            <w:tcW w:w="3515" w:type="dxa"/>
            <w:tcBorders>
              <w:top w:val="nil"/>
              <w:left w:val="nil"/>
              <w:bottom w:val="single" w:color="auto" w:sz="4" w:space="0"/>
              <w:right w:val="single" w:color="auto" w:sz="4" w:space="0"/>
            </w:tcBorders>
            <w:shd w:val="clear" w:color="auto" w:fill="auto"/>
            <w:vAlign w:val="center"/>
          </w:tcPr>
          <w:p w14:paraId="2273B4C7">
            <w:pPr>
              <w:widowControl/>
              <w:jc w:val="left"/>
              <w:rPr>
                <w:rFonts w:hint="eastAsia" w:ascii="宋体" w:hAnsi="宋体" w:cs="宋体"/>
                <w:kern w:val="0"/>
                <w:sz w:val="20"/>
                <w:szCs w:val="20"/>
              </w:rPr>
            </w:pPr>
            <w:r>
              <w:rPr>
                <w:rFonts w:hint="eastAsia" w:ascii="宋体" w:hAnsi="宋体" w:cs="宋体"/>
                <w:kern w:val="0"/>
                <w:sz w:val="20"/>
                <w:szCs w:val="20"/>
              </w:rPr>
              <w:t>1.LED显示屏灯珠采用表贴三合一铜线封装；LED封装形式：SMD1515黑灯；</w:t>
            </w:r>
            <w:r>
              <w:rPr>
                <w:rFonts w:hint="eastAsia" w:ascii="宋体" w:hAnsi="宋体" w:cs="宋体"/>
                <w:kern w:val="0"/>
                <w:sz w:val="20"/>
                <w:szCs w:val="20"/>
              </w:rPr>
              <w:br w:type="textWrapping"/>
            </w:r>
            <w:r>
              <w:rPr>
                <w:rFonts w:hint="eastAsia" w:ascii="宋体" w:hAnsi="宋体" w:cs="宋体"/>
                <w:kern w:val="0"/>
                <w:sz w:val="20"/>
                <w:szCs w:val="20"/>
              </w:rPr>
              <w:t>2.LED显示屏采用≤2.0mm点间距；</w:t>
            </w:r>
            <w:r>
              <w:rPr>
                <w:rFonts w:hint="eastAsia" w:ascii="宋体" w:hAnsi="宋体" w:cs="宋体"/>
                <w:kern w:val="0"/>
                <w:sz w:val="20"/>
                <w:szCs w:val="20"/>
              </w:rPr>
              <w:br w:type="textWrapping"/>
            </w:r>
            <w:r>
              <w:rPr>
                <w:rFonts w:hint="eastAsia" w:ascii="宋体" w:hAnsi="宋体" w:cs="宋体"/>
                <w:kern w:val="0"/>
                <w:sz w:val="20"/>
                <w:szCs w:val="20"/>
              </w:rPr>
              <w:t>3.LED显示屏模组尺寸320mm*160mm；</w:t>
            </w:r>
            <w:r>
              <w:rPr>
                <w:rFonts w:hint="eastAsia" w:ascii="宋体" w:hAnsi="宋体" w:cs="宋体"/>
                <w:kern w:val="0"/>
                <w:sz w:val="20"/>
                <w:szCs w:val="20"/>
              </w:rPr>
              <w:br w:type="textWrapping"/>
            </w:r>
            <w:r>
              <w:rPr>
                <w:rFonts w:hint="eastAsia" w:ascii="宋体" w:hAnsi="宋体" w:cs="宋体"/>
                <w:kern w:val="0"/>
                <w:sz w:val="20"/>
                <w:szCs w:val="20"/>
              </w:rPr>
              <w:t>4.LED显示屏采用前/后维护方式，可正面拆卸模组、接收卡、电源等低压器件，具备热插拔能力；</w:t>
            </w:r>
            <w:r>
              <w:rPr>
                <w:rFonts w:hint="eastAsia" w:ascii="宋体" w:hAnsi="宋体" w:cs="宋体"/>
                <w:kern w:val="0"/>
                <w:sz w:val="20"/>
                <w:szCs w:val="20"/>
              </w:rPr>
              <w:br w:type="textWrapping"/>
            </w:r>
            <w:r>
              <w:rPr>
                <w:rFonts w:hint="eastAsia" w:ascii="宋体" w:hAnsi="宋体" w:cs="宋体"/>
                <w:kern w:val="0"/>
                <w:sz w:val="20"/>
                <w:szCs w:val="20"/>
              </w:rPr>
              <w:t>5.LED显示屏符合≥IP5X防护等级；</w:t>
            </w:r>
            <w:r>
              <w:rPr>
                <w:rFonts w:hint="eastAsia" w:ascii="宋体" w:hAnsi="宋体" w:cs="宋体"/>
                <w:kern w:val="0"/>
                <w:sz w:val="20"/>
                <w:szCs w:val="20"/>
              </w:rPr>
              <w:br w:type="textWrapping"/>
            </w:r>
            <w:r>
              <w:rPr>
                <w:rFonts w:hint="eastAsia" w:ascii="宋体" w:hAnsi="宋体" w:cs="宋体"/>
                <w:kern w:val="0"/>
                <w:sz w:val="20"/>
                <w:szCs w:val="20"/>
              </w:rPr>
              <w:t>6.LED显示屏亮度可达到200-800CD/m²，可通过配套软件0-100%调节，设置亮度定时调节；</w:t>
            </w:r>
            <w:r>
              <w:rPr>
                <w:rFonts w:hint="eastAsia" w:ascii="宋体" w:hAnsi="宋体" w:cs="宋体"/>
                <w:kern w:val="0"/>
                <w:sz w:val="20"/>
                <w:szCs w:val="20"/>
              </w:rPr>
              <w:br w:type="textWrapping"/>
            </w:r>
            <w:r>
              <w:rPr>
                <w:rFonts w:hint="eastAsia" w:ascii="宋体" w:hAnsi="宋体" w:cs="宋体"/>
                <w:kern w:val="0"/>
                <w:sz w:val="20"/>
                <w:szCs w:val="20"/>
              </w:rPr>
              <w:t>7.LED显示屏对比度≥10000：1；LED显示屏杂点率≤1/100000且无连续失控点；LED显示屏亮度均匀性≥99%；LED显示色度均匀性±0.001Cx,Cy之内；LED显示屏像素中心距相对偏差≤1%；LED显示屏观看水平/垂直视角≥175°；LED显示屏平均故障恢复时间（MTTR）≤2分钟；</w:t>
            </w:r>
            <w:r>
              <w:rPr>
                <w:rFonts w:hint="eastAsia" w:ascii="宋体" w:hAnsi="宋体" w:cs="宋体"/>
                <w:kern w:val="0"/>
                <w:sz w:val="20"/>
                <w:szCs w:val="20"/>
              </w:rPr>
              <w:br w:type="textWrapping"/>
            </w:r>
            <w:r>
              <w:rPr>
                <w:rFonts w:hint="eastAsia" w:ascii="宋体" w:hAnsi="宋体" w:cs="宋体"/>
                <w:kern w:val="0"/>
                <w:sz w:val="20"/>
                <w:szCs w:val="20"/>
              </w:rPr>
              <w:t>8.LED显示屏刷新频率≥4200Hz，可通过配套控制软件调节刷新率设置选项；</w:t>
            </w:r>
            <w:r>
              <w:rPr>
                <w:rFonts w:hint="eastAsia" w:ascii="宋体" w:hAnsi="宋体" w:cs="宋体"/>
                <w:kern w:val="0"/>
                <w:sz w:val="20"/>
                <w:szCs w:val="20"/>
              </w:rPr>
              <w:br w:type="textWrapping"/>
            </w:r>
            <w:r>
              <w:rPr>
                <w:rFonts w:hint="eastAsia" w:ascii="宋体" w:hAnsi="宋体" w:cs="宋体"/>
                <w:kern w:val="0"/>
                <w:sz w:val="20"/>
                <w:szCs w:val="20"/>
              </w:rPr>
              <w:t>9.LED显示屏色温100K-20000K连续可调，可设冷色、暖色、标准等多档白场调节,色温为8500K时，100%、75%、50%、25%四档电平白场调节色温误差≤100K；</w:t>
            </w:r>
            <w:r>
              <w:rPr>
                <w:rFonts w:hint="eastAsia" w:ascii="宋体" w:hAnsi="宋体" w:cs="宋体"/>
                <w:kern w:val="0"/>
                <w:sz w:val="20"/>
                <w:szCs w:val="20"/>
              </w:rPr>
              <w:br w:type="textWrapping"/>
            </w:r>
            <w:r>
              <w:rPr>
                <w:rFonts w:hint="eastAsia" w:ascii="宋体" w:hAnsi="宋体" w:cs="宋体"/>
                <w:kern w:val="0"/>
                <w:sz w:val="20"/>
                <w:szCs w:val="20"/>
              </w:rPr>
              <w:t>10.LED显示屏峰值功耗为≤500W/㎡；LED显示屏平均功耗为≤125W/㎡；</w:t>
            </w:r>
            <w:r>
              <w:rPr>
                <w:rFonts w:hint="eastAsia" w:ascii="宋体" w:hAnsi="宋体" w:cs="宋体"/>
                <w:kern w:val="0"/>
                <w:sz w:val="20"/>
                <w:szCs w:val="20"/>
              </w:rPr>
              <w:br w:type="textWrapping"/>
            </w:r>
            <w:r>
              <w:rPr>
                <w:rFonts w:hint="eastAsia" w:ascii="宋体" w:hAnsi="宋体" w:cs="宋体"/>
                <w:kern w:val="0"/>
                <w:sz w:val="20"/>
                <w:szCs w:val="20"/>
              </w:rPr>
              <w:t>11.LED显示屏为防止金属离子迁移、线路短路现象，PCB采用FR-4四层板同等级或更高材料，板厚≥1.6mm，铜厚≥1mm，TG≥150℃，PCB板表面具备防潮/防尘/防静电/抗氧化，防霉等级≤1级；</w:t>
            </w:r>
            <w:r>
              <w:rPr>
                <w:rFonts w:hint="eastAsia" w:ascii="宋体" w:hAnsi="宋体" w:cs="宋体"/>
                <w:kern w:val="0"/>
                <w:sz w:val="20"/>
                <w:szCs w:val="20"/>
              </w:rPr>
              <w:br w:type="textWrapping"/>
            </w:r>
            <w:r>
              <w:rPr>
                <w:rFonts w:hint="eastAsia" w:ascii="宋体" w:hAnsi="宋体" w:cs="宋体"/>
                <w:kern w:val="0"/>
                <w:sz w:val="20"/>
                <w:szCs w:val="20"/>
              </w:rPr>
              <w:t>12.LED显示屏依据GB/T 5169.16-2017标准，测试温度在650℃，时间30秒，样品燃烧火焰或熔融物应该在灼热丝测试结束后30秒内熄灭，并且样品燃烧的火焰或熔融物滴落时不能使下方的测试纸燃烧，（PCB板、线材、电源、连接件）阻燃等级达到V-0等级；</w:t>
            </w:r>
            <w:r>
              <w:rPr>
                <w:rFonts w:hint="eastAsia" w:ascii="宋体" w:hAnsi="宋体" w:cs="宋体"/>
                <w:kern w:val="0"/>
                <w:sz w:val="20"/>
                <w:szCs w:val="20"/>
              </w:rPr>
              <w:br w:type="textWrapping"/>
            </w:r>
            <w:r>
              <w:rPr>
                <w:rFonts w:hint="eastAsia" w:ascii="宋体" w:hAnsi="宋体" w:cs="宋体"/>
                <w:kern w:val="0"/>
                <w:sz w:val="20"/>
                <w:szCs w:val="20"/>
              </w:rPr>
              <w:t>13.LED显示屏依据GB/T 2423.17-2008进行试验，产品在温度35℃、盐雾为浓度5%的NaCl溶液、PH值7.0、连续喷雾2小时后静置22小时为1个循环周期/总共3个循环周期的条件下试验后，产品外观无生锈现象，可以无故障运行，符合盐雾10级要求；</w:t>
            </w:r>
            <w:r>
              <w:rPr>
                <w:rFonts w:hint="eastAsia" w:ascii="宋体" w:hAnsi="宋体" w:cs="宋体"/>
                <w:kern w:val="0"/>
                <w:sz w:val="20"/>
                <w:szCs w:val="20"/>
              </w:rPr>
              <w:br w:type="textWrapping"/>
            </w:r>
            <w:r>
              <w:rPr>
                <w:rFonts w:hint="eastAsia" w:ascii="宋体" w:hAnsi="宋体" w:cs="宋体"/>
                <w:kern w:val="0"/>
                <w:sz w:val="20"/>
                <w:szCs w:val="20"/>
              </w:rPr>
              <w:t>14.LED显示屏符合EMCCLASSB抗干扰能力，要求运行稳定不受外界各射频电磁场的干扰；</w:t>
            </w:r>
            <w:r>
              <w:rPr>
                <w:rFonts w:hint="eastAsia" w:ascii="宋体" w:hAnsi="宋体" w:cs="宋体"/>
                <w:kern w:val="0"/>
                <w:sz w:val="20"/>
                <w:szCs w:val="20"/>
              </w:rPr>
              <w:br w:type="textWrapping"/>
            </w:r>
            <w:r>
              <w:rPr>
                <w:rFonts w:hint="eastAsia" w:ascii="宋体" w:hAnsi="宋体" w:cs="宋体"/>
                <w:kern w:val="0"/>
                <w:sz w:val="20"/>
                <w:szCs w:val="20"/>
              </w:rPr>
              <w:t>15.LED显示屏具备低蓝光模式，可在控制软件中选择30%、40%、70%三挡调节显示屏蓝光输出，有效减少蓝光辐射对眼睛的伤害；</w:t>
            </w:r>
          </w:p>
        </w:tc>
        <w:tc>
          <w:tcPr>
            <w:tcW w:w="981" w:type="dxa"/>
            <w:tcBorders>
              <w:top w:val="nil"/>
              <w:left w:val="nil"/>
              <w:bottom w:val="single" w:color="auto" w:sz="4" w:space="0"/>
              <w:right w:val="single" w:color="auto" w:sz="4" w:space="0"/>
            </w:tcBorders>
            <w:shd w:val="clear" w:color="auto" w:fill="auto"/>
            <w:vAlign w:val="center"/>
          </w:tcPr>
          <w:p w14:paraId="430FCCE6">
            <w:pPr>
              <w:widowControl/>
              <w:jc w:val="center"/>
              <w:rPr>
                <w:rFonts w:hint="eastAsia" w:ascii="宋体" w:hAnsi="宋体" w:cs="宋体"/>
                <w:kern w:val="0"/>
                <w:sz w:val="20"/>
                <w:szCs w:val="20"/>
              </w:rPr>
            </w:pPr>
            <w:r>
              <w:rPr>
                <w:rFonts w:hint="eastAsia" w:ascii="宋体" w:hAnsi="宋体" w:cs="宋体"/>
                <w:kern w:val="0"/>
                <w:sz w:val="20"/>
                <w:szCs w:val="20"/>
              </w:rPr>
              <w:t>平方米</w:t>
            </w:r>
          </w:p>
        </w:tc>
        <w:tc>
          <w:tcPr>
            <w:tcW w:w="1177" w:type="dxa"/>
            <w:tcBorders>
              <w:top w:val="nil"/>
              <w:left w:val="nil"/>
              <w:bottom w:val="single" w:color="auto" w:sz="4" w:space="0"/>
              <w:right w:val="single" w:color="auto" w:sz="4" w:space="0"/>
            </w:tcBorders>
            <w:shd w:val="clear" w:color="auto" w:fill="auto"/>
            <w:vAlign w:val="center"/>
          </w:tcPr>
          <w:p w14:paraId="60B9561C">
            <w:pPr>
              <w:widowControl/>
              <w:jc w:val="center"/>
              <w:rPr>
                <w:rFonts w:hint="eastAsia" w:ascii="宋体" w:hAnsi="宋体" w:cs="宋体"/>
                <w:kern w:val="0"/>
                <w:sz w:val="20"/>
                <w:szCs w:val="20"/>
              </w:rPr>
            </w:pPr>
            <w:r>
              <w:rPr>
                <w:rFonts w:hint="eastAsia" w:ascii="宋体" w:hAnsi="宋体" w:cs="宋体"/>
                <w:kern w:val="0"/>
                <w:sz w:val="20"/>
                <w:szCs w:val="20"/>
              </w:rPr>
              <w:t>19.968</w:t>
            </w:r>
          </w:p>
        </w:tc>
      </w:tr>
      <w:tr w14:paraId="0C3779D9">
        <w:tblPrEx>
          <w:tblCellMar>
            <w:top w:w="0" w:type="dxa"/>
            <w:left w:w="108" w:type="dxa"/>
            <w:bottom w:w="0" w:type="dxa"/>
            <w:right w:w="108" w:type="dxa"/>
          </w:tblCellMar>
        </w:tblPrEx>
        <w:trPr>
          <w:trHeight w:val="234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76961D63">
            <w:pPr>
              <w:widowControl/>
              <w:jc w:val="center"/>
              <w:rPr>
                <w:rFonts w:hint="eastAsia" w:ascii="宋体" w:hAnsi="宋体" w:cs="宋体"/>
                <w:kern w:val="0"/>
                <w:sz w:val="20"/>
                <w:szCs w:val="20"/>
              </w:rPr>
            </w:pPr>
            <w:r>
              <w:rPr>
                <w:rFonts w:hint="eastAsia" w:ascii="宋体" w:hAnsi="宋体" w:cs="宋体"/>
                <w:kern w:val="0"/>
                <w:sz w:val="20"/>
                <w:szCs w:val="20"/>
              </w:rPr>
              <w:t>2</w:t>
            </w:r>
          </w:p>
        </w:tc>
        <w:tc>
          <w:tcPr>
            <w:tcW w:w="1325" w:type="dxa"/>
            <w:tcBorders>
              <w:top w:val="nil"/>
              <w:left w:val="nil"/>
              <w:bottom w:val="single" w:color="auto" w:sz="4" w:space="0"/>
              <w:right w:val="single" w:color="auto" w:sz="4" w:space="0"/>
            </w:tcBorders>
            <w:shd w:val="clear" w:color="auto" w:fill="auto"/>
            <w:vAlign w:val="center"/>
          </w:tcPr>
          <w:p w14:paraId="59A426CC">
            <w:pPr>
              <w:widowControl/>
              <w:jc w:val="left"/>
              <w:rPr>
                <w:rFonts w:hint="eastAsia" w:ascii="宋体" w:hAnsi="宋体" w:cs="宋体"/>
                <w:kern w:val="0"/>
                <w:sz w:val="20"/>
                <w:szCs w:val="20"/>
              </w:rPr>
            </w:pPr>
            <w:r>
              <w:rPr>
                <w:rFonts w:hint="eastAsia" w:ascii="宋体" w:hAnsi="宋体" w:cs="宋体"/>
                <w:kern w:val="0"/>
                <w:sz w:val="20"/>
                <w:szCs w:val="20"/>
              </w:rPr>
              <w:t>发送盒</w:t>
            </w:r>
          </w:p>
        </w:tc>
        <w:tc>
          <w:tcPr>
            <w:tcW w:w="3515" w:type="dxa"/>
            <w:tcBorders>
              <w:top w:val="nil"/>
              <w:left w:val="nil"/>
              <w:bottom w:val="single" w:color="auto" w:sz="4" w:space="0"/>
              <w:right w:val="single" w:color="auto" w:sz="4" w:space="0"/>
            </w:tcBorders>
            <w:shd w:val="clear" w:color="auto" w:fill="auto"/>
            <w:vAlign w:val="center"/>
          </w:tcPr>
          <w:p w14:paraId="24914624">
            <w:pPr>
              <w:widowControl/>
              <w:jc w:val="left"/>
              <w:rPr>
                <w:rFonts w:hint="eastAsia" w:ascii="宋体" w:hAnsi="宋体" w:cs="宋体"/>
                <w:kern w:val="0"/>
                <w:sz w:val="20"/>
                <w:szCs w:val="20"/>
              </w:rPr>
            </w:pPr>
            <w:r>
              <w:rPr>
                <w:rFonts w:hint="eastAsia" w:ascii="宋体" w:hAnsi="宋体" w:cs="宋体"/>
                <w:kern w:val="0"/>
                <w:sz w:val="20"/>
                <w:szCs w:val="20"/>
              </w:rPr>
              <w:t>1.具备带载面积≥720万像素，最宽≥8192点，或最高≥4096点；</w:t>
            </w:r>
            <w:r>
              <w:rPr>
                <w:rFonts w:hint="eastAsia" w:ascii="宋体" w:hAnsi="宋体" w:cs="宋体"/>
                <w:kern w:val="0"/>
                <w:sz w:val="20"/>
                <w:szCs w:val="20"/>
              </w:rPr>
              <w:br w:type="textWrapping"/>
            </w:r>
            <w:r>
              <w:rPr>
                <w:rFonts w:hint="eastAsia" w:ascii="宋体" w:hAnsi="宋体" w:cs="宋体"/>
                <w:kern w:val="0"/>
                <w:sz w:val="20"/>
                <w:szCs w:val="20"/>
              </w:rPr>
              <w:t>2.具备输入分辨率≥1920×1200@60Hz，支持自定义分辨率设置；</w:t>
            </w:r>
            <w:r>
              <w:rPr>
                <w:rFonts w:hint="eastAsia" w:ascii="宋体" w:hAnsi="宋体" w:cs="宋体"/>
                <w:kern w:val="0"/>
                <w:sz w:val="20"/>
                <w:szCs w:val="20"/>
              </w:rPr>
              <w:br w:type="textWrapping"/>
            </w:r>
            <w:r>
              <w:rPr>
                <w:rFonts w:hint="eastAsia" w:ascii="宋体" w:hAnsi="宋体" w:cs="宋体"/>
                <w:kern w:val="0"/>
                <w:sz w:val="20"/>
                <w:szCs w:val="20"/>
              </w:rPr>
              <w:t>3.具备≥12路千兆网口输出；</w:t>
            </w:r>
            <w:r>
              <w:rPr>
                <w:rFonts w:hint="eastAsia" w:ascii="宋体" w:hAnsi="宋体" w:cs="宋体"/>
                <w:kern w:val="0"/>
                <w:sz w:val="20"/>
                <w:szCs w:val="20"/>
              </w:rPr>
              <w:br w:type="textWrapping"/>
            </w:r>
            <w:r>
              <w:rPr>
                <w:rFonts w:hint="eastAsia" w:ascii="宋体" w:hAnsi="宋体" w:cs="宋体"/>
                <w:kern w:val="0"/>
                <w:sz w:val="20"/>
                <w:szCs w:val="20"/>
              </w:rPr>
              <w:t>4.具备对视频信号任意切换，裁剪，拼接，缩放；</w:t>
            </w:r>
            <w:r>
              <w:rPr>
                <w:rFonts w:hint="eastAsia" w:ascii="宋体" w:hAnsi="宋体" w:cs="宋体"/>
                <w:kern w:val="0"/>
                <w:sz w:val="20"/>
                <w:szCs w:val="20"/>
              </w:rPr>
              <w:br w:type="textWrapping"/>
            </w:r>
            <w:r>
              <w:rPr>
                <w:rFonts w:hint="eastAsia" w:ascii="宋体" w:hAnsi="宋体" w:cs="宋体"/>
                <w:kern w:val="0"/>
                <w:sz w:val="20"/>
                <w:szCs w:val="20"/>
              </w:rPr>
              <w:t>5.具备≥3画面显示，位置、大小可自由调节；</w:t>
            </w:r>
            <w:r>
              <w:rPr>
                <w:rFonts w:hint="eastAsia" w:ascii="宋体" w:hAnsi="宋体" w:cs="宋体"/>
                <w:kern w:val="0"/>
                <w:sz w:val="20"/>
                <w:szCs w:val="20"/>
              </w:rPr>
              <w:br w:type="textWrapping"/>
            </w:r>
            <w:r>
              <w:rPr>
                <w:rFonts w:hint="eastAsia" w:ascii="宋体" w:hAnsi="宋体" w:cs="宋体"/>
                <w:kern w:val="0"/>
                <w:sz w:val="20"/>
                <w:szCs w:val="20"/>
              </w:rPr>
              <w:t>6.具备HDCP1.4协议的高带宽数字内容保护技术；</w:t>
            </w:r>
            <w:r>
              <w:rPr>
                <w:rFonts w:hint="eastAsia" w:ascii="宋体" w:hAnsi="宋体" w:cs="宋体"/>
                <w:kern w:val="0"/>
                <w:sz w:val="20"/>
                <w:szCs w:val="20"/>
              </w:rPr>
              <w:br w:type="textWrapping"/>
            </w:r>
            <w:r>
              <w:rPr>
                <w:rFonts w:hint="eastAsia" w:ascii="宋体" w:hAnsi="宋体" w:cs="宋体"/>
                <w:kern w:val="0"/>
                <w:sz w:val="20"/>
                <w:szCs w:val="20"/>
              </w:rPr>
              <w:t>7.具备双USB2.0高速通讯接口，用于电脑调试和主控间任意级联；</w:t>
            </w:r>
            <w:r>
              <w:rPr>
                <w:rFonts w:hint="eastAsia" w:ascii="宋体" w:hAnsi="宋体" w:cs="宋体"/>
                <w:kern w:val="0"/>
                <w:sz w:val="20"/>
                <w:szCs w:val="20"/>
              </w:rPr>
              <w:br w:type="textWrapping"/>
            </w:r>
            <w:r>
              <w:rPr>
                <w:rFonts w:hint="eastAsia" w:ascii="宋体" w:hAnsi="宋体" w:cs="宋体"/>
                <w:kern w:val="0"/>
                <w:sz w:val="20"/>
                <w:szCs w:val="20"/>
              </w:rPr>
              <w:t>8.具备RS232串口协议控制；</w:t>
            </w:r>
            <w:r>
              <w:rPr>
                <w:rFonts w:hint="eastAsia" w:ascii="宋体" w:hAnsi="宋体" w:cs="宋体"/>
                <w:kern w:val="0"/>
                <w:sz w:val="20"/>
                <w:szCs w:val="20"/>
              </w:rPr>
              <w:br w:type="textWrapping"/>
            </w:r>
            <w:r>
              <w:rPr>
                <w:rFonts w:hint="eastAsia" w:ascii="宋体" w:hAnsi="宋体" w:cs="宋体"/>
                <w:kern w:val="0"/>
                <w:sz w:val="20"/>
                <w:szCs w:val="20"/>
              </w:rPr>
              <w:t>9.具备亮度、色温调节，支持对比度、色调、饱和度调节；</w:t>
            </w:r>
          </w:p>
        </w:tc>
        <w:tc>
          <w:tcPr>
            <w:tcW w:w="981" w:type="dxa"/>
            <w:tcBorders>
              <w:top w:val="nil"/>
              <w:left w:val="nil"/>
              <w:bottom w:val="single" w:color="auto" w:sz="4" w:space="0"/>
              <w:right w:val="single" w:color="auto" w:sz="4" w:space="0"/>
            </w:tcBorders>
            <w:shd w:val="clear" w:color="auto" w:fill="auto"/>
            <w:vAlign w:val="center"/>
          </w:tcPr>
          <w:p w14:paraId="06B5001A">
            <w:pPr>
              <w:widowControl/>
              <w:jc w:val="center"/>
              <w:rPr>
                <w:rFonts w:hint="eastAsia" w:ascii="宋体" w:hAnsi="宋体" w:cs="宋体"/>
                <w:kern w:val="0"/>
                <w:sz w:val="20"/>
                <w:szCs w:val="20"/>
              </w:rPr>
            </w:pPr>
            <w:r>
              <w:rPr>
                <w:rFonts w:hint="eastAsia" w:ascii="宋体" w:hAnsi="宋体" w:cs="宋体"/>
                <w:kern w:val="0"/>
                <w:sz w:val="20"/>
                <w:szCs w:val="20"/>
              </w:rPr>
              <w:t>台</w:t>
            </w:r>
          </w:p>
        </w:tc>
        <w:tc>
          <w:tcPr>
            <w:tcW w:w="1177" w:type="dxa"/>
            <w:tcBorders>
              <w:top w:val="nil"/>
              <w:left w:val="nil"/>
              <w:bottom w:val="single" w:color="auto" w:sz="4" w:space="0"/>
              <w:right w:val="single" w:color="auto" w:sz="4" w:space="0"/>
            </w:tcBorders>
            <w:shd w:val="clear" w:color="auto" w:fill="auto"/>
            <w:noWrap/>
            <w:vAlign w:val="center"/>
          </w:tcPr>
          <w:p w14:paraId="28A42C4E">
            <w:pPr>
              <w:widowControl/>
              <w:jc w:val="center"/>
              <w:rPr>
                <w:rFonts w:hint="eastAsia" w:ascii="宋体" w:hAnsi="宋体" w:cs="宋体"/>
                <w:kern w:val="0"/>
                <w:sz w:val="20"/>
                <w:szCs w:val="20"/>
              </w:rPr>
            </w:pPr>
            <w:r>
              <w:rPr>
                <w:rFonts w:hint="eastAsia" w:ascii="宋体" w:hAnsi="宋体" w:cs="宋体"/>
                <w:kern w:val="0"/>
                <w:sz w:val="20"/>
                <w:szCs w:val="20"/>
              </w:rPr>
              <w:t>1</w:t>
            </w:r>
          </w:p>
        </w:tc>
      </w:tr>
      <w:tr w14:paraId="5737B1B2">
        <w:tblPrEx>
          <w:tblCellMar>
            <w:top w:w="0" w:type="dxa"/>
            <w:left w:w="108" w:type="dxa"/>
            <w:bottom w:w="0" w:type="dxa"/>
            <w:right w:w="108" w:type="dxa"/>
          </w:tblCellMar>
        </w:tblPrEx>
        <w:trPr>
          <w:trHeight w:val="182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104E3671">
            <w:pPr>
              <w:widowControl/>
              <w:jc w:val="center"/>
              <w:rPr>
                <w:rFonts w:hint="eastAsia" w:ascii="宋体" w:hAnsi="宋体" w:cs="宋体"/>
                <w:kern w:val="0"/>
                <w:sz w:val="20"/>
                <w:szCs w:val="20"/>
              </w:rPr>
            </w:pPr>
            <w:r>
              <w:rPr>
                <w:rFonts w:hint="eastAsia" w:ascii="宋体" w:hAnsi="宋体" w:cs="宋体"/>
                <w:kern w:val="0"/>
                <w:sz w:val="20"/>
                <w:szCs w:val="20"/>
              </w:rPr>
              <w:t>3</w:t>
            </w:r>
          </w:p>
        </w:tc>
        <w:tc>
          <w:tcPr>
            <w:tcW w:w="1325" w:type="dxa"/>
            <w:tcBorders>
              <w:top w:val="nil"/>
              <w:left w:val="nil"/>
              <w:bottom w:val="single" w:color="auto" w:sz="4" w:space="0"/>
              <w:right w:val="single" w:color="auto" w:sz="4" w:space="0"/>
            </w:tcBorders>
            <w:shd w:val="clear" w:color="auto" w:fill="auto"/>
            <w:vAlign w:val="center"/>
          </w:tcPr>
          <w:p w14:paraId="371237CD">
            <w:pPr>
              <w:widowControl/>
              <w:jc w:val="left"/>
              <w:rPr>
                <w:rFonts w:hint="eastAsia" w:ascii="宋体" w:hAnsi="宋体" w:cs="宋体"/>
                <w:kern w:val="0"/>
                <w:sz w:val="20"/>
                <w:szCs w:val="20"/>
              </w:rPr>
            </w:pPr>
            <w:r>
              <w:rPr>
                <w:rFonts w:hint="eastAsia" w:ascii="宋体" w:hAnsi="宋体" w:cs="宋体"/>
                <w:kern w:val="0"/>
                <w:sz w:val="20"/>
                <w:szCs w:val="20"/>
              </w:rPr>
              <w:t>配电柜</w:t>
            </w:r>
          </w:p>
        </w:tc>
        <w:tc>
          <w:tcPr>
            <w:tcW w:w="3515" w:type="dxa"/>
            <w:tcBorders>
              <w:top w:val="nil"/>
              <w:left w:val="nil"/>
              <w:bottom w:val="single" w:color="auto" w:sz="4" w:space="0"/>
              <w:right w:val="single" w:color="auto" w:sz="4" w:space="0"/>
            </w:tcBorders>
            <w:shd w:val="clear" w:color="auto" w:fill="auto"/>
            <w:vAlign w:val="center"/>
          </w:tcPr>
          <w:p w14:paraId="6A26EBEB">
            <w:pPr>
              <w:widowControl/>
              <w:jc w:val="left"/>
              <w:rPr>
                <w:rFonts w:hint="eastAsia" w:ascii="宋体" w:hAnsi="宋体" w:cs="宋体"/>
                <w:kern w:val="0"/>
                <w:sz w:val="20"/>
                <w:szCs w:val="20"/>
              </w:rPr>
            </w:pPr>
            <w:r>
              <w:rPr>
                <w:rFonts w:hint="eastAsia" w:ascii="宋体" w:hAnsi="宋体" w:cs="宋体"/>
                <w:kern w:val="0"/>
                <w:sz w:val="20"/>
                <w:szCs w:val="20"/>
              </w:rPr>
              <w:t>1.额定功率：≥20kW，输出路数：≥6路</w:t>
            </w:r>
            <w:r>
              <w:rPr>
                <w:rFonts w:hint="eastAsia" w:ascii="宋体" w:hAnsi="宋体" w:cs="宋体"/>
                <w:kern w:val="0"/>
                <w:sz w:val="20"/>
                <w:szCs w:val="20"/>
              </w:rPr>
              <w:br w:type="page"/>
            </w:r>
            <w:r>
              <w:rPr>
                <w:rFonts w:hint="eastAsia" w:ascii="宋体" w:hAnsi="宋体" w:cs="宋体"/>
                <w:kern w:val="0"/>
                <w:sz w:val="20"/>
                <w:szCs w:val="20"/>
              </w:rPr>
              <w:t>2.输入电压：三相五线制AC380V±10%，频率50Hz±5%，具有高温断电、浪涌、短路、过流、过载保护功能；</w:t>
            </w:r>
            <w:r>
              <w:rPr>
                <w:rFonts w:hint="eastAsia" w:ascii="宋体" w:hAnsi="宋体" w:cs="宋体"/>
                <w:kern w:val="0"/>
                <w:sz w:val="20"/>
                <w:szCs w:val="20"/>
              </w:rPr>
              <w:br w:type="page"/>
            </w:r>
            <w:r>
              <w:rPr>
                <w:rFonts w:hint="eastAsia" w:ascii="宋体" w:hAnsi="宋体" w:cs="宋体"/>
                <w:kern w:val="0"/>
                <w:sz w:val="20"/>
                <w:szCs w:val="20"/>
              </w:rPr>
              <w:t>3.输出电压：单相三线制AC220V±10%；</w:t>
            </w:r>
            <w:r>
              <w:rPr>
                <w:rFonts w:hint="eastAsia" w:ascii="宋体" w:hAnsi="宋体" w:cs="宋体"/>
                <w:kern w:val="0"/>
                <w:sz w:val="20"/>
                <w:szCs w:val="20"/>
              </w:rPr>
              <w:br w:type="page"/>
            </w:r>
            <w:r>
              <w:rPr>
                <w:rFonts w:hint="eastAsia" w:ascii="宋体" w:hAnsi="宋体" w:cs="宋体"/>
                <w:kern w:val="0"/>
                <w:sz w:val="20"/>
                <w:szCs w:val="20"/>
              </w:rPr>
              <w:t>4.内置避雷器，具有避雷防雷功能；</w:t>
            </w:r>
            <w:r>
              <w:rPr>
                <w:rFonts w:hint="eastAsia" w:ascii="宋体" w:hAnsi="宋体" w:cs="宋体"/>
                <w:kern w:val="0"/>
                <w:sz w:val="20"/>
                <w:szCs w:val="20"/>
              </w:rPr>
              <w:br w:type="page"/>
            </w:r>
            <w:r>
              <w:rPr>
                <w:rFonts w:hint="eastAsia" w:ascii="宋体" w:hAnsi="宋体" w:cs="宋体"/>
                <w:kern w:val="0"/>
                <w:sz w:val="20"/>
                <w:szCs w:val="20"/>
              </w:rPr>
              <w:t>5.配电柜含多功能卡控制，具有远程控制功能、RS232串口或千兆网口通信；</w:t>
            </w:r>
            <w:r>
              <w:rPr>
                <w:rFonts w:hint="eastAsia" w:ascii="宋体" w:hAnsi="宋体" w:cs="宋体"/>
                <w:kern w:val="0"/>
                <w:sz w:val="20"/>
                <w:szCs w:val="20"/>
              </w:rPr>
              <w:br w:type="page"/>
            </w:r>
            <w:r>
              <w:rPr>
                <w:rFonts w:hint="eastAsia" w:ascii="宋体" w:hAnsi="宋体" w:cs="宋体"/>
                <w:kern w:val="0"/>
                <w:sz w:val="20"/>
                <w:szCs w:val="20"/>
              </w:rPr>
              <w:t>6.通过LED显示屏智慧控制系统软件搭配多功能卡实现电源监视、温度监控操作；</w:t>
            </w:r>
          </w:p>
        </w:tc>
        <w:tc>
          <w:tcPr>
            <w:tcW w:w="981" w:type="dxa"/>
            <w:tcBorders>
              <w:top w:val="nil"/>
              <w:left w:val="nil"/>
              <w:bottom w:val="single" w:color="auto" w:sz="4" w:space="0"/>
              <w:right w:val="single" w:color="auto" w:sz="4" w:space="0"/>
            </w:tcBorders>
            <w:shd w:val="clear" w:color="auto" w:fill="auto"/>
            <w:vAlign w:val="center"/>
          </w:tcPr>
          <w:p w14:paraId="195A598E">
            <w:pPr>
              <w:widowControl/>
              <w:jc w:val="center"/>
              <w:rPr>
                <w:rFonts w:hint="eastAsia" w:ascii="宋体" w:hAnsi="宋体" w:cs="宋体"/>
                <w:kern w:val="0"/>
                <w:sz w:val="20"/>
                <w:szCs w:val="20"/>
              </w:rPr>
            </w:pPr>
            <w:r>
              <w:rPr>
                <w:rFonts w:hint="eastAsia" w:ascii="宋体" w:hAnsi="宋体" w:cs="宋体"/>
                <w:kern w:val="0"/>
                <w:sz w:val="20"/>
                <w:szCs w:val="20"/>
              </w:rPr>
              <w:t>台</w:t>
            </w:r>
          </w:p>
        </w:tc>
        <w:tc>
          <w:tcPr>
            <w:tcW w:w="1177" w:type="dxa"/>
            <w:tcBorders>
              <w:top w:val="nil"/>
              <w:left w:val="nil"/>
              <w:bottom w:val="single" w:color="auto" w:sz="4" w:space="0"/>
              <w:right w:val="single" w:color="auto" w:sz="4" w:space="0"/>
            </w:tcBorders>
            <w:shd w:val="clear" w:color="auto" w:fill="auto"/>
            <w:noWrap/>
            <w:vAlign w:val="center"/>
          </w:tcPr>
          <w:p w14:paraId="6181E17C">
            <w:pPr>
              <w:widowControl/>
              <w:jc w:val="center"/>
              <w:rPr>
                <w:rFonts w:hint="eastAsia" w:ascii="宋体" w:hAnsi="宋体" w:cs="宋体"/>
                <w:kern w:val="0"/>
                <w:sz w:val="20"/>
                <w:szCs w:val="20"/>
              </w:rPr>
            </w:pPr>
            <w:r>
              <w:rPr>
                <w:rFonts w:hint="eastAsia" w:ascii="宋体" w:hAnsi="宋体" w:cs="宋体"/>
                <w:kern w:val="0"/>
                <w:sz w:val="20"/>
                <w:szCs w:val="20"/>
              </w:rPr>
              <w:t>1</w:t>
            </w:r>
          </w:p>
        </w:tc>
      </w:tr>
      <w:tr w14:paraId="12C69CF2">
        <w:tblPrEx>
          <w:tblCellMar>
            <w:top w:w="0" w:type="dxa"/>
            <w:left w:w="108" w:type="dxa"/>
            <w:bottom w:w="0" w:type="dxa"/>
            <w:right w:w="108" w:type="dxa"/>
          </w:tblCellMar>
        </w:tblPrEx>
        <w:trPr>
          <w:trHeight w:val="28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3C801B7B">
            <w:pPr>
              <w:widowControl/>
              <w:jc w:val="center"/>
              <w:rPr>
                <w:rFonts w:hint="eastAsia" w:ascii="宋体" w:hAnsi="宋体" w:cs="宋体"/>
                <w:kern w:val="0"/>
                <w:sz w:val="20"/>
                <w:szCs w:val="20"/>
              </w:rPr>
            </w:pPr>
            <w:r>
              <w:rPr>
                <w:rFonts w:hint="eastAsia" w:ascii="宋体" w:hAnsi="宋体" w:cs="宋体"/>
                <w:kern w:val="0"/>
                <w:sz w:val="20"/>
                <w:szCs w:val="20"/>
              </w:rPr>
              <w:t>4</w:t>
            </w:r>
          </w:p>
        </w:tc>
        <w:tc>
          <w:tcPr>
            <w:tcW w:w="1325" w:type="dxa"/>
            <w:tcBorders>
              <w:top w:val="nil"/>
              <w:left w:val="nil"/>
              <w:bottom w:val="single" w:color="auto" w:sz="4" w:space="0"/>
              <w:right w:val="single" w:color="auto" w:sz="4" w:space="0"/>
            </w:tcBorders>
            <w:shd w:val="clear" w:color="auto" w:fill="auto"/>
            <w:vAlign w:val="center"/>
          </w:tcPr>
          <w:p w14:paraId="7B6E6099">
            <w:pPr>
              <w:widowControl/>
              <w:jc w:val="left"/>
              <w:rPr>
                <w:rFonts w:hint="eastAsia" w:ascii="宋体" w:hAnsi="宋体" w:cs="宋体"/>
                <w:kern w:val="0"/>
                <w:sz w:val="20"/>
                <w:szCs w:val="20"/>
              </w:rPr>
            </w:pPr>
            <w:r>
              <w:rPr>
                <w:rFonts w:hint="eastAsia" w:ascii="宋体" w:hAnsi="宋体" w:cs="宋体"/>
                <w:kern w:val="0"/>
                <w:sz w:val="20"/>
                <w:szCs w:val="20"/>
              </w:rPr>
              <w:t>台式电脑</w:t>
            </w:r>
          </w:p>
        </w:tc>
        <w:tc>
          <w:tcPr>
            <w:tcW w:w="3515" w:type="dxa"/>
            <w:tcBorders>
              <w:top w:val="nil"/>
              <w:left w:val="nil"/>
              <w:bottom w:val="single" w:color="auto" w:sz="4" w:space="0"/>
              <w:right w:val="single" w:color="auto" w:sz="4" w:space="0"/>
            </w:tcBorders>
            <w:shd w:val="clear" w:color="auto" w:fill="auto"/>
            <w:vAlign w:val="center"/>
          </w:tcPr>
          <w:p w14:paraId="4D9F7857">
            <w:pPr>
              <w:widowControl/>
              <w:jc w:val="left"/>
              <w:rPr>
                <w:rFonts w:hint="eastAsia" w:ascii="宋体" w:hAnsi="宋体" w:cs="宋体"/>
                <w:kern w:val="0"/>
                <w:sz w:val="20"/>
                <w:szCs w:val="20"/>
              </w:rPr>
            </w:pPr>
            <w:r>
              <w:rPr>
                <w:rFonts w:hint="eastAsia" w:ascii="宋体" w:hAnsi="宋体" w:cs="宋体"/>
                <w:kern w:val="0"/>
                <w:sz w:val="20"/>
                <w:szCs w:val="20"/>
              </w:rPr>
              <w:t>不低于第十代英特尔酷睿i5标准，台式电脑整机（I5-10500 8G 1T Win10 ）</w:t>
            </w:r>
          </w:p>
        </w:tc>
        <w:tc>
          <w:tcPr>
            <w:tcW w:w="981" w:type="dxa"/>
            <w:tcBorders>
              <w:top w:val="nil"/>
              <w:left w:val="nil"/>
              <w:bottom w:val="single" w:color="auto" w:sz="4" w:space="0"/>
              <w:right w:val="single" w:color="auto" w:sz="4" w:space="0"/>
            </w:tcBorders>
            <w:shd w:val="clear" w:color="auto" w:fill="auto"/>
            <w:vAlign w:val="center"/>
          </w:tcPr>
          <w:p w14:paraId="688662E1">
            <w:pPr>
              <w:widowControl/>
              <w:jc w:val="center"/>
              <w:rPr>
                <w:rFonts w:hint="eastAsia" w:ascii="宋体" w:hAnsi="宋体" w:cs="宋体"/>
                <w:kern w:val="0"/>
                <w:sz w:val="20"/>
                <w:szCs w:val="20"/>
              </w:rPr>
            </w:pPr>
            <w:r>
              <w:rPr>
                <w:rFonts w:hint="eastAsia" w:ascii="宋体" w:hAnsi="宋体" w:cs="宋体"/>
                <w:kern w:val="0"/>
                <w:sz w:val="20"/>
                <w:szCs w:val="20"/>
              </w:rPr>
              <w:t>台</w:t>
            </w:r>
          </w:p>
        </w:tc>
        <w:tc>
          <w:tcPr>
            <w:tcW w:w="1177" w:type="dxa"/>
            <w:tcBorders>
              <w:top w:val="nil"/>
              <w:left w:val="nil"/>
              <w:bottom w:val="single" w:color="auto" w:sz="4" w:space="0"/>
              <w:right w:val="single" w:color="auto" w:sz="4" w:space="0"/>
            </w:tcBorders>
            <w:shd w:val="clear" w:color="auto" w:fill="auto"/>
            <w:vAlign w:val="center"/>
          </w:tcPr>
          <w:p w14:paraId="0DE55212">
            <w:pPr>
              <w:widowControl/>
              <w:jc w:val="center"/>
              <w:rPr>
                <w:rFonts w:hint="eastAsia" w:ascii="宋体" w:hAnsi="宋体" w:cs="宋体"/>
                <w:kern w:val="0"/>
                <w:sz w:val="20"/>
                <w:szCs w:val="20"/>
              </w:rPr>
            </w:pPr>
            <w:r>
              <w:rPr>
                <w:rFonts w:hint="eastAsia" w:ascii="宋体" w:hAnsi="宋体" w:cs="宋体"/>
                <w:kern w:val="0"/>
                <w:sz w:val="20"/>
                <w:szCs w:val="20"/>
              </w:rPr>
              <w:t>1</w:t>
            </w:r>
          </w:p>
        </w:tc>
      </w:tr>
      <w:tr w14:paraId="545A34BE">
        <w:tblPrEx>
          <w:tblCellMar>
            <w:top w:w="0" w:type="dxa"/>
            <w:left w:w="108" w:type="dxa"/>
            <w:bottom w:w="0" w:type="dxa"/>
            <w:right w:w="108" w:type="dxa"/>
          </w:tblCellMar>
        </w:tblPrEx>
        <w:trPr>
          <w:trHeight w:val="28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2FBEC6B1">
            <w:pPr>
              <w:widowControl/>
              <w:jc w:val="center"/>
              <w:rPr>
                <w:rFonts w:hint="eastAsia" w:ascii="宋体" w:hAnsi="宋体" w:cs="宋体"/>
                <w:kern w:val="0"/>
                <w:sz w:val="20"/>
                <w:szCs w:val="20"/>
              </w:rPr>
            </w:pPr>
            <w:r>
              <w:rPr>
                <w:rFonts w:hint="eastAsia" w:ascii="宋体" w:hAnsi="宋体" w:cs="宋体"/>
                <w:kern w:val="0"/>
                <w:sz w:val="20"/>
                <w:szCs w:val="20"/>
              </w:rPr>
              <w:t>5</w:t>
            </w:r>
          </w:p>
        </w:tc>
        <w:tc>
          <w:tcPr>
            <w:tcW w:w="1325" w:type="dxa"/>
            <w:tcBorders>
              <w:top w:val="nil"/>
              <w:left w:val="nil"/>
              <w:bottom w:val="single" w:color="auto" w:sz="4" w:space="0"/>
              <w:right w:val="single" w:color="auto" w:sz="4" w:space="0"/>
            </w:tcBorders>
            <w:shd w:val="clear" w:color="auto" w:fill="auto"/>
            <w:vAlign w:val="center"/>
          </w:tcPr>
          <w:p w14:paraId="40F93A98">
            <w:pPr>
              <w:widowControl/>
              <w:jc w:val="left"/>
              <w:rPr>
                <w:rFonts w:hint="eastAsia" w:ascii="宋体" w:hAnsi="宋体" w:cs="宋体"/>
                <w:kern w:val="0"/>
                <w:sz w:val="20"/>
                <w:szCs w:val="20"/>
              </w:rPr>
            </w:pPr>
            <w:r>
              <w:rPr>
                <w:rFonts w:hint="eastAsia" w:ascii="宋体" w:hAnsi="宋体" w:cs="宋体"/>
                <w:kern w:val="0"/>
                <w:sz w:val="20"/>
                <w:szCs w:val="20"/>
              </w:rPr>
              <w:t>边框技术服务</w:t>
            </w:r>
          </w:p>
        </w:tc>
        <w:tc>
          <w:tcPr>
            <w:tcW w:w="3515" w:type="dxa"/>
            <w:tcBorders>
              <w:top w:val="nil"/>
              <w:left w:val="nil"/>
              <w:bottom w:val="single" w:color="auto" w:sz="4" w:space="0"/>
              <w:right w:val="single" w:color="auto" w:sz="4" w:space="0"/>
            </w:tcBorders>
            <w:shd w:val="clear" w:color="auto" w:fill="auto"/>
            <w:vAlign w:val="center"/>
          </w:tcPr>
          <w:p w14:paraId="501BFF1D">
            <w:pPr>
              <w:widowControl/>
              <w:jc w:val="left"/>
              <w:rPr>
                <w:rFonts w:hint="eastAsia" w:ascii="宋体" w:hAnsi="宋体" w:cs="宋体"/>
                <w:kern w:val="0"/>
                <w:sz w:val="20"/>
                <w:szCs w:val="20"/>
              </w:rPr>
            </w:pPr>
            <w:r>
              <w:rPr>
                <w:rFonts w:hint="eastAsia" w:ascii="宋体" w:hAnsi="宋体" w:cs="宋体"/>
                <w:kern w:val="0"/>
                <w:sz w:val="20"/>
                <w:szCs w:val="20"/>
              </w:rPr>
              <w:t>门厅</w:t>
            </w:r>
          </w:p>
        </w:tc>
        <w:tc>
          <w:tcPr>
            <w:tcW w:w="981" w:type="dxa"/>
            <w:tcBorders>
              <w:top w:val="nil"/>
              <w:left w:val="nil"/>
              <w:bottom w:val="single" w:color="auto" w:sz="4" w:space="0"/>
              <w:right w:val="single" w:color="auto" w:sz="4" w:space="0"/>
            </w:tcBorders>
            <w:shd w:val="clear" w:color="auto" w:fill="auto"/>
            <w:vAlign w:val="center"/>
          </w:tcPr>
          <w:p w14:paraId="1560BEA0">
            <w:pPr>
              <w:widowControl/>
              <w:jc w:val="center"/>
              <w:rPr>
                <w:rFonts w:hint="eastAsia" w:ascii="宋体" w:hAnsi="宋体" w:cs="宋体"/>
                <w:kern w:val="0"/>
                <w:sz w:val="20"/>
                <w:szCs w:val="20"/>
              </w:rPr>
            </w:pPr>
            <w:r>
              <w:rPr>
                <w:rFonts w:hint="eastAsia" w:ascii="宋体" w:hAnsi="宋体" w:cs="宋体"/>
                <w:kern w:val="0"/>
                <w:sz w:val="20"/>
                <w:szCs w:val="20"/>
              </w:rPr>
              <w:t>项</w:t>
            </w:r>
          </w:p>
        </w:tc>
        <w:tc>
          <w:tcPr>
            <w:tcW w:w="1177" w:type="dxa"/>
            <w:tcBorders>
              <w:top w:val="nil"/>
              <w:left w:val="nil"/>
              <w:bottom w:val="single" w:color="auto" w:sz="4" w:space="0"/>
              <w:right w:val="single" w:color="auto" w:sz="4" w:space="0"/>
            </w:tcBorders>
            <w:shd w:val="clear" w:color="auto" w:fill="auto"/>
            <w:vAlign w:val="center"/>
          </w:tcPr>
          <w:p w14:paraId="36D1055C">
            <w:pPr>
              <w:widowControl/>
              <w:jc w:val="center"/>
              <w:rPr>
                <w:rFonts w:hint="eastAsia" w:ascii="宋体" w:hAnsi="宋体" w:cs="宋体"/>
                <w:kern w:val="0"/>
                <w:sz w:val="20"/>
                <w:szCs w:val="20"/>
              </w:rPr>
            </w:pPr>
            <w:r>
              <w:rPr>
                <w:rFonts w:hint="eastAsia" w:ascii="宋体" w:hAnsi="宋体" w:cs="宋体"/>
                <w:kern w:val="0"/>
                <w:sz w:val="20"/>
                <w:szCs w:val="20"/>
              </w:rPr>
              <w:t>1</w:t>
            </w:r>
          </w:p>
        </w:tc>
      </w:tr>
      <w:tr w14:paraId="49468A43">
        <w:tblPrEx>
          <w:tblCellMar>
            <w:top w:w="0" w:type="dxa"/>
            <w:left w:w="108" w:type="dxa"/>
            <w:bottom w:w="0" w:type="dxa"/>
            <w:right w:w="108" w:type="dxa"/>
          </w:tblCellMar>
        </w:tblPrEx>
        <w:trPr>
          <w:trHeight w:val="28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665F0579">
            <w:pPr>
              <w:widowControl/>
              <w:jc w:val="center"/>
              <w:rPr>
                <w:rFonts w:hint="eastAsia" w:ascii="宋体" w:hAnsi="宋体" w:cs="宋体"/>
                <w:kern w:val="0"/>
                <w:sz w:val="20"/>
                <w:szCs w:val="20"/>
              </w:rPr>
            </w:pPr>
            <w:r>
              <w:rPr>
                <w:rFonts w:hint="eastAsia" w:ascii="宋体" w:hAnsi="宋体" w:cs="宋体"/>
                <w:kern w:val="0"/>
                <w:sz w:val="20"/>
                <w:szCs w:val="20"/>
              </w:rPr>
              <w:t>6</w:t>
            </w:r>
          </w:p>
        </w:tc>
        <w:tc>
          <w:tcPr>
            <w:tcW w:w="1325" w:type="dxa"/>
            <w:tcBorders>
              <w:top w:val="nil"/>
              <w:left w:val="nil"/>
              <w:bottom w:val="single" w:color="auto" w:sz="4" w:space="0"/>
              <w:right w:val="single" w:color="auto" w:sz="4" w:space="0"/>
            </w:tcBorders>
            <w:shd w:val="clear" w:color="auto" w:fill="auto"/>
            <w:vAlign w:val="center"/>
          </w:tcPr>
          <w:p w14:paraId="46E35B97">
            <w:pPr>
              <w:widowControl/>
              <w:jc w:val="left"/>
              <w:rPr>
                <w:rFonts w:hint="eastAsia" w:ascii="宋体" w:hAnsi="宋体" w:cs="宋体"/>
                <w:kern w:val="0"/>
                <w:sz w:val="20"/>
                <w:szCs w:val="20"/>
              </w:rPr>
            </w:pPr>
            <w:r>
              <w:rPr>
                <w:rFonts w:hint="eastAsia" w:ascii="宋体" w:hAnsi="宋体" w:cs="宋体"/>
                <w:kern w:val="0"/>
                <w:sz w:val="20"/>
                <w:szCs w:val="20"/>
              </w:rPr>
              <w:t>包装材料</w:t>
            </w:r>
          </w:p>
        </w:tc>
        <w:tc>
          <w:tcPr>
            <w:tcW w:w="3515" w:type="dxa"/>
            <w:tcBorders>
              <w:top w:val="nil"/>
              <w:left w:val="nil"/>
              <w:bottom w:val="single" w:color="auto" w:sz="4" w:space="0"/>
              <w:right w:val="single" w:color="auto" w:sz="4" w:space="0"/>
            </w:tcBorders>
            <w:shd w:val="clear" w:color="auto" w:fill="auto"/>
            <w:vAlign w:val="center"/>
          </w:tcPr>
          <w:p w14:paraId="2F230CA2">
            <w:pPr>
              <w:widowControl/>
              <w:jc w:val="left"/>
              <w:rPr>
                <w:rFonts w:hint="eastAsia" w:ascii="宋体" w:hAnsi="宋体" w:cs="宋体"/>
                <w:kern w:val="0"/>
                <w:sz w:val="20"/>
                <w:szCs w:val="20"/>
              </w:rPr>
            </w:pPr>
            <w:r>
              <w:rPr>
                <w:rFonts w:hint="eastAsia" w:ascii="宋体" w:hAnsi="宋体" w:cs="宋体"/>
                <w:kern w:val="0"/>
                <w:sz w:val="20"/>
                <w:szCs w:val="20"/>
              </w:rPr>
              <w:t>8mm胶合免熏蒸木箱</w:t>
            </w:r>
          </w:p>
        </w:tc>
        <w:tc>
          <w:tcPr>
            <w:tcW w:w="981" w:type="dxa"/>
            <w:tcBorders>
              <w:top w:val="nil"/>
              <w:left w:val="nil"/>
              <w:bottom w:val="single" w:color="auto" w:sz="4" w:space="0"/>
              <w:right w:val="single" w:color="auto" w:sz="4" w:space="0"/>
            </w:tcBorders>
            <w:shd w:val="clear" w:color="auto" w:fill="auto"/>
            <w:vAlign w:val="center"/>
          </w:tcPr>
          <w:p w14:paraId="24C63308">
            <w:pPr>
              <w:widowControl/>
              <w:jc w:val="center"/>
              <w:rPr>
                <w:rFonts w:hint="eastAsia" w:ascii="宋体" w:hAnsi="宋体" w:cs="宋体"/>
                <w:kern w:val="0"/>
                <w:sz w:val="20"/>
                <w:szCs w:val="20"/>
              </w:rPr>
            </w:pPr>
            <w:r>
              <w:rPr>
                <w:rFonts w:hint="eastAsia" w:ascii="宋体" w:hAnsi="宋体" w:cs="宋体"/>
                <w:kern w:val="0"/>
                <w:sz w:val="20"/>
                <w:szCs w:val="20"/>
              </w:rPr>
              <w:t>平方米</w:t>
            </w:r>
          </w:p>
        </w:tc>
        <w:tc>
          <w:tcPr>
            <w:tcW w:w="1177" w:type="dxa"/>
            <w:tcBorders>
              <w:top w:val="nil"/>
              <w:left w:val="nil"/>
              <w:bottom w:val="single" w:color="auto" w:sz="4" w:space="0"/>
              <w:right w:val="single" w:color="auto" w:sz="4" w:space="0"/>
            </w:tcBorders>
            <w:shd w:val="clear" w:color="auto" w:fill="auto"/>
            <w:vAlign w:val="center"/>
          </w:tcPr>
          <w:p w14:paraId="0EF83B97">
            <w:pPr>
              <w:widowControl/>
              <w:jc w:val="center"/>
              <w:rPr>
                <w:rFonts w:hint="eastAsia" w:ascii="宋体" w:hAnsi="宋体" w:cs="宋体"/>
                <w:kern w:val="0"/>
                <w:sz w:val="20"/>
                <w:szCs w:val="20"/>
              </w:rPr>
            </w:pPr>
            <w:r>
              <w:rPr>
                <w:rFonts w:hint="eastAsia" w:ascii="宋体" w:hAnsi="宋体" w:cs="宋体"/>
                <w:kern w:val="0"/>
                <w:sz w:val="20"/>
                <w:szCs w:val="20"/>
              </w:rPr>
              <w:t>19.968</w:t>
            </w:r>
          </w:p>
        </w:tc>
      </w:tr>
      <w:tr w14:paraId="34C9EC06">
        <w:tblPrEx>
          <w:tblCellMar>
            <w:top w:w="0" w:type="dxa"/>
            <w:left w:w="108" w:type="dxa"/>
            <w:bottom w:w="0" w:type="dxa"/>
            <w:right w:w="108" w:type="dxa"/>
          </w:tblCellMar>
        </w:tblPrEx>
        <w:trPr>
          <w:trHeight w:val="234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4D396AC6">
            <w:pPr>
              <w:widowControl/>
              <w:jc w:val="center"/>
              <w:rPr>
                <w:rFonts w:hint="eastAsia" w:ascii="宋体" w:hAnsi="宋体" w:cs="宋体"/>
                <w:kern w:val="0"/>
                <w:sz w:val="20"/>
                <w:szCs w:val="20"/>
              </w:rPr>
            </w:pPr>
            <w:r>
              <w:rPr>
                <w:rFonts w:hint="eastAsia" w:ascii="宋体" w:hAnsi="宋体" w:cs="宋体"/>
                <w:kern w:val="0"/>
                <w:sz w:val="20"/>
                <w:szCs w:val="20"/>
              </w:rPr>
              <w:t>7</w:t>
            </w:r>
          </w:p>
        </w:tc>
        <w:tc>
          <w:tcPr>
            <w:tcW w:w="1325" w:type="dxa"/>
            <w:tcBorders>
              <w:top w:val="nil"/>
              <w:left w:val="nil"/>
              <w:bottom w:val="single" w:color="auto" w:sz="4" w:space="0"/>
              <w:right w:val="single" w:color="auto" w:sz="4" w:space="0"/>
            </w:tcBorders>
            <w:shd w:val="clear" w:color="auto" w:fill="auto"/>
            <w:noWrap/>
            <w:vAlign w:val="center"/>
          </w:tcPr>
          <w:p w14:paraId="6F7D4BC1">
            <w:pPr>
              <w:widowControl/>
              <w:jc w:val="left"/>
              <w:rPr>
                <w:rFonts w:hint="eastAsia" w:ascii="宋体" w:hAnsi="宋体" w:cs="宋体"/>
                <w:kern w:val="0"/>
                <w:sz w:val="20"/>
                <w:szCs w:val="20"/>
              </w:rPr>
            </w:pPr>
            <w:r>
              <w:rPr>
                <w:rFonts w:hint="eastAsia" w:ascii="宋体" w:hAnsi="宋体" w:cs="宋体"/>
                <w:kern w:val="0"/>
                <w:sz w:val="20"/>
                <w:szCs w:val="20"/>
              </w:rPr>
              <w:t>机柜</w:t>
            </w:r>
          </w:p>
        </w:tc>
        <w:tc>
          <w:tcPr>
            <w:tcW w:w="3515" w:type="dxa"/>
            <w:tcBorders>
              <w:top w:val="nil"/>
              <w:left w:val="nil"/>
              <w:bottom w:val="single" w:color="auto" w:sz="4" w:space="0"/>
              <w:right w:val="single" w:color="auto" w:sz="4" w:space="0"/>
            </w:tcBorders>
            <w:shd w:val="clear" w:color="auto" w:fill="auto"/>
            <w:vAlign w:val="center"/>
          </w:tcPr>
          <w:p w14:paraId="0F2BFAC6">
            <w:pPr>
              <w:widowControl/>
              <w:jc w:val="left"/>
              <w:rPr>
                <w:rFonts w:hint="eastAsia" w:ascii="宋体" w:hAnsi="宋体" w:cs="宋体"/>
                <w:kern w:val="0"/>
                <w:sz w:val="20"/>
                <w:szCs w:val="20"/>
              </w:rPr>
            </w:pPr>
            <w:r>
              <w:rPr>
                <w:rFonts w:hint="eastAsia" w:ascii="宋体" w:hAnsi="宋体" w:cs="宋体"/>
                <w:kern w:val="0"/>
                <w:sz w:val="20"/>
                <w:szCs w:val="20"/>
              </w:rPr>
              <w:t>1.尺寸：600X800X1166mm</w:t>
            </w:r>
            <w:r>
              <w:rPr>
                <w:rFonts w:hint="eastAsia" w:ascii="宋体" w:hAnsi="宋体" w:cs="宋体"/>
                <w:kern w:val="0"/>
                <w:sz w:val="20"/>
                <w:szCs w:val="20"/>
              </w:rPr>
              <w:br w:type="textWrapping"/>
            </w:r>
            <w:r>
              <w:rPr>
                <w:rFonts w:hint="eastAsia" w:ascii="宋体" w:hAnsi="宋体" w:cs="宋体"/>
                <w:kern w:val="0"/>
                <w:sz w:val="20"/>
                <w:szCs w:val="20"/>
              </w:rPr>
              <w:t>2.容量：22U</w:t>
            </w:r>
            <w:r>
              <w:rPr>
                <w:rFonts w:hint="eastAsia" w:ascii="宋体" w:hAnsi="宋体" w:cs="宋体"/>
                <w:kern w:val="0"/>
                <w:sz w:val="20"/>
                <w:szCs w:val="20"/>
              </w:rPr>
              <w:br w:type="textWrapping"/>
            </w:r>
            <w:r>
              <w:rPr>
                <w:rFonts w:hint="eastAsia" w:ascii="宋体" w:hAnsi="宋体" w:cs="宋体"/>
                <w:kern w:val="0"/>
                <w:sz w:val="20"/>
                <w:szCs w:val="20"/>
              </w:rPr>
              <w:t>3.配置：8位10A PDU插排1个</w:t>
            </w:r>
            <w:r>
              <w:rPr>
                <w:rFonts w:hint="eastAsia" w:ascii="宋体" w:hAnsi="宋体" w:cs="宋体"/>
                <w:kern w:val="0"/>
                <w:sz w:val="20"/>
                <w:szCs w:val="20"/>
              </w:rPr>
              <w:br w:type="textWrapping"/>
            </w:r>
            <w:r>
              <w:rPr>
                <w:rFonts w:hint="eastAsia" w:ascii="宋体" w:hAnsi="宋体" w:cs="宋体"/>
                <w:kern w:val="0"/>
                <w:sz w:val="20"/>
                <w:szCs w:val="20"/>
              </w:rPr>
              <w:t>固定板1块</w:t>
            </w:r>
            <w:r>
              <w:rPr>
                <w:rFonts w:hint="eastAsia" w:ascii="宋体" w:hAnsi="宋体" w:cs="宋体"/>
                <w:kern w:val="0"/>
                <w:sz w:val="20"/>
                <w:szCs w:val="20"/>
              </w:rPr>
              <w:br w:type="textWrapping"/>
            </w:r>
            <w:r>
              <w:rPr>
                <w:rFonts w:hint="eastAsia" w:ascii="宋体" w:hAnsi="宋体" w:cs="宋体"/>
                <w:kern w:val="0"/>
                <w:sz w:val="20"/>
                <w:szCs w:val="20"/>
              </w:rPr>
              <w:t>内嵌风扇部件2组</w:t>
            </w:r>
            <w:r>
              <w:rPr>
                <w:rFonts w:hint="eastAsia" w:ascii="宋体" w:hAnsi="宋体" w:cs="宋体"/>
                <w:kern w:val="0"/>
                <w:sz w:val="20"/>
                <w:szCs w:val="20"/>
              </w:rPr>
              <w:br w:type="textWrapping"/>
            </w:r>
            <w:r>
              <w:rPr>
                <w:rFonts w:hint="eastAsia" w:ascii="宋体" w:hAnsi="宋体" w:cs="宋体"/>
                <w:kern w:val="0"/>
                <w:sz w:val="20"/>
                <w:szCs w:val="20"/>
              </w:rPr>
              <w:t>4只两英寸重型脚轮</w:t>
            </w:r>
            <w:r>
              <w:rPr>
                <w:rFonts w:hint="eastAsia" w:ascii="宋体" w:hAnsi="宋体" w:cs="宋体"/>
                <w:kern w:val="0"/>
                <w:sz w:val="20"/>
                <w:szCs w:val="20"/>
              </w:rPr>
              <w:br w:type="textWrapping"/>
            </w:r>
            <w:r>
              <w:rPr>
                <w:rFonts w:hint="eastAsia" w:ascii="宋体" w:hAnsi="宋体" w:cs="宋体"/>
                <w:kern w:val="0"/>
                <w:sz w:val="20"/>
                <w:szCs w:val="20"/>
              </w:rPr>
              <w:t>M12支脚4只</w:t>
            </w:r>
            <w:r>
              <w:rPr>
                <w:rFonts w:hint="eastAsia" w:ascii="宋体" w:hAnsi="宋体" w:cs="宋体"/>
                <w:kern w:val="0"/>
                <w:sz w:val="20"/>
                <w:szCs w:val="20"/>
              </w:rPr>
              <w:br w:type="textWrapping"/>
            </w:r>
            <w:r>
              <w:rPr>
                <w:rFonts w:hint="eastAsia" w:ascii="宋体" w:hAnsi="宋体" w:cs="宋体"/>
                <w:kern w:val="0"/>
                <w:sz w:val="20"/>
                <w:szCs w:val="20"/>
              </w:rPr>
              <w:t>M6方螺母钉20套</w:t>
            </w:r>
            <w:r>
              <w:rPr>
                <w:rFonts w:hint="eastAsia" w:ascii="宋体" w:hAnsi="宋体" w:cs="宋体"/>
                <w:kern w:val="0"/>
                <w:sz w:val="20"/>
                <w:szCs w:val="20"/>
              </w:rPr>
              <w:br w:type="textWrapping"/>
            </w:r>
            <w:r>
              <w:rPr>
                <w:rFonts w:hint="eastAsia" w:ascii="宋体" w:hAnsi="宋体" w:cs="宋体"/>
                <w:kern w:val="0"/>
                <w:sz w:val="20"/>
                <w:szCs w:val="20"/>
              </w:rPr>
              <w:t>内六角扳手一只</w:t>
            </w:r>
          </w:p>
        </w:tc>
        <w:tc>
          <w:tcPr>
            <w:tcW w:w="981" w:type="dxa"/>
            <w:tcBorders>
              <w:top w:val="nil"/>
              <w:left w:val="nil"/>
              <w:bottom w:val="single" w:color="auto" w:sz="4" w:space="0"/>
              <w:right w:val="single" w:color="auto" w:sz="4" w:space="0"/>
            </w:tcBorders>
            <w:shd w:val="clear" w:color="auto" w:fill="auto"/>
            <w:vAlign w:val="center"/>
          </w:tcPr>
          <w:p w14:paraId="123ACD70">
            <w:pPr>
              <w:widowControl/>
              <w:jc w:val="center"/>
              <w:rPr>
                <w:rFonts w:hint="eastAsia" w:ascii="宋体" w:hAnsi="宋体" w:cs="宋体"/>
                <w:kern w:val="0"/>
                <w:sz w:val="20"/>
                <w:szCs w:val="20"/>
              </w:rPr>
            </w:pPr>
            <w:r>
              <w:rPr>
                <w:rFonts w:hint="eastAsia" w:ascii="宋体" w:hAnsi="宋体" w:cs="宋体"/>
                <w:kern w:val="0"/>
                <w:sz w:val="20"/>
                <w:szCs w:val="20"/>
              </w:rPr>
              <w:t>套</w:t>
            </w:r>
          </w:p>
        </w:tc>
        <w:tc>
          <w:tcPr>
            <w:tcW w:w="1177" w:type="dxa"/>
            <w:tcBorders>
              <w:top w:val="nil"/>
              <w:left w:val="nil"/>
              <w:bottom w:val="single" w:color="auto" w:sz="4" w:space="0"/>
              <w:right w:val="single" w:color="auto" w:sz="4" w:space="0"/>
            </w:tcBorders>
            <w:shd w:val="clear" w:color="auto" w:fill="auto"/>
            <w:vAlign w:val="center"/>
          </w:tcPr>
          <w:p w14:paraId="76BC01ED">
            <w:pPr>
              <w:widowControl/>
              <w:jc w:val="center"/>
              <w:rPr>
                <w:rFonts w:hint="eastAsia" w:ascii="宋体" w:hAnsi="宋体" w:cs="宋体"/>
                <w:kern w:val="0"/>
                <w:sz w:val="20"/>
                <w:szCs w:val="20"/>
              </w:rPr>
            </w:pPr>
            <w:r>
              <w:rPr>
                <w:rFonts w:hint="eastAsia" w:ascii="宋体" w:hAnsi="宋体" w:cs="宋体"/>
                <w:kern w:val="0"/>
                <w:sz w:val="20"/>
                <w:szCs w:val="20"/>
              </w:rPr>
              <w:t>1</w:t>
            </w:r>
          </w:p>
        </w:tc>
      </w:tr>
      <w:tr w14:paraId="6FC1A235">
        <w:tblPrEx>
          <w:tblCellMar>
            <w:top w:w="0" w:type="dxa"/>
            <w:left w:w="108" w:type="dxa"/>
            <w:bottom w:w="0" w:type="dxa"/>
            <w:right w:w="108" w:type="dxa"/>
          </w:tblCellMar>
        </w:tblPrEx>
        <w:trPr>
          <w:trHeight w:val="445"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0620A76A">
            <w:pPr>
              <w:widowControl/>
              <w:jc w:val="center"/>
              <w:rPr>
                <w:rFonts w:hint="eastAsia" w:ascii="宋体" w:hAnsi="宋体" w:cs="宋体"/>
                <w:kern w:val="0"/>
                <w:sz w:val="20"/>
                <w:szCs w:val="20"/>
              </w:rPr>
            </w:pPr>
            <w:r>
              <w:rPr>
                <w:rFonts w:hint="eastAsia" w:ascii="宋体" w:hAnsi="宋体" w:cs="宋体"/>
                <w:kern w:val="0"/>
                <w:sz w:val="20"/>
                <w:szCs w:val="20"/>
              </w:rPr>
              <w:t>8</w:t>
            </w:r>
          </w:p>
        </w:tc>
        <w:tc>
          <w:tcPr>
            <w:tcW w:w="1325" w:type="dxa"/>
            <w:tcBorders>
              <w:top w:val="nil"/>
              <w:left w:val="nil"/>
              <w:bottom w:val="single" w:color="auto" w:sz="4" w:space="0"/>
              <w:right w:val="single" w:color="auto" w:sz="4" w:space="0"/>
            </w:tcBorders>
            <w:shd w:val="clear" w:color="auto" w:fill="auto"/>
            <w:vAlign w:val="center"/>
          </w:tcPr>
          <w:p w14:paraId="48E141E9">
            <w:pPr>
              <w:widowControl/>
              <w:jc w:val="left"/>
              <w:rPr>
                <w:rFonts w:hint="eastAsia" w:ascii="宋体" w:hAnsi="宋体" w:cs="宋体"/>
                <w:kern w:val="0"/>
                <w:sz w:val="20"/>
                <w:szCs w:val="20"/>
              </w:rPr>
            </w:pPr>
            <w:r>
              <w:rPr>
                <w:rFonts w:hint="eastAsia" w:ascii="宋体" w:hAnsi="宋体" w:cs="宋体"/>
                <w:kern w:val="0"/>
                <w:sz w:val="20"/>
                <w:szCs w:val="20"/>
              </w:rPr>
              <w:t>电源管理器</w:t>
            </w:r>
          </w:p>
        </w:tc>
        <w:tc>
          <w:tcPr>
            <w:tcW w:w="3515" w:type="dxa"/>
            <w:tcBorders>
              <w:top w:val="nil"/>
              <w:left w:val="nil"/>
              <w:bottom w:val="single" w:color="auto" w:sz="4" w:space="0"/>
              <w:right w:val="single" w:color="auto" w:sz="4" w:space="0"/>
            </w:tcBorders>
            <w:shd w:val="clear" w:color="auto" w:fill="auto"/>
            <w:vAlign w:val="center"/>
          </w:tcPr>
          <w:p w14:paraId="49083502">
            <w:pPr>
              <w:widowControl/>
              <w:jc w:val="left"/>
              <w:rPr>
                <w:rFonts w:hint="eastAsia" w:ascii="宋体" w:hAnsi="宋体" w:cs="宋体"/>
                <w:kern w:val="0"/>
                <w:sz w:val="20"/>
                <w:szCs w:val="20"/>
              </w:rPr>
            </w:pPr>
            <w:r>
              <w:rPr>
                <w:rFonts w:hint="eastAsia" w:ascii="宋体" w:hAnsi="宋体" w:cs="宋体"/>
                <w:kern w:val="0"/>
                <w:sz w:val="20"/>
                <w:szCs w:val="20"/>
              </w:rPr>
              <w:t>1.支持≥8通道电源时序打开/关闭，每路动作延时时间：≤1秒，支持远程控制（上电+24V直流信号）8通道电源时序打开/关闭—当电源开关处于off位置时有效。支持配置CH1和CH2通道为受控或不受控状态。</w:t>
            </w:r>
            <w:r>
              <w:rPr>
                <w:rFonts w:hint="eastAsia" w:ascii="宋体" w:hAnsi="宋体" w:cs="宋体"/>
                <w:kern w:val="0"/>
                <w:sz w:val="20"/>
                <w:szCs w:val="20"/>
              </w:rPr>
              <w:br w:type="textWrapping"/>
            </w:r>
            <w:r>
              <w:rPr>
                <w:rFonts w:hint="eastAsia" w:ascii="宋体" w:hAnsi="宋体" w:cs="宋体"/>
                <w:kern w:val="0"/>
                <w:sz w:val="20"/>
                <w:szCs w:val="20"/>
              </w:rPr>
              <w:t>2.当远程控制有效时同时控制后板ALARM（报警）端口导通以起到级联控制ALARM（报警）功能。</w:t>
            </w:r>
            <w:r>
              <w:rPr>
                <w:rFonts w:hint="eastAsia" w:ascii="宋体" w:hAnsi="宋体" w:cs="宋体"/>
                <w:kern w:val="0"/>
                <w:sz w:val="20"/>
                <w:szCs w:val="20"/>
              </w:rPr>
              <w:br w:type="textWrapping"/>
            </w:r>
            <w:r>
              <w:rPr>
                <w:rFonts w:hint="eastAsia" w:ascii="宋体" w:hAnsi="宋体" w:cs="宋体"/>
                <w:kern w:val="0"/>
                <w:sz w:val="20"/>
                <w:szCs w:val="20"/>
              </w:rPr>
              <w:t>3.单个通道最大负载功率≥2200W，所有通道负载总功率≥6000W。输出连接器：多用途电源插座。</w:t>
            </w:r>
            <w:r>
              <w:rPr>
                <w:rFonts w:hint="eastAsia" w:ascii="宋体" w:hAnsi="宋体" w:cs="宋体"/>
                <w:kern w:val="0"/>
                <w:sz w:val="20"/>
                <w:szCs w:val="20"/>
              </w:rPr>
              <w:br w:type="textWrapping"/>
            </w:r>
            <w:r>
              <w:rPr>
                <w:rFonts w:hint="eastAsia" w:ascii="宋体" w:hAnsi="宋体" w:cs="宋体"/>
                <w:kern w:val="0"/>
                <w:sz w:val="20"/>
                <w:szCs w:val="20"/>
              </w:rPr>
              <w:t>4.具有一路及以上USB输出接口。</w:t>
            </w:r>
          </w:p>
        </w:tc>
        <w:tc>
          <w:tcPr>
            <w:tcW w:w="981" w:type="dxa"/>
            <w:tcBorders>
              <w:top w:val="nil"/>
              <w:left w:val="nil"/>
              <w:bottom w:val="single" w:color="auto" w:sz="4" w:space="0"/>
              <w:right w:val="single" w:color="auto" w:sz="4" w:space="0"/>
            </w:tcBorders>
            <w:shd w:val="clear" w:color="auto" w:fill="auto"/>
            <w:vAlign w:val="center"/>
          </w:tcPr>
          <w:p w14:paraId="0E151AFD">
            <w:pPr>
              <w:widowControl/>
              <w:jc w:val="center"/>
              <w:rPr>
                <w:rFonts w:hint="eastAsia" w:ascii="宋体" w:hAnsi="宋体" w:cs="宋体"/>
                <w:kern w:val="0"/>
                <w:sz w:val="20"/>
                <w:szCs w:val="20"/>
              </w:rPr>
            </w:pPr>
            <w:r>
              <w:rPr>
                <w:rFonts w:hint="eastAsia" w:ascii="宋体" w:hAnsi="宋体" w:cs="宋体"/>
                <w:kern w:val="0"/>
                <w:sz w:val="20"/>
                <w:szCs w:val="20"/>
              </w:rPr>
              <w:t>台</w:t>
            </w:r>
          </w:p>
        </w:tc>
        <w:tc>
          <w:tcPr>
            <w:tcW w:w="1177" w:type="dxa"/>
            <w:tcBorders>
              <w:top w:val="nil"/>
              <w:left w:val="nil"/>
              <w:bottom w:val="single" w:color="auto" w:sz="4" w:space="0"/>
              <w:right w:val="single" w:color="auto" w:sz="4" w:space="0"/>
            </w:tcBorders>
            <w:shd w:val="clear" w:color="auto" w:fill="auto"/>
            <w:noWrap/>
            <w:vAlign w:val="center"/>
          </w:tcPr>
          <w:p w14:paraId="466B6EAE">
            <w:pPr>
              <w:widowControl/>
              <w:jc w:val="center"/>
              <w:rPr>
                <w:rFonts w:hint="eastAsia" w:ascii="宋体" w:hAnsi="宋体" w:cs="宋体"/>
                <w:kern w:val="0"/>
                <w:sz w:val="20"/>
                <w:szCs w:val="20"/>
              </w:rPr>
            </w:pPr>
            <w:r>
              <w:rPr>
                <w:rFonts w:hint="eastAsia" w:ascii="宋体" w:hAnsi="宋体" w:cs="宋体"/>
                <w:kern w:val="0"/>
                <w:sz w:val="20"/>
                <w:szCs w:val="20"/>
              </w:rPr>
              <w:t>1</w:t>
            </w:r>
          </w:p>
        </w:tc>
      </w:tr>
      <w:tr w14:paraId="1A89C5F2">
        <w:tblPrEx>
          <w:tblCellMar>
            <w:top w:w="0" w:type="dxa"/>
            <w:left w:w="108" w:type="dxa"/>
            <w:bottom w:w="0" w:type="dxa"/>
            <w:right w:w="108" w:type="dxa"/>
          </w:tblCellMar>
        </w:tblPrEx>
        <w:trPr>
          <w:trHeight w:val="182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40853621">
            <w:pPr>
              <w:widowControl/>
              <w:jc w:val="center"/>
              <w:rPr>
                <w:rFonts w:hint="eastAsia" w:ascii="宋体" w:hAnsi="宋体" w:cs="宋体"/>
                <w:kern w:val="0"/>
                <w:sz w:val="20"/>
                <w:szCs w:val="20"/>
              </w:rPr>
            </w:pPr>
            <w:r>
              <w:rPr>
                <w:rFonts w:hint="eastAsia" w:ascii="宋体" w:hAnsi="宋体" w:cs="宋体"/>
                <w:kern w:val="0"/>
                <w:sz w:val="20"/>
                <w:szCs w:val="20"/>
              </w:rPr>
              <w:t>9</w:t>
            </w:r>
          </w:p>
        </w:tc>
        <w:tc>
          <w:tcPr>
            <w:tcW w:w="1325" w:type="dxa"/>
            <w:tcBorders>
              <w:top w:val="nil"/>
              <w:left w:val="nil"/>
              <w:bottom w:val="single" w:color="auto" w:sz="4" w:space="0"/>
              <w:right w:val="single" w:color="auto" w:sz="4" w:space="0"/>
            </w:tcBorders>
            <w:shd w:val="clear" w:color="auto" w:fill="auto"/>
            <w:vAlign w:val="center"/>
          </w:tcPr>
          <w:p w14:paraId="0918B6A5">
            <w:pPr>
              <w:widowControl/>
              <w:jc w:val="left"/>
              <w:rPr>
                <w:rFonts w:hint="eastAsia" w:ascii="宋体" w:hAnsi="宋体" w:cs="宋体"/>
                <w:kern w:val="0"/>
                <w:sz w:val="20"/>
                <w:szCs w:val="20"/>
              </w:rPr>
            </w:pPr>
            <w:r>
              <w:rPr>
                <w:rFonts w:hint="eastAsia" w:ascii="宋体" w:hAnsi="宋体" w:cs="宋体"/>
                <w:kern w:val="0"/>
                <w:sz w:val="20"/>
                <w:szCs w:val="20"/>
              </w:rPr>
              <w:t>线材</w:t>
            </w:r>
          </w:p>
        </w:tc>
        <w:tc>
          <w:tcPr>
            <w:tcW w:w="3515" w:type="dxa"/>
            <w:tcBorders>
              <w:top w:val="nil"/>
              <w:left w:val="nil"/>
              <w:bottom w:val="single" w:color="auto" w:sz="4" w:space="0"/>
              <w:right w:val="single" w:color="auto" w:sz="4" w:space="0"/>
            </w:tcBorders>
            <w:shd w:val="clear" w:color="auto" w:fill="auto"/>
            <w:vAlign w:val="center"/>
          </w:tcPr>
          <w:p w14:paraId="5997B235">
            <w:pPr>
              <w:widowControl/>
              <w:jc w:val="left"/>
              <w:rPr>
                <w:rFonts w:hint="eastAsia" w:ascii="宋体" w:hAnsi="宋体" w:cs="宋体"/>
                <w:kern w:val="0"/>
                <w:sz w:val="20"/>
                <w:szCs w:val="20"/>
              </w:rPr>
            </w:pPr>
            <w:r>
              <w:rPr>
                <w:rFonts w:hint="eastAsia" w:ascii="宋体" w:hAnsi="宋体" w:cs="宋体"/>
                <w:kern w:val="0"/>
                <w:sz w:val="20"/>
                <w:szCs w:val="20"/>
              </w:rPr>
              <w:t>1.分辨率:3840*2160，30Hz</w:t>
            </w:r>
            <w:r>
              <w:rPr>
                <w:rFonts w:hint="eastAsia" w:ascii="宋体" w:hAnsi="宋体" w:cs="宋体"/>
                <w:kern w:val="0"/>
                <w:sz w:val="20"/>
                <w:szCs w:val="20"/>
              </w:rPr>
              <w:br w:type="textWrapping"/>
            </w:r>
            <w:r>
              <w:rPr>
                <w:rFonts w:hint="eastAsia" w:ascii="宋体" w:hAnsi="宋体" w:cs="宋体"/>
                <w:kern w:val="0"/>
                <w:sz w:val="20"/>
                <w:szCs w:val="20"/>
              </w:rPr>
              <w:t xml:space="preserve">2.屏蔽:铝箔+编织+地线 </w:t>
            </w:r>
            <w:r>
              <w:rPr>
                <w:rFonts w:hint="eastAsia" w:ascii="宋体" w:hAnsi="宋体" w:cs="宋体"/>
                <w:kern w:val="0"/>
                <w:sz w:val="20"/>
                <w:szCs w:val="20"/>
              </w:rPr>
              <w:br w:type="textWrapping"/>
            </w:r>
            <w:r>
              <w:rPr>
                <w:rFonts w:hint="eastAsia" w:ascii="宋体" w:hAnsi="宋体" w:cs="宋体"/>
                <w:kern w:val="0"/>
                <w:sz w:val="20"/>
                <w:szCs w:val="20"/>
              </w:rPr>
              <w:t xml:space="preserve">3.外被: PVC </w:t>
            </w:r>
            <w:r>
              <w:rPr>
                <w:rFonts w:hint="eastAsia" w:ascii="宋体" w:hAnsi="宋体" w:cs="宋体"/>
                <w:kern w:val="0"/>
                <w:sz w:val="20"/>
                <w:szCs w:val="20"/>
              </w:rPr>
              <w:br w:type="textWrapping"/>
            </w:r>
            <w:r>
              <w:rPr>
                <w:rFonts w:hint="eastAsia" w:ascii="宋体" w:hAnsi="宋体" w:cs="宋体"/>
                <w:kern w:val="0"/>
                <w:sz w:val="20"/>
                <w:szCs w:val="20"/>
              </w:rPr>
              <w:t>4.线芯: 镀锡铜</w:t>
            </w:r>
            <w:r>
              <w:rPr>
                <w:rFonts w:hint="eastAsia" w:ascii="宋体" w:hAnsi="宋体" w:cs="宋体"/>
                <w:kern w:val="0"/>
                <w:sz w:val="20"/>
                <w:szCs w:val="20"/>
              </w:rPr>
              <w:br w:type="textWrapping"/>
            </w:r>
            <w:r>
              <w:rPr>
                <w:rFonts w:hint="eastAsia" w:ascii="宋体" w:hAnsi="宋体" w:cs="宋体"/>
                <w:kern w:val="0"/>
                <w:sz w:val="20"/>
                <w:szCs w:val="20"/>
              </w:rPr>
              <w:t>5.支持HDMI 2.0版本</w:t>
            </w:r>
            <w:r>
              <w:rPr>
                <w:rFonts w:hint="eastAsia" w:ascii="宋体" w:hAnsi="宋体" w:cs="宋体"/>
                <w:kern w:val="0"/>
                <w:sz w:val="20"/>
                <w:szCs w:val="20"/>
              </w:rPr>
              <w:br w:type="textWrapping"/>
            </w:r>
            <w:r>
              <w:rPr>
                <w:rFonts w:hint="eastAsia" w:ascii="宋体" w:hAnsi="宋体" w:cs="宋体"/>
                <w:kern w:val="0"/>
                <w:sz w:val="20"/>
                <w:szCs w:val="20"/>
              </w:rPr>
              <w:t>6.规格：长度15米</w:t>
            </w:r>
            <w:r>
              <w:rPr>
                <w:rFonts w:hint="eastAsia" w:ascii="宋体" w:hAnsi="宋体" w:cs="宋体"/>
                <w:kern w:val="0"/>
                <w:sz w:val="20"/>
                <w:szCs w:val="20"/>
              </w:rPr>
              <w:br w:type="textWrapping"/>
            </w:r>
            <w:r>
              <w:rPr>
                <w:rFonts w:hint="eastAsia" w:ascii="宋体" w:hAnsi="宋体" w:cs="宋体"/>
                <w:kern w:val="0"/>
                <w:sz w:val="20"/>
                <w:szCs w:val="20"/>
              </w:rPr>
              <w:t>7.HDMI头大小：20*26*10.5mm，线径：8mm</w:t>
            </w:r>
          </w:p>
        </w:tc>
        <w:tc>
          <w:tcPr>
            <w:tcW w:w="981" w:type="dxa"/>
            <w:tcBorders>
              <w:top w:val="nil"/>
              <w:left w:val="nil"/>
              <w:bottom w:val="single" w:color="auto" w:sz="4" w:space="0"/>
              <w:right w:val="single" w:color="auto" w:sz="4" w:space="0"/>
            </w:tcBorders>
            <w:shd w:val="clear" w:color="auto" w:fill="auto"/>
            <w:vAlign w:val="center"/>
          </w:tcPr>
          <w:p w14:paraId="43C60853">
            <w:pPr>
              <w:widowControl/>
              <w:jc w:val="center"/>
              <w:rPr>
                <w:rFonts w:hint="eastAsia" w:ascii="宋体" w:hAnsi="宋体" w:cs="宋体"/>
                <w:kern w:val="0"/>
                <w:sz w:val="20"/>
                <w:szCs w:val="20"/>
              </w:rPr>
            </w:pPr>
            <w:r>
              <w:rPr>
                <w:rFonts w:hint="eastAsia" w:ascii="宋体" w:hAnsi="宋体" w:cs="宋体"/>
                <w:kern w:val="0"/>
                <w:sz w:val="20"/>
                <w:szCs w:val="20"/>
              </w:rPr>
              <w:t>条</w:t>
            </w:r>
          </w:p>
        </w:tc>
        <w:tc>
          <w:tcPr>
            <w:tcW w:w="1177" w:type="dxa"/>
            <w:tcBorders>
              <w:top w:val="nil"/>
              <w:left w:val="nil"/>
              <w:bottom w:val="single" w:color="auto" w:sz="4" w:space="0"/>
              <w:right w:val="single" w:color="auto" w:sz="4" w:space="0"/>
            </w:tcBorders>
            <w:shd w:val="clear" w:color="auto" w:fill="auto"/>
            <w:noWrap/>
            <w:vAlign w:val="center"/>
          </w:tcPr>
          <w:p w14:paraId="4299B1B2">
            <w:pPr>
              <w:widowControl/>
              <w:jc w:val="center"/>
              <w:rPr>
                <w:rFonts w:hint="eastAsia" w:ascii="宋体" w:hAnsi="宋体" w:cs="宋体"/>
                <w:kern w:val="0"/>
                <w:sz w:val="20"/>
                <w:szCs w:val="20"/>
              </w:rPr>
            </w:pPr>
            <w:r>
              <w:rPr>
                <w:rFonts w:hint="eastAsia" w:ascii="宋体" w:hAnsi="宋体" w:cs="宋体"/>
                <w:kern w:val="0"/>
                <w:sz w:val="20"/>
                <w:szCs w:val="20"/>
              </w:rPr>
              <w:t>3</w:t>
            </w:r>
          </w:p>
        </w:tc>
      </w:tr>
      <w:tr w14:paraId="4112F7BB">
        <w:tblPrEx>
          <w:tblCellMar>
            <w:top w:w="0" w:type="dxa"/>
            <w:left w:w="108" w:type="dxa"/>
            <w:bottom w:w="0" w:type="dxa"/>
            <w:right w:w="108" w:type="dxa"/>
          </w:tblCellMar>
        </w:tblPrEx>
        <w:trPr>
          <w:trHeight w:val="156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4ADAABB0">
            <w:pPr>
              <w:widowControl/>
              <w:jc w:val="center"/>
              <w:rPr>
                <w:rFonts w:hint="eastAsia" w:ascii="宋体" w:hAnsi="宋体" w:cs="宋体"/>
                <w:kern w:val="0"/>
                <w:sz w:val="20"/>
                <w:szCs w:val="20"/>
              </w:rPr>
            </w:pPr>
            <w:r>
              <w:rPr>
                <w:rFonts w:hint="eastAsia" w:ascii="宋体" w:hAnsi="宋体" w:cs="宋体"/>
                <w:kern w:val="0"/>
                <w:sz w:val="20"/>
                <w:szCs w:val="20"/>
              </w:rPr>
              <w:t>10</w:t>
            </w:r>
          </w:p>
        </w:tc>
        <w:tc>
          <w:tcPr>
            <w:tcW w:w="1325" w:type="dxa"/>
            <w:tcBorders>
              <w:top w:val="nil"/>
              <w:left w:val="nil"/>
              <w:bottom w:val="single" w:color="auto" w:sz="4" w:space="0"/>
              <w:right w:val="single" w:color="auto" w:sz="4" w:space="0"/>
            </w:tcBorders>
            <w:shd w:val="clear" w:color="auto" w:fill="auto"/>
            <w:vAlign w:val="center"/>
          </w:tcPr>
          <w:p w14:paraId="5C34063A">
            <w:pPr>
              <w:widowControl/>
              <w:jc w:val="left"/>
              <w:rPr>
                <w:rFonts w:hint="eastAsia" w:ascii="宋体" w:hAnsi="宋体" w:cs="宋体"/>
                <w:kern w:val="0"/>
                <w:sz w:val="20"/>
                <w:szCs w:val="20"/>
              </w:rPr>
            </w:pPr>
            <w:r>
              <w:rPr>
                <w:rFonts w:hint="eastAsia" w:ascii="宋体" w:hAnsi="宋体" w:cs="宋体"/>
                <w:kern w:val="0"/>
                <w:sz w:val="20"/>
                <w:szCs w:val="20"/>
              </w:rPr>
              <w:t>线材</w:t>
            </w:r>
          </w:p>
        </w:tc>
        <w:tc>
          <w:tcPr>
            <w:tcW w:w="3515" w:type="dxa"/>
            <w:tcBorders>
              <w:top w:val="nil"/>
              <w:left w:val="nil"/>
              <w:bottom w:val="single" w:color="auto" w:sz="4" w:space="0"/>
              <w:right w:val="single" w:color="auto" w:sz="4" w:space="0"/>
            </w:tcBorders>
            <w:shd w:val="clear" w:color="auto" w:fill="auto"/>
            <w:vAlign w:val="center"/>
          </w:tcPr>
          <w:p w14:paraId="4965534E">
            <w:pPr>
              <w:widowControl/>
              <w:jc w:val="left"/>
              <w:rPr>
                <w:rFonts w:hint="eastAsia" w:ascii="宋体" w:hAnsi="宋体" w:cs="宋体"/>
                <w:kern w:val="0"/>
                <w:sz w:val="20"/>
                <w:szCs w:val="20"/>
              </w:rPr>
            </w:pPr>
            <w:r>
              <w:rPr>
                <w:rFonts w:hint="eastAsia" w:ascii="宋体" w:hAnsi="宋体" w:cs="宋体"/>
                <w:kern w:val="0"/>
                <w:sz w:val="20"/>
                <w:szCs w:val="20"/>
              </w:rPr>
              <w:t>1.HDMI转DVI线，支持1080P，60Hz</w:t>
            </w:r>
            <w:r>
              <w:rPr>
                <w:rFonts w:hint="eastAsia" w:ascii="宋体" w:hAnsi="宋体" w:cs="宋体"/>
                <w:kern w:val="0"/>
                <w:sz w:val="20"/>
                <w:szCs w:val="20"/>
              </w:rPr>
              <w:br w:type="textWrapping"/>
            </w:r>
            <w:r>
              <w:rPr>
                <w:rFonts w:hint="eastAsia" w:ascii="宋体" w:hAnsi="宋体" w:cs="宋体"/>
                <w:kern w:val="0"/>
                <w:sz w:val="20"/>
                <w:szCs w:val="20"/>
              </w:rPr>
              <w:t xml:space="preserve">2.屏蔽:铝箔+编织+地线 </w:t>
            </w:r>
            <w:r>
              <w:rPr>
                <w:rFonts w:hint="eastAsia" w:ascii="宋体" w:hAnsi="宋体" w:cs="宋体"/>
                <w:kern w:val="0"/>
                <w:sz w:val="20"/>
                <w:szCs w:val="20"/>
              </w:rPr>
              <w:br w:type="textWrapping"/>
            </w:r>
            <w:r>
              <w:rPr>
                <w:rFonts w:hint="eastAsia" w:ascii="宋体" w:hAnsi="宋体" w:cs="宋体"/>
                <w:kern w:val="0"/>
                <w:sz w:val="20"/>
                <w:szCs w:val="20"/>
              </w:rPr>
              <w:t xml:space="preserve">3.外被: PVC </w:t>
            </w:r>
            <w:r>
              <w:rPr>
                <w:rFonts w:hint="eastAsia" w:ascii="宋体" w:hAnsi="宋体" w:cs="宋体"/>
                <w:kern w:val="0"/>
                <w:sz w:val="20"/>
                <w:szCs w:val="20"/>
              </w:rPr>
              <w:br w:type="textWrapping"/>
            </w:r>
            <w:r>
              <w:rPr>
                <w:rFonts w:hint="eastAsia" w:ascii="宋体" w:hAnsi="宋体" w:cs="宋体"/>
                <w:kern w:val="0"/>
                <w:sz w:val="20"/>
                <w:szCs w:val="20"/>
              </w:rPr>
              <w:t>4.线芯: 镀锡铜</w:t>
            </w:r>
            <w:r>
              <w:rPr>
                <w:rFonts w:hint="eastAsia" w:ascii="宋体" w:hAnsi="宋体" w:cs="宋体"/>
                <w:kern w:val="0"/>
                <w:sz w:val="20"/>
                <w:szCs w:val="20"/>
              </w:rPr>
              <w:br w:type="textWrapping"/>
            </w:r>
            <w:r>
              <w:rPr>
                <w:rFonts w:hint="eastAsia" w:ascii="宋体" w:hAnsi="宋体" w:cs="宋体"/>
                <w:kern w:val="0"/>
                <w:sz w:val="20"/>
                <w:szCs w:val="20"/>
              </w:rPr>
              <w:t>5.规格：长度15米</w:t>
            </w:r>
            <w:r>
              <w:rPr>
                <w:rFonts w:hint="eastAsia" w:ascii="宋体" w:hAnsi="宋体" w:cs="宋体"/>
                <w:kern w:val="0"/>
                <w:sz w:val="20"/>
                <w:szCs w:val="20"/>
              </w:rPr>
              <w:br w:type="textWrapping"/>
            </w:r>
            <w:r>
              <w:rPr>
                <w:rFonts w:hint="eastAsia" w:ascii="宋体" w:hAnsi="宋体" w:cs="宋体"/>
                <w:kern w:val="0"/>
                <w:sz w:val="20"/>
                <w:szCs w:val="20"/>
              </w:rPr>
              <w:t>6.HDMI头大小：20*26、DVI接头大小41*33mm,线径：8.3mm</w:t>
            </w:r>
          </w:p>
        </w:tc>
        <w:tc>
          <w:tcPr>
            <w:tcW w:w="981" w:type="dxa"/>
            <w:tcBorders>
              <w:top w:val="nil"/>
              <w:left w:val="nil"/>
              <w:bottom w:val="single" w:color="auto" w:sz="4" w:space="0"/>
              <w:right w:val="single" w:color="auto" w:sz="4" w:space="0"/>
            </w:tcBorders>
            <w:shd w:val="clear" w:color="auto" w:fill="auto"/>
            <w:vAlign w:val="center"/>
          </w:tcPr>
          <w:p w14:paraId="591275AB">
            <w:pPr>
              <w:widowControl/>
              <w:jc w:val="center"/>
              <w:rPr>
                <w:rFonts w:hint="eastAsia" w:ascii="宋体" w:hAnsi="宋体" w:cs="宋体"/>
                <w:kern w:val="0"/>
                <w:sz w:val="20"/>
                <w:szCs w:val="20"/>
              </w:rPr>
            </w:pPr>
            <w:r>
              <w:rPr>
                <w:rFonts w:hint="eastAsia" w:ascii="宋体" w:hAnsi="宋体" w:cs="宋体"/>
                <w:kern w:val="0"/>
                <w:sz w:val="20"/>
                <w:szCs w:val="20"/>
              </w:rPr>
              <w:t>条</w:t>
            </w:r>
          </w:p>
        </w:tc>
        <w:tc>
          <w:tcPr>
            <w:tcW w:w="1177" w:type="dxa"/>
            <w:tcBorders>
              <w:top w:val="nil"/>
              <w:left w:val="nil"/>
              <w:bottom w:val="single" w:color="auto" w:sz="4" w:space="0"/>
              <w:right w:val="single" w:color="auto" w:sz="4" w:space="0"/>
            </w:tcBorders>
            <w:shd w:val="clear" w:color="auto" w:fill="auto"/>
            <w:noWrap/>
            <w:vAlign w:val="center"/>
          </w:tcPr>
          <w:p w14:paraId="03B43DE5">
            <w:pPr>
              <w:widowControl/>
              <w:jc w:val="center"/>
              <w:rPr>
                <w:rFonts w:hint="eastAsia" w:ascii="宋体" w:hAnsi="宋体" w:cs="宋体"/>
                <w:kern w:val="0"/>
                <w:sz w:val="20"/>
                <w:szCs w:val="20"/>
              </w:rPr>
            </w:pPr>
            <w:r>
              <w:rPr>
                <w:rFonts w:hint="eastAsia" w:ascii="宋体" w:hAnsi="宋体" w:cs="宋体"/>
                <w:kern w:val="0"/>
                <w:sz w:val="20"/>
                <w:szCs w:val="20"/>
              </w:rPr>
              <w:t>3</w:t>
            </w:r>
          </w:p>
        </w:tc>
      </w:tr>
      <w:tr w14:paraId="359B2AC0">
        <w:tblPrEx>
          <w:tblCellMar>
            <w:top w:w="0" w:type="dxa"/>
            <w:left w:w="108" w:type="dxa"/>
            <w:bottom w:w="0" w:type="dxa"/>
            <w:right w:w="108" w:type="dxa"/>
          </w:tblCellMar>
        </w:tblPrEx>
        <w:trPr>
          <w:trHeight w:val="28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1ED78D19">
            <w:pPr>
              <w:widowControl/>
              <w:jc w:val="center"/>
              <w:rPr>
                <w:rFonts w:hint="eastAsia" w:ascii="宋体" w:hAnsi="宋体" w:cs="宋体"/>
                <w:kern w:val="0"/>
                <w:sz w:val="20"/>
                <w:szCs w:val="20"/>
              </w:rPr>
            </w:pPr>
            <w:r>
              <w:rPr>
                <w:rFonts w:hint="eastAsia" w:ascii="宋体" w:hAnsi="宋体" w:cs="宋体"/>
                <w:kern w:val="0"/>
                <w:sz w:val="20"/>
                <w:szCs w:val="20"/>
              </w:rPr>
              <w:t>11</w:t>
            </w:r>
          </w:p>
        </w:tc>
        <w:tc>
          <w:tcPr>
            <w:tcW w:w="1325" w:type="dxa"/>
            <w:tcBorders>
              <w:top w:val="nil"/>
              <w:left w:val="nil"/>
              <w:bottom w:val="single" w:color="auto" w:sz="4" w:space="0"/>
              <w:right w:val="single" w:color="auto" w:sz="4" w:space="0"/>
            </w:tcBorders>
            <w:shd w:val="clear" w:color="auto" w:fill="auto"/>
            <w:vAlign w:val="center"/>
          </w:tcPr>
          <w:p w14:paraId="31D397BD">
            <w:pPr>
              <w:widowControl/>
              <w:jc w:val="left"/>
              <w:rPr>
                <w:rFonts w:hint="eastAsia" w:ascii="宋体" w:hAnsi="宋体" w:cs="宋体"/>
                <w:kern w:val="0"/>
                <w:sz w:val="20"/>
                <w:szCs w:val="20"/>
              </w:rPr>
            </w:pPr>
            <w:r>
              <w:rPr>
                <w:rFonts w:hint="eastAsia" w:ascii="宋体" w:hAnsi="宋体" w:cs="宋体"/>
                <w:kern w:val="0"/>
                <w:sz w:val="20"/>
                <w:szCs w:val="20"/>
              </w:rPr>
              <w:t>线材</w:t>
            </w:r>
          </w:p>
        </w:tc>
        <w:tc>
          <w:tcPr>
            <w:tcW w:w="3515" w:type="dxa"/>
            <w:tcBorders>
              <w:top w:val="nil"/>
              <w:left w:val="nil"/>
              <w:bottom w:val="single" w:color="auto" w:sz="4" w:space="0"/>
              <w:right w:val="single" w:color="auto" w:sz="4" w:space="0"/>
            </w:tcBorders>
            <w:shd w:val="clear" w:color="auto" w:fill="auto"/>
            <w:vAlign w:val="center"/>
          </w:tcPr>
          <w:p w14:paraId="5E7CCA33">
            <w:pPr>
              <w:widowControl/>
              <w:jc w:val="left"/>
              <w:rPr>
                <w:rFonts w:hint="eastAsia" w:ascii="宋体" w:hAnsi="宋体" w:cs="宋体"/>
                <w:kern w:val="0"/>
                <w:sz w:val="20"/>
                <w:szCs w:val="20"/>
              </w:rPr>
            </w:pPr>
            <w:r>
              <w:rPr>
                <w:rFonts w:hint="eastAsia" w:ascii="宋体" w:hAnsi="宋体" w:cs="宋体"/>
                <w:kern w:val="0"/>
                <w:sz w:val="20"/>
                <w:szCs w:val="20"/>
              </w:rPr>
              <w:t>铜芯护套线RVV3*2.5，200米/卷</w:t>
            </w:r>
          </w:p>
        </w:tc>
        <w:tc>
          <w:tcPr>
            <w:tcW w:w="981" w:type="dxa"/>
            <w:tcBorders>
              <w:top w:val="nil"/>
              <w:left w:val="nil"/>
              <w:bottom w:val="single" w:color="auto" w:sz="4" w:space="0"/>
              <w:right w:val="single" w:color="auto" w:sz="4" w:space="0"/>
            </w:tcBorders>
            <w:shd w:val="clear" w:color="auto" w:fill="auto"/>
            <w:vAlign w:val="center"/>
          </w:tcPr>
          <w:p w14:paraId="599779EB">
            <w:pPr>
              <w:widowControl/>
              <w:jc w:val="center"/>
              <w:rPr>
                <w:rFonts w:hint="eastAsia" w:ascii="宋体" w:hAnsi="宋体" w:cs="宋体"/>
                <w:kern w:val="0"/>
                <w:sz w:val="20"/>
                <w:szCs w:val="20"/>
              </w:rPr>
            </w:pPr>
            <w:r>
              <w:rPr>
                <w:rFonts w:hint="eastAsia" w:ascii="宋体" w:hAnsi="宋体" w:cs="宋体"/>
                <w:kern w:val="0"/>
                <w:sz w:val="20"/>
                <w:szCs w:val="20"/>
              </w:rPr>
              <w:t>卷</w:t>
            </w:r>
          </w:p>
        </w:tc>
        <w:tc>
          <w:tcPr>
            <w:tcW w:w="1177" w:type="dxa"/>
            <w:tcBorders>
              <w:top w:val="nil"/>
              <w:left w:val="nil"/>
              <w:bottom w:val="single" w:color="auto" w:sz="4" w:space="0"/>
              <w:right w:val="single" w:color="auto" w:sz="4" w:space="0"/>
            </w:tcBorders>
            <w:shd w:val="clear" w:color="auto" w:fill="auto"/>
            <w:vAlign w:val="center"/>
          </w:tcPr>
          <w:p w14:paraId="64FB426C">
            <w:pPr>
              <w:widowControl/>
              <w:jc w:val="center"/>
              <w:rPr>
                <w:rFonts w:hint="eastAsia" w:ascii="宋体" w:hAnsi="宋体" w:cs="宋体"/>
                <w:kern w:val="0"/>
                <w:sz w:val="20"/>
                <w:szCs w:val="20"/>
              </w:rPr>
            </w:pPr>
            <w:r>
              <w:rPr>
                <w:rFonts w:hint="eastAsia" w:ascii="宋体" w:hAnsi="宋体" w:cs="宋体"/>
                <w:kern w:val="0"/>
                <w:sz w:val="20"/>
                <w:szCs w:val="20"/>
              </w:rPr>
              <w:t>2</w:t>
            </w:r>
          </w:p>
        </w:tc>
      </w:tr>
      <w:tr w14:paraId="57976FC3">
        <w:tblPrEx>
          <w:tblCellMar>
            <w:top w:w="0" w:type="dxa"/>
            <w:left w:w="108" w:type="dxa"/>
            <w:bottom w:w="0" w:type="dxa"/>
            <w:right w:w="108" w:type="dxa"/>
          </w:tblCellMar>
        </w:tblPrEx>
        <w:trPr>
          <w:trHeight w:val="28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21A940E7">
            <w:pPr>
              <w:widowControl/>
              <w:jc w:val="center"/>
              <w:rPr>
                <w:rFonts w:hint="eastAsia" w:ascii="宋体" w:hAnsi="宋体" w:cs="宋体"/>
                <w:kern w:val="0"/>
                <w:sz w:val="20"/>
                <w:szCs w:val="20"/>
              </w:rPr>
            </w:pPr>
            <w:r>
              <w:rPr>
                <w:rFonts w:hint="eastAsia" w:ascii="宋体" w:hAnsi="宋体" w:cs="宋体"/>
                <w:kern w:val="0"/>
                <w:sz w:val="20"/>
                <w:szCs w:val="20"/>
              </w:rPr>
              <w:t>12</w:t>
            </w:r>
          </w:p>
        </w:tc>
        <w:tc>
          <w:tcPr>
            <w:tcW w:w="1325" w:type="dxa"/>
            <w:tcBorders>
              <w:top w:val="nil"/>
              <w:left w:val="nil"/>
              <w:bottom w:val="single" w:color="auto" w:sz="4" w:space="0"/>
              <w:right w:val="single" w:color="auto" w:sz="4" w:space="0"/>
            </w:tcBorders>
            <w:shd w:val="clear" w:color="auto" w:fill="auto"/>
            <w:vAlign w:val="center"/>
          </w:tcPr>
          <w:p w14:paraId="2B310C77">
            <w:pPr>
              <w:widowControl/>
              <w:jc w:val="left"/>
              <w:rPr>
                <w:rFonts w:hint="eastAsia" w:ascii="宋体" w:hAnsi="宋体" w:cs="宋体"/>
                <w:kern w:val="0"/>
                <w:sz w:val="20"/>
                <w:szCs w:val="20"/>
              </w:rPr>
            </w:pPr>
            <w:r>
              <w:rPr>
                <w:rFonts w:hint="eastAsia" w:ascii="宋体" w:hAnsi="宋体" w:cs="宋体"/>
                <w:kern w:val="0"/>
                <w:sz w:val="20"/>
                <w:szCs w:val="20"/>
              </w:rPr>
              <w:t>线材</w:t>
            </w:r>
          </w:p>
        </w:tc>
        <w:tc>
          <w:tcPr>
            <w:tcW w:w="3515" w:type="dxa"/>
            <w:tcBorders>
              <w:top w:val="nil"/>
              <w:left w:val="nil"/>
              <w:bottom w:val="single" w:color="auto" w:sz="4" w:space="0"/>
              <w:right w:val="single" w:color="auto" w:sz="4" w:space="0"/>
            </w:tcBorders>
            <w:shd w:val="clear" w:color="auto" w:fill="auto"/>
            <w:vAlign w:val="center"/>
          </w:tcPr>
          <w:p w14:paraId="7DACCA34">
            <w:pPr>
              <w:widowControl/>
              <w:jc w:val="left"/>
              <w:rPr>
                <w:rFonts w:hint="eastAsia" w:ascii="宋体" w:hAnsi="宋体" w:cs="宋体"/>
                <w:kern w:val="0"/>
                <w:sz w:val="20"/>
                <w:szCs w:val="20"/>
              </w:rPr>
            </w:pPr>
            <w:r>
              <w:rPr>
                <w:rFonts w:hint="eastAsia" w:ascii="宋体" w:hAnsi="宋体" w:cs="宋体"/>
                <w:kern w:val="0"/>
                <w:sz w:val="20"/>
                <w:szCs w:val="20"/>
              </w:rPr>
              <w:t>六类屏蔽网线，300米/卷</w:t>
            </w:r>
          </w:p>
        </w:tc>
        <w:tc>
          <w:tcPr>
            <w:tcW w:w="981" w:type="dxa"/>
            <w:tcBorders>
              <w:top w:val="nil"/>
              <w:left w:val="nil"/>
              <w:bottom w:val="single" w:color="auto" w:sz="4" w:space="0"/>
              <w:right w:val="single" w:color="auto" w:sz="4" w:space="0"/>
            </w:tcBorders>
            <w:shd w:val="clear" w:color="auto" w:fill="auto"/>
            <w:vAlign w:val="center"/>
          </w:tcPr>
          <w:p w14:paraId="1AE810CA">
            <w:pPr>
              <w:widowControl/>
              <w:jc w:val="center"/>
              <w:rPr>
                <w:rFonts w:hint="eastAsia" w:ascii="宋体" w:hAnsi="宋体" w:cs="宋体"/>
                <w:kern w:val="0"/>
                <w:sz w:val="20"/>
                <w:szCs w:val="20"/>
              </w:rPr>
            </w:pPr>
            <w:r>
              <w:rPr>
                <w:rFonts w:hint="eastAsia" w:ascii="宋体" w:hAnsi="宋体" w:cs="宋体"/>
                <w:kern w:val="0"/>
                <w:sz w:val="20"/>
                <w:szCs w:val="20"/>
              </w:rPr>
              <w:t>卷</w:t>
            </w:r>
          </w:p>
        </w:tc>
        <w:tc>
          <w:tcPr>
            <w:tcW w:w="1177" w:type="dxa"/>
            <w:tcBorders>
              <w:top w:val="nil"/>
              <w:left w:val="nil"/>
              <w:bottom w:val="single" w:color="auto" w:sz="4" w:space="0"/>
              <w:right w:val="single" w:color="auto" w:sz="4" w:space="0"/>
            </w:tcBorders>
            <w:shd w:val="clear" w:color="auto" w:fill="auto"/>
            <w:vAlign w:val="center"/>
          </w:tcPr>
          <w:p w14:paraId="7ECEA6A0">
            <w:pPr>
              <w:widowControl/>
              <w:jc w:val="center"/>
              <w:rPr>
                <w:rFonts w:hint="eastAsia" w:ascii="宋体" w:hAnsi="宋体" w:cs="宋体"/>
                <w:kern w:val="0"/>
                <w:sz w:val="20"/>
                <w:szCs w:val="20"/>
              </w:rPr>
            </w:pPr>
            <w:r>
              <w:rPr>
                <w:rFonts w:hint="eastAsia" w:ascii="宋体" w:hAnsi="宋体" w:cs="宋体"/>
                <w:kern w:val="0"/>
                <w:sz w:val="20"/>
                <w:szCs w:val="20"/>
              </w:rPr>
              <w:t>2</w:t>
            </w:r>
          </w:p>
        </w:tc>
      </w:tr>
      <w:tr w14:paraId="56CCCE68">
        <w:tblPrEx>
          <w:tblCellMar>
            <w:top w:w="0" w:type="dxa"/>
            <w:left w:w="108" w:type="dxa"/>
            <w:bottom w:w="0" w:type="dxa"/>
            <w:right w:w="108" w:type="dxa"/>
          </w:tblCellMar>
        </w:tblPrEx>
        <w:trPr>
          <w:trHeight w:val="28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758234A3">
            <w:pPr>
              <w:widowControl/>
              <w:jc w:val="center"/>
              <w:rPr>
                <w:rFonts w:hint="eastAsia" w:ascii="宋体" w:hAnsi="宋体" w:cs="宋体"/>
                <w:kern w:val="0"/>
                <w:sz w:val="20"/>
                <w:szCs w:val="20"/>
              </w:rPr>
            </w:pPr>
            <w:r>
              <w:rPr>
                <w:rFonts w:hint="eastAsia" w:ascii="宋体" w:hAnsi="宋体" w:cs="宋体"/>
                <w:kern w:val="0"/>
                <w:sz w:val="20"/>
                <w:szCs w:val="20"/>
              </w:rPr>
              <w:t>13</w:t>
            </w:r>
          </w:p>
        </w:tc>
        <w:tc>
          <w:tcPr>
            <w:tcW w:w="1325" w:type="dxa"/>
            <w:tcBorders>
              <w:top w:val="nil"/>
              <w:left w:val="nil"/>
              <w:bottom w:val="single" w:color="auto" w:sz="4" w:space="0"/>
              <w:right w:val="single" w:color="auto" w:sz="4" w:space="0"/>
            </w:tcBorders>
            <w:shd w:val="clear" w:color="auto" w:fill="auto"/>
            <w:vAlign w:val="center"/>
          </w:tcPr>
          <w:p w14:paraId="5D2BB70B">
            <w:pPr>
              <w:widowControl/>
              <w:jc w:val="left"/>
              <w:rPr>
                <w:rFonts w:hint="eastAsia" w:ascii="宋体" w:hAnsi="宋体" w:cs="宋体"/>
                <w:kern w:val="0"/>
                <w:sz w:val="20"/>
                <w:szCs w:val="20"/>
              </w:rPr>
            </w:pPr>
            <w:r>
              <w:rPr>
                <w:rFonts w:hint="eastAsia" w:ascii="宋体" w:hAnsi="宋体" w:cs="宋体"/>
                <w:kern w:val="0"/>
                <w:sz w:val="20"/>
                <w:szCs w:val="20"/>
              </w:rPr>
              <w:t>水晶头</w:t>
            </w:r>
          </w:p>
        </w:tc>
        <w:tc>
          <w:tcPr>
            <w:tcW w:w="3515" w:type="dxa"/>
            <w:tcBorders>
              <w:top w:val="nil"/>
              <w:left w:val="nil"/>
              <w:bottom w:val="single" w:color="auto" w:sz="4" w:space="0"/>
              <w:right w:val="single" w:color="auto" w:sz="4" w:space="0"/>
            </w:tcBorders>
            <w:shd w:val="clear" w:color="auto" w:fill="auto"/>
            <w:vAlign w:val="center"/>
          </w:tcPr>
          <w:p w14:paraId="22C42969">
            <w:pPr>
              <w:widowControl/>
              <w:jc w:val="left"/>
              <w:rPr>
                <w:rFonts w:hint="eastAsia" w:ascii="宋体" w:hAnsi="宋体" w:cs="宋体"/>
                <w:kern w:val="0"/>
                <w:sz w:val="20"/>
                <w:szCs w:val="20"/>
              </w:rPr>
            </w:pPr>
            <w:r>
              <w:rPr>
                <w:rFonts w:hint="eastAsia" w:ascii="宋体" w:hAnsi="宋体" w:cs="宋体"/>
                <w:kern w:val="0"/>
                <w:sz w:val="20"/>
                <w:szCs w:val="20"/>
              </w:rPr>
              <w:t>六类水晶头，100个一盒</w:t>
            </w:r>
          </w:p>
        </w:tc>
        <w:tc>
          <w:tcPr>
            <w:tcW w:w="981" w:type="dxa"/>
            <w:tcBorders>
              <w:top w:val="nil"/>
              <w:left w:val="nil"/>
              <w:bottom w:val="single" w:color="auto" w:sz="4" w:space="0"/>
              <w:right w:val="single" w:color="auto" w:sz="4" w:space="0"/>
            </w:tcBorders>
            <w:shd w:val="clear" w:color="auto" w:fill="auto"/>
            <w:noWrap/>
            <w:vAlign w:val="center"/>
          </w:tcPr>
          <w:p w14:paraId="5E6998B6">
            <w:pPr>
              <w:widowControl/>
              <w:jc w:val="center"/>
              <w:rPr>
                <w:rFonts w:hint="eastAsia" w:ascii="宋体" w:hAnsi="宋体" w:cs="宋体"/>
                <w:kern w:val="0"/>
                <w:sz w:val="20"/>
                <w:szCs w:val="20"/>
              </w:rPr>
            </w:pPr>
            <w:r>
              <w:rPr>
                <w:rFonts w:hint="eastAsia" w:ascii="宋体" w:hAnsi="宋体" w:cs="宋体"/>
                <w:kern w:val="0"/>
                <w:sz w:val="20"/>
                <w:szCs w:val="20"/>
              </w:rPr>
              <w:t>盒</w:t>
            </w:r>
          </w:p>
        </w:tc>
        <w:tc>
          <w:tcPr>
            <w:tcW w:w="1177" w:type="dxa"/>
            <w:tcBorders>
              <w:top w:val="nil"/>
              <w:left w:val="nil"/>
              <w:bottom w:val="single" w:color="auto" w:sz="4" w:space="0"/>
              <w:right w:val="single" w:color="auto" w:sz="4" w:space="0"/>
            </w:tcBorders>
            <w:shd w:val="clear" w:color="auto" w:fill="auto"/>
            <w:vAlign w:val="center"/>
          </w:tcPr>
          <w:p w14:paraId="00BEE0A3">
            <w:pPr>
              <w:widowControl/>
              <w:jc w:val="center"/>
              <w:rPr>
                <w:rFonts w:hint="eastAsia" w:ascii="宋体" w:hAnsi="宋体" w:cs="宋体"/>
                <w:kern w:val="0"/>
                <w:sz w:val="20"/>
                <w:szCs w:val="20"/>
              </w:rPr>
            </w:pPr>
            <w:r>
              <w:rPr>
                <w:rFonts w:hint="eastAsia" w:ascii="宋体" w:hAnsi="宋体" w:cs="宋体"/>
                <w:kern w:val="0"/>
                <w:sz w:val="20"/>
                <w:szCs w:val="20"/>
              </w:rPr>
              <w:t>1</w:t>
            </w:r>
          </w:p>
        </w:tc>
      </w:tr>
      <w:tr w14:paraId="74814423">
        <w:tblPrEx>
          <w:tblCellMar>
            <w:top w:w="0" w:type="dxa"/>
            <w:left w:w="108" w:type="dxa"/>
            <w:bottom w:w="0" w:type="dxa"/>
            <w:right w:w="108" w:type="dxa"/>
          </w:tblCellMar>
        </w:tblPrEx>
        <w:trPr>
          <w:trHeight w:val="28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20A3DA54">
            <w:pPr>
              <w:widowControl/>
              <w:jc w:val="center"/>
              <w:rPr>
                <w:rFonts w:hint="eastAsia" w:ascii="宋体" w:hAnsi="宋体" w:cs="宋体"/>
                <w:kern w:val="0"/>
                <w:sz w:val="20"/>
                <w:szCs w:val="20"/>
              </w:rPr>
            </w:pPr>
            <w:r>
              <w:rPr>
                <w:rFonts w:hint="eastAsia" w:ascii="宋体" w:hAnsi="宋体" w:cs="宋体"/>
                <w:kern w:val="0"/>
                <w:sz w:val="20"/>
                <w:szCs w:val="20"/>
              </w:rPr>
              <w:t>14</w:t>
            </w:r>
          </w:p>
        </w:tc>
        <w:tc>
          <w:tcPr>
            <w:tcW w:w="1325" w:type="dxa"/>
            <w:tcBorders>
              <w:top w:val="nil"/>
              <w:left w:val="nil"/>
              <w:bottom w:val="single" w:color="auto" w:sz="4" w:space="0"/>
              <w:right w:val="single" w:color="auto" w:sz="4" w:space="0"/>
            </w:tcBorders>
            <w:shd w:val="clear" w:color="auto" w:fill="auto"/>
            <w:vAlign w:val="center"/>
          </w:tcPr>
          <w:p w14:paraId="57B05B35">
            <w:pPr>
              <w:widowControl/>
              <w:jc w:val="left"/>
              <w:rPr>
                <w:rFonts w:hint="eastAsia" w:ascii="宋体" w:hAnsi="宋体" w:cs="宋体"/>
                <w:kern w:val="0"/>
                <w:sz w:val="20"/>
                <w:szCs w:val="20"/>
              </w:rPr>
            </w:pPr>
            <w:r>
              <w:rPr>
                <w:rFonts w:hint="eastAsia" w:ascii="宋体" w:hAnsi="宋体" w:cs="宋体"/>
                <w:kern w:val="0"/>
                <w:sz w:val="20"/>
                <w:szCs w:val="20"/>
              </w:rPr>
              <w:t>镀锌钢管</w:t>
            </w:r>
          </w:p>
        </w:tc>
        <w:tc>
          <w:tcPr>
            <w:tcW w:w="3515" w:type="dxa"/>
            <w:tcBorders>
              <w:top w:val="nil"/>
              <w:left w:val="nil"/>
              <w:bottom w:val="single" w:color="auto" w:sz="4" w:space="0"/>
              <w:right w:val="single" w:color="auto" w:sz="4" w:space="0"/>
            </w:tcBorders>
            <w:shd w:val="clear" w:color="auto" w:fill="auto"/>
            <w:vAlign w:val="center"/>
          </w:tcPr>
          <w:p w14:paraId="68464A74">
            <w:pPr>
              <w:widowControl/>
              <w:jc w:val="left"/>
              <w:rPr>
                <w:rFonts w:hint="eastAsia" w:ascii="宋体" w:hAnsi="宋体" w:cs="宋体"/>
                <w:kern w:val="0"/>
                <w:sz w:val="20"/>
                <w:szCs w:val="20"/>
              </w:rPr>
            </w:pPr>
            <w:r>
              <w:rPr>
                <w:rFonts w:hint="eastAsia" w:ascii="宋体" w:hAnsi="宋体" w:cs="宋体"/>
                <w:kern w:val="0"/>
                <w:sz w:val="20"/>
                <w:szCs w:val="20"/>
              </w:rPr>
              <w:t>DN=32mm，厚度：2.5mm，每支钢管通常定尺长度为6000mm</w:t>
            </w:r>
          </w:p>
        </w:tc>
        <w:tc>
          <w:tcPr>
            <w:tcW w:w="981" w:type="dxa"/>
            <w:tcBorders>
              <w:top w:val="nil"/>
              <w:left w:val="nil"/>
              <w:bottom w:val="single" w:color="auto" w:sz="4" w:space="0"/>
              <w:right w:val="single" w:color="auto" w:sz="4" w:space="0"/>
            </w:tcBorders>
            <w:shd w:val="clear" w:color="auto" w:fill="auto"/>
            <w:vAlign w:val="center"/>
          </w:tcPr>
          <w:p w14:paraId="502982AC">
            <w:pPr>
              <w:widowControl/>
              <w:jc w:val="center"/>
              <w:rPr>
                <w:rFonts w:hint="eastAsia" w:ascii="宋体" w:hAnsi="宋体" w:cs="宋体"/>
                <w:kern w:val="0"/>
                <w:sz w:val="20"/>
                <w:szCs w:val="20"/>
              </w:rPr>
            </w:pPr>
            <w:r>
              <w:rPr>
                <w:rFonts w:hint="eastAsia" w:ascii="宋体" w:hAnsi="宋体" w:cs="宋体"/>
                <w:kern w:val="0"/>
                <w:sz w:val="20"/>
                <w:szCs w:val="20"/>
              </w:rPr>
              <w:t>根</w:t>
            </w:r>
          </w:p>
        </w:tc>
        <w:tc>
          <w:tcPr>
            <w:tcW w:w="1177" w:type="dxa"/>
            <w:tcBorders>
              <w:top w:val="nil"/>
              <w:left w:val="nil"/>
              <w:bottom w:val="single" w:color="auto" w:sz="4" w:space="0"/>
              <w:right w:val="single" w:color="auto" w:sz="4" w:space="0"/>
            </w:tcBorders>
            <w:shd w:val="clear" w:color="auto" w:fill="auto"/>
            <w:vAlign w:val="center"/>
          </w:tcPr>
          <w:p w14:paraId="452B9131">
            <w:pPr>
              <w:widowControl/>
              <w:jc w:val="center"/>
              <w:rPr>
                <w:rFonts w:hint="eastAsia" w:ascii="宋体" w:hAnsi="宋体" w:cs="宋体"/>
                <w:kern w:val="0"/>
                <w:sz w:val="20"/>
                <w:szCs w:val="20"/>
              </w:rPr>
            </w:pPr>
            <w:r>
              <w:rPr>
                <w:rFonts w:hint="eastAsia" w:ascii="宋体" w:hAnsi="宋体" w:cs="宋体"/>
                <w:kern w:val="0"/>
                <w:sz w:val="20"/>
                <w:szCs w:val="20"/>
              </w:rPr>
              <w:t>20</w:t>
            </w:r>
          </w:p>
        </w:tc>
      </w:tr>
      <w:tr w14:paraId="42D17183">
        <w:tblPrEx>
          <w:tblCellMar>
            <w:top w:w="0" w:type="dxa"/>
            <w:left w:w="108" w:type="dxa"/>
            <w:bottom w:w="0" w:type="dxa"/>
            <w:right w:w="108" w:type="dxa"/>
          </w:tblCellMar>
        </w:tblPrEx>
        <w:trPr>
          <w:trHeight w:val="3109"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2D30D5D3">
            <w:pPr>
              <w:widowControl/>
              <w:jc w:val="center"/>
              <w:rPr>
                <w:rFonts w:hint="eastAsia" w:ascii="宋体" w:hAnsi="宋体" w:cs="宋体"/>
                <w:kern w:val="0"/>
                <w:sz w:val="20"/>
                <w:szCs w:val="20"/>
              </w:rPr>
            </w:pPr>
            <w:r>
              <w:rPr>
                <w:rFonts w:hint="eastAsia" w:ascii="宋体" w:hAnsi="宋体" w:cs="宋体"/>
                <w:kern w:val="0"/>
                <w:sz w:val="20"/>
                <w:szCs w:val="20"/>
              </w:rPr>
              <w:t>15</w:t>
            </w:r>
          </w:p>
        </w:tc>
        <w:tc>
          <w:tcPr>
            <w:tcW w:w="1325" w:type="dxa"/>
            <w:tcBorders>
              <w:top w:val="nil"/>
              <w:left w:val="nil"/>
              <w:bottom w:val="single" w:color="auto" w:sz="4" w:space="0"/>
              <w:right w:val="single" w:color="auto" w:sz="4" w:space="0"/>
            </w:tcBorders>
            <w:shd w:val="clear" w:color="auto" w:fill="auto"/>
            <w:vAlign w:val="center"/>
          </w:tcPr>
          <w:p w14:paraId="44B10B15">
            <w:pPr>
              <w:widowControl/>
              <w:jc w:val="left"/>
              <w:rPr>
                <w:rFonts w:hint="eastAsia" w:ascii="宋体" w:hAnsi="宋体" w:cs="宋体"/>
                <w:kern w:val="0"/>
                <w:sz w:val="20"/>
                <w:szCs w:val="20"/>
              </w:rPr>
            </w:pPr>
            <w:r>
              <w:rPr>
                <w:rFonts w:hint="eastAsia" w:ascii="宋体" w:hAnsi="宋体" w:cs="宋体"/>
                <w:kern w:val="0"/>
                <w:sz w:val="20"/>
                <w:szCs w:val="20"/>
              </w:rPr>
              <w:t>户内全彩LED屏</w:t>
            </w:r>
          </w:p>
        </w:tc>
        <w:tc>
          <w:tcPr>
            <w:tcW w:w="3515" w:type="dxa"/>
            <w:tcBorders>
              <w:top w:val="nil"/>
              <w:left w:val="nil"/>
              <w:bottom w:val="single" w:color="auto" w:sz="4" w:space="0"/>
              <w:right w:val="single" w:color="auto" w:sz="4" w:space="0"/>
            </w:tcBorders>
            <w:shd w:val="clear" w:color="auto" w:fill="auto"/>
            <w:vAlign w:val="center"/>
          </w:tcPr>
          <w:p w14:paraId="5866F721">
            <w:pPr>
              <w:widowControl/>
              <w:numPr>
                <w:ilvl w:val="0"/>
                <w:numId w:val="11"/>
              </w:numPr>
              <w:jc w:val="left"/>
              <w:rPr>
                <w:rFonts w:hint="eastAsia" w:ascii="宋体" w:hAnsi="宋体" w:cs="宋体"/>
                <w:kern w:val="0"/>
                <w:sz w:val="20"/>
                <w:szCs w:val="20"/>
              </w:rPr>
            </w:pPr>
            <w:r>
              <w:rPr>
                <w:rFonts w:hint="eastAsia" w:ascii="宋体" w:hAnsi="宋体" w:cs="宋体"/>
                <w:kern w:val="0"/>
                <w:sz w:val="20"/>
                <w:szCs w:val="20"/>
              </w:rPr>
              <w:t>LED显示屏灯珠采用表贴三合一铜线封装；LED封装形式：SMD1212黑灯；</w:t>
            </w:r>
          </w:p>
          <w:p w14:paraId="3F946E45">
            <w:pPr>
              <w:widowControl/>
              <w:numPr>
                <w:ilvl w:val="0"/>
                <w:numId w:val="11"/>
              </w:numPr>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LED显示屏采用≤1.53mm点间距；</w:t>
            </w:r>
          </w:p>
          <w:p w14:paraId="5957D03D">
            <w:pPr>
              <w:widowControl/>
              <w:numPr>
                <w:ilvl w:val="0"/>
                <w:numId w:val="11"/>
              </w:numPr>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LED显示屏模组尺寸320mm*160mm；</w:t>
            </w:r>
          </w:p>
          <w:p w14:paraId="33E44678">
            <w:pPr>
              <w:widowControl/>
              <w:numPr>
                <w:ilvl w:val="0"/>
                <w:numId w:val="11"/>
              </w:numPr>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LED显示屏采用前/后维护方式，可正面拆卸模组、接收卡、电源等低压器件，具备热插拔能力；</w:t>
            </w:r>
          </w:p>
          <w:p w14:paraId="5E32F1FB">
            <w:pPr>
              <w:widowControl/>
              <w:numPr>
                <w:ilvl w:val="0"/>
                <w:numId w:val="11"/>
              </w:numPr>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LED显示屏符合≥IP5X防护等级；</w:t>
            </w:r>
          </w:p>
          <w:p w14:paraId="2B62FCDB">
            <w:pPr>
              <w:widowControl/>
              <w:numPr>
                <w:ilvl w:val="0"/>
                <w:numId w:val="11"/>
              </w:numPr>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LED显示屏亮度可达到200-800CD/m²，可通过配套软件0-100%调节，设置亮度定时调节；</w:t>
            </w:r>
          </w:p>
          <w:p w14:paraId="3B7137B6">
            <w:pPr>
              <w:widowControl/>
              <w:numPr>
                <w:ilvl w:val="0"/>
                <w:numId w:val="11"/>
              </w:numPr>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LED显示屏对比度≥10000：1；LED显示屏杂点率≤1/100000且无连续失控点；LED显示屏亮度均匀性≥99%；LED显示色度均匀性±0.001Cx,Cy之内；LED显示屏像素中心距相对偏差≤1%；LED显示屏观看水平/垂直视角≥175°；LED显示屏平均故障恢复时间（MTTR）≤2分钟；</w:t>
            </w:r>
          </w:p>
          <w:p w14:paraId="68FF6117">
            <w:pPr>
              <w:widowControl/>
              <w:numPr>
                <w:ilvl w:val="0"/>
                <w:numId w:val="11"/>
              </w:numPr>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LED显示屏刷新频率≥4200Hz，可通过配套控制软件调节刷新率设置选项；</w:t>
            </w:r>
          </w:p>
          <w:p w14:paraId="27FCB9BA">
            <w:pPr>
              <w:widowControl/>
              <w:numPr>
                <w:ilvl w:val="0"/>
                <w:numId w:val="11"/>
              </w:numPr>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LED显示屏色温100K-20000K连续可调，可设冷色、暖色、标准等多档白场调节,色温为8500K时，100%、75%、50%、25%四档电平白场调节色温误差≤100K；</w:t>
            </w:r>
          </w:p>
          <w:p w14:paraId="58BB0378">
            <w:pPr>
              <w:widowControl/>
              <w:numPr>
                <w:ilvl w:val="0"/>
                <w:numId w:val="11"/>
              </w:numPr>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LED显示屏峰值功耗为≤500W/㎡；LED显示屏平均功耗为≤125W/㎡；</w:t>
            </w:r>
          </w:p>
          <w:p w14:paraId="5A27DF1B">
            <w:pPr>
              <w:widowControl/>
              <w:numPr>
                <w:ilvl w:val="0"/>
                <w:numId w:val="11"/>
              </w:numPr>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LED显示屏为防止金属离子迁移、线路短路现象，PCB采用FR-4四层板同等级或更高材料，板厚≥1.6mm，铜厚≥1盎司，TG≥170℃，PCB板表面具备防潮/防尘/防静电/抗氧化，防霉等级≤1级；</w:t>
            </w:r>
          </w:p>
          <w:p w14:paraId="15DD6BCE">
            <w:pPr>
              <w:widowControl/>
              <w:numPr>
                <w:ilvl w:val="0"/>
                <w:numId w:val="11"/>
              </w:numPr>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LED显示屏依据GB/T 5169.16-2017标准，测试温度在650℃，时间30秒，样品燃烧火焰或熔融物应该在灼热丝测试结束后30秒内熄灭，并且样品燃烧的火焰或熔融物滴落时不能使下方的测试纸燃烧，（PCB板、线材、电源、连接件）阻燃等级达到V-0等级；</w:t>
            </w:r>
          </w:p>
          <w:p w14:paraId="586C223D">
            <w:pPr>
              <w:widowControl/>
              <w:numPr>
                <w:ilvl w:val="0"/>
                <w:numId w:val="11"/>
              </w:numPr>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LED显示屏依据GB/T 2423.17-2008进行试验，产品在温度35℃、盐雾为浓度5%的NaCl溶液、PH值7.0、连续喷雾2小时后静置22小时为1个循环周期/总共3个循环周期的条件下试验后，产品外观无生锈现象，可以无故障运行，符合盐雾10级要求；</w:t>
            </w:r>
          </w:p>
          <w:p w14:paraId="5825A298">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14.LED显示屏符合EMCCLASSB抗干扰能力，要求运行稳定不受外界各射频电磁场的干扰</w:t>
            </w:r>
          </w:p>
          <w:p w14:paraId="4FD032DE">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15.LED显示屏具备低蓝光模式，可在控制软件中选择30%、40%、70%三挡调节显示屏蓝光输出，有效减少蓝光辐射对眼睛的伤害；</w:t>
            </w:r>
          </w:p>
        </w:tc>
        <w:tc>
          <w:tcPr>
            <w:tcW w:w="981" w:type="dxa"/>
            <w:tcBorders>
              <w:top w:val="nil"/>
              <w:left w:val="nil"/>
              <w:bottom w:val="single" w:color="auto" w:sz="4" w:space="0"/>
              <w:right w:val="single" w:color="auto" w:sz="4" w:space="0"/>
            </w:tcBorders>
            <w:shd w:val="clear" w:color="auto" w:fill="auto"/>
            <w:vAlign w:val="center"/>
          </w:tcPr>
          <w:p w14:paraId="2739A07D">
            <w:pPr>
              <w:widowControl/>
              <w:jc w:val="center"/>
              <w:rPr>
                <w:rFonts w:hint="eastAsia" w:ascii="宋体" w:hAnsi="宋体" w:cs="宋体"/>
                <w:kern w:val="0"/>
                <w:sz w:val="20"/>
                <w:szCs w:val="20"/>
              </w:rPr>
            </w:pPr>
            <w:r>
              <w:rPr>
                <w:rFonts w:hint="eastAsia" w:ascii="宋体" w:hAnsi="宋体" w:cs="宋体"/>
                <w:kern w:val="0"/>
                <w:sz w:val="20"/>
                <w:szCs w:val="20"/>
              </w:rPr>
              <w:t>平方米</w:t>
            </w:r>
          </w:p>
        </w:tc>
        <w:tc>
          <w:tcPr>
            <w:tcW w:w="1177" w:type="dxa"/>
            <w:tcBorders>
              <w:top w:val="nil"/>
              <w:left w:val="nil"/>
              <w:bottom w:val="single" w:color="auto" w:sz="4" w:space="0"/>
              <w:right w:val="single" w:color="auto" w:sz="4" w:space="0"/>
            </w:tcBorders>
            <w:shd w:val="clear" w:color="auto" w:fill="auto"/>
            <w:vAlign w:val="center"/>
          </w:tcPr>
          <w:p w14:paraId="099C0E56">
            <w:pPr>
              <w:widowControl/>
              <w:jc w:val="center"/>
              <w:rPr>
                <w:rFonts w:hint="eastAsia" w:ascii="宋体" w:hAnsi="宋体" w:cs="宋体"/>
                <w:kern w:val="0"/>
                <w:sz w:val="20"/>
                <w:szCs w:val="20"/>
              </w:rPr>
            </w:pPr>
            <w:r>
              <w:rPr>
                <w:rFonts w:hint="eastAsia" w:ascii="宋体" w:hAnsi="宋体" w:cs="宋体"/>
                <w:kern w:val="0"/>
                <w:sz w:val="20"/>
                <w:szCs w:val="20"/>
              </w:rPr>
              <w:t>7.3216</w:t>
            </w:r>
          </w:p>
        </w:tc>
      </w:tr>
      <w:tr w14:paraId="3CDCD971">
        <w:tblPrEx>
          <w:tblCellMar>
            <w:top w:w="0" w:type="dxa"/>
            <w:left w:w="108" w:type="dxa"/>
            <w:bottom w:w="0" w:type="dxa"/>
            <w:right w:w="108" w:type="dxa"/>
          </w:tblCellMar>
        </w:tblPrEx>
        <w:trPr>
          <w:trHeight w:val="1165"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15BB7A2B">
            <w:pPr>
              <w:widowControl/>
              <w:jc w:val="center"/>
              <w:rPr>
                <w:rFonts w:hint="eastAsia" w:ascii="宋体" w:hAnsi="宋体" w:cs="宋体"/>
                <w:kern w:val="0"/>
                <w:sz w:val="20"/>
                <w:szCs w:val="20"/>
              </w:rPr>
            </w:pPr>
            <w:r>
              <w:rPr>
                <w:rFonts w:hint="eastAsia" w:ascii="宋体" w:hAnsi="宋体" w:cs="宋体"/>
                <w:kern w:val="0"/>
                <w:sz w:val="20"/>
                <w:szCs w:val="20"/>
              </w:rPr>
              <w:t>16</w:t>
            </w:r>
          </w:p>
        </w:tc>
        <w:tc>
          <w:tcPr>
            <w:tcW w:w="1325" w:type="dxa"/>
            <w:tcBorders>
              <w:top w:val="nil"/>
              <w:left w:val="nil"/>
              <w:bottom w:val="single" w:color="auto" w:sz="4" w:space="0"/>
              <w:right w:val="single" w:color="auto" w:sz="4" w:space="0"/>
            </w:tcBorders>
            <w:shd w:val="clear" w:color="auto" w:fill="auto"/>
            <w:vAlign w:val="center"/>
          </w:tcPr>
          <w:p w14:paraId="7D1DB2E7">
            <w:pPr>
              <w:widowControl/>
              <w:jc w:val="left"/>
              <w:rPr>
                <w:rFonts w:hint="eastAsia" w:ascii="宋体" w:hAnsi="宋体" w:cs="宋体"/>
                <w:kern w:val="0"/>
                <w:sz w:val="20"/>
                <w:szCs w:val="20"/>
              </w:rPr>
            </w:pPr>
            <w:r>
              <w:rPr>
                <w:rFonts w:hint="eastAsia" w:ascii="宋体" w:hAnsi="宋体" w:cs="宋体"/>
                <w:kern w:val="0"/>
                <w:sz w:val="20"/>
                <w:szCs w:val="20"/>
              </w:rPr>
              <w:t>发送盒</w:t>
            </w:r>
          </w:p>
        </w:tc>
        <w:tc>
          <w:tcPr>
            <w:tcW w:w="3515" w:type="dxa"/>
            <w:tcBorders>
              <w:top w:val="nil"/>
              <w:left w:val="nil"/>
              <w:bottom w:val="single" w:color="auto" w:sz="4" w:space="0"/>
              <w:right w:val="single" w:color="auto" w:sz="4" w:space="0"/>
            </w:tcBorders>
            <w:shd w:val="clear" w:color="auto" w:fill="auto"/>
            <w:vAlign w:val="center"/>
          </w:tcPr>
          <w:p w14:paraId="4F108B60">
            <w:pPr>
              <w:widowControl/>
              <w:jc w:val="left"/>
              <w:rPr>
                <w:rFonts w:hint="eastAsia" w:ascii="宋体" w:hAnsi="宋体" w:cs="宋体"/>
                <w:kern w:val="0"/>
                <w:sz w:val="20"/>
                <w:szCs w:val="20"/>
              </w:rPr>
            </w:pPr>
            <w:r>
              <w:rPr>
                <w:rFonts w:hint="eastAsia" w:ascii="宋体" w:hAnsi="宋体" w:cs="宋体"/>
                <w:kern w:val="0"/>
                <w:sz w:val="20"/>
                <w:szCs w:val="20"/>
              </w:rPr>
              <w:t>1.具备带载面积≥390万像素，最宽≥8192点，或最高≥4096点；</w:t>
            </w:r>
            <w:r>
              <w:rPr>
                <w:rFonts w:hint="eastAsia" w:ascii="宋体" w:hAnsi="宋体" w:cs="宋体"/>
                <w:kern w:val="0"/>
                <w:sz w:val="20"/>
                <w:szCs w:val="20"/>
              </w:rPr>
              <w:br w:type="textWrapping"/>
            </w:r>
            <w:r>
              <w:rPr>
                <w:rFonts w:hint="eastAsia" w:ascii="宋体" w:hAnsi="宋体" w:cs="宋体"/>
                <w:kern w:val="0"/>
                <w:sz w:val="20"/>
                <w:szCs w:val="20"/>
              </w:rPr>
              <w:t>2.具备输入分辨率≥1920×1200@60Hz，支持自定义分辨率设置；</w:t>
            </w:r>
            <w:r>
              <w:rPr>
                <w:rFonts w:hint="eastAsia" w:ascii="宋体" w:hAnsi="宋体" w:cs="宋体"/>
                <w:kern w:val="0"/>
                <w:sz w:val="20"/>
                <w:szCs w:val="20"/>
              </w:rPr>
              <w:br w:type="textWrapping"/>
            </w:r>
            <w:r>
              <w:rPr>
                <w:rFonts w:hint="eastAsia" w:ascii="宋体" w:hAnsi="宋体" w:cs="宋体"/>
                <w:kern w:val="0"/>
                <w:sz w:val="20"/>
                <w:szCs w:val="20"/>
              </w:rPr>
              <w:t>3.具备≥6路千兆网口输出；</w:t>
            </w:r>
            <w:r>
              <w:rPr>
                <w:rFonts w:hint="eastAsia" w:ascii="宋体" w:hAnsi="宋体" w:cs="宋体"/>
                <w:kern w:val="0"/>
                <w:sz w:val="20"/>
                <w:szCs w:val="20"/>
              </w:rPr>
              <w:br w:type="textWrapping"/>
            </w:r>
            <w:r>
              <w:rPr>
                <w:rFonts w:hint="eastAsia" w:ascii="宋体" w:hAnsi="宋体" w:cs="宋体"/>
                <w:kern w:val="0"/>
                <w:sz w:val="20"/>
                <w:szCs w:val="20"/>
              </w:rPr>
              <w:t>4.具备对视频信号任意切换，裁剪，拼接，缩放；</w:t>
            </w:r>
            <w:r>
              <w:rPr>
                <w:rFonts w:hint="eastAsia" w:ascii="宋体" w:hAnsi="宋体" w:cs="宋体"/>
                <w:kern w:val="0"/>
                <w:sz w:val="20"/>
                <w:szCs w:val="20"/>
              </w:rPr>
              <w:br w:type="textWrapping"/>
            </w:r>
            <w:r>
              <w:rPr>
                <w:rFonts w:hint="eastAsia" w:ascii="宋体" w:hAnsi="宋体" w:cs="宋体"/>
                <w:kern w:val="0"/>
                <w:sz w:val="20"/>
                <w:szCs w:val="20"/>
              </w:rPr>
              <w:t>5.具备≥3画面显示，位置、大小可自由调节；</w:t>
            </w:r>
            <w:r>
              <w:rPr>
                <w:rFonts w:hint="eastAsia" w:ascii="宋体" w:hAnsi="宋体" w:cs="宋体"/>
                <w:kern w:val="0"/>
                <w:sz w:val="20"/>
                <w:szCs w:val="20"/>
              </w:rPr>
              <w:br w:type="textWrapping"/>
            </w:r>
            <w:r>
              <w:rPr>
                <w:rFonts w:hint="eastAsia" w:ascii="宋体" w:hAnsi="宋体" w:cs="宋体"/>
                <w:kern w:val="0"/>
                <w:sz w:val="20"/>
                <w:szCs w:val="20"/>
              </w:rPr>
              <w:t>6.具备独立音频输入；</w:t>
            </w:r>
            <w:r>
              <w:rPr>
                <w:rFonts w:hint="eastAsia" w:ascii="宋体" w:hAnsi="宋体" w:cs="宋体"/>
                <w:kern w:val="0"/>
                <w:sz w:val="20"/>
                <w:szCs w:val="20"/>
              </w:rPr>
              <w:br w:type="textWrapping"/>
            </w:r>
            <w:r>
              <w:rPr>
                <w:rFonts w:hint="eastAsia" w:ascii="宋体" w:hAnsi="宋体" w:cs="宋体"/>
                <w:kern w:val="0"/>
                <w:sz w:val="20"/>
                <w:szCs w:val="20"/>
              </w:rPr>
              <w:t>7.具备RS232串口协议控制；</w:t>
            </w:r>
            <w:r>
              <w:rPr>
                <w:rFonts w:hint="eastAsia" w:ascii="宋体" w:hAnsi="宋体" w:cs="宋体"/>
                <w:kern w:val="0"/>
                <w:sz w:val="20"/>
                <w:szCs w:val="20"/>
              </w:rPr>
              <w:br w:type="textWrapping"/>
            </w:r>
            <w:r>
              <w:rPr>
                <w:rFonts w:hint="eastAsia" w:ascii="宋体" w:hAnsi="宋体" w:cs="宋体"/>
                <w:kern w:val="0"/>
                <w:sz w:val="20"/>
                <w:szCs w:val="20"/>
              </w:rPr>
              <w:t>8.具备HDCP高带宽数字内容保护技术；</w:t>
            </w:r>
            <w:r>
              <w:rPr>
                <w:rFonts w:hint="eastAsia" w:ascii="宋体" w:hAnsi="宋体" w:cs="宋体"/>
                <w:kern w:val="0"/>
                <w:sz w:val="20"/>
                <w:szCs w:val="20"/>
              </w:rPr>
              <w:br w:type="textWrapping"/>
            </w:r>
            <w:r>
              <w:rPr>
                <w:rFonts w:hint="eastAsia" w:ascii="宋体" w:hAnsi="宋体" w:cs="宋体"/>
                <w:kern w:val="0"/>
                <w:sz w:val="20"/>
                <w:szCs w:val="20"/>
              </w:rPr>
              <w:t>9.具备亮度和色温调节；</w:t>
            </w:r>
          </w:p>
        </w:tc>
        <w:tc>
          <w:tcPr>
            <w:tcW w:w="981" w:type="dxa"/>
            <w:tcBorders>
              <w:top w:val="nil"/>
              <w:left w:val="nil"/>
              <w:bottom w:val="single" w:color="auto" w:sz="4" w:space="0"/>
              <w:right w:val="single" w:color="auto" w:sz="4" w:space="0"/>
            </w:tcBorders>
            <w:shd w:val="clear" w:color="auto" w:fill="auto"/>
            <w:vAlign w:val="center"/>
          </w:tcPr>
          <w:p w14:paraId="510D2C34">
            <w:pPr>
              <w:widowControl/>
              <w:jc w:val="center"/>
              <w:rPr>
                <w:rFonts w:hint="eastAsia" w:ascii="宋体" w:hAnsi="宋体" w:cs="宋体"/>
                <w:kern w:val="0"/>
                <w:sz w:val="20"/>
                <w:szCs w:val="20"/>
              </w:rPr>
            </w:pPr>
            <w:r>
              <w:rPr>
                <w:rFonts w:hint="eastAsia" w:ascii="宋体" w:hAnsi="宋体" w:cs="宋体"/>
                <w:kern w:val="0"/>
                <w:sz w:val="20"/>
                <w:szCs w:val="20"/>
              </w:rPr>
              <w:t>台</w:t>
            </w:r>
          </w:p>
        </w:tc>
        <w:tc>
          <w:tcPr>
            <w:tcW w:w="1177" w:type="dxa"/>
            <w:tcBorders>
              <w:top w:val="nil"/>
              <w:left w:val="nil"/>
              <w:bottom w:val="single" w:color="auto" w:sz="4" w:space="0"/>
              <w:right w:val="single" w:color="auto" w:sz="4" w:space="0"/>
            </w:tcBorders>
            <w:shd w:val="clear" w:color="auto" w:fill="auto"/>
            <w:noWrap/>
            <w:vAlign w:val="center"/>
          </w:tcPr>
          <w:p w14:paraId="3C1F12E8">
            <w:pPr>
              <w:widowControl/>
              <w:jc w:val="center"/>
              <w:rPr>
                <w:rFonts w:hint="eastAsia" w:ascii="宋体" w:hAnsi="宋体" w:cs="宋体"/>
                <w:kern w:val="0"/>
                <w:sz w:val="20"/>
                <w:szCs w:val="20"/>
              </w:rPr>
            </w:pPr>
            <w:r>
              <w:rPr>
                <w:rFonts w:hint="eastAsia" w:ascii="宋体" w:hAnsi="宋体" w:cs="宋体"/>
                <w:kern w:val="0"/>
                <w:sz w:val="20"/>
                <w:szCs w:val="20"/>
              </w:rPr>
              <w:t>1</w:t>
            </w:r>
          </w:p>
        </w:tc>
      </w:tr>
      <w:tr w14:paraId="46F20FF9">
        <w:tblPrEx>
          <w:tblCellMar>
            <w:top w:w="0" w:type="dxa"/>
            <w:left w:w="108" w:type="dxa"/>
            <w:bottom w:w="0" w:type="dxa"/>
            <w:right w:w="108" w:type="dxa"/>
          </w:tblCellMar>
        </w:tblPrEx>
        <w:trPr>
          <w:trHeight w:val="182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0793EF31">
            <w:pPr>
              <w:widowControl/>
              <w:jc w:val="center"/>
              <w:rPr>
                <w:rFonts w:hint="eastAsia" w:ascii="宋体" w:hAnsi="宋体" w:cs="宋体"/>
                <w:kern w:val="0"/>
                <w:sz w:val="20"/>
                <w:szCs w:val="20"/>
              </w:rPr>
            </w:pPr>
            <w:r>
              <w:rPr>
                <w:rFonts w:hint="eastAsia" w:ascii="宋体" w:hAnsi="宋体" w:cs="宋体"/>
                <w:kern w:val="0"/>
                <w:sz w:val="20"/>
                <w:szCs w:val="20"/>
              </w:rPr>
              <w:t>17</w:t>
            </w:r>
          </w:p>
        </w:tc>
        <w:tc>
          <w:tcPr>
            <w:tcW w:w="1325" w:type="dxa"/>
            <w:tcBorders>
              <w:top w:val="nil"/>
              <w:left w:val="nil"/>
              <w:bottom w:val="single" w:color="auto" w:sz="4" w:space="0"/>
              <w:right w:val="single" w:color="auto" w:sz="4" w:space="0"/>
            </w:tcBorders>
            <w:shd w:val="clear" w:color="auto" w:fill="auto"/>
            <w:vAlign w:val="center"/>
          </w:tcPr>
          <w:p w14:paraId="5EF241D4">
            <w:pPr>
              <w:widowControl/>
              <w:jc w:val="left"/>
              <w:rPr>
                <w:rFonts w:hint="eastAsia" w:ascii="宋体" w:hAnsi="宋体" w:cs="宋体"/>
                <w:kern w:val="0"/>
                <w:sz w:val="20"/>
                <w:szCs w:val="20"/>
              </w:rPr>
            </w:pPr>
            <w:r>
              <w:rPr>
                <w:rFonts w:hint="eastAsia" w:ascii="宋体" w:hAnsi="宋体" w:cs="宋体"/>
                <w:kern w:val="0"/>
                <w:sz w:val="20"/>
                <w:szCs w:val="20"/>
              </w:rPr>
              <w:t>配电柜</w:t>
            </w:r>
          </w:p>
        </w:tc>
        <w:tc>
          <w:tcPr>
            <w:tcW w:w="3515" w:type="dxa"/>
            <w:tcBorders>
              <w:top w:val="nil"/>
              <w:left w:val="nil"/>
              <w:bottom w:val="single" w:color="auto" w:sz="4" w:space="0"/>
              <w:right w:val="single" w:color="auto" w:sz="4" w:space="0"/>
            </w:tcBorders>
            <w:shd w:val="clear" w:color="auto" w:fill="auto"/>
            <w:vAlign w:val="center"/>
          </w:tcPr>
          <w:p w14:paraId="2E6DBD6F">
            <w:pPr>
              <w:widowControl/>
              <w:jc w:val="left"/>
              <w:rPr>
                <w:rFonts w:hint="eastAsia" w:ascii="宋体" w:hAnsi="宋体" w:cs="宋体"/>
                <w:kern w:val="0"/>
                <w:sz w:val="20"/>
                <w:szCs w:val="20"/>
              </w:rPr>
            </w:pPr>
            <w:r>
              <w:rPr>
                <w:rFonts w:hint="eastAsia" w:ascii="宋体" w:hAnsi="宋体" w:cs="宋体"/>
                <w:kern w:val="0"/>
                <w:sz w:val="20"/>
                <w:szCs w:val="20"/>
              </w:rPr>
              <w:t>1.额定功率：≥10kW，输出路数：≥3路</w:t>
            </w:r>
            <w:r>
              <w:rPr>
                <w:rFonts w:hint="eastAsia" w:ascii="宋体" w:hAnsi="宋体" w:cs="宋体"/>
                <w:kern w:val="0"/>
                <w:sz w:val="20"/>
                <w:szCs w:val="20"/>
              </w:rPr>
              <w:br w:type="textWrapping"/>
            </w:r>
            <w:r>
              <w:rPr>
                <w:rFonts w:hint="eastAsia" w:ascii="宋体" w:hAnsi="宋体" w:cs="宋体"/>
                <w:kern w:val="0"/>
                <w:sz w:val="20"/>
                <w:szCs w:val="20"/>
              </w:rPr>
              <w:t>2.输入电压：三相五线制AC380V±10%，频率50Hz±5%，具有高温断电、浪涌、短路、过流、过载保护功能；</w:t>
            </w:r>
            <w:r>
              <w:rPr>
                <w:rFonts w:hint="eastAsia" w:ascii="宋体" w:hAnsi="宋体" w:cs="宋体"/>
                <w:kern w:val="0"/>
                <w:sz w:val="20"/>
                <w:szCs w:val="20"/>
              </w:rPr>
              <w:br w:type="textWrapping"/>
            </w:r>
            <w:r>
              <w:rPr>
                <w:rFonts w:hint="eastAsia" w:ascii="宋体" w:hAnsi="宋体" w:cs="宋体"/>
                <w:kern w:val="0"/>
                <w:sz w:val="20"/>
                <w:szCs w:val="20"/>
              </w:rPr>
              <w:t>3.输出电压：单相三线制AC220V±10%；</w:t>
            </w:r>
            <w:r>
              <w:rPr>
                <w:rFonts w:hint="eastAsia" w:ascii="宋体" w:hAnsi="宋体" w:cs="宋体"/>
                <w:kern w:val="0"/>
                <w:sz w:val="20"/>
                <w:szCs w:val="20"/>
              </w:rPr>
              <w:br w:type="textWrapping"/>
            </w:r>
            <w:r>
              <w:rPr>
                <w:rFonts w:hint="eastAsia" w:ascii="宋体" w:hAnsi="宋体" w:cs="宋体"/>
                <w:kern w:val="0"/>
                <w:sz w:val="20"/>
                <w:szCs w:val="20"/>
              </w:rPr>
              <w:t>4.内置避雷器，具有避雷防雷功能；</w:t>
            </w:r>
            <w:r>
              <w:rPr>
                <w:rFonts w:hint="eastAsia" w:ascii="宋体" w:hAnsi="宋体" w:cs="宋体"/>
                <w:kern w:val="0"/>
                <w:sz w:val="20"/>
                <w:szCs w:val="20"/>
              </w:rPr>
              <w:br w:type="textWrapping"/>
            </w:r>
            <w:r>
              <w:rPr>
                <w:rFonts w:hint="eastAsia" w:ascii="宋体" w:hAnsi="宋体" w:cs="宋体"/>
                <w:kern w:val="0"/>
                <w:sz w:val="20"/>
                <w:szCs w:val="20"/>
              </w:rPr>
              <w:t>5.配电柜含多功能卡控制，具有远程控制功能、RS232串口或千兆网口通信；</w:t>
            </w:r>
            <w:r>
              <w:rPr>
                <w:rFonts w:hint="eastAsia" w:ascii="宋体" w:hAnsi="宋体" w:cs="宋体"/>
                <w:kern w:val="0"/>
                <w:sz w:val="20"/>
                <w:szCs w:val="20"/>
              </w:rPr>
              <w:br w:type="textWrapping"/>
            </w:r>
            <w:r>
              <w:rPr>
                <w:rFonts w:hint="eastAsia" w:ascii="宋体" w:hAnsi="宋体" w:cs="宋体"/>
                <w:kern w:val="0"/>
                <w:sz w:val="20"/>
                <w:szCs w:val="20"/>
              </w:rPr>
              <w:t>6.通过LED显示屏智慧控制系统软件搭配多功能卡实现电源监视、温度监控操作；</w:t>
            </w:r>
          </w:p>
        </w:tc>
        <w:tc>
          <w:tcPr>
            <w:tcW w:w="981" w:type="dxa"/>
            <w:tcBorders>
              <w:top w:val="nil"/>
              <w:left w:val="nil"/>
              <w:bottom w:val="single" w:color="auto" w:sz="4" w:space="0"/>
              <w:right w:val="single" w:color="auto" w:sz="4" w:space="0"/>
            </w:tcBorders>
            <w:shd w:val="clear" w:color="auto" w:fill="auto"/>
            <w:vAlign w:val="center"/>
          </w:tcPr>
          <w:p w14:paraId="1BB88B64">
            <w:pPr>
              <w:widowControl/>
              <w:jc w:val="center"/>
              <w:rPr>
                <w:rFonts w:hint="eastAsia" w:ascii="宋体" w:hAnsi="宋体" w:cs="宋体"/>
                <w:kern w:val="0"/>
                <w:sz w:val="20"/>
                <w:szCs w:val="20"/>
              </w:rPr>
            </w:pPr>
            <w:r>
              <w:rPr>
                <w:rFonts w:hint="eastAsia" w:ascii="宋体" w:hAnsi="宋体" w:cs="宋体"/>
                <w:kern w:val="0"/>
                <w:sz w:val="20"/>
                <w:szCs w:val="20"/>
              </w:rPr>
              <w:t>台</w:t>
            </w:r>
          </w:p>
        </w:tc>
        <w:tc>
          <w:tcPr>
            <w:tcW w:w="1177" w:type="dxa"/>
            <w:tcBorders>
              <w:top w:val="nil"/>
              <w:left w:val="nil"/>
              <w:bottom w:val="single" w:color="auto" w:sz="4" w:space="0"/>
              <w:right w:val="single" w:color="auto" w:sz="4" w:space="0"/>
            </w:tcBorders>
            <w:shd w:val="clear" w:color="auto" w:fill="auto"/>
            <w:noWrap/>
            <w:vAlign w:val="center"/>
          </w:tcPr>
          <w:p w14:paraId="7B274438">
            <w:pPr>
              <w:widowControl/>
              <w:jc w:val="center"/>
              <w:rPr>
                <w:rFonts w:hint="eastAsia" w:ascii="宋体" w:hAnsi="宋体" w:cs="宋体"/>
                <w:kern w:val="0"/>
                <w:sz w:val="20"/>
                <w:szCs w:val="20"/>
              </w:rPr>
            </w:pPr>
            <w:r>
              <w:rPr>
                <w:rFonts w:hint="eastAsia" w:ascii="宋体" w:hAnsi="宋体" w:cs="宋体"/>
                <w:kern w:val="0"/>
                <w:sz w:val="20"/>
                <w:szCs w:val="20"/>
              </w:rPr>
              <w:t>1</w:t>
            </w:r>
          </w:p>
        </w:tc>
      </w:tr>
      <w:tr w14:paraId="1380DF3B">
        <w:tblPrEx>
          <w:tblCellMar>
            <w:top w:w="0" w:type="dxa"/>
            <w:left w:w="108" w:type="dxa"/>
            <w:bottom w:w="0" w:type="dxa"/>
            <w:right w:w="108" w:type="dxa"/>
          </w:tblCellMar>
        </w:tblPrEx>
        <w:trPr>
          <w:trHeight w:val="28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38832FCA">
            <w:pPr>
              <w:widowControl/>
              <w:jc w:val="center"/>
              <w:rPr>
                <w:rFonts w:hint="eastAsia" w:ascii="宋体" w:hAnsi="宋体" w:cs="宋体"/>
                <w:kern w:val="0"/>
                <w:sz w:val="20"/>
                <w:szCs w:val="20"/>
              </w:rPr>
            </w:pPr>
            <w:r>
              <w:rPr>
                <w:rFonts w:hint="eastAsia" w:ascii="宋体" w:hAnsi="宋体" w:cs="宋体"/>
                <w:kern w:val="0"/>
                <w:sz w:val="20"/>
                <w:szCs w:val="20"/>
              </w:rPr>
              <w:t>18</w:t>
            </w:r>
          </w:p>
        </w:tc>
        <w:tc>
          <w:tcPr>
            <w:tcW w:w="1325" w:type="dxa"/>
            <w:tcBorders>
              <w:top w:val="nil"/>
              <w:left w:val="nil"/>
              <w:bottom w:val="single" w:color="auto" w:sz="4" w:space="0"/>
              <w:right w:val="single" w:color="auto" w:sz="4" w:space="0"/>
            </w:tcBorders>
            <w:shd w:val="clear" w:color="auto" w:fill="auto"/>
            <w:vAlign w:val="center"/>
          </w:tcPr>
          <w:p w14:paraId="22A57746">
            <w:pPr>
              <w:widowControl/>
              <w:jc w:val="left"/>
              <w:rPr>
                <w:rFonts w:hint="eastAsia" w:ascii="宋体" w:hAnsi="宋体" w:cs="宋体"/>
                <w:kern w:val="0"/>
                <w:sz w:val="20"/>
                <w:szCs w:val="20"/>
              </w:rPr>
            </w:pPr>
            <w:r>
              <w:rPr>
                <w:rFonts w:hint="eastAsia" w:ascii="宋体" w:hAnsi="宋体" w:cs="宋体"/>
                <w:kern w:val="0"/>
                <w:sz w:val="20"/>
                <w:szCs w:val="20"/>
              </w:rPr>
              <w:t>台式电脑</w:t>
            </w:r>
          </w:p>
        </w:tc>
        <w:tc>
          <w:tcPr>
            <w:tcW w:w="3515" w:type="dxa"/>
            <w:tcBorders>
              <w:top w:val="nil"/>
              <w:left w:val="nil"/>
              <w:bottom w:val="single" w:color="auto" w:sz="4" w:space="0"/>
              <w:right w:val="single" w:color="auto" w:sz="4" w:space="0"/>
            </w:tcBorders>
            <w:shd w:val="clear" w:color="auto" w:fill="auto"/>
            <w:vAlign w:val="center"/>
          </w:tcPr>
          <w:p w14:paraId="1CFA37E7">
            <w:pPr>
              <w:widowControl/>
              <w:jc w:val="left"/>
              <w:rPr>
                <w:rFonts w:hint="eastAsia" w:ascii="宋体" w:hAnsi="宋体" w:cs="宋体"/>
                <w:kern w:val="0"/>
                <w:sz w:val="20"/>
                <w:szCs w:val="20"/>
              </w:rPr>
            </w:pPr>
            <w:r>
              <w:rPr>
                <w:rFonts w:hint="eastAsia" w:ascii="宋体" w:hAnsi="宋体" w:cs="宋体"/>
                <w:kern w:val="0"/>
                <w:sz w:val="20"/>
                <w:szCs w:val="20"/>
                <w:highlight w:val="none"/>
              </w:rPr>
              <w:t>不低于</w:t>
            </w:r>
            <w:r>
              <w:rPr>
                <w:rFonts w:hint="eastAsia" w:ascii="宋体" w:hAnsi="宋体" w:cs="宋体"/>
                <w:kern w:val="0"/>
                <w:sz w:val="20"/>
                <w:szCs w:val="20"/>
              </w:rPr>
              <w:t>第十代英特尔酷睿i5，台式电脑整机（I5-10500 8G 1T Win10 ）</w:t>
            </w:r>
          </w:p>
        </w:tc>
        <w:tc>
          <w:tcPr>
            <w:tcW w:w="981" w:type="dxa"/>
            <w:tcBorders>
              <w:top w:val="nil"/>
              <w:left w:val="nil"/>
              <w:bottom w:val="single" w:color="auto" w:sz="4" w:space="0"/>
              <w:right w:val="single" w:color="auto" w:sz="4" w:space="0"/>
            </w:tcBorders>
            <w:shd w:val="clear" w:color="auto" w:fill="auto"/>
            <w:vAlign w:val="center"/>
          </w:tcPr>
          <w:p w14:paraId="55A91702">
            <w:pPr>
              <w:widowControl/>
              <w:jc w:val="center"/>
              <w:rPr>
                <w:rFonts w:hint="eastAsia" w:ascii="宋体" w:hAnsi="宋体" w:cs="宋体"/>
                <w:kern w:val="0"/>
                <w:sz w:val="20"/>
                <w:szCs w:val="20"/>
              </w:rPr>
            </w:pPr>
            <w:r>
              <w:rPr>
                <w:rFonts w:hint="eastAsia" w:ascii="宋体" w:hAnsi="宋体" w:cs="宋体"/>
                <w:kern w:val="0"/>
                <w:sz w:val="20"/>
                <w:szCs w:val="20"/>
              </w:rPr>
              <w:t>台</w:t>
            </w:r>
          </w:p>
        </w:tc>
        <w:tc>
          <w:tcPr>
            <w:tcW w:w="1177" w:type="dxa"/>
            <w:tcBorders>
              <w:top w:val="nil"/>
              <w:left w:val="nil"/>
              <w:bottom w:val="single" w:color="auto" w:sz="4" w:space="0"/>
              <w:right w:val="single" w:color="auto" w:sz="4" w:space="0"/>
            </w:tcBorders>
            <w:shd w:val="clear" w:color="auto" w:fill="auto"/>
            <w:vAlign w:val="center"/>
          </w:tcPr>
          <w:p w14:paraId="2F1BE26E">
            <w:pPr>
              <w:widowControl/>
              <w:jc w:val="center"/>
              <w:rPr>
                <w:rFonts w:hint="eastAsia" w:ascii="宋体" w:hAnsi="宋体" w:cs="宋体"/>
                <w:kern w:val="0"/>
                <w:sz w:val="20"/>
                <w:szCs w:val="20"/>
              </w:rPr>
            </w:pPr>
            <w:r>
              <w:rPr>
                <w:rFonts w:hint="eastAsia" w:ascii="宋体" w:hAnsi="宋体" w:cs="宋体"/>
                <w:kern w:val="0"/>
                <w:sz w:val="20"/>
                <w:szCs w:val="20"/>
              </w:rPr>
              <w:t>1</w:t>
            </w:r>
          </w:p>
        </w:tc>
      </w:tr>
      <w:tr w14:paraId="454029D2">
        <w:tblPrEx>
          <w:tblCellMar>
            <w:top w:w="0" w:type="dxa"/>
            <w:left w:w="108" w:type="dxa"/>
            <w:bottom w:w="0" w:type="dxa"/>
            <w:right w:w="108" w:type="dxa"/>
          </w:tblCellMar>
        </w:tblPrEx>
        <w:trPr>
          <w:trHeight w:val="28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45DA2A17">
            <w:pPr>
              <w:widowControl/>
              <w:jc w:val="center"/>
              <w:rPr>
                <w:rFonts w:hint="eastAsia" w:ascii="宋体" w:hAnsi="宋体" w:cs="宋体"/>
                <w:kern w:val="0"/>
                <w:sz w:val="20"/>
                <w:szCs w:val="20"/>
              </w:rPr>
            </w:pPr>
            <w:r>
              <w:rPr>
                <w:rFonts w:hint="eastAsia" w:ascii="宋体" w:hAnsi="宋体" w:cs="宋体"/>
                <w:kern w:val="0"/>
                <w:sz w:val="20"/>
                <w:szCs w:val="20"/>
              </w:rPr>
              <w:t>19</w:t>
            </w:r>
          </w:p>
        </w:tc>
        <w:tc>
          <w:tcPr>
            <w:tcW w:w="1325" w:type="dxa"/>
            <w:tcBorders>
              <w:top w:val="nil"/>
              <w:left w:val="nil"/>
              <w:bottom w:val="single" w:color="auto" w:sz="4" w:space="0"/>
              <w:right w:val="single" w:color="auto" w:sz="4" w:space="0"/>
            </w:tcBorders>
            <w:shd w:val="clear" w:color="auto" w:fill="auto"/>
            <w:vAlign w:val="center"/>
          </w:tcPr>
          <w:p w14:paraId="70497A31">
            <w:pPr>
              <w:widowControl/>
              <w:jc w:val="left"/>
              <w:rPr>
                <w:rFonts w:hint="eastAsia" w:ascii="宋体" w:hAnsi="宋体" w:cs="宋体"/>
                <w:kern w:val="0"/>
                <w:sz w:val="20"/>
                <w:szCs w:val="20"/>
              </w:rPr>
            </w:pPr>
            <w:r>
              <w:rPr>
                <w:rFonts w:hint="eastAsia" w:ascii="宋体" w:hAnsi="宋体" w:cs="宋体"/>
                <w:kern w:val="0"/>
                <w:sz w:val="20"/>
                <w:szCs w:val="20"/>
              </w:rPr>
              <w:t>边框技术服务</w:t>
            </w:r>
          </w:p>
        </w:tc>
        <w:tc>
          <w:tcPr>
            <w:tcW w:w="3515" w:type="dxa"/>
            <w:tcBorders>
              <w:top w:val="nil"/>
              <w:left w:val="nil"/>
              <w:bottom w:val="single" w:color="auto" w:sz="4" w:space="0"/>
              <w:right w:val="single" w:color="auto" w:sz="4" w:space="0"/>
            </w:tcBorders>
            <w:shd w:val="clear" w:color="auto" w:fill="auto"/>
            <w:vAlign w:val="center"/>
          </w:tcPr>
          <w:p w14:paraId="2680736E">
            <w:pPr>
              <w:widowControl/>
              <w:jc w:val="left"/>
              <w:rPr>
                <w:rFonts w:hint="eastAsia" w:ascii="宋体" w:hAnsi="宋体" w:cs="宋体"/>
                <w:kern w:val="0"/>
                <w:sz w:val="20"/>
                <w:szCs w:val="20"/>
              </w:rPr>
            </w:pPr>
            <w:r>
              <w:rPr>
                <w:rFonts w:hint="eastAsia" w:ascii="宋体" w:hAnsi="宋体" w:cs="宋体"/>
                <w:kern w:val="0"/>
                <w:sz w:val="20"/>
                <w:szCs w:val="20"/>
              </w:rPr>
              <w:t>小会议室</w:t>
            </w:r>
          </w:p>
        </w:tc>
        <w:tc>
          <w:tcPr>
            <w:tcW w:w="981" w:type="dxa"/>
            <w:tcBorders>
              <w:top w:val="nil"/>
              <w:left w:val="nil"/>
              <w:bottom w:val="single" w:color="auto" w:sz="4" w:space="0"/>
              <w:right w:val="single" w:color="auto" w:sz="4" w:space="0"/>
            </w:tcBorders>
            <w:shd w:val="clear" w:color="auto" w:fill="auto"/>
            <w:vAlign w:val="center"/>
          </w:tcPr>
          <w:p w14:paraId="5B9F346D">
            <w:pPr>
              <w:widowControl/>
              <w:jc w:val="center"/>
              <w:rPr>
                <w:rFonts w:hint="eastAsia" w:ascii="宋体" w:hAnsi="宋体" w:cs="宋体"/>
                <w:kern w:val="0"/>
                <w:sz w:val="20"/>
                <w:szCs w:val="20"/>
              </w:rPr>
            </w:pPr>
            <w:r>
              <w:rPr>
                <w:rFonts w:hint="eastAsia" w:ascii="宋体" w:hAnsi="宋体" w:cs="宋体"/>
                <w:kern w:val="0"/>
                <w:sz w:val="20"/>
                <w:szCs w:val="20"/>
              </w:rPr>
              <w:t>项</w:t>
            </w:r>
          </w:p>
        </w:tc>
        <w:tc>
          <w:tcPr>
            <w:tcW w:w="1177" w:type="dxa"/>
            <w:tcBorders>
              <w:top w:val="nil"/>
              <w:left w:val="nil"/>
              <w:bottom w:val="single" w:color="auto" w:sz="4" w:space="0"/>
              <w:right w:val="single" w:color="auto" w:sz="4" w:space="0"/>
            </w:tcBorders>
            <w:shd w:val="clear" w:color="auto" w:fill="auto"/>
            <w:vAlign w:val="center"/>
          </w:tcPr>
          <w:p w14:paraId="1AE78F8A">
            <w:pPr>
              <w:widowControl/>
              <w:jc w:val="center"/>
              <w:rPr>
                <w:rFonts w:hint="eastAsia" w:ascii="宋体" w:hAnsi="宋体" w:cs="宋体"/>
                <w:kern w:val="0"/>
                <w:sz w:val="20"/>
                <w:szCs w:val="20"/>
              </w:rPr>
            </w:pPr>
            <w:r>
              <w:rPr>
                <w:rFonts w:hint="eastAsia" w:ascii="宋体" w:hAnsi="宋体" w:cs="宋体"/>
                <w:kern w:val="0"/>
                <w:sz w:val="20"/>
                <w:szCs w:val="20"/>
              </w:rPr>
              <w:t>1</w:t>
            </w:r>
          </w:p>
        </w:tc>
      </w:tr>
      <w:tr w14:paraId="3ED831B6">
        <w:tblPrEx>
          <w:tblCellMar>
            <w:top w:w="0" w:type="dxa"/>
            <w:left w:w="108" w:type="dxa"/>
            <w:bottom w:w="0" w:type="dxa"/>
            <w:right w:w="108" w:type="dxa"/>
          </w:tblCellMar>
        </w:tblPrEx>
        <w:trPr>
          <w:trHeight w:val="28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607E562B">
            <w:pPr>
              <w:widowControl/>
              <w:jc w:val="center"/>
              <w:rPr>
                <w:rFonts w:hint="eastAsia" w:ascii="宋体" w:hAnsi="宋体" w:cs="宋体"/>
                <w:kern w:val="0"/>
                <w:sz w:val="20"/>
                <w:szCs w:val="20"/>
              </w:rPr>
            </w:pPr>
            <w:r>
              <w:rPr>
                <w:rFonts w:hint="eastAsia" w:ascii="宋体" w:hAnsi="宋体" w:cs="宋体"/>
                <w:kern w:val="0"/>
                <w:sz w:val="20"/>
                <w:szCs w:val="20"/>
              </w:rPr>
              <w:t>20</w:t>
            </w:r>
          </w:p>
        </w:tc>
        <w:tc>
          <w:tcPr>
            <w:tcW w:w="1325" w:type="dxa"/>
            <w:tcBorders>
              <w:top w:val="nil"/>
              <w:left w:val="nil"/>
              <w:bottom w:val="single" w:color="auto" w:sz="4" w:space="0"/>
              <w:right w:val="single" w:color="auto" w:sz="4" w:space="0"/>
            </w:tcBorders>
            <w:shd w:val="clear" w:color="auto" w:fill="auto"/>
            <w:vAlign w:val="center"/>
          </w:tcPr>
          <w:p w14:paraId="3BBEF566">
            <w:pPr>
              <w:widowControl/>
              <w:jc w:val="left"/>
              <w:rPr>
                <w:rFonts w:hint="eastAsia" w:ascii="宋体" w:hAnsi="宋体" w:cs="宋体"/>
                <w:kern w:val="0"/>
                <w:sz w:val="20"/>
                <w:szCs w:val="20"/>
              </w:rPr>
            </w:pPr>
            <w:r>
              <w:rPr>
                <w:rFonts w:hint="eastAsia" w:ascii="宋体" w:hAnsi="宋体" w:cs="宋体"/>
                <w:kern w:val="0"/>
                <w:sz w:val="20"/>
                <w:szCs w:val="20"/>
              </w:rPr>
              <w:t>包装材料</w:t>
            </w:r>
          </w:p>
        </w:tc>
        <w:tc>
          <w:tcPr>
            <w:tcW w:w="3515" w:type="dxa"/>
            <w:tcBorders>
              <w:top w:val="nil"/>
              <w:left w:val="nil"/>
              <w:bottom w:val="single" w:color="auto" w:sz="4" w:space="0"/>
              <w:right w:val="single" w:color="auto" w:sz="4" w:space="0"/>
            </w:tcBorders>
            <w:shd w:val="clear" w:color="auto" w:fill="auto"/>
            <w:vAlign w:val="center"/>
          </w:tcPr>
          <w:p w14:paraId="60F6C782">
            <w:pPr>
              <w:widowControl/>
              <w:jc w:val="left"/>
              <w:rPr>
                <w:rFonts w:hint="eastAsia" w:ascii="宋体" w:hAnsi="宋体" w:cs="宋体"/>
                <w:kern w:val="0"/>
                <w:sz w:val="20"/>
                <w:szCs w:val="20"/>
              </w:rPr>
            </w:pPr>
            <w:r>
              <w:rPr>
                <w:rFonts w:hint="eastAsia" w:ascii="宋体" w:hAnsi="宋体" w:cs="宋体"/>
                <w:kern w:val="0"/>
                <w:sz w:val="20"/>
                <w:szCs w:val="20"/>
              </w:rPr>
              <w:t>8mm胶合免熏蒸木箱</w:t>
            </w:r>
          </w:p>
        </w:tc>
        <w:tc>
          <w:tcPr>
            <w:tcW w:w="981" w:type="dxa"/>
            <w:tcBorders>
              <w:top w:val="nil"/>
              <w:left w:val="nil"/>
              <w:bottom w:val="single" w:color="auto" w:sz="4" w:space="0"/>
              <w:right w:val="single" w:color="auto" w:sz="4" w:space="0"/>
            </w:tcBorders>
            <w:shd w:val="clear" w:color="auto" w:fill="auto"/>
            <w:vAlign w:val="center"/>
          </w:tcPr>
          <w:p w14:paraId="6AE425C4">
            <w:pPr>
              <w:widowControl/>
              <w:jc w:val="center"/>
              <w:rPr>
                <w:rFonts w:hint="eastAsia" w:ascii="宋体" w:hAnsi="宋体" w:cs="宋体"/>
                <w:kern w:val="0"/>
                <w:sz w:val="20"/>
                <w:szCs w:val="20"/>
              </w:rPr>
            </w:pPr>
            <w:r>
              <w:rPr>
                <w:rFonts w:hint="eastAsia" w:ascii="宋体" w:hAnsi="宋体" w:cs="宋体"/>
                <w:kern w:val="0"/>
                <w:sz w:val="20"/>
                <w:szCs w:val="20"/>
              </w:rPr>
              <w:t>平方米</w:t>
            </w:r>
          </w:p>
        </w:tc>
        <w:tc>
          <w:tcPr>
            <w:tcW w:w="1177" w:type="dxa"/>
            <w:tcBorders>
              <w:top w:val="nil"/>
              <w:left w:val="nil"/>
              <w:bottom w:val="single" w:color="auto" w:sz="4" w:space="0"/>
              <w:right w:val="single" w:color="auto" w:sz="4" w:space="0"/>
            </w:tcBorders>
            <w:shd w:val="clear" w:color="auto" w:fill="auto"/>
            <w:vAlign w:val="center"/>
          </w:tcPr>
          <w:p w14:paraId="34DEDDB5">
            <w:pPr>
              <w:widowControl/>
              <w:jc w:val="center"/>
              <w:rPr>
                <w:rFonts w:hint="eastAsia" w:ascii="宋体" w:hAnsi="宋体" w:cs="宋体"/>
                <w:kern w:val="0"/>
                <w:sz w:val="20"/>
                <w:szCs w:val="20"/>
              </w:rPr>
            </w:pPr>
            <w:r>
              <w:rPr>
                <w:rFonts w:hint="eastAsia" w:ascii="宋体" w:hAnsi="宋体" w:cs="宋体"/>
                <w:kern w:val="0"/>
                <w:sz w:val="20"/>
                <w:szCs w:val="20"/>
              </w:rPr>
              <w:t>7.3216</w:t>
            </w:r>
          </w:p>
        </w:tc>
      </w:tr>
      <w:tr w14:paraId="77B83C32">
        <w:tblPrEx>
          <w:tblCellMar>
            <w:top w:w="0" w:type="dxa"/>
            <w:left w:w="108" w:type="dxa"/>
            <w:bottom w:w="0" w:type="dxa"/>
            <w:right w:w="108" w:type="dxa"/>
          </w:tblCellMar>
        </w:tblPrEx>
        <w:trPr>
          <w:trHeight w:val="426"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37A260EB">
            <w:pPr>
              <w:widowControl/>
              <w:jc w:val="center"/>
              <w:rPr>
                <w:rFonts w:hint="eastAsia" w:ascii="宋体" w:hAnsi="宋体" w:cs="宋体"/>
                <w:kern w:val="0"/>
                <w:sz w:val="20"/>
                <w:szCs w:val="20"/>
              </w:rPr>
            </w:pPr>
            <w:r>
              <w:rPr>
                <w:rFonts w:hint="eastAsia" w:ascii="宋体" w:hAnsi="宋体" w:cs="宋体"/>
                <w:kern w:val="0"/>
                <w:sz w:val="20"/>
                <w:szCs w:val="20"/>
              </w:rPr>
              <w:t>21</w:t>
            </w:r>
          </w:p>
        </w:tc>
        <w:tc>
          <w:tcPr>
            <w:tcW w:w="1325" w:type="dxa"/>
            <w:tcBorders>
              <w:top w:val="nil"/>
              <w:left w:val="nil"/>
              <w:bottom w:val="single" w:color="auto" w:sz="4" w:space="0"/>
              <w:right w:val="single" w:color="auto" w:sz="4" w:space="0"/>
            </w:tcBorders>
            <w:shd w:val="clear" w:color="auto" w:fill="auto"/>
            <w:vAlign w:val="center"/>
          </w:tcPr>
          <w:p w14:paraId="42EBEA20">
            <w:pPr>
              <w:widowControl/>
              <w:jc w:val="left"/>
              <w:rPr>
                <w:rFonts w:hint="eastAsia" w:ascii="宋体" w:hAnsi="宋体" w:cs="宋体"/>
                <w:kern w:val="0"/>
                <w:sz w:val="20"/>
                <w:szCs w:val="20"/>
              </w:rPr>
            </w:pPr>
            <w:r>
              <w:rPr>
                <w:rFonts w:hint="eastAsia" w:ascii="宋体" w:hAnsi="宋体" w:cs="宋体"/>
                <w:kern w:val="0"/>
                <w:sz w:val="20"/>
                <w:szCs w:val="20"/>
              </w:rPr>
              <w:t>专业功放</w:t>
            </w:r>
          </w:p>
        </w:tc>
        <w:tc>
          <w:tcPr>
            <w:tcW w:w="3515" w:type="dxa"/>
            <w:tcBorders>
              <w:top w:val="nil"/>
              <w:left w:val="nil"/>
              <w:bottom w:val="single" w:color="auto" w:sz="4" w:space="0"/>
              <w:right w:val="single" w:color="auto" w:sz="4" w:space="0"/>
            </w:tcBorders>
            <w:shd w:val="clear" w:color="auto" w:fill="auto"/>
            <w:vAlign w:val="center"/>
          </w:tcPr>
          <w:p w14:paraId="1C5A5ADB">
            <w:pPr>
              <w:widowControl/>
              <w:jc w:val="left"/>
              <w:rPr>
                <w:rFonts w:hint="eastAsia" w:ascii="宋体" w:hAnsi="宋体" w:cs="宋体"/>
                <w:kern w:val="0"/>
                <w:sz w:val="20"/>
                <w:szCs w:val="20"/>
              </w:rPr>
            </w:pPr>
            <w:r>
              <w:rPr>
                <w:rFonts w:hint="eastAsia" w:ascii="宋体" w:hAnsi="宋体" w:cs="宋体"/>
                <w:kern w:val="0"/>
                <w:sz w:val="20"/>
                <w:szCs w:val="20"/>
              </w:rPr>
              <w:t>1.1U机箱设计，采用D类数字功放设计方案。</w:t>
            </w:r>
            <w:r>
              <w:rPr>
                <w:rFonts w:hint="eastAsia" w:ascii="宋体" w:hAnsi="宋体" w:cs="宋体"/>
                <w:kern w:val="0"/>
                <w:sz w:val="20"/>
                <w:szCs w:val="20"/>
              </w:rPr>
              <w:br w:type="textWrapping"/>
            </w:r>
            <w:r>
              <w:rPr>
                <w:rFonts w:hint="eastAsia" w:ascii="宋体" w:hAnsi="宋体" w:cs="宋体"/>
                <w:kern w:val="0"/>
                <w:sz w:val="20"/>
                <w:szCs w:val="20"/>
              </w:rPr>
              <w:t>2.标准XLR输入接口，和LINK输出口。</w:t>
            </w:r>
            <w:r>
              <w:rPr>
                <w:rFonts w:hint="eastAsia" w:ascii="宋体" w:hAnsi="宋体" w:cs="宋体"/>
                <w:kern w:val="0"/>
                <w:sz w:val="20"/>
                <w:szCs w:val="20"/>
              </w:rPr>
              <w:br w:type="textWrapping"/>
            </w:r>
            <w:r>
              <w:rPr>
                <w:rFonts w:hint="eastAsia" w:ascii="宋体" w:hAnsi="宋体" w:cs="宋体"/>
                <w:kern w:val="0"/>
                <w:sz w:val="20"/>
                <w:szCs w:val="20"/>
              </w:rPr>
              <w:t>3.电源采用开关电源技术，效率高，有效的抑制电源谐波。</w:t>
            </w:r>
            <w:r>
              <w:rPr>
                <w:rFonts w:hint="eastAsia" w:ascii="宋体" w:hAnsi="宋体" w:cs="宋体"/>
                <w:kern w:val="0"/>
                <w:sz w:val="20"/>
                <w:szCs w:val="20"/>
              </w:rPr>
              <w:br w:type="textWrapping"/>
            </w:r>
            <w:r>
              <w:rPr>
                <w:rFonts w:hint="eastAsia" w:ascii="宋体" w:hAnsi="宋体" w:cs="宋体"/>
                <w:kern w:val="0"/>
                <w:sz w:val="20"/>
                <w:szCs w:val="20"/>
              </w:rPr>
              <w:t xml:space="preserve">4.内置智能削峰限幅器，支持开机软启动，防止开机时向电网吸收大电流，干扰其它用电设备。 </w:t>
            </w:r>
            <w:r>
              <w:rPr>
                <w:rFonts w:hint="eastAsia" w:ascii="宋体" w:hAnsi="宋体" w:cs="宋体"/>
                <w:kern w:val="0"/>
                <w:sz w:val="20"/>
                <w:szCs w:val="20"/>
              </w:rPr>
              <w:br w:type="textWrapping"/>
            </w:r>
            <w:r>
              <w:rPr>
                <w:rFonts w:hint="eastAsia" w:ascii="宋体" w:hAnsi="宋体" w:cs="宋体"/>
                <w:kern w:val="0"/>
                <w:sz w:val="20"/>
                <w:szCs w:val="20"/>
              </w:rPr>
              <w:t>5.具有：过压保护，欠压保护，过流保护，直流保护，输出短路保护，温控风扇等功能。</w:t>
            </w:r>
            <w:r>
              <w:rPr>
                <w:rFonts w:hint="eastAsia" w:ascii="宋体" w:hAnsi="宋体" w:cs="宋体"/>
                <w:kern w:val="0"/>
                <w:sz w:val="20"/>
                <w:szCs w:val="20"/>
              </w:rPr>
              <w:br w:type="textWrapping"/>
            </w:r>
            <w:r>
              <w:rPr>
                <w:rFonts w:hint="eastAsia" w:ascii="宋体" w:hAnsi="宋体" w:cs="宋体"/>
                <w:kern w:val="0"/>
                <w:sz w:val="20"/>
                <w:szCs w:val="20"/>
              </w:rPr>
              <w:t>6.输出功率：立体声@8Ω：≥350W×2；立体声@4Ω：≥600W×2。</w:t>
            </w:r>
          </w:p>
        </w:tc>
        <w:tc>
          <w:tcPr>
            <w:tcW w:w="981" w:type="dxa"/>
            <w:tcBorders>
              <w:top w:val="nil"/>
              <w:left w:val="nil"/>
              <w:bottom w:val="single" w:color="auto" w:sz="4" w:space="0"/>
              <w:right w:val="single" w:color="auto" w:sz="4" w:space="0"/>
            </w:tcBorders>
            <w:shd w:val="clear" w:color="auto" w:fill="auto"/>
            <w:vAlign w:val="center"/>
          </w:tcPr>
          <w:p w14:paraId="7718D8A4">
            <w:pPr>
              <w:widowControl/>
              <w:jc w:val="center"/>
              <w:rPr>
                <w:rFonts w:hint="eastAsia" w:ascii="宋体" w:hAnsi="宋体" w:cs="宋体"/>
                <w:kern w:val="0"/>
                <w:sz w:val="20"/>
                <w:szCs w:val="20"/>
              </w:rPr>
            </w:pPr>
            <w:r>
              <w:rPr>
                <w:rFonts w:hint="eastAsia" w:ascii="宋体" w:hAnsi="宋体" w:cs="宋体"/>
                <w:kern w:val="0"/>
                <w:sz w:val="20"/>
                <w:szCs w:val="20"/>
              </w:rPr>
              <w:t>台</w:t>
            </w:r>
          </w:p>
        </w:tc>
        <w:tc>
          <w:tcPr>
            <w:tcW w:w="1177" w:type="dxa"/>
            <w:tcBorders>
              <w:top w:val="nil"/>
              <w:left w:val="nil"/>
              <w:bottom w:val="single" w:color="auto" w:sz="4" w:space="0"/>
              <w:right w:val="single" w:color="auto" w:sz="4" w:space="0"/>
            </w:tcBorders>
            <w:shd w:val="clear" w:color="auto" w:fill="auto"/>
            <w:noWrap/>
            <w:vAlign w:val="center"/>
          </w:tcPr>
          <w:p w14:paraId="6B610CD2">
            <w:pPr>
              <w:widowControl/>
              <w:jc w:val="center"/>
              <w:rPr>
                <w:rFonts w:hint="eastAsia" w:ascii="宋体" w:hAnsi="宋体" w:cs="宋体"/>
                <w:kern w:val="0"/>
                <w:sz w:val="20"/>
                <w:szCs w:val="20"/>
              </w:rPr>
            </w:pPr>
            <w:r>
              <w:rPr>
                <w:rFonts w:hint="eastAsia" w:ascii="宋体" w:hAnsi="宋体" w:cs="宋体"/>
                <w:kern w:val="0"/>
                <w:sz w:val="20"/>
                <w:szCs w:val="20"/>
              </w:rPr>
              <w:t>2</w:t>
            </w:r>
          </w:p>
        </w:tc>
      </w:tr>
      <w:tr w14:paraId="5B21709A">
        <w:tblPrEx>
          <w:tblCellMar>
            <w:top w:w="0" w:type="dxa"/>
            <w:left w:w="108" w:type="dxa"/>
            <w:bottom w:w="0" w:type="dxa"/>
            <w:right w:w="108" w:type="dxa"/>
          </w:tblCellMar>
        </w:tblPrEx>
        <w:trPr>
          <w:trHeight w:val="209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356A9DCF">
            <w:pPr>
              <w:widowControl/>
              <w:jc w:val="center"/>
              <w:rPr>
                <w:rFonts w:hint="eastAsia" w:ascii="宋体" w:hAnsi="宋体" w:cs="宋体"/>
                <w:kern w:val="0"/>
                <w:sz w:val="20"/>
                <w:szCs w:val="20"/>
              </w:rPr>
            </w:pPr>
            <w:r>
              <w:rPr>
                <w:rFonts w:hint="eastAsia" w:ascii="宋体" w:hAnsi="宋体" w:cs="宋体"/>
                <w:kern w:val="0"/>
                <w:sz w:val="20"/>
                <w:szCs w:val="20"/>
              </w:rPr>
              <w:t>22</w:t>
            </w:r>
          </w:p>
        </w:tc>
        <w:tc>
          <w:tcPr>
            <w:tcW w:w="1325" w:type="dxa"/>
            <w:tcBorders>
              <w:top w:val="nil"/>
              <w:left w:val="nil"/>
              <w:bottom w:val="single" w:color="auto" w:sz="4" w:space="0"/>
              <w:right w:val="single" w:color="auto" w:sz="4" w:space="0"/>
            </w:tcBorders>
            <w:shd w:val="clear" w:color="auto" w:fill="auto"/>
            <w:vAlign w:val="center"/>
          </w:tcPr>
          <w:p w14:paraId="797CD428">
            <w:pPr>
              <w:widowControl/>
              <w:jc w:val="left"/>
              <w:rPr>
                <w:rFonts w:hint="eastAsia" w:ascii="宋体" w:hAnsi="宋体" w:cs="宋体"/>
                <w:kern w:val="0"/>
                <w:sz w:val="20"/>
                <w:szCs w:val="20"/>
              </w:rPr>
            </w:pPr>
            <w:r>
              <w:rPr>
                <w:rFonts w:hint="eastAsia" w:ascii="宋体" w:hAnsi="宋体" w:cs="宋体"/>
                <w:kern w:val="0"/>
                <w:sz w:val="20"/>
                <w:szCs w:val="20"/>
              </w:rPr>
              <w:t>音箱</w:t>
            </w:r>
          </w:p>
        </w:tc>
        <w:tc>
          <w:tcPr>
            <w:tcW w:w="3515" w:type="dxa"/>
            <w:tcBorders>
              <w:top w:val="nil"/>
              <w:left w:val="nil"/>
              <w:bottom w:val="single" w:color="auto" w:sz="4" w:space="0"/>
              <w:right w:val="single" w:color="auto" w:sz="4" w:space="0"/>
            </w:tcBorders>
            <w:shd w:val="clear" w:color="auto" w:fill="auto"/>
            <w:vAlign w:val="center"/>
          </w:tcPr>
          <w:p w14:paraId="51C016D5">
            <w:pPr>
              <w:widowControl/>
              <w:jc w:val="left"/>
              <w:rPr>
                <w:rFonts w:hint="eastAsia" w:ascii="宋体" w:hAnsi="宋体" w:cs="宋体"/>
                <w:kern w:val="0"/>
                <w:sz w:val="20"/>
                <w:szCs w:val="20"/>
              </w:rPr>
            </w:pPr>
            <w:r>
              <w:rPr>
                <w:rFonts w:hint="eastAsia" w:ascii="宋体" w:hAnsi="宋体" w:cs="宋体"/>
                <w:kern w:val="0"/>
                <w:sz w:val="20"/>
                <w:szCs w:val="20"/>
              </w:rPr>
              <w:t>1.采用≥6只3寸全频喇叭单元。</w:t>
            </w:r>
            <w:r>
              <w:rPr>
                <w:rFonts w:hint="eastAsia" w:ascii="宋体" w:hAnsi="宋体" w:cs="宋体"/>
                <w:kern w:val="0"/>
                <w:sz w:val="20"/>
                <w:szCs w:val="20"/>
              </w:rPr>
              <w:br w:type="textWrapping"/>
            </w:r>
            <w:r>
              <w:rPr>
                <w:rFonts w:hint="eastAsia" w:ascii="宋体" w:hAnsi="宋体" w:cs="宋体"/>
                <w:kern w:val="0"/>
                <w:sz w:val="20"/>
                <w:szCs w:val="20"/>
              </w:rPr>
              <w:t>2.箱体采用≥12mm高密度板，CNC加工，耐磨喷漆处理。</w:t>
            </w:r>
            <w:r>
              <w:rPr>
                <w:rFonts w:hint="eastAsia" w:ascii="宋体" w:hAnsi="宋体" w:cs="宋体"/>
                <w:kern w:val="0"/>
                <w:sz w:val="20"/>
                <w:szCs w:val="20"/>
              </w:rPr>
              <w:br w:type="textWrapping"/>
            </w:r>
            <w:r>
              <w:rPr>
                <w:rFonts w:hint="eastAsia" w:ascii="宋体" w:hAnsi="宋体" w:cs="宋体"/>
                <w:kern w:val="0"/>
                <w:sz w:val="20"/>
                <w:szCs w:val="20"/>
              </w:rPr>
              <w:t>3.拼接排列扬声器设计。</w:t>
            </w:r>
            <w:r>
              <w:rPr>
                <w:rFonts w:hint="eastAsia" w:ascii="宋体" w:hAnsi="宋体" w:cs="宋体"/>
                <w:kern w:val="0"/>
                <w:sz w:val="20"/>
                <w:szCs w:val="20"/>
              </w:rPr>
              <w:br w:type="textWrapping"/>
            </w:r>
            <w:r>
              <w:rPr>
                <w:rFonts w:hint="eastAsia" w:ascii="宋体" w:hAnsi="宋体" w:cs="宋体"/>
                <w:kern w:val="0"/>
                <w:sz w:val="20"/>
                <w:szCs w:val="20"/>
              </w:rPr>
              <w:t>4.额定功率≥200W；峰值功率≥800W</w:t>
            </w:r>
            <w:r>
              <w:rPr>
                <w:rFonts w:hint="eastAsia" w:ascii="宋体" w:hAnsi="宋体" w:cs="宋体"/>
                <w:kern w:val="0"/>
                <w:sz w:val="20"/>
                <w:szCs w:val="20"/>
              </w:rPr>
              <w:br w:type="textWrapping"/>
            </w:r>
            <w:r>
              <w:rPr>
                <w:rFonts w:hint="eastAsia" w:ascii="宋体" w:hAnsi="宋体" w:cs="宋体"/>
                <w:kern w:val="0"/>
                <w:sz w:val="20"/>
                <w:szCs w:val="20"/>
              </w:rPr>
              <w:t>5.灵敏度≥95dB(1M/1W)</w:t>
            </w:r>
            <w:r>
              <w:rPr>
                <w:rFonts w:hint="eastAsia" w:ascii="宋体" w:hAnsi="宋体" w:cs="宋体"/>
                <w:kern w:val="0"/>
                <w:sz w:val="20"/>
                <w:szCs w:val="20"/>
              </w:rPr>
              <w:br w:type="textWrapping"/>
            </w:r>
            <w:r>
              <w:rPr>
                <w:rFonts w:hint="eastAsia" w:ascii="宋体" w:hAnsi="宋体" w:cs="宋体"/>
                <w:kern w:val="0"/>
                <w:sz w:val="20"/>
                <w:szCs w:val="20"/>
              </w:rPr>
              <w:t>6.最大声压级（额定/峰值）≥118dB/124dB</w:t>
            </w:r>
            <w:r>
              <w:rPr>
                <w:rFonts w:hint="eastAsia" w:ascii="宋体" w:hAnsi="宋体" w:cs="宋体"/>
                <w:kern w:val="0"/>
                <w:sz w:val="20"/>
                <w:szCs w:val="20"/>
              </w:rPr>
              <w:br w:type="textWrapping"/>
            </w:r>
            <w:r>
              <w:rPr>
                <w:rFonts w:hint="eastAsia" w:ascii="宋体" w:hAnsi="宋体" w:cs="宋体"/>
                <w:kern w:val="0"/>
                <w:sz w:val="20"/>
                <w:szCs w:val="20"/>
              </w:rPr>
              <w:t>7.标称阻抗≤6</w:t>
            </w:r>
            <w:r>
              <w:rPr>
                <w:rFonts w:ascii="Calibri" w:hAnsi="Calibri" w:cs="Calibri"/>
                <w:kern w:val="0"/>
                <w:sz w:val="20"/>
                <w:szCs w:val="20"/>
              </w:rPr>
              <w:t>Ω</w:t>
            </w:r>
            <w:r>
              <w:rPr>
                <w:rFonts w:hint="eastAsia" w:ascii="宋体" w:hAnsi="宋体" w:cs="宋体"/>
                <w:kern w:val="0"/>
                <w:sz w:val="20"/>
                <w:szCs w:val="20"/>
              </w:rPr>
              <w:br w:type="textWrapping"/>
            </w:r>
            <w:r>
              <w:rPr>
                <w:rFonts w:hint="eastAsia" w:ascii="宋体" w:hAnsi="宋体" w:cs="宋体"/>
                <w:kern w:val="0"/>
                <w:sz w:val="20"/>
                <w:szCs w:val="20"/>
              </w:rPr>
              <w:t>8.频率范围≥80Hz-20kHz</w:t>
            </w:r>
          </w:p>
        </w:tc>
        <w:tc>
          <w:tcPr>
            <w:tcW w:w="981" w:type="dxa"/>
            <w:tcBorders>
              <w:top w:val="nil"/>
              <w:left w:val="nil"/>
              <w:bottom w:val="single" w:color="auto" w:sz="4" w:space="0"/>
              <w:right w:val="single" w:color="auto" w:sz="4" w:space="0"/>
            </w:tcBorders>
            <w:shd w:val="clear" w:color="auto" w:fill="auto"/>
            <w:vAlign w:val="center"/>
          </w:tcPr>
          <w:p w14:paraId="72E1EFFD">
            <w:pPr>
              <w:widowControl/>
              <w:jc w:val="center"/>
              <w:rPr>
                <w:rFonts w:hint="eastAsia" w:ascii="宋体" w:hAnsi="宋体" w:cs="宋体"/>
                <w:kern w:val="0"/>
                <w:sz w:val="20"/>
                <w:szCs w:val="20"/>
              </w:rPr>
            </w:pPr>
            <w:r>
              <w:rPr>
                <w:rFonts w:hint="eastAsia" w:ascii="宋体" w:hAnsi="宋体" w:cs="宋体"/>
                <w:kern w:val="0"/>
                <w:sz w:val="20"/>
                <w:szCs w:val="20"/>
              </w:rPr>
              <w:t>只</w:t>
            </w:r>
          </w:p>
        </w:tc>
        <w:tc>
          <w:tcPr>
            <w:tcW w:w="1177" w:type="dxa"/>
            <w:tcBorders>
              <w:top w:val="nil"/>
              <w:left w:val="nil"/>
              <w:bottom w:val="single" w:color="auto" w:sz="4" w:space="0"/>
              <w:right w:val="single" w:color="auto" w:sz="4" w:space="0"/>
            </w:tcBorders>
            <w:shd w:val="clear" w:color="auto" w:fill="auto"/>
            <w:noWrap/>
            <w:vAlign w:val="center"/>
          </w:tcPr>
          <w:p w14:paraId="63C8C2DE">
            <w:pPr>
              <w:widowControl/>
              <w:jc w:val="center"/>
              <w:rPr>
                <w:rFonts w:hint="eastAsia" w:ascii="宋体" w:hAnsi="宋体" w:cs="宋体"/>
                <w:kern w:val="0"/>
                <w:sz w:val="20"/>
                <w:szCs w:val="20"/>
              </w:rPr>
            </w:pPr>
            <w:r>
              <w:rPr>
                <w:rFonts w:hint="eastAsia" w:ascii="宋体" w:hAnsi="宋体" w:cs="宋体"/>
                <w:kern w:val="0"/>
                <w:sz w:val="20"/>
                <w:szCs w:val="20"/>
              </w:rPr>
              <w:t>4</w:t>
            </w:r>
          </w:p>
        </w:tc>
      </w:tr>
      <w:tr w14:paraId="5F33BDE4">
        <w:tblPrEx>
          <w:tblCellMar>
            <w:top w:w="0" w:type="dxa"/>
            <w:left w:w="108" w:type="dxa"/>
            <w:bottom w:w="0" w:type="dxa"/>
            <w:right w:w="108" w:type="dxa"/>
          </w:tblCellMar>
        </w:tblPrEx>
        <w:trPr>
          <w:trHeight w:val="28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1B51F9A7">
            <w:pPr>
              <w:widowControl/>
              <w:jc w:val="center"/>
              <w:rPr>
                <w:rFonts w:hint="eastAsia" w:ascii="宋体" w:hAnsi="宋体" w:cs="宋体"/>
                <w:kern w:val="0"/>
                <w:sz w:val="20"/>
                <w:szCs w:val="20"/>
              </w:rPr>
            </w:pPr>
            <w:r>
              <w:rPr>
                <w:rFonts w:hint="eastAsia" w:ascii="宋体" w:hAnsi="宋体" w:cs="宋体"/>
                <w:kern w:val="0"/>
                <w:sz w:val="20"/>
                <w:szCs w:val="20"/>
              </w:rPr>
              <w:t>23</w:t>
            </w:r>
          </w:p>
        </w:tc>
        <w:tc>
          <w:tcPr>
            <w:tcW w:w="1325" w:type="dxa"/>
            <w:tcBorders>
              <w:top w:val="nil"/>
              <w:left w:val="nil"/>
              <w:bottom w:val="single" w:color="auto" w:sz="4" w:space="0"/>
              <w:right w:val="single" w:color="auto" w:sz="4" w:space="0"/>
            </w:tcBorders>
            <w:shd w:val="clear" w:color="auto" w:fill="auto"/>
            <w:vAlign w:val="center"/>
          </w:tcPr>
          <w:p w14:paraId="7CC276D8">
            <w:pPr>
              <w:widowControl/>
              <w:jc w:val="left"/>
              <w:rPr>
                <w:rFonts w:hint="eastAsia" w:ascii="宋体" w:hAnsi="宋体" w:cs="宋体"/>
                <w:kern w:val="0"/>
                <w:sz w:val="20"/>
                <w:szCs w:val="20"/>
              </w:rPr>
            </w:pPr>
            <w:r>
              <w:rPr>
                <w:rFonts w:hint="eastAsia" w:ascii="宋体" w:hAnsi="宋体" w:cs="宋体"/>
                <w:kern w:val="0"/>
                <w:sz w:val="20"/>
                <w:szCs w:val="20"/>
              </w:rPr>
              <w:t>支架</w:t>
            </w:r>
          </w:p>
        </w:tc>
        <w:tc>
          <w:tcPr>
            <w:tcW w:w="3515" w:type="dxa"/>
            <w:tcBorders>
              <w:top w:val="nil"/>
              <w:left w:val="nil"/>
              <w:bottom w:val="single" w:color="auto" w:sz="4" w:space="0"/>
              <w:right w:val="single" w:color="auto" w:sz="4" w:space="0"/>
            </w:tcBorders>
            <w:shd w:val="clear" w:color="auto" w:fill="auto"/>
            <w:vAlign w:val="center"/>
          </w:tcPr>
          <w:p w14:paraId="6B9D9D5D">
            <w:pPr>
              <w:widowControl/>
              <w:jc w:val="left"/>
              <w:rPr>
                <w:rFonts w:hint="eastAsia" w:ascii="宋体" w:hAnsi="宋体" w:cs="宋体"/>
                <w:kern w:val="0"/>
                <w:sz w:val="20"/>
                <w:szCs w:val="20"/>
              </w:rPr>
            </w:pPr>
            <w:r>
              <w:rPr>
                <w:rFonts w:hint="eastAsia" w:ascii="宋体" w:hAnsi="宋体" w:cs="宋体"/>
                <w:kern w:val="0"/>
                <w:sz w:val="20"/>
                <w:szCs w:val="20"/>
              </w:rPr>
              <w:t>音箱支架</w:t>
            </w:r>
          </w:p>
        </w:tc>
        <w:tc>
          <w:tcPr>
            <w:tcW w:w="981" w:type="dxa"/>
            <w:tcBorders>
              <w:top w:val="nil"/>
              <w:left w:val="nil"/>
              <w:bottom w:val="single" w:color="auto" w:sz="4" w:space="0"/>
              <w:right w:val="single" w:color="auto" w:sz="4" w:space="0"/>
            </w:tcBorders>
            <w:shd w:val="clear" w:color="auto" w:fill="auto"/>
            <w:vAlign w:val="center"/>
          </w:tcPr>
          <w:p w14:paraId="59C1A7A5">
            <w:pPr>
              <w:widowControl/>
              <w:jc w:val="center"/>
              <w:rPr>
                <w:rFonts w:hint="eastAsia" w:ascii="宋体" w:hAnsi="宋体" w:cs="宋体"/>
                <w:kern w:val="0"/>
                <w:sz w:val="20"/>
                <w:szCs w:val="20"/>
              </w:rPr>
            </w:pPr>
            <w:r>
              <w:rPr>
                <w:rFonts w:hint="eastAsia" w:ascii="宋体" w:hAnsi="宋体" w:cs="宋体"/>
                <w:kern w:val="0"/>
                <w:sz w:val="20"/>
                <w:szCs w:val="20"/>
              </w:rPr>
              <w:t>只</w:t>
            </w:r>
          </w:p>
        </w:tc>
        <w:tc>
          <w:tcPr>
            <w:tcW w:w="1177" w:type="dxa"/>
            <w:tcBorders>
              <w:top w:val="nil"/>
              <w:left w:val="nil"/>
              <w:bottom w:val="single" w:color="auto" w:sz="4" w:space="0"/>
              <w:right w:val="single" w:color="auto" w:sz="4" w:space="0"/>
            </w:tcBorders>
            <w:shd w:val="clear" w:color="auto" w:fill="auto"/>
            <w:noWrap/>
            <w:vAlign w:val="center"/>
          </w:tcPr>
          <w:p w14:paraId="303E07FC">
            <w:pPr>
              <w:widowControl/>
              <w:jc w:val="center"/>
              <w:rPr>
                <w:rFonts w:hint="eastAsia" w:ascii="宋体" w:hAnsi="宋体" w:cs="宋体"/>
                <w:kern w:val="0"/>
                <w:sz w:val="20"/>
                <w:szCs w:val="20"/>
              </w:rPr>
            </w:pPr>
            <w:r>
              <w:rPr>
                <w:rFonts w:hint="eastAsia" w:ascii="宋体" w:hAnsi="宋体" w:cs="宋体"/>
                <w:kern w:val="0"/>
                <w:sz w:val="20"/>
                <w:szCs w:val="20"/>
              </w:rPr>
              <w:t>4</w:t>
            </w:r>
          </w:p>
        </w:tc>
      </w:tr>
      <w:tr w14:paraId="0A65E185">
        <w:tblPrEx>
          <w:tblCellMar>
            <w:top w:w="0" w:type="dxa"/>
            <w:left w:w="108" w:type="dxa"/>
            <w:bottom w:w="0" w:type="dxa"/>
            <w:right w:w="108" w:type="dxa"/>
          </w:tblCellMar>
        </w:tblPrEx>
        <w:trPr>
          <w:trHeight w:val="286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7E1B4A6C">
            <w:pPr>
              <w:widowControl/>
              <w:jc w:val="center"/>
              <w:rPr>
                <w:rFonts w:hint="eastAsia" w:ascii="宋体" w:hAnsi="宋体" w:cs="宋体"/>
                <w:kern w:val="0"/>
                <w:sz w:val="20"/>
                <w:szCs w:val="20"/>
              </w:rPr>
            </w:pPr>
            <w:r>
              <w:rPr>
                <w:rFonts w:hint="eastAsia" w:ascii="宋体" w:hAnsi="宋体" w:cs="宋体"/>
                <w:kern w:val="0"/>
                <w:sz w:val="20"/>
                <w:szCs w:val="20"/>
              </w:rPr>
              <w:t>24</w:t>
            </w:r>
          </w:p>
        </w:tc>
        <w:tc>
          <w:tcPr>
            <w:tcW w:w="1325" w:type="dxa"/>
            <w:tcBorders>
              <w:top w:val="nil"/>
              <w:left w:val="nil"/>
              <w:bottom w:val="single" w:color="auto" w:sz="4" w:space="0"/>
              <w:right w:val="single" w:color="auto" w:sz="4" w:space="0"/>
            </w:tcBorders>
            <w:shd w:val="clear" w:color="auto" w:fill="auto"/>
            <w:vAlign w:val="center"/>
          </w:tcPr>
          <w:p w14:paraId="209F2DE3">
            <w:pPr>
              <w:widowControl/>
              <w:jc w:val="left"/>
              <w:rPr>
                <w:rFonts w:hint="eastAsia" w:ascii="宋体" w:hAnsi="宋体" w:cs="宋体"/>
                <w:kern w:val="0"/>
                <w:sz w:val="20"/>
                <w:szCs w:val="20"/>
              </w:rPr>
            </w:pPr>
            <w:r>
              <w:rPr>
                <w:rFonts w:hint="eastAsia" w:ascii="宋体" w:hAnsi="宋体" w:cs="宋体"/>
                <w:kern w:val="0"/>
                <w:sz w:val="20"/>
                <w:szCs w:val="20"/>
              </w:rPr>
              <w:t>无线话筒</w:t>
            </w:r>
          </w:p>
        </w:tc>
        <w:tc>
          <w:tcPr>
            <w:tcW w:w="3515" w:type="dxa"/>
            <w:tcBorders>
              <w:top w:val="nil"/>
              <w:left w:val="nil"/>
              <w:bottom w:val="single" w:color="auto" w:sz="4" w:space="0"/>
              <w:right w:val="single" w:color="auto" w:sz="4" w:space="0"/>
            </w:tcBorders>
            <w:shd w:val="clear" w:color="auto" w:fill="auto"/>
            <w:vAlign w:val="center"/>
          </w:tcPr>
          <w:p w14:paraId="1EFF1A9C">
            <w:pPr>
              <w:widowControl/>
              <w:jc w:val="left"/>
              <w:rPr>
                <w:rFonts w:hint="eastAsia" w:ascii="宋体" w:hAnsi="宋体" w:cs="宋体"/>
                <w:kern w:val="0"/>
                <w:sz w:val="20"/>
                <w:szCs w:val="20"/>
              </w:rPr>
            </w:pPr>
            <w:r>
              <w:rPr>
                <w:rFonts w:hint="eastAsia" w:ascii="宋体" w:hAnsi="宋体" w:cs="宋体"/>
                <w:kern w:val="0"/>
                <w:sz w:val="20"/>
                <w:szCs w:val="20"/>
              </w:rPr>
              <w:t>1.具有≥1台接收主机、≥8只桌面式鹅颈咪杆话筒；频率范围≥540MHz-590MHz、640MHz-690MHz。</w:t>
            </w:r>
            <w:r>
              <w:rPr>
                <w:rFonts w:hint="eastAsia" w:ascii="宋体" w:hAnsi="宋体" w:cs="宋体"/>
                <w:kern w:val="0"/>
                <w:sz w:val="20"/>
                <w:szCs w:val="20"/>
              </w:rPr>
              <w:br w:type="textWrapping"/>
            </w:r>
            <w:r>
              <w:rPr>
                <w:rFonts w:hint="eastAsia" w:ascii="宋体" w:hAnsi="宋体" w:cs="宋体"/>
                <w:kern w:val="0"/>
                <w:sz w:val="20"/>
                <w:szCs w:val="20"/>
              </w:rPr>
              <w:t>2.接收机具有≥8路平衡输出、≥2路非平衡混音输出。</w:t>
            </w:r>
            <w:r>
              <w:rPr>
                <w:rFonts w:hint="eastAsia" w:ascii="宋体" w:hAnsi="宋体" w:cs="宋体"/>
                <w:kern w:val="0"/>
                <w:sz w:val="20"/>
                <w:szCs w:val="20"/>
              </w:rPr>
              <w:br w:type="textWrapping"/>
            </w:r>
            <w:r>
              <w:rPr>
                <w:rFonts w:hint="eastAsia" w:ascii="宋体" w:hAnsi="宋体" w:cs="宋体"/>
                <w:kern w:val="0"/>
                <w:sz w:val="20"/>
                <w:szCs w:val="20"/>
              </w:rPr>
              <w:t>3.具有自动频率扫描功能，可快速地给麦克风找到清晰的频率。</w:t>
            </w:r>
            <w:r>
              <w:rPr>
                <w:rFonts w:hint="eastAsia" w:ascii="宋体" w:hAnsi="宋体" w:cs="宋体"/>
                <w:kern w:val="0"/>
                <w:sz w:val="20"/>
                <w:szCs w:val="20"/>
              </w:rPr>
              <w:br w:type="textWrapping"/>
            </w:r>
            <w:r>
              <w:rPr>
                <w:rFonts w:hint="eastAsia" w:ascii="宋体" w:hAnsi="宋体" w:cs="宋体"/>
                <w:kern w:val="0"/>
                <w:sz w:val="20"/>
                <w:szCs w:val="20"/>
              </w:rPr>
              <w:t>4.支持混响调节功能，比例调节、延时调节、电平调节≥25个档位。</w:t>
            </w:r>
            <w:r>
              <w:rPr>
                <w:rFonts w:hint="eastAsia" w:ascii="宋体" w:hAnsi="宋体" w:cs="宋体"/>
                <w:kern w:val="0"/>
                <w:sz w:val="20"/>
                <w:szCs w:val="20"/>
              </w:rPr>
              <w:br w:type="textWrapping"/>
            </w:r>
            <w:r>
              <w:rPr>
                <w:rFonts w:hint="eastAsia" w:ascii="宋体" w:hAnsi="宋体" w:cs="宋体"/>
                <w:kern w:val="0"/>
                <w:sz w:val="20"/>
                <w:szCs w:val="20"/>
              </w:rPr>
              <w:t>5.接收机具有显示屏，用户可通过显示屏查看设备发射功率强度、音频加密状态、电池电量、频率数值。</w:t>
            </w:r>
            <w:r>
              <w:rPr>
                <w:rFonts w:hint="eastAsia" w:ascii="宋体" w:hAnsi="宋体" w:cs="宋体"/>
                <w:kern w:val="0"/>
                <w:sz w:val="20"/>
                <w:szCs w:val="20"/>
              </w:rPr>
              <w:br w:type="textWrapping"/>
            </w:r>
            <w:r>
              <w:rPr>
                <w:rFonts w:hint="eastAsia" w:ascii="宋体" w:hAnsi="宋体" w:cs="宋体"/>
                <w:kern w:val="0"/>
                <w:sz w:val="20"/>
                <w:szCs w:val="20"/>
              </w:rPr>
              <w:t>6.桌面麦≥1个3.5mm耳机孔，可通过3.5mm耳机孔输入音频。</w:t>
            </w:r>
            <w:r>
              <w:rPr>
                <w:rFonts w:hint="eastAsia" w:ascii="宋体" w:hAnsi="宋体" w:cs="宋体"/>
                <w:kern w:val="0"/>
                <w:sz w:val="20"/>
                <w:szCs w:val="20"/>
              </w:rPr>
              <w:br w:type="textWrapping"/>
            </w:r>
            <w:r>
              <w:rPr>
                <w:rFonts w:hint="eastAsia" w:ascii="宋体" w:hAnsi="宋体" w:cs="宋体"/>
                <w:kern w:val="0"/>
                <w:sz w:val="20"/>
                <w:szCs w:val="20"/>
              </w:rPr>
              <w:t>7.桌面麦支持通过Type-C口进行充电。</w:t>
            </w:r>
            <w:r>
              <w:rPr>
                <w:rFonts w:hint="eastAsia" w:ascii="宋体" w:hAnsi="宋体" w:cs="宋体"/>
                <w:kern w:val="0"/>
                <w:sz w:val="20"/>
                <w:szCs w:val="20"/>
              </w:rPr>
              <w:br w:type="textWrapping"/>
            </w:r>
            <w:r>
              <w:rPr>
                <w:rFonts w:hint="eastAsia" w:ascii="宋体" w:hAnsi="宋体" w:cs="宋体"/>
                <w:kern w:val="0"/>
                <w:sz w:val="20"/>
                <w:szCs w:val="20"/>
              </w:rPr>
              <w:t>8.桌面麦电池孔位≥4个，连续使用时长≥15小时；电池具有扩展性，连续使用时长可扩展至≥60小时。</w:t>
            </w:r>
          </w:p>
        </w:tc>
        <w:tc>
          <w:tcPr>
            <w:tcW w:w="981" w:type="dxa"/>
            <w:tcBorders>
              <w:top w:val="nil"/>
              <w:left w:val="nil"/>
              <w:bottom w:val="single" w:color="auto" w:sz="4" w:space="0"/>
              <w:right w:val="single" w:color="auto" w:sz="4" w:space="0"/>
            </w:tcBorders>
            <w:shd w:val="clear" w:color="auto" w:fill="auto"/>
            <w:vAlign w:val="center"/>
          </w:tcPr>
          <w:p w14:paraId="2F7C011C">
            <w:pPr>
              <w:widowControl/>
              <w:jc w:val="center"/>
              <w:rPr>
                <w:rFonts w:hint="eastAsia" w:ascii="宋体" w:hAnsi="宋体" w:cs="宋体"/>
                <w:kern w:val="0"/>
                <w:sz w:val="20"/>
                <w:szCs w:val="20"/>
              </w:rPr>
            </w:pPr>
            <w:r>
              <w:rPr>
                <w:rFonts w:hint="eastAsia" w:ascii="宋体" w:hAnsi="宋体" w:cs="宋体"/>
                <w:kern w:val="0"/>
                <w:sz w:val="20"/>
                <w:szCs w:val="20"/>
              </w:rPr>
              <w:t>套</w:t>
            </w:r>
          </w:p>
        </w:tc>
        <w:tc>
          <w:tcPr>
            <w:tcW w:w="1177" w:type="dxa"/>
            <w:tcBorders>
              <w:top w:val="nil"/>
              <w:left w:val="nil"/>
              <w:bottom w:val="single" w:color="auto" w:sz="4" w:space="0"/>
              <w:right w:val="single" w:color="auto" w:sz="4" w:space="0"/>
            </w:tcBorders>
            <w:shd w:val="clear" w:color="auto" w:fill="auto"/>
            <w:noWrap/>
            <w:vAlign w:val="center"/>
          </w:tcPr>
          <w:p w14:paraId="31BCD4E4">
            <w:pPr>
              <w:widowControl/>
              <w:jc w:val="center"/>
              <w:rPr>
                <w:rFonts w:hint="eastAsia" w:ascii="宋体" w:hAnsi="宋体" w:cs="宋体"/>
                <w:kern w:val="0"/>
                <w:sz w:val="20"/>
                <w:szCs w:val="20"/>
              </w:rPr>
            </w:pPr>
            <w:r>
              <w:rPr>
                <w:rFonts w:hint="eastAsia" w:ascii="宋体" w:hAnsi="宋体" w:cs="宋体"/>
                <w:kern w:val="0"/>
                <w:sz w:val="20"/>
                <w:szCs w:val="20"/>
              </w:rPr>
              <w:t>1</w:t>
            </w:r>
          </w:p>
        </w:tc>
      </w:tr>
      <w:tr w14:paraId="5F105FF5">
        <w:tblPrEx>
          <w:tblCellMar>
            <w:top w:w="0" w:type="dxa"/>
            <w:left w:w="108" w:type="dxa"/>
            <w:bottom w:w="0" w:type="dxa"/>
            <w:right w:w="108" w:type="dxa"/>
          </w:tblCellMar>
        </w:tblPrEx>
        <w:trPr>
          <w:trHeight w:val="78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696BBB6A">
            <w:pPr>
              <w:widowControl/>
              <w:jc w:val="center"/>
              <w:rPr>
                <w:rFonts w:hint="eastAsia" w:ascii="宋体" w:hAnsi="宋体" w:cs="宋体"/>
                <w:kern w:val="0"/>
                <w:sz w:val="20"/>
                <w:szCs w:val="20"/>
              </w:rPr>
            </w:pPr>
            <w:r>
              <w:rPr>
                <w:rFonts w:hint="eastAsia" w:ascii="宋体" w:hAnsi="宋体" w:cs="宋体"/>
                <w:kern w:val="0"/>
                <w:sz w:val="20"/>
                <w:szCs w:val="20"/>
              </w:rPr>
              <w:t>25</w:t>
            </w:r>
          </w:p>
        </w:tc>
        <w:tc>
          <w:tcPr>
            <w:tcW w:w="1325" w:type="dxa"/>
            <w:tcBorders>
              <w:top w:val="nil"/>
              <w:left w:val="nil"/>
              <w:bottom w:val="single" w:color="auto" w:sz="4" w:space="0"/>
              <w:right w:val="single" w:color="auto" w:sz="4" w:space="0"/>
            </w:tcBorders>
            <w:shd w:val="clear" w:color="auto" w:fill="auto"/>
            <w:vAlign w:val="center"/>
          </w:tcPr>
          <w:p w14:paraId="7BFF33C1">
            <w:pPr>
              <w:widowControl/>
              <w:jc w:val="left"/>
              <w:rPr>
                <w:rFonts w:hint="eastAsia" w:ascii="宋体" w:hAnsi="宋体" w:cs="宋体"/>
                <w:kern w:val="0"/>
                <w:sz w:val="20"/>
                <w:szCs w:val="20"/>
              </w:rPr>
            </w:pPr>
            <w:r>
              <w:rPr>
                <w:rFonts w:hint="eastAsia" w:ascii="宋体" w:hAnsi="宋体" w:cs="宋体"/>
                <w:kern w:val="0"/>
                <w:sz w:val="20"/>
                <w:szCs w:val="20"/>
              </w:rPr>
              <w:t>调音台</w:t>
            </w:r>
          </w:p>
        </w:tc>
        <w:tc>
          <w:tcPr>
            <w:tcW w:w="3515" w:type="dxa"/>
            <w:tcBorders>
              <w:top w:val="nil"/>
              <w:left w:val="nil"/>
              <w:bottom w:val="single" w:color="auto" w:sz="4" w:space="0"/>
              <w:right w:val="single" w:color="auto" w:sz="4" w:space="0"/>
            </w:tcBorders>
            <w:shd w:val="clear" w:color="auto" w:fill="auto"/>
            <w:vAlign w:val="center"/>
          </w:tcPr>
          <w:p w14:paraId="1654351F">
            <w:pPr>
              <w:widowControl/>
              <w:jc w:val="left"/>
              <w:rPr>
                <w:rFonts w:hint="eastAsia" w:ascii="宋体" w:hAnsi="宋体" w:cs="宋体"/>
                <w:kern w:val="0"/>
                <w:sz w:val="20"/>
                <w:szCs w:val="20"/>
              </w:rPr>
            </w:pPr>
            <w:r>
              <w:rPr>
                <w:rFonts w:hint="eastAsia" w:ascii="宋体" w:hAnsi="宋体" w:cs="宋体"/>
                <w:kern w:val="0"/>
                <w:sz w:val="20"/>
                <w:szCs w:val="20"/>
              </w:rPr>
              <w:t>1.支持≥8路麦克风输入兼容6路线路输入接口，支持≥2路立体声输入接口，≥4路RCA输入，话筒接口幻象电源：+48V。2.内置≥24位DSP效果器，提供≥100种预设效果。</w:t>
            </w:r>
            <w:r>
              <w:rPr>
                <w:rFonts w:hint="eastAsia" w:ascii="宋体" w:hAnsi="宋体" w:cs="宋体"/>
                <w:kern w:val="0"/>
                <w:sz w:val="20"/>
                <w:szCs w:val="20"/>
              </w:rPr>
              <w:br w:type="textWrapping"/>
            </w:r>
            <w:r>
              <w:rPr>
                <w:rFonts w:hint="eastAsia" w:ascii="宋体" w:hAnsi="宋体" w:cs="宋体"/>
                <w:kern w:val="0"/>
                <w:sz w:val="20"/>
                <w:szCs w:val="20"/>
              </w:rPr>
              <w:t>3.具备≥13个60mm行程的高精密碳膜推子。</w:t>
            </w:r>
          </w:p>
        </w:tc>
        <w:tc>
          <w:tcPr>
            <w:tcW w:w="981" w:type="dxa"/>
            <w:tcBorders>
              <w:top w:val="nil"/>
              <w:left w:val="nil"/>
              <w:bottom w:val="single" w:color="auto" w:sz="4" w:space="0"/>
              <w:right w:val="single" w:color="auto" w:sz="4" w:space="0"/>
            </w:tcBorders>
            <w:shd w:val="clear" w:color="auto" w:fill="auto"/>
            <w:vAlign w:val="center"/>
          </w:tcPr>
          <w:p w14:paraId="5B33B0A7">
            <w:pPr>
              <w:widowControl/>
              <w:jc w:val="center"/>
              <w:rPr>
                <w:rFonts w:hint="eastAsia" w:ascii="宋体" w:hAnsi="宋体" w:cs="宋体"/>
                <w:kern w:val="0"/>
                <w:sz w:val="20"/>
                <w:szCs w:val="20"/>
              </w:rPr>
            </w:pPr>
            <w:r>
              <w:rPr>
                <w:rFonts w:hint="eastAsia" w:ascii="宋体" w:hAnsi="宋体" w:cs="宋体"/>
                <w:kern w:val="0"/>
                <w:sz w:val="20"/>
                <w:szCs w:val="20"/>
              </w:rPr>
              <w:t>台</w:t>
            </w:r>
          </w:p>
        </w:tc>
        <w:tc>
          <w:tcPr>
            <w:tcW w:w="1177" w:type="dxa"/>
            <w:tcBorders>
              <w:top w:val="nil"/>
              <w:left w:val="nil"/>
              <w:bottom w:val="single" w:color="auto" w:sz="4" w:space="0"/>
              <w:right w:val="single" w:color="auto" w:sz="4" w:space="0"/>
            </w:tcBorders>
            <w:shd w:val="clear" w:color="auto" w:fill="auto"/>
            <w:vAlign w:val="center"/>
          </w:tcPr>
          <w:p w14:paraId="6E43001E">
            <w:pPr>
              <w:widowControl/>
              <w:jc w:val="center"/>
              <w:rPr>
                <w:rFonts w:hint="eastAsia" w:ascii="宋体" w:hAnsi="宋体" w:cs="宋体"/>
                <w:kern w:val="0"/>
                <w:sz w:val="20"/>
                <w:szCs w:val="20"/>
              </w:rPr>
            </w:pPr>
            <w:r>
              <w:rPr>
                <w:rFonts w:hint="eastAsia" w:ascii="宋体" w:hAnsi="宋体" w:cs="宋体"/>
                <w:kern w:val="0"/>
                <w:sz w:val="20"/>
                <w:szCs w:val="20"/>
              </w:rPr>
              <w:t>1</w:t>
            </w:r>
          </w:p>
        </w:tc>
      </w:tr>
      <w:tr w14:paraId="60EB928D">
        <w:tblPrEx>
          <w:tblCellMar>
            <w:top w:w="0" w:type="dxa"/>
            <w:left w:w="108" w:type="dxa"/>
            <w:bottom w:w="0" w:type="dxa"/>
            <w:right w:w="108" w:type="dxa"/>
          </w:tblCellMar>
        </w:tblPrEx>
        <w:trPr>
          <w:trHeight w:val="9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6FB73878">
            <w:pPr>
              <w:widowControl/>
              <w:jc w:val="center"/>
              <w:rPr>
                <w:rFonts w:hint="eastAsia" w:ascii="宋体" w:hAnsi="宋体" w:cs="宋体"/>
                <w:kern w:val="0"/>
                <w:sz w:val="20"/>
                <w:szCs w:val="20"/>
              </w:rPr>
            </w:pPr>
            <w:r>
              <w:rPr>
                <w:rFonts w:hint="eastAsia" w:ascii="宋体" w:hAnsi="宋体" w:cs="宋体"/>
                <w:kern w:val="0"/>
                <w:sz w:val="20"/>
                <w:szCs w:val="20"/>
              </w:rPr>
              <w:t>26</w:t>
            </w:r>
          </w:p>
        </w:tc>
        <w:tc>
          <w:tcPr>
            <w:tcW w:w="1325" w:type="dxa"/>
            <w:tcBorders>
              <w:top w:val="nil"/>
              <w:left w:val="nil"/>
              <w:bottom w:val="single" w:color="auto" w:sz="4" w:space="0"/>
              <w:right w:val="single" w:color="auto" w:sz="4" w:space="0"/>
            </w:tcBorders>
            <w:shd w:val="clear" w:color="auto" w:fill="auto"/>
            <w:vAlign w:val="center"/>
          </w:tcPr>
          <w:p w14:paraId="4618385A">
            <w:pPr>
              <w:widowControl/>
              <w:jc w:val="left"/>
              <w:rPr>
                <w:rFonts w:hint="eastAsia" w:ascii="宋体" w:hAnsi="宋体" w:cs="宋体"/>
                <w:kern w:val="0"/>
                <w:sz w:val="20"/>
                <w:szCs w:val="20"/>
              </w:rPr>
            </w:pPr>
            <w:r>
              <w:rPr>
                <w:rFonts w:hint="eastAsia" w:ascii="宋体" w:hAnsi="宋体" w:cs="宋体"/>
                <w:kern w:val="0"/>
                <w:sz w:val="20"/>
                <w:szCs w:val="20"/>
              </w:rPr>
              <w:t>音频处理器</w:t>
            </w:r>
          </w:p>
        </w:tc>
        <w:tc>
          <w:tcPr>
            <w:tcW w:w="3515" w:type="dxa"/>
            <w:tcBorders>
              <w:top w:val="nil"/>
              <w:left w:val="nil"/>
              <w:bottom w:val="single" w:color="auto" w:sz="4" w:space="0"/>
              <w:right w:val="single" w:color="auto" w:sz="4" w:space="0"/>
            </w:tcBorders>
            <w:shd w:val="clear" w:color="auto" w:fill="auto"/>
            <w:vAlign w:val="center"/>
          </w:tcPr>
          <w:p w14:paraId="5BD3C4D1">
            <w:pPr>
              <w:widowControl/>
              <w:jc w:val="left"/>
              <w:rPr>
                <w:rFonts w:hint="eastAsia" w:ascii="宋体" w:hAnsi="宋体" w:cs="宋体"/>
                <w:kern w:val="0"/>
                <w:sz w:val="20"/>
                <w:szCs w:val="20"/>
              </w:rPr>
            </w:pPr>
            <w:r>
              <w:rPr>
                <w:rFonts w:hint="eastAsia" w:ascii="宋体" w:hAnsi="宋体" w:cs="宋体"/>
                <w:kern w:val="0"/>
                <w:sz w:val="20"/>
                <w:szCs w:val="20"/>
              </w:rPr>
              <w:t>1.数字音频处理器支持≥4路平衡式话筒/线路输入通道，采用裸线接口端子，平衡接法；支持≥4路平衡式线路输出，采用裸线接口端子，平衡接法。</w:t>
            </w:r>
            <w:r>
              <w:rPr>
                <w:rFonts w:hint="eastAsia" w:ascii="宋体" w:hAnsi="宋体" w:cs="宋体"/>
                <w:kern w:val="0"/>
                <w:sz w:val="20"/>
                <w:szCs w:val="20"/>
              </w:rPr>
              <w:br w:type="textWrapping"/>
            </w:r>
            <w:r>
              <w:rPr>
                <w:rFonts w:hint="eastAsia" w:ascii="宋体" w:hAnsi="宋体" w:cs="宋体"/>
                <w:kern w:val="0"/>
                <w:sz w:val="20"/>
                <w:szCs w:val="20"/>
              </w:rPr>
              <w:t>2.高性能专业DSP处理器，支持≥32bit/48kHz的声音，支持输入通道48V幻象供电。</w:t>
            </w:r>
            <w:r>
              <w:rPr>
                <w:rFonts w:hint="eastAsia" w:ascii="宋体" w:hAnsi="宋体" w:cs="宋体"/>
                <w:kern w:val="0"/>
                <w:sz w:val="20"/>
                <w:szCs w:val="20"/>
              </w:rPr>
              <w:br w:type="textWrapping"/>
            </w:r>
            <w:r>
              <w:rPr>
                <w:rFonts w:hint="eastAsia" w:ascii="宋体" w:hAnsi="宋体" w:cs="宋体"/>
                <w:kern w:val="0"/>
                <w:sz w:val="20"/>
                <w:szCs w:val="20"/>
              </w:rPr>
              <w:t>3.配置双向RS-232接口，可用于控制外部设备；配置RS-485接口，可实现自动摄像跟踪功能。配置≥8通道可编程GPIO控制接口。</w:t>
            </w:r>
            <w:r>
              <w:rPr>
                <w:rFonts w:hint="eastAsia" w:ascii="宋体" w:hAnsi="宋体" w:cs="宋体"/>
                <w:kern w:val="0"/>
                <w:sz w:val="20"/>
                <w:szCs w:val="20"/>
              </w:rPr>
              <w:br w:type="textWrapping"/>
            </w:r>
            <w:r>
              <w:rPr>
                <w:rFonts w:hint="eastAsia" w:ascii="宋体" w:hAnsi="宋体" w:cs="宋体"/>
                <w:kern w:val="0"/>
                <w:sz w:val="20"/>
                <w:szCs w:val="20"/>
              </w:rPr>
              <w:t>4.支持断电自动保护记忆功能。支持通道拷贝、粘贴、联控功能。管理控制软件可工作在XP/Windows7、8、10等系统环境下。</w:t>
            </w:r>
            <w:r>
              <w:rPr>
                <w:rFonts w:hint="eastAsia" w:ascii="宋体" w:hAnsi="宋体" w:cs="宋体"/>
                <w:kern w:val="0"/>
                <w:sz w:val="20"/>
                <w:szCs w:val="20"/>
              </w:rPr>
              <w:br w:type="textWrapping"/>
            </w:r>
            <w:r>
              <w:rPr>
                <w:rFonts w:hint="eastAsia" w:ascii="宋体" w:hAnsi="宋体" w:cs="宋体"/>
                <w:kern w:val="0"/>
                <w:sz w:val="20"/>
                <w:szCs w:val="20"/>
              </w:rPr>
              <w:t>5.≥8个场景预设，支持场景信息导入、场景信息导出。</w:t>
            </w:r>
          </w:p>
        </w:tc>
        <w:tc>
          <w:tcPr>
            <w:tcW w:w="981" w:type="dxa"/>
            <w:tcBorders>
              <w:top w:val="nil"/>
              <w:left w:val="nil"/>
              <w:bottom w:val="single" w:color="auto" w:sz="4" w:space="0"/>
              <w:right w:val="single" w:color="auto" w:sz="4" w:space="0"/>
            </w:tcBorders>
            <w:shd w:val="clear" w:color="auto" w:fill="auto"/>
            <w:vAlign w:val="center"/>
          </w:tcPr>
          <w:p w14:paraId="52DC4C6B">
            <w:pPr>
              <w:widowControl/>
              <w:jc w:val="center"/>
              <w:rPr>
                <w:rFonts w:hint="eastAsia" w:ascii="宋体" w:hAnsi="宋体" w:cs="宋体"/>
                <w:kern w:val="0"/>
                <w:sz w:val="20"/>
                <w:szCs w:val="20"/>
              </w:rPr>
            </w:pPr>
            <w:r>
              <w:rPr>
                <w:rFonts w:hint="eastAsia" w:ascii="宋体" w:hAnsi="宋体" w:cs="宋体"/>
                <w:kern w:val="0"/>
                <w:sz w:val="20"/>
                <w:szCs w:val="20"/>
              </w:rPr>
              <w:t>台</w:t>
            </w:r>
          </w:p>
        </w:tc>
        <w:tc>
          <w:tcPr>
            <w:tcW w:w="1177" w:type="dxa"/>
            <w:tcBorders>
              <w:top w:val="nil"/>
              <w:left w:val="nil"/>
              <w:bottom w:val="single" w:color="auto" w:sz="4" w:space="0"/>
              <w:right w:val="single" w:color="auto" w:sz="4" w:space="0"/>
            </w:tcBorders>
            <w:shd w:val="clear" w:color="auto" w:fill="auto"/>
            <w:noWrap/>
            <w:vAlign w:val="center"/>
          </w:tcPr>
          <w:p w14:paraId="15BE60D9">
            <w:pPr>
              <w:widowControl/>
              <w:jc w:val="center"/>
              <w:rPr>
                <w:rFonts w:hint="eastAsia" w:ascii="宋体" w:hAnsi="宋体" w:cs="宋体"/>
                <w:kern w:val="0"/>
                <w:sz w:val="20"/>
                <w:szCs w:val="20"/>
              </w:rPr>
            </w:pPr>
            <w:r>
              <w:rPr>
                <w:rFonts w:hint="eastAsia" w:ascii="宋体" w:hAnsi="宋体" w:cs="宋体"/>
                <w:kern w:val="0"/>
                <w:sz w:val="20"/>
                <w:szCs w:val="20"/>
              </w:rPr>
              <w:t>1</w:t>
            </w:r>
          </w:p>
        </w:tc>
      </w:tr>
      <w:tr w14:paraId="3634FCB4">
        <w:tblPrEx>
          <w:tblCellMar>
            <w:top w:w="0" w:type="dxa"/>
            <w:left w:w="108" w:type="dxa"/>
            <w:bottom w:w="0" w:type="dxa"/>
            <w:right w:w="108" w:type="dxa"/>
          </w:tblCellMar>
        </w:tblPrEx>
        <w:trPr>
          <w:trHeight w:val="182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662F7145">
            <w:pPr>
              <w:widowControl/>
              <w:jc w:val="center"/>
              <w:rPr>
                <w:rFonts w:hint="eastAsia" w:ascii="宋体" w:hAnsi="宋体" w:cs="宋体"/>
                <w:kern w:val="0"/>
                <w:sz w:val="20"/>
                <w:szCs w:val="20"/>
              </w:rPr>
            </w:pPr>
            <w:r>
              <w:rPr>
                <w:rFonts w:hint="eastAsia" w:ascii="宋体" w:hAnsi="宋体" w:cs="宋体"/>
                <w:kern w:val="0"/>
                <w:sz w:val="20"/>
                <w:szCs w:val="20"/>
              </w:rPr>
              <w:t>27</w:t>
            </w:r>
          </w:p>
        </w:tc>
        <w:tc>
          <w:tcPr>
            <w:tcW w:w="1325" w:type="dxa"/>
            <w:tcBorders>
              <w:top w:val="nil"/>
              <w:left w:val="nil"/>
              <w:bottom w:val="single" w:color="auto" w:sz="4" w:space="0"/>
              <w:right w:val="single" w:color="auto" w:sz="4" w:space="0"/>
            </w:tcBorders>
            <w:shd w:val="clear" w:color="auto" w:fill="auto"/>
            <w:vAlign w:val="center"/>
          </w:tcPr>
          <w:p w14:paraId="4713ABF2">
            <w:pPr>
              <w:widowControl/>
              <w:jc w:val="left"/>
              <w:rPr>
                <w:rFonts w:hint="eastAsia" w:ascii="宋体" w:hAnsi="宋体" w:cs="宋体"/>
                <w:kern w:val="0"/>
                <w:sz w:val="20"/>
                <w:szCs w:val="20"/>
              </w:rPr>
            </w:pPr>
            <w:r>
              <w:rPr>
                <w:rFonts w:hint="eastAsia" w:ascii="宋体" w:hAnsi="宋体" w:cs="宋体"/>
                <w:kern w:val="0"/>
                <w:sz w:val="20"/>
                <w:szCs w:val="20"/>
              </w:rPr>
              <w:t>智能混音器</w:t>
            </w:r>
          </w:p>
        </w:tc>
        <w:tc>
          <w:tcPr>
            <w:tcW w:w="3515" w:type="dxa"/>
            <w:tcBorders>
              <w:top w:val="nil"/>
              <w:left w:val="nil"/>
              <w:bottom w:val="single" w:color="auto" w:sz="4" w:space="0"/>
              <w:right w:val="single" w:color="auto" w:sz="4" w:space="0"/>
            </w:tcBorders>
            <w:shd w:val="clear" w:color="auto" w:fill="auto"/>
            <w:vAlign w:val="center"/>
          </w:tcPr>
          <w:p w14:paraId="4CACB6A0">
            <w:pPr>
              <w:widowControl/>
              <w:jc w:val="left"/>
              <w:rPr>
                <w:rFonts w:hint="eastAsia" w:ascii="宋体" w:hAnsi="宋体" w:cs="宋体"/>
                <w:kern w:val="0"/>
                <w:sz w:val="20"/>
                <w:szCs w:val="20"/>
              </w:rPr>
            </w:pPr>
            <w:r>
              <w:rPr>
                <w:rFonts w:hint="eastAsia" w:ascii="宋体" w:hAnsi="宋体" w:cs="宋体"/>
                <w:kern w:val="0"/>
                <w:sz w:val="20"/>
                <w:szCs w:val="20"/>
              </w:rPr>
              <w:t>1.输出通道：≥4路平衡式线路输出，采用裸线接口端子，平衡接法。</w:t>
            </w:r>
            <w:r>
              <w:rPr>
                <w:rFonts w:hint="eastAsia" w:ascii="宋体" w:hAnsi="宋体" w:cs="宋体"/>
                <w:kern w:val="0"/>
                <w:sz w:val="20"/>
                <w:szCs w:val="20"/>
              </w:rPr>
              <w:br w:type="textWrapping"/>
            </w:r>
            <w:r>
              <w:rPr>
                <w:rFonts w:hint="eastAsia" w:ascii="宋体" w:hAnsi="宋体" w:cs="宋体"/>
                <w:kern w:val="0"/>
                <w:sz w:val="20"/>
                <w:szCs w:val="20"/>
              </w:rPr>
              <w:t>2.输入具有≥10段图示均衡调节，输出具有≥31段图示均衡调节，参量全频段拖动可调。</w:t>
            </w:r>
            <w:r>
              <w:rPr>
                <w:rFonts w:hint="eastAsia" w:ascii="宋体" w:hAnsi="宋体" w:cs="宋体"/>
                <w:kern w:val="0"/>
                <w:sz w:val="20"/>
                <w:szCs w:val="20"/>
              </w:rPr>
              <w:br w:type="textWrapping"/>
            </w:r>
            <w:r>
              <w:rPr>
                <w:rFonts w:hint="eastAsia" w:ascii="宋体" w:hAnsi="宋体" w:cs="宋体"/>
                <w:kern w:val="0"/>
                <w:sz w:val="20"/>
                <w:szCs w:val="20"/>
              </w:rPr>
              <w:t>3.高、低通分频器全频段可调                                 。</w:t>
            </w:r>
            <w:r>
              <w:rPr>
                <w:rFonts w:hint="eastAsia" w:ascii="宋体" w:hAnsi="宋体" w:cs="宋体"/>
                <w:kern w:val="0"/>
                <w:sz w:val="20"/>
                <w:szCs w:val="20"/>
              </w:rPr>
              <w:br w:type="textWrapping"/>
            </w:r>
            <w:r>
              <w:rPr>
                <w:rFonts w:hint="eastAsia" w:ascii="宋体" w:hAnsi="宋体" w:cs="宋体"/>
                <w:kern w:val="0"/>
                <w:sz w:val="20"/>
                <w:szCs w:val="20"/>
              </w:rPr>
              <w:t>4.具有恢复出厂设置、设备定位、断电自动保护记忆。</w:t>
            </w:r>
            <w:r>
              <w:rPr>
                <w:rFonts w:hint="eastAsia" w:ascii="宋体" w:hAnsi="宋体" w:cs="宋体"/>
                <w:kern w:val="0"/>
                <w:sz w:val="20"/>
                <w:szCs w:val="20"/>
              </w:rPr>
              <w:br w:type="textWrapping"/>
            </w:r>
            <w:r>
              <w:rPr>
                <w:rFonts w:hint="eastAsia" w:ascii="宋体" w:hAnsi="宋体" w:cs="宋体"/>
                <w:kern w:val="0"/>
                <w:sz w:val="20"/>
                <w:szCs w:val="20"/>
              </w:rPr>
              <w:t>5.设备级联最大可扩展≥256个输入。</w:t>
            </w:r>
            <w:r>
              <w:rPr>
                <w:rFonts w:hint="eastAsia" w:ascii="宋体" w:hAnsi="宋体" w:cs="宋体"/>
                <w:kern w:val="0"/>
                <w:sz w:val="20"/>
                <w:szCs w:val="20"/>
              </w:rPr>
              <w:br w:type="textWrapping"/>
            </w:r>
            <w:r>
              <w:rPr>
                <w:rFonts w:hint="eastAsia" w:ascii="宋体" w:hAnsi="宋体" w:cs="宋体"/>
                <w:kern w:val="0"/>
                <w:sz w:val="20"/>
                <w:szCs w:val="20"/>
              </w:rPr>
              <w:t>6.极低系统延时，延时≤3ms。</w:t>
            </w:r>
            <w:r>
              <w:rPr>
                <w:rFonts w:hint="eastAsia" w:ascii="宋体" w:hAnsi="宋体" w:cs="宋体"/>
                <w:kern w:val="0"/>
                <w:sz w:val="20"/>
                <w:szCs w:val="20"/>
              </w:rPr>
              <w:br w:type="textWrapping"/>
            </w:r>
            <w:r>
              <w:rPr>
                <w:rFonts w:hint="eastAsia" w:ascii="宋体" w:hAnsi="宋体" w:cs="宋体"/>
                <w:kern w:val="0"/>
                <w:sz w:val="20"/>
                <w:szCs w:val="20"/>
              </w:rPr>
              <w:t>7.多场景切换：≥4个场景切换；支持通过后台管理软件导入、导出场景数据。</w:t>
            </w:r>
          </w:p>
        </w:tc>
        <w:tc>
          <w:tcPr>
            <w:tcW w:w="981" w:type="dxa"/>
            <w:tcBorders>
              <w:top w:val="nil"/>
              <w:left w:val="nil"/>
              <w:bottom w:val="single" w:color="auto" w:sz="4" w:space="0"/>
              <w:right w:val="single" w:color="auto" w:sz="4" w:space="0"/>
            </w:tcBorders>
            <w:shd w:val="clear" w:color="auto" w:fill="auto"/>
            <w:vAlign w:val="center"/>
          </w:tcPr>
          <w:p w14:paraId="141CFB8F">
            <w:pPr>
              <w:widowControl/>
              <w:jc w:val="center"/>
              <w:rPr>
                <w:rFonts w:hint="eastAsia" w:ascii="宋体" w:hAnsi="宋体" w:cs="宋体"/>
                <w:kern w:val="0"/>
                <w:sz w:val="20"/>
                <w:szCs w:val="20"/>
              </w:rPr>
            </w:pPr>
            <w:r>
              <w:rPr>
                <w:rFonts w:hint="eastAsia" w:ascii="宋体" w:hAnsi="宋体" w:cs="宋体"/>
                <w:kern w:val="0"/>
                <w:sz w:val="20"/>
                <w:szCs w:val="20"/>
              </w:rPr>
              <w:t>台</w:t>
            </w:r>
          </w:p>
        </w:tc>
        <w:tc>
          <w:tcPr>
            <w:tcW w:w="1177" w:type="dxa"/>
            <w:tcBorders>
              <w:top w:val="nil"/>
              <w:left w:val="nil"/>
              <w:bottom w:val="single" w:color="auto" w:sz="4" w:space="0"/>
              <w:right w:val="single" w:color="auto" w:sz="4" w:space="0"/>
            </w:tcBorders>
            <w:shd w:val="clear" w:color="auto" w:fill="auto"/>
            <w:noWrap/>
            <w:vAlign w:val="center"/>
          </w:tcPr>
          <w:p w14:paraId="31CF2801">
            <w:pPr>
              <w:widowControl/>
              <w:jc w:val="center"/>
              <w:rPr>
                <w:rFonts w:hint="eastAsia" w:ascii="宋体" w:hAnsi="宋体" w:cs="宋体"/>
                <w:kern w:val="0"/>
                <w:sz w:val="20"/>
                <w:szCs w:val="20"/>
              </w:rPr>
            </w:pPr>
            <w:r>
              <w:rPr>
                <w:rFonts w:hint="eastAsia" w:ascii="宋体" w:hAnsi="宋体" w:cs="宋体"/>
                <w:kern w:val="0"/>
                <w:sz w:val="20"/>
                <w:szCs w:val="20"/>
              </w:rPr>
              <w:t>1</w:t>
            </w:r>
          </w:p>
        </w:tc>
      </w:tr>
      <w:tr w14:paraId="64F802F7">
        <w:tblPrEx>
          <w:tblCellMar>
            <w:top w:w="0" w:type="dxa"/>
            <w:left w:w="108" w:type="dxa"/>
            <w:bottom w:w="0" w:type="dxa"/>
            <w:right w:w="108" w:type="dxa"/>
          </w:tblCellMar>
        </w:tblPrEx>
        <w:trPr>
          <w:trHeight w:val="416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70E652BC">
            <w:pPr>
              <w:widowControl/>
              <w:jc w:val="center"/>
              <w:rPr>
                <w:rFonts w:hint="eastAsia" w:ascii="宋体" w:hAnsi="宋体" w:cs="宋体"/>
                <w:kern w:val="0"/>
                <w:sz w:val="20"/>
                <w:szCs w:val="20"/>
              </w:rPr>
            </w:pPr>
            <w:r>
              <w:rPr>
                <w:rFonts w:hint="eastAsia" w:ascii="宋体" w:hAnsi="宋体" w:cs="宋体"/>
                <w:kern w:val="0"/>
                <w:sz w:val="20"/>
                <w:szCs w:val="20"/>
              </w:rPr>
              <w:t>28</w:t>
            </w:r>
          </w:p>
        </w:tc>
        <w:tc>
          <w:tcPr>
            <w:tcW w:w="1325" w:type="dxa"/>
            <w:tcBorders>
              <w:top w:val="nil"/>
              <w:left w:val="nil"/>
              <w:bottom w:val="single" w:color="auto" w:sz="4" w:space="0"/>
              <w:right w:val="single" w:color="auto" w:sz="4" w:space="0"/>
            </w:tcBorders>
            <w:shd w:val="clear" w:color="auto" w:fill="auto"/>
            <w:vAlign w:val="center"/>
          </w:tcPr>
          <w:p w14:paraId="0F49003C">
            <w:pPr>
              <w:widowControl/>
              <w:jc w:val="left"/>
              <w:rPr>
                <w:rFonts w:hint="eastAsia" w:ascii="宋体" w:hAnsi="宋体" w:cs="宋体"/>
                <w:kern w:val="0"/>
                <w:sz w:val="20"/>
                <w:szCs w:val="20"/>
              </w:rPr>
            </w:pPr>
            <w:r>
              <w:rPr>
                <w:rFonts w:hint="eastAsia" w:ascii="宋体" w:hAnsi="宋体" w:cs="宋体"/>
                <w:kern w:val="0"/>
                <w:sz w:val="20"/>
                <w:szCs w:val="20"/>
              </w:rPr>
              <w:t>摄像机</w:t>
            </w:r>
          </w:p>
        </w:tc>
        <w:tc>
          <w:tcPr>
            <w:tcW w:w="3515" w:type="dxa"/>
            <w:tcBorders>
              <w:top w:val="nil"/>
              <w:left w:val="nil"/>
              <w:bottom w:val="single" w:color="auto" w:sz="4" w:space="0"/>
              <w:right w:val="single" w:color="auto" w:sz="4" w:space="0"/>
            </w:tcBorders>
            <w:shd w:val="clear" w:color="auto" w:fill="auto"/>
            <w:vAlign w:val="center"/>
          </w:tcPr>
          <w:p w14:paraId="59110A7D">
            <w:pPr>
              <w:widowControl/>
              <w:jc w:val="left"/>
              <w:rPr>
                <w:rFonts w:hint="eastAsia" w:ascii="宋体" w:hAnsi="宋体" w:cs="宋体"/>
                <w:kern w:val="0"/>
                <w:sz w:val="20"/>
                <w:szCs w:val="20"/>
              </w:rPr>
            </w:pPr>
            <w:r>
              <w:rPr>
                <w:rFonts w:hint="eastAsia" w:ascii="宋体" w:hAnsi="宋体" w:cs="宋体"/>
                <w:kern w:val="0"/>
                <w:sz w:val="20"/>
                <w:szCs w:val="20"/>
              </w:rPr>
              <w:t>1.高清摄像机具备20倍光学变倍镜头，并支持16倍数字变焦；采用1/2.8英寸、207万有效像素的高品质HD CMOS传感器。</w:t>
            </w:r>
            <w:r>
              <w:rPr>
                <w:rFonts w:hint="eastAsia" w:ascii="宋体" w:hAnsi="宋体" w:cs="宋体"/>
                <w:kern w:val="0"/>
                <w:sz w:val="20"/>
                <w:szCs w:val="20"/>
              </w:rPr>
              <w:br w:type="textWrapping"/>
            </w:r>
            <w:r>
              <w:rPr>
                <w:rFonts w:hint="eastAsia" w:ascii="宋体" w:hAnsi="宋体" w:cs="宋体"/>
                <w:kern w:val="0"/>
                <w:sz w:val="20"/>
                <w:szCs w:val="20"/>
              </w:rPr>
              <w:t>2.镜头焦距f4.42mm ~ 88.5mm, 光圈系数F1.8 ~ F2.8 。</w:t>
            </w:r>
            <w:r>
              <w:rPr>
                <w:rFonts w:hint="eastAsia" w:ascii="宋体" w:hAnsi="宋体" w:cs="宋体"/>
                <w:kern w:val="0"/>
                <w:sz w:val="20"/>
                <w:szCs w:val="20"/>
              </w:rPr>
              <w:br w:type="textWrapping"/>
            </w:r>
            <w:r>
              <w:rPr>
                <w:rFonts w:hint="eastAsia" w:ascii="宋体" w:hAnsi="宋体" w:cs="宋体"/>
                <w:kern w:val="0"/>
                <w:sz w:val="20"/>
                <w:szCs w:val="20"/>
              </w:rPr>
              <w:t>3.支持1080P60，1080P59.94，1080P50，1080I60，1080I59.94，1080I50，1080P30，1080P29.97，1080P25，720P60，720P59.94，720P50分辨率，支持输出帧率60帧/秒。</w:t>
            </w:r>
            <w:r>
              <w:rPr>
                <w:rFonts w:hint="eastAsia" w:ascii="宋体" w:hAnsi="宋体" w:cs="宋体"/>
                <w:kern w:val="0"/>
                <w:sz w:val="20"/>
                <w:szCs w:val="20"/>
              </w:rPr>
              <w:br w:type="textWrapping"/>
            </w:r>
            <w:r>
              <w:rPr>
                <w:rFonts w:hint="eastAsia" w:ascii="宋体" w:hAnsi="宋体" w:cs="宋体"/>
                <w:kern w:val="0"/>
                <w:sz w:val="20"/>
                <w:szCs w:val="20"/>
              </w:rPr>
              <w:t>4.支持HDMI、SDI、USB、网络四路视频同时输出。</w:t>
            </w:r>
            <w:r>
              <w:rPr>
                <w:rFonts w:hint="eastAsia" w:ascii="宋体" w:hAnsi="宋体" w:cs="宋体"/>
                <w:kern w:val="0"/>
                <w:sz w:val="20"/>
                <w:szCs w:val="20"/>
              </w:rPr>
              <w:br w:type="textWrapping"/>
            </w:r>
            <w:r>
              <w:rPr>
                <w:rFonts w:hint="eastAsia" w:ascii="宋体" w:hAnsi="宋体" w:cs="宋体"/>
                <w:kern w:val="0"/>
                <w:sz w:val="20"/>
                <w:szCs w:val="20"/>
              </w:rPr>
              <w:t>5.支持RS232和RS485串口，可对摄像机进行控制；支持预置位数量255个，预置位精度：0.1°。</w:t>
            </w:r>
            <w:r>
              <w:rPr>
                <w:rFonts w:hint="eastAsia" w:ascii="宋体" w:hAnsi="宋体" w:cs="宋体"/>
                <w:kern w:val="0"/>
                <w:sz w:val="20"/>
                <w:szCs w:val="20"/>
              </w:rPr>
              <w:br w:type="textWrapping"/>
            </w:r>
            <w:r>
              <w:rPr>
                <w:rFonts w:hint="eastAsia" w:ascii="宋体" w:hAnsi="宋体" w:cs="宋体"/>
                <w:kern w:val="0"/>
                <w:sz w:val="20"/>
                <w:szCs w:val="20"/>
              </w:rPr>
              <w:t>6.水平视场角：60.7°～3.36°；支持水平转动范围：-170°～+170°，垂直转动范围：-30°～+90°，水平转动速度范围：水平：1.7° ~ 100°/s，俯仰：1.7° ~ 69.9°/s。</w:t>
            </w:r>
            <w:r>
              <w:rPr>
                <w:rFonts w:hint="eastAsia" w:ascii="宋体" w:hAnsi="宋体" w:cs="宋体"/>
                <w:kern w:val="0"/>
                <w:sz w:val="20"/>
                <w:szCs w:val="20"/>
              </w:rPr>
              <w:br w:type="textWrapping"/>
            </w:r>
            <w:r>
              <w:rPr>
                <w:rFonts w:hint="eastAsia" w:ascii="宋体" w:hAnsi="宋体" w:cs="宋体"/>
                <w:kern w:val="0"/>
                <w:sz w:val="20"/>
                <w:szCs w:val="20"/>
              </w:rPr>
              <w:t>7.支持先进的2D、3D降噪技术。</w:t>
            </w:r>
            <w:r>
              <w:rPr>
                <w:rFonts w:hint="eastAsia" w:ascii="宋体" w:hAnsi="宋体" w:cs="宋体"/>
                <w:kern w:val="0"/>
                <w:sz w:val="20"/>
                <w:szCs w:val="20"/>
              </w:rPr>
              <w:br w:type="textWrapping"/>
            </w:r>
            <w:r>
              <w:rPr>
                <w:rFonts w:hint="eastAsia" w:ascii="宋体" w:hAnsi="宋体" w:cs="宋体"/>
                <w:kern w:val="0"/>
                <w:sz w:val="20"/>
                <w:szCs w:val="20"/>
              </w:rPr>
              <w:t>8.内置AI技术和行人重识别技术，实现自动识别目标人形并跟踪、自动框选功能。</w:t>
            </w:r>
            <w:r>
              <w:rPr>
                <w:rFonts w:hint="eastAsia" w:ascii="宋体" w:hAnsi="宋体" w:cs="宋体"/>
                <w:kern w:val="0"/>
                <w:sz w:val="20"/>
                <w:szCs w:val="20"/>
              </w:rPr>
              <w:br w:type="textWrapping"/>
            </w:r>
            <w:r>
              <w:rPr>
                <w:rFonts w:hint="eastAsia" w:ascii="宋体" w:hAnsi="宋体" w:cs="宋体"/>
                <w:kern w:val="0"/>
                <w:sz w:val="20"/>
                <w:szCs w:val="20"/>
              </w:rPr>
              <w:t>9.支持AAC音频编码，音质更佳，带宽占用更小。</w:t>
            </w:r>
            <w:r>
              <w:rPr>
                <w:rFonts w:hint="eastAsia" w:ascii="宋体" w:hAnsi="宋体" w:cs="宋体"/>
                <w:kern w:val="0"/>
                <w:sz w:val="20"/>
                <w:szCs w:val="20"/>
              </w:rPr>
              <w:br w:type="textWrapping"/>
            </w:r>
            <w:r>
              <w:rPr>
                <w:rFonts w:hint="eastAsia" w:ascii="宋体" w:hAnsi="宋体" w:cs="宋体"/>
                <w:kern w:val="0"/>
                <w:sz w:val="20"/>
                <w:szCs w:val="20"/>
              </w:rPr>
              <w:t>10.支持PoE供电。</w:t>
            </w:r>
            <w:r>
              <w:rPr>
                <w:rFonts w:hint="eastAsia" w:ascii="宋体" w:hAnsi="宋体" w:cs="宋体"/>
                <w:kern w:val="0"/>
                <w:sz w:val="20"/>
                <w:szCs w:val="20"/>
              </w:rPr>
              <w:br w:type="textWrapping"/>
            </w:r>
            <w:r>
              <w:rPr>
                <w:rFonts w:hint="eastAsia" w:ascii="宋体" w:hAnsi="宋体" w:cs="宋体"/>
                <w:kern w:val="0"/>
                <w:sz w:val="20"/>
                <w:szCs w:val="20"/>
              </w:rPr>
              <w:t>11.具备≥1路HDMI输出接口、≥1路3G-SDI输出接口、≥1路USB3.0输出接口，具备≥1路3.5mm音频输入接口和≥1路3.5mm音频输出接口。</w:t>
            </w:r>
          </w:p>
        </w:tc>
        <w:tc>
          <w:tcPr>
            <w:tcW w:w="981" w:type="dxa"/>
            <w:tcBorders>
              <w:top w:val="nil"/>
              <w:left w:val="nil"/>
              <w:bottom w:val="single" w:color="auto" w:sz="4" w:space="0"/>
              <w:right w:val="single" w:color="auto" w:sz="4" w:space="0"/>
            </w:tcBorders>
            <w:shd w:val="clear" w:color="auto" w:fill="auto"/>
            <w:vAlign w:val="center"/>
          </w:tcPr>
          <w:p w14:paraId="644860FF">
            <w:pPr>
              <w:widowControl/>
              <w:jc w:val="center"/>
              <w:rPr>
                <w:rFonts w:hint="eastAsia" w:ascii="宋体" w:hAnsi="宋体" w:cs="宋体"/>
                <w:kern w:val="0"/>
                <w:sz w:val="20"/>
                <w:szCs w:val="20"/>
              </w:rPr>
            </w:pPr>
            <w:r>
              <w:rPr>
                <w:rFonts w:hint="eastAsia" w:ascii="宋体" w:hAnsi="宋体" w:cs="宋体"/>
                <w:kern w:val="0"/>
                <w:sz w:val="20"/>
                <w:szCs w:val="20"/>
              </w:rPr>
              <w:t>台</w:t>
            </w:r>
          </w:p>
        </w:tc>
        <w:tc>
          <w:tcPr>
            <w:tcW w:w="1177" w:type="dxa"/>
            <w:tcBorders>
              <w:top w:val="nil"/>
              <w:left w:val="nil"/>
              <w:bottom w:val="single" w:color="auto" w:sz="4" w:space="0"/>
              <w:right w:val="single" w:color="auto" w:sz="4" w:space="0"/>
            </w:tcBorders>
            <w:shd w:val="clear" w:color="auto" w:fill="auto"/>
            <w:noWrap/>
            <w:vAlign w:val="center"/>
          </w:tcPr>
          <w:p w14:paraId="5FB55080">
            <w:pPr>
              <w:widowControl/>
              <w:jc w:val="center"/>
              <w:rPr>
                <w:rFonts w:hint="eastAsia" w:ascii="宋体" w:hAnsi="宋体" w:cs="宋体"/>
                <w:kern w:val="0"/>
                <w:sz w:val="20"/>
                <w:szCs w:val="20"/>
              </w:rPr>
            </w:pPr>
            <w:r>
              <w:rPr>
                <w:rFonts w:hint="eastAsia" w:ascii="宋体" w:hAnsi="宋体" w:cs="宋体"/>
                <w:kern w:val="0"/>
                <w:sz w:val="20"/>
                <w:szCs w:val="20"/>
              </w:rPr>
              <w:t>1</w:t>
            </w:r>
          </w:p>
        </w:tc>
      </w:tr>
      <w:tr w14:paraId="7FC75A0A">
        <w:tblPrEx>
          <w:tblCellMar>
            <w:top w:w="0" w:type="dxa"/>
            <w:left w:w="108" w:type="dxa"/>
            <w:bottom w:w="0" w:type="dxa"/>
            <w:right w:w="108" w:type="dxa"/>
          </w:tblCellMar>
        </w:tblPrEx>
        <w:trPr>
          <w:trHeight w:val="52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0C2FD80B">
            <w:pPr>
              <w:widowControl/>
              <w:jc w:val="center"/>
              <w:rPr>
                <w:rFonts w:hint="eastAsia" w:ascii="宋体" w:hAnsi="宋体" w:cs="宋体"/>
                <w:kern w:val="0"/>
                <w:sz w:val="20"/>
                <w:szCs w:val="20"/>
              </w:rPr>
            </w:pPr>
            <w:r>
              <w:rPr>
                <w:rFonts w:hint="eastAsia" w:ascii="宋体" w:hAnsi="宋体" w:cs="宋体"/>
                <w:kern w:val="0"/>
                <w:sz w:val="20"/>
                <w:szCs w:val="20"/>
              </w:rPr>
              <w:t>29</w:t>
            </w:r>
          </w:p>
        </w:tc>
        <w:tc>
          <w:tcPr>
            <w:tcW w:w="1325" w:type="dxa"/>
            <w:tcBorders>
              <w:top w:val="nil"/>
              <w:left w:val="nil"/>
              <w:bottom w:val="single" w:color="auto" w:sz="4" w:space="0"/>
              <w:right w:val="single" w:color="auto" w:sz="4" w:space="0"/>
            </w:tcBorders>
            <w:shd w:val="clear" w:color="auto" w:fill="auto"/>
            <w:vAlign w:val="center"/>
          </w:tcPr>
          <w:p w14:paraId="27854413">
            <w:pPr>
              <w:widowControl/>
              <w:jc w:val="left"/>
              <w:rPr>
                <w:rFonts w:hint="eastAsia" w:ascii="宋体" w:hAnsi="宋体" w:cs="宋体"/>
                <w:kern w:val="0"/>
                <w:sz w:val="20"/>
                <w:szCs w:val="20"/>
              </w:rPr>
            </w:pPr>
            <w:r>
              <w:rPr>
                <w:rFonts w:hint="eastAsia" w:ascii="宋体" w:hAnsi="宋体" w:cs="宋体"/>
                <w:kern w:val="0"/>
                <w:sz w:val="20"/>
                <w:szCs w:val="20"/>
              </w:rPr>
              <w:t>支架（摄像头专用）</w:t>
            </w:r>
          </w:p>
        </w:tc>
        <w:tc>
          <w:tcPr>
            <w:tcW w:w="3515" w:type="dxa"/>
            <w:tcBorders>
              <w:top w:val="nil"/>
              <w:left w:val="nil"/>
              <w:bottom w:val="single" w:color="auto" w:sz="4" w:space="0"/>
              <w:right w:val="single" w:color="auto" w:sz="4" w:space="0"/>
            </w:tcBorders>
            <w:shd w:val="clear" w:color="auto" w:fill="auto"/>
            <w:vAlign w:val="center"/>
          </w:tcPr>
          <w:p w14:paraId="48C43C52">
            <w:pPr>
              <w:widowControl/>
              <w:jc w:val="left"/>
              <w:rPr>
                <w:rFonts w:hint="eastAsia" w:ascii="宋体" w:hAnsi="宋体" w:cs="宋体"/>
                <w:kern w:val="0"/>
                <w:sz w:val="20"/>
                <w:szCs w:val="20"/>
              </w:rPr>
            </w:pPr>
            <w:r>
              <w:rPr>
                <w:rFonts w:hint="eastAsia" w:ascii="宋体" w:hAnsi="宋体" w:cs="宋体"/>
                <w:kern w:val="0"/>
                <w:sz w:val="20"/>
                <w:szCs w:val="20"/>
              </w:rPr>
              <w:t>尺寸约：164.3mm × 141.5mm × 12.4mm</w:t>
            </w:r>
            <w:r>
              <w:rPr>
                <w:rFonts w:hint="eastAsia" w:ascii="宋体" w:hAnsi="宋体" w:cs="宋体"/>
                <w:kern w:val="0"/>
                <w:sz w:val="20"/>
                <w:szCs w:val="20"/>
              </w:rPr>
              <w:br w:type="textWrapping"/>
            </w:r>
            <w:r>
              <w:rPr>
                <w:rFonts w:hint="eastAsia" w:ascii="宋体" w:hAnsi="宋体" w:cs="宋体"/>
                <w:kern w:val="0"/>
                <w:sz w:val="20"/>
                <w:szCs w:val="20"/>
              </w:rPr>
              <w:t>重量约：0.45kg</w:t>
            </w:r>
          </w:p>
          <w:p w14:paraId="22E92F3E">
            <w:pPr>
              <w:widowControl/>
              <w:jc w:val="left"/>
              <w:rPr>
                <w:rFonts w:eastAsia="黑体"/>
              </w:rPr>
            </w:pPr>
            <w:r>
              <w:rPr>
                <w:rFonts w:hint="eastAsia" w:ascii="宋体" w:hAnsi="宋体" w:cs="宋体"/>
                <w:kern w:val="0"/>
                <w:sz w:val="20"/>
                <w:szCs w:val="20"/>
              </w:rPr>
              <w:t>材质:铝合金</w:t>
            </w:r>
          </w:p>
        </w:tc>
        <w:tc>
          <w:tcPr>
            <w:tcW w:w="981" w:type="dxa"/>
            <w:tcBorders>
              <w:top w:val="nil"/>
              <w:left w:val="nil"/>
              <w:bottom w:val="single" w:color="auto" w:sz="4" w:space="0"/>
              <w:right w:val="single" w:color="auto" w:sz="4" w:space="0"/>
            </w:tcBorders>
            <w:shd w:val="clear" w:color="auto" w:fill="auto"/>
            <w:vAlign w:val="center"/>
          </w:tcPr>
          <w:p w14:paraId="10B5C699">
            <w:pPr>
              <w:widowControl/>
              <w:jc w:val="center"/>
              <w:rPr>
                <w:rFonts w:hint="eastAsia" w:ascii="宋体" w:hAnsi="宋体" w:cs="宋体"/>
                <w:kern w:val="0"/>
                <w:sz w:val="20"/>
                <w:szCs w:val="20"/>
              </w:rPr>
            </w:pPr>
            <w:r>
              <w:rPr>
                <w:rFonts w:hint="eastAsia" w:ascii="宋体" w:hAnsi="宋体" w:cs="宋体"/>
                <w:kern w:val="0"/>
                <w:sz w:val="20"/>
                <w:szCs w:val="20"/>
              </w:rPr>
              <w:t>套</w:t>
            </w:r>
          </w:p>
        </w:tc>
        <w:tc>
          <w:tcPr>
            <w:tcW w:w="1177" w:type="dxa"/>
            <w:tcBorders>
              <w:top w:val="nil"/>
              <w:left w:val="nil"/>
              <w:bottom w:val="single" w:color="auto" w:sz="4" w:space="0"/>
              <w:right w:val="single" w:color="auto" w:sz="4" w:space="0"/>
            </w:tcBorders>
            <w:shd w:val="clear" w:color="auto" w:fill="auto"/>
            <w:noWrap/>
            <w:vAlign w:val="center"/>
          </w:tcPr>
          <w:p w14:paraId="18111265">
            <w:pPr>
              <w:widowControl/>
              <w:jc w:val="center"/>
              <w:rPr>
                <w:rFonts w:hint="eastAsia" w:ascii="宋体" w:hAnsi="宋体" w:cs="宋体"/>
                <w:kern w:val="0"/>
                <w:sz w:val="20"/>
                <w:szCs w:val="20"/>
              </w:rPr>
            </w:pPr>
            <w:r>
              <w:rPr>
                <w:rFonts w:hint="eastAsia" w:ascii="宋体" w:hAnsi="宋体" w:cs="宋体"/>
                <w:kern w:val="0"/>
                <w:sz w:val="20"/>
                <w:szCs w:val="20"/>
              </w:rPr>
              <w:t>1</w:t>
            </w:r>
          </w:p>
        </w:tc>
      </w:tr>
      <w:tr w14:paraId="38A45389">
        <w:tblPrEx>
          <w:tblCellMar>
            <w:top w:w="0" w:type="dxa"/>
            <w:left w:w="108" w:type="dxa"/>
            <w:bottom w:w="0" w:type="dxa"/>
            <w:right w:w="108" w:type="dxa"/>
          </w:tblCellMar>
        </w:tblPrEx>
        <w:trPr>
          <w:trHeight w:val="2605"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62A86551">
            <w:pPr>
              <w:widowControl/>
              <w:jc w:val="center"/>
              <w:rPr>
                <w:rFonts w:hint="eastAsia" w:ascii="宋体" w:hAnsi="宋体" w:cs="宋体"/>
                <w:kern w:val="0"/>
                <w:sz w:val="20"/>
                <w:szCs w:val="20"/>
              </w:rPr>
            </w:pPr>
            <w:r>
              <w:rPr>
                <w:rFonts w:hint="eastAsia" w:ascii="宋体" w:hAnsi="宋体" w:cs="宋体"/>
                <w:kern w:val="0"/>
                <w:sz w:val="20"/>
                <w:szCs w:val="20"/>
              </w:rPr>
              <w:t>30</w:t>
            </w:r>
          </w:p>
        </w:tc>
        <w:tc>
          <w:tcPr>
            <w:tcW w:w="1325" w:type="dxa"/>
            <w:tcBorders>
              <w:top w:val="nil"/>
              <w:left w:val="nil"/>
              <w:bottom w:val="single" w:color="auto" w:sz="4" w:space="0"/>
              <w:right w:val="single" w:color="auto" w:sz="4" w:space="0"/>
            </w:tcBorders>
            <w:shd w:val="clear" w:color="auto" w:fill="auto"/>
            <w:vAlign w:val="center"/>
          </w:tcPr>
          <w:p w14:paraId="0FC7FA61">
            <w:pPr>
              <w:widowControl/>
              <w:jc w:val="left"/>
              <w:rPr>
                <w:rFonts w:hint="eastAsia" w:ascii="宋体" w:hAnsi="宋体" w:eastAsia="宋体" w:cs="宋体"/>
                <w:kern w:val="0"/>
                <w:sz w:val="20"/>
                <w:szCs w:val="20"/>
                <w:lang w:eastAsia="zh-CN"/>
              </w:rPr>
            </w:pPr>
            <w:r>
              <w:rPr>
                <w:rFonts w:hint="eastAsia" w:ascii="宋体" w:hAnsi="宋体" w:cs="宋体"/>
                <w:kern w:val="0"/>
                <w:sz w:val="20"/>
                <w:szCs w:val="20"/>
              </w:rPr>
              <w:t>高清视频终端</w:t>
            </w:r>
            <w:r>
              <w:rPr>
                <w:rFonts w:hint="eastAsia" w:ascii="宋体" w:hAnsi="宋体" w:cs="宋体"/>
                <w:kern w:val="0"/>
                <w:sz w:val="20"/>
                <w:szCs w:val="20"/>
                <w:lang w:eastAsia="zh-CN"/>
              </w:rPr>
              <w:t>（核心产品）</w:t>
            </w:r>
          </w:p>
        </w:tc>
        <w:tc>
          <w:tcPr>
            <w:tcW w:w="3515" w:type="dxa"/>
            <w:tcBorders>
              <w:top w:val="nil"/>
              <w:left w:val="nil"/>
              <w:bottom w:val="single" w:color="auto" w:sz="4" w:space="0"/>
              <w:right w:val="single" w:color="auto" w:sz="4" w:space="0"/>
            </w:tcBorders>
            <w:shd w:val="clear" w:color="auto" w:fill="auto"/>
            <w:vAlign w:val="center"/>
          </w:tcPr>
          <w:p w14:paraId="14EFB7E8">
            <w:pPr>
              <w:widowControl/>
              <w:numPr>
                <w:ilvl w:val="0"/>
                <w:numId w:val="12"/>
              </w:numPr>
              <w:jc w:val="left"/>
              <w:rPr>
                <w:rFonts w:hint="eastAsia" w:ascii="宋体" w:hAnsi="宋体" w:cs="宋体"/>
                <w:kern w:val="0"/>
                <w:sz w:val="20"/>
                <w:szCs w:val="20"/>
              </w:rPr>
            </w:pPr>
            <w:r>
              <w:rPr>
                <w:rFonts w:hint="eastAsia" w:ascii="宋体" w:hAnsi="宋体" w:cs="宋体"/>
                <w:kern w:val="0"/>
                <w:sz w:val="20"/>
                <w:szCs w:val="20"/>
              </w:rPr>
              <w:t>采用分体式结构，内置硬件视频处理单元，采用嵌入式Linux操作系统，非Windows/安卓操作系统。</w:t>
            </w:r>
          </w:p>
          <w:p w14:paraId="35E6E021">
            <w:pPr>
              <w:widowControl/>
              <w:numPr>
                <w:ilvl w:val="0"/>
                <w:numId w:val="12"/>
              </w:numPr>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支持ITU-T H.323、SIP标准协议，具有良好的兼容性；支持H.239、BFCP双流协议，主辅流皆可达到优于或等同于1080P。</w:t>
            </w:r>
            <w:r>
              <w:rPr>
                <w:rFonts w:hint="eastAsia" w:ascii="宋体" w:hAnsi="宋体" w:cs="宋体"/>
                <w:kern w:val="0"/>
                <w:sz w:val="20"/>
                <w:szCs w:val="20"/>
              </w:rPr>
              <w:br w:type="page"/>
            </w:r>
            <w:r>
              <w:rPr>
                <w:rFonts w:hint="eastAsia" w:ascii="宋体" w:hAnsi="宋体" w:cs="宋体"/>
                <w:kern w:val="0"/>
                <w:sz w:val="20"/>
                <w:szCs w:val="20"/>
              </w:rPr>
              <w:t>3.主屏支持输出4K分辨率信号，单屏支持≥25路视频画面，支持单屏双显、双屏双显应用功能，可实现多画面布局，支持画中画等多种常用布局类型。</w:t>
            </w:r>
          </w:p>
          <w:p w14:paraId="38EA06EE">
            <w:pPr>
              <w:widowControl/>
              <w:numPr>
                <w:ilvl w:val="0"/>
                <w:numId w:val="12"/>
              </w:numPr>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支持辅流批注功能，发送辅流和接收辅流时都可在辅流画面上进行实时批注；可设置三种不同粗细的画笔，设置五种画笔颜色，设置圆形、方形、箭头、线条等批注图形；发送辅流时可设置是否开放批注权限给与会成员共同批注。</w:t>
            </w:r>
          </w:p>
          <w:p w14:paraId="6BD58414">
            <w:pPr>
              <w:widowControl/>
              <w:numPr>
                <w:ilvl w:val="0"/>
                <w:numId w:val="12"/>
              </w:numPr>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支持无线辅流功能，电脑只需安装一个软件，通过网络连接到终端即可实现无线共享辅流功能，无需外接硬件设备。</w:t>
            </w:r>
          </w:p>
          <w:p w14:paraId="0C60AC0C">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6.支持接入USB存储设备；支持会议录制功能，可以直接录制会议过程中的视频和音频。</w:t>
            </w:r>
          </w:p>
          <w:p w14:paraId="0464B9A7">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7.支持通过2.4G遥控器、web、触控、鼠标键盘等方式来操控终端。</w:t>
            </w:r>
          </w:p>
          <w:p w14:paraId="2815D120">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8.支持终端申请主席对会议中的其他参会终端从直播模式转到会议模式或者从会议模式转到直播模式，支持终端主动向主席申请从直播模式转到会议模式，会议模式支持电子白板、文件共享、电子投票、会议签到等功能。</w:t>
            </w:r>
          </w:p>
          <w:p w14:paraId="52B7FE29">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9.支持在终端上预约会议，可选择成员、设置会议密码、主席密码、直播密码、会议时间等，提交后MCU根据会议时间自动召开会议，会议支持电子白板、文件共享、电子投票、会议签到等功能。</w:t>
            </w:r>
          </w:p>
          <w:p w14:paraId="5CFD996A">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10.支持回声消除、噪声抑制、静音检测、自动增益功能，支持20KHz以上宽频语音。</w:t>
            </w:r>
          </w:p>
          <w:p w14:paraId="29BB54D6">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11.支持IPV4和IPV6协议，支持NAT穿越，具备跨越路由器及防火墙的能力，保证系统安全。</w:t>
            </w:r>
          </w:p>
          <w:p w14:paraId="28C93C43">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12.无需注册，只需输入会议号码即可加入相应的会议，并可选择以会议互动模式加入或直播模式加入。</w:t>
            </w:r>
          </w:p>
          <w:p w14:paraId="1C565163">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13.支持在终端上一键召开立即会议即可在MCU上快速创建一个虚拟会议并自动加入会议，可在终端上邀请会场入会，会议支持电子白板、文件共享、电子投票、会议签到等功能。</w:t>
            </w:r>
          </w:p>
          <w:p w14:paraId="0F69C6F4">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14.支持web交互电子白板功能，可在终端控制web上进行电子白板操作，可设置三种不同粗细的画笔，设置五种画笔颜色，设置圆形、方形、箭头、线条等批注图形；设置纯色背景或图片背景；web操作电子白板时，终端输出画面同步跟随显示电子白板内容；终端输出界面操作电子白板时，web同步跟随显示电子白板内容。电子白板支持分页，最多支持5页。</w:t>
            </w:r>
          </w:p>
          <w:p w14:paraId="3E80021B">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15.支持 IP 网络丢包时修复机制，30%网络丢包时，声音清晰连续，视频清晰流畅，无卡顿、无马赛克；80%网络丢包时，声音清晰流畅，可准确理解。</w:t>
            </w:r>
          </w:p>
          <w:p w14:paraId="5E26ED43">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16.具备有良好的管理及可维护性，支持本地音频、视频回路诊断功能；一键本地音视频测试；支持在操作界面上进行网络ping测试；支持呼叫日志和历史记录的查询。</w:t>
            </w:r>
          </w:p>
          <w:p w14:paraId="2163E3C2">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17.具备接口类型：视频输入：HDMI≥3路；视频输出：HDMI≥2路；音频输入：MIC IN≥1路、LINE IN≥1路、HDMI≥1路；音频输出：HDMI≥1路、LINE OUT≥1路；网络：RJ45≥1路；≥1路WIFI网络；USB接口：≥2个USB2.0接口，可用于接扩展设备或在线升级；控制接口：RS-232≥1路</w:t>
            </w:r>
          </w:p>
          <w:p w14:paraId="683916E1">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18.支持拓展红外透传功能，支持红外遥控器通过摄像机为终端传输红外信号，从而实现红外遥控器远程控制终端的效果。</w:t>
            </w:r>
          </w:p>
        </w:tc>
        <w:tc>
          <w:tcPr>
            <w:tcW w:w="981" w:type="dxa"/>
            <w:tcBorders>
              <w:top w:val="nil"/>
              <w:left w:val="nil"/>
              <w:bottom w:val="single" w:color="auto" w:sz="4" w:space="0"/>
              <w:right w:val="single" w:color="auto" w:sz="4" w:space="0"/>
            </w:tcBorders>
            <w:shd w:val="clear" w:color="auto" w:fill="auto"/>
            <w:vAlign w:val="center"/>
          </w:tcPr>
          <w:p w14:paraId="0C7E873F">
            <w:pPr>
              <w:widowControl/>
              <w:jc w:val="center"/>
              <w:rPr>
                <w:rFonts w:hint="eastAsia" w:ascii="宋体" w:hAnsi="宋体" w:cs="宋体"/>
                <w:kern w:val="0"/>
                <w:sz w:val="20"/>
                <w:szCs w:val="20"/>
              </w:rPr>
            </w:pPr>
            <w:r>
              <w:rPr>
                <w:rFonts w:hint="eastAsia" w:ascii="宋体" w:hAnsi="宋体" w:cs="宋体"/>
                <w:kern w:val="0"/>
                <w:sz w:val="20"/>
                <w:szCs w:val="20"/>
              </w:rPr>
              <w:t>台</w:t>
            </w:r>
          </w:p>
        </w:tc>
        <w:tc>
          <w:tcPr>
            <w:tcW w:w="1177" w:type="dxa"/>
            <w:tcBorders>
              <w:top w:val="nil"/>
              <w:left w:val="nil"/>
              <w:bottom w:val="single" w:color="auto" w:sz="4" w:space="0"/>
              <w:right w:val="single" w:color="auto" w:sz="4" w:space="0"/>
            </w:tcBorders>
            <w:shd w:val="clear" w:color="auto" w:fill="auto"/>
            <w:noWrap/>
            <w:vAlign w:val="center"/>
          </w:tcPr>
          <w:p w14:paraId="461AB703">
            <w:pPr>
              <w:widowControl/>
              <w:jc w:val="center"/>
              <w:rPr>
                <w:rFonts w:hint="eastAsia" w:ascii="宋体" w:hAnsi="宋体" w:cs="宋体"/>
                <w:kern w:val="0"/>
                <w:sz w:val="20"/>
                <w:szCs w:val="20"/>
              </w:rPr>
            </w:pPr>
            <w:r>
              <w:rPr>
                <w:rFonts w:hint="eastAsia" w:ascii="宋体" w:hAnsi="宋体" w:cs="宋体"/>
                <w:kern w:val="0"/>
                <w:sz w:val="20"/>
                <w:szCs w:val="20"/>
              </w:rPr>
              <w:t>1</w:t>
            </w:r>
          </w:p>
        </w:tc>
      </w:tr>
      <w:tr w14:paraId="6AABE385">
        <w:tblPrEx>
          <w:tblCellMar>
            <w:top w:w="0" w:type="dxa"/>
            <w:left w:w="108" w:type="dxa"/>
            <w:bottom w:w="0" w:type="dxa"/>
            <w:right w:w="108" w:type="dxa"/>
          </w:tblCellMar>
        </w:tblPrEx>
        <w:trPr>
          <w:trHeight w:val="28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4959CC65">
            <w:pPr>
              <w:widowControl/>
              <w:jc w:val="center"/>
              <w:rPr>
                <w:rFonts w:hint="eastAsia" w:ascii="宋体" w:hAnsi="宋体" w:cs="宋体"/>
                <w:kern w:val="0"/>
                <w:sz w:val="20"/>
                <w:szCs w:val="20"/>
              </w:rPr>
            </w:pPr>
            <w:r>
              <w:rPr>
                <w:rFonts w:hint="eastAsia" w:ascii="宋体" w:hAnsi="宋体" w:cs="宋体"/>
                <w:kern w:val="0"/>
                <w:sz w:val="20"/>
                <w:szCs w:val="20"/>
              </w:rPr>
              <w:t>31</w:t>
            </w:r>
          </w:p>
        </w:tc>
        <w:tc>
          <w:tcPr>
            <w:tcW w:w="1325" w:type="dxa"/>
            <w:tcBorders>
              <w:top w:val="nil"/>
              <w:left w:val="nil"/>
              <w:bottom w:val="single" w:color="auto" w:sz="4" w:space="0"/>
              <w:right w:val="single" w:color="auto" w:sz="4" w:space="0"/>
            </w:tcBorders>
            <w:shd w:val="clear" w:color="auto" w:fill="auto"/>
            <w:vAlign w:val="center"/>
          </w:tcPr>
          <w:p w14:paraId="497B18C2">
            <w:pPr>
              <w:widowControl/>
              <w:jc w:val="left"/>
              <w:rPr>
                <w:rFonts w:hint="eastAsia" w:ascii="宋体" w:hAnsi="宋体" w:cs="宋体"/>
                <w:kern w:val="0"/>
                <w:sz w:val="20"/>
                <w:szCs w:val="20"/>
              </w:rPr>
            </w:pPr>
            <w:r>
              <w:rPr>
                <w:rFonts w:hint="eastAsia" w:ascii="宋体" w:hAnsi="宋体" w:cs="宋体"/>
                <w:kern w:val="0"/>
                <w:sz w:val="20"/>
                <w:szCs w:val="20"/>
              </w:rPr>
              <w:t>二层交换机（24口全千兆）</w:t>
            </w:r>
          </w:p>
        </w:tc>
        <w:tc>
          <w:tcPr>
            <w:tcW w:w="3515" w:type="dxa"/>
            <w:tcBorders>
              <w:top w:val="nil"/>
              <w:left w:val="nil"/>
              <w:bottom w:val="single" w:color="auto" w:sz="4" w:space="0"/>
              <w:right w:val="single" w:color="auto" w:sz="4" w:space="0"/>
            </w:tcBorders>
            <w:shd w:val="clear" w:color="auto" w:fill="auto"/>
            <w:vAlign w:val="center"/>
          </w:tcPr>
          <w:p w14:paraId="58A47F96">
            <w:pPr>
              <w:widowControl/>
              <w:jc w:val="left"/>
              <w:rPr>
                <w:rFonts w:hint="eastAsia" w:ascii="宋体" w:hAnsi="宋体" w:cs="宋体"/>
                <w:kern w:val="0"/>
                <w:sz w:val="20"/>
                <w:szCs w:val="20"/>
              </w:rPr>
            </w:pPr>
            <w:r>
              <w:rPr>
                <w:rFonts w:hint="eastAsia" w:ascii="宋体" w:hAnsi="宋体" w:cs="宋体"/>
                <w:kern w:val="0"/>
                <w:sz w:val="20"/>
                <w:szCs w:val="20"/>
              </w:rPr>
              <w:t>24个10/100/1000Base-T以太网端口，4个万兆SFP+端口</w:t>
            </w:r>
          </w:p>
        </w:tc>
        <w:tc>
          <w:tcPr>
            <w:tcW w:w="981" w:type="dxa"/>
            <w:tcBorders>
              <w:top w:val="nil"/>
              <w:left w:val="nil"/>
              <w:bottom w:val="single" w:color="auto" w:sz="4" w:space="0"/>
              <w:right w:val="single" w:color="auto" w:sz="4" w:space="0"/>
            </w:tcBorders>
            <w:shd w:val="clear" w:color="auto" w:fill="auto"/>
            <w:noWrap/>
            <w:vAlign w:val="center"/>
          </w:tcPr>
          <w:p w14:paraId="7AD1D0FB">
            <w:pPr>
              <w:widowControl/>
              <w:jc w:val="center"/>
              <w:rPr>
                <w:rFonts w:hint="eastAsia" w:ascii="宋体" w:hAnsi="宋体" w:cs="宋体"/>
                <w:kern w:val="0"/>
                <w:sz w:val="20"/>
                <w:szCs w:val="20"/>
              </w:rPr>
            </w:pPr>
            <w:r>
              <w:rPr>
                <w:rFonts w:hint="eastAsia" w:ascii="宋体" w:hAnsi="宋体" w:cs="宋体"/>
                <w:kern w:val="0"/>
                <w:sz w:val="20"/>
                <w:szCs w:val="20"/>
              </w:rPr>
              <w:t>台</w:t>
            </w:r>
          </w:p>
        </w:tc>
        <w:tc>
          <w:tcPr>
            <w:tcW w:w="1177" w:type="dxa"/>
            <w:tcBorders>
              <w:top w:val="nil"/>
              <w:left w:val="nil"/>
              <w:bottom w:val="single" w:color="auto" w:sz="4" w:space="0"/>
              <w:right w:val="single" w:color="auto" w:sz="4" w:space="0"/>
            </w:tcBorders>
            <w:shd w:val="clear" w:color="auto" w:fill="auto"/>
            <w:noWrap/>
            <w:vAlign w:val="center"/>
          </w:tcPr>
          <w:p w14:paraId="2B072C6A">
            <w:pPr>
              <w:widowControl/>
              <w:jc w:val="center"/>
              <w:rPr>
                <w:rFonts w:hint="eastAsia" w:ascii="宋体" w:hAnsi="宋体" w:cs="宋体"/>
                <w:kern w:val="0"/>
                <w:sz w:val="20"/>
                <w:szCs w:val="20"/>
              </w:rPr>
            </w:pPr>
            <w:r>
              <w:rPr>
                <w:rFonts w:hint="eastAsia" w:ascii="宋体" w:hAnsi="宋体" w:cs="宋体"/>
                <w:kern w:val="0"/>
                <w:sz w:val="20"/>
                <w:szCs w:val="20"/>
              </w:rPr>
              <w:t>1</w:t>
            </w:r>
          </w:p>
        </w:tc>
      </w:tr>
      <w:tr w14:paraId="2E7BB424">
        <w:tblPrEx>
          <w:tblCellMar>
            <w:top w:w="0" w:type="dxa"/>
            <w:left w:w="108" w:type="dxa"/>
            <w:bottom w:w="0" w:type="dxa"/>
            <w:right w:w="108" w:type="dxa"/>
          </w:tblCellMar>
        </w:tblPrEx>
        <w:trPr>
          <w:trHeight w:val="390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06028694">
            <w:pPr>
              <w:widowControl/>
              <w:jc w:val="center"/>
              <w:rPr>
                <w:rFonts w:hint="eastAsia" w:ascii="宋体" w:hAnsi="宋体" w:cs="宋体"/>
                <w:kern w:val="0"/>
                <w:sz w:val="20"/>
                <w:szCs w:val="20"/>
              </w:rPr>
            </w:pPr>
            <w:r>
              <w:rPr>
                <w:rFonts w:hint="eastAsia" w:ascii="宋体" w:hAnsi="宋体" w:cs="宋体"/>
                <w:kern w:val="0"/>
                <w:sz w:val="20"/>
                <w:szCs w:val="20"/>
              </w:rPr>
              <w:t>32</w:t>
            </w:r>
          </w:p>
        </w:tc>
        <w:tc>
          <w:tcPr>
            <w:tcW w:w="1325" w:type="dxa"/>
            <w:tcBorders>
              <w:top w:val="nil"/>
              <w:left w:val="nil"/>
              <w:bottom w:val="single" w:color="auto" w:sz="4" w:space="0"/>
              <w:right w:val="single" w:color="auto" w:sz="4" w:space="0"/>
            </w:tcBorders>
            <w:shd w:val="clear" w:color="auto" w:fill="auto"/>
            <w:vAlign w:val="center"/>
          </w:tcPr>
          <w:p w14:paraId="230F51EA">
            <w:pPr>
              <w:widowControl/>
              <w:jc w:val="left"/>
              <w:rPr>
                <w:rFonts w:hint="eastAsia" w:ascii="宋体" w:hAnsi="宋体" w:cs="宋体"/>
                <w:kern w:val="0"/>
                <w:sz w:val="20"/>
                <w:szCs w:val="20"/>
              </w:rPr>
            </w:pPr>
            <w:r>
              <w:rPr>
                <w:rFonts w:hint="eastAsia" w:ascii="宋体" w:hAnsi="宋体" w:cs="宋体"/>
                <w:kern w:val="0"/>
                <w:sz w:val="20"/>
                <w:szCs w:val="20"/>
              </w:rPr>
              <w:t>无缝高清矩阵切换器</w:t>
            </w:r>
          </w:p>
        </w:tc>
        <w:tc>
          <w:tcPr>
            <w:tcW w:w="3515" w:type="dxa"/>
            <w:tcBorders>
              <w:top w:val="nil"/>
              <w:left w:val="nil"/>
              <w:bottom w:val="single" w:color="auto" w:sz="4" w:space="0"/>
              <w:right w:val="single" w:color="auto" w:sz="4" w:space="0"/>
            </w:tcBorders>
            <w:shd w:val="clear" w:color="auto" w:fill="auto"/>
            <w:vAlign w:val="center"/>
          </w:tcPr>
          <w:p w14:paraId="396B2AAE">
            <w:pPr>
              <w:widowControl/>
              <w:jc w:val="left"/>
              <w:rPr>
                <w:rFonts w:hint="eastAsia" w:ascii="宋体" w:hAnsi="宋体" w:cs="宋体"/>
                <w:kern w:val="0"/>
                <w:sz w:val="20"/>
                <w:szCs w:val="20"/>
              </w:rPr>
            </w:pPr>
            <w:r>
              <w:rPr>
                <w:rFonts w:hint="eastAsia" w:ascii="宋体" w:hAnsi="宋体" w:cs="宋体"/>
                <w:kern w:val="0"/>
                <w:sz w:val="20"/>
                <w:szCs w:val="20"/>
              </w:rPr>
              <w:t>1.矩阵采用纯硬件标准化机箱设计，支持配置≥8×8路信号切换，支持HDMI、DVI、VGA、SDI、HDBaseT、光纤的任意输入/输出信号卡，其中DVI输入卡兼容CVBS，YUV,VGA信号，VGA输入/输出卡均兼容CVBS，YUV,VGA信号。</w:t>
            </w:r>
            <w:r>
              <w:rPr>
                <w:rFonts w:hint="eastAsia" w:ascii="宋体" w:hAnsi="宋体" w:cs="宋体"/>
                <w:kern w:val="0"/>
                <w:sz w:val="20"/>
                <w:szCs w:val="20"/>
              </w:rPr>
              <w:br w:type="textWrapping"/>
            </w:r>
            <w:r>
              <w:rPr>
                <w:rFonts w:hint="eastAsia" w:ascii="宋体" w:hAnsi="宋体" w:cs="宋体"/>
                <w:kern w:val="0"/>
                <w:sz w:val="20"/>
                <w:szCs w:val="20"/>
              </w:rPr>
              <w:t>2.采用板卡模块化设计，支持接入≥2块输入卡，≥2块输出卡，≥1块控制卡；通过定制配置各类相同或不同的输入输出卡可以组成单一接口类型或多接口类型的矩阵，如HDMI矩阵，DVI矩阵，VGA矩阵，YUV矩阵。</w:t>
            </w:r>
            <w:r>
              <w:rPr>
                <w:rFonts w:hint="eastAsia" w:ascii="宋体" w:hAnsi="宋体" w:cs="宋体"/>
                <w:kern w:val="0"/>
                <w:sz w:val="20"/>
                <w:szCs w:val="20"/>
              </w:rPr>
              <w:br w:type="textWrapping"/>
            </w:r>
            <w:r>
              <w:rPr>
                <w:rFonts w:hint="eastAsia" w:ascii="宋体" w:hAnsi="宋体" w:cs="宋体"/>
                <w:kern w:val="0"/>
                <w:sz w:val="20"/>
                <w:szCs w:val="20"/>
              </w:rPr>
              <w:t>3.支持无缝切换功能，切换过程无黑屏信号。</w:t>
            </w:r>
            <w:r>
              <w:rPr>
                <w:rFonts w:hint="eastAsia" w:ascii="宋体" w:hAnsi="宋体" w:cs="宋体"/>
                <w:kern w:val="0"/>
                <w:sz w:val="20"/>
                <w:szCs w:val="20"/>
              </w:rPr>
              <w:br w:type="textWrapping"/>
            </w:r>
            <w:r>
              <w:rPr>
                <w:rFonts w:hint="eastAsia" w:ascii="宋体" w:hAnsi="宋体" w:cs="宋体"/>
                <w:kern w:val="0"/>
                <w:sz w:val="20"/>
                <w:szCs w:val="20"/>
              </w:rPr>
              <w:t>4.分辨率支持≥4Kx2K。支持断电记忆功能，免除上电重复设置动作。系统内可存储多组预切换指令，调用时可以一键切换。</w:t>
            </w:r>
            <w:r>
              <w:rPr>
                <w:rFonts w:hint="eastAsia" w:ascii="宋体" w:hAnsi="宋体" w:cs="宋体"/>
                <w:kern w:val="0"/>
                <w:sz w:val="20"/>
                <w:szCs w:val="20"/>
              </w:rPr>
              <w:br w:type="textWrapping"/>
            </w:r>
            <w:r>
              <w:rPr>
                <w:rFonts w:hint="eastAsia" w:ascii="宋体" w:hAnsi="宋体" w:cs="宋体"/>
                <w:kern w:val="0"/>
                <w:sz w:val="20"/>
                <w:szCs w:val="20"/>
              </w:rPr>
              <w:t>5.支持模拟音频与HDMI内嵌音频选择输入、支持模拟音频与HDMI内嵌音频同时输出。</w:t>
            </w:r>
            <w:r>
              <w:rPr>
                <w:rFonts w:hint="eastAsia" w:ascii="宋体" w:hAnsi="宋体" w:cs="宋体"/>
                <w:kern w:val="0"/>
                <w:sz w:val="20"/>
                <w:szCs w:val="20"/>
              </w:rPr>
              <w:br w:type="textWrapping"/>
            </w:r>
            <w:r>
              <w:rPr>
                <w:rFonts w:hint="eastAsia" w:ascii="宋体" w:hAnsi="宋体" w:cs="宋体"/>
                <w:kern w:val="0"/>
                <w:sz w:val="20"/>
                <w:szCs w:val="20"/>
              </w:rPr>
              <w:t>6.HDBaseT输入输出信号支持双向 RS-232 和双向 IR 信号传输，可对RS-232和IR 信号选择随视频信号切换，或分离切换模式，支持扩展POC模块对外设供电。</w:t>
            </w:r>
            <w:r>
              <w:rPr>
                <w:rFonts w:hint="eastAsia" w:ascii="宋体" w:hAnsi="宋体" w:cs="宋体"/>
                <w:kern w:val="0"/>
                <w:sz w:val="20"/>
                <w:szCs w:val="20"/>
              </w:rPr>
              <w:br w:type="textWrapping"/>
            </w:r>
            <w:r>
              <w:rPr>
                <w:rFonts w:hint="eastAsia" w:ascii="宋体" w:hAnsi="宋体" w:cs="宋体"/>
                <w:kern w:val="0"/>
                <w:sz w:val="20"/>
                <w:szCs w:val="20"/>
              </w:rPr>
              <w:t>7.支持通过前面板触控屏进行通道切换，场景调用、切换、保存操作，支持自定义设置场景名称，支持查看设备IP地址、通道信息、切换状态，可进行IP地址设置、重置，支持通道切换状态显示，支持输出分辨率显示，支持板卡接入状态显示，支持中英文双语切换。</w:t>
            </w:r>
          </w:p>
        </w:tc>
        <w:tc>
          <w:tcPr>
            <w:tcW w:w="981" w:type="dxa"/>
            <w:tcBorders>
              <w:top w:val="nil"/>
              <w:left w:val="nil"/>
              <w:bottom w:val="single" w:color="auto" w:sz="4" w:space="0"/>
              <w:right w:val="single" w:color="auto" w:sz="4" w:space="0"/>
            </w:tcBorders>
            <w:shd w:val="clear" w:color="auto" w:fill="auto"/>
            <w:vAlign w:val="center"/>
          </w:tcPr>
          <w:p w14:paraId="7DB28ABD">
            <w:pPr>
              <w:widowControl/>
              <w:jc w:val="center"/>
              <w:rPr>
                <w:rFonts w:hint="eastAsia" w:ascii="宋体" w:hAnsi="宋体" w:cs="宋体"/>
                <w:kern w:val="0"/>
                <w:sz w:val="20"/>
                <w:szCs w:val="20"/>
              </w:rPr>
            </w:pPr>
            <w:r>
              <w:rPr>
                <w:rFonts w:hint="eastAsia" w:ascii="宋体" w:hAnsi="宋体" w:cs="宋体"/>
                <w:kern w:val="0"/>
                <w:sz w:val="20"/>
                <w:szCs w:val="20"/>
              </w:rPr>
              <w:t>台</w:t>
            </w:r>
          </w:p>
        </w:tc>
        <w:tc>
          <w:tcPr>
            <w:tcW w:w="1177" w:type="dxa"/>
            <w:tcBorders>
              <w:top w:val="nil"/>
              <w:left w:val="nil"/>
              <w:bottom w:val="single" w:color="auto" w:sz="4" w:space="0"/>
              <w:right w:val="single" w:color="auto" w:sz="4" w:space="0"/>
            </w:tcBorders>
            <w:shd w:val="clear" w:color="auto" w:fill="auto"/>
            <w:noWrap/>
            <w:vAlign w:val="center"/>
          </w:tcPr>
          <w:p w14:paraId="4EDA88B7">
            <w:pPr>
              <w:widowControl/>
              <w:jc w:val="center"/>
              <w:rPr>
                <w:rFonts w:hint="eastAsia" w:ascii="宋体" w:hAnsi="宋体" w:cs="宋体"/>
                <w:kern w:val="0"/>
                <w:sz w:val="20"/>
                <w:szCs w:val="20"/>
              </w:rPr>
            </w:pPr>
            <w:r>
              <w:rPr>
                <w:rFonts w:hint="eastAsia" w:ascii="宋体" w:hAnsi="宋体" w:cs="宋体"/>
                <w:kern w:val="0"/>
                <w:sz w:val="20"/>
                <w:szCs w:val="20"/>
              </w:rPr>
              <w:t>1</w:t>
            </w:r>
          </w:p>
        </w:tc>
      </w:tr>
      <w:tr w14:paraId="59108CB2">
        <w:tblPrEx>
          <w:tblCellMar>
            <w:top w:w="0" w:type="dxa"/>
            <w:left w:w="108" w:type="dxa"/>
            <w:bottom w:w="0" w:type="dxa"/>
            <w:right w:w="108" w:type="dxa"/>
          </w:tblCellMar>
        </w:tblPrEx>
        <w:trPr>
          <w:trHeight w:val="130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1F559EBB">
            <w:pPr>
              <w:widowControl/>
              <w:jc w:val="center"/>
              <w:rPr>
                <w:rFonts w:hint="eastAsia" w:ascii="宋体" w:hAnsi="宋体" w:cs="宋体"/>
                <w:kern w:val="0"/>
                <w:sz w:val="20"/>
                <w:szCs w:val="20"/>
              </w:rPr>
            </w:pPr>
            <w:r>
              <w:rPr>
                <w:rFonts w:hint="eastAsia" w:ascii="宋体" w:hAnsi="宋体" w:cs="宋体"/>
                <w:kern w:val="0"/>
                <w:sz w:val="20"/>
                <w:szCs w:val="20"/>
              </w:rPr>
              <w:t>33</w:t>
            </w:r>
          </w:p>
        </w:tc>
        <w:tc>
          <w:tcPr>
            <w:tcW w:w="1325" w:type="dxa"/>
            <w:tcBorders>
              <w:top w:val="nil"/>
              <w:left w:val="nil"/>
              <w:bottom w:val="single" w:color="auto" w:sz="4" w:space="0"/>
              <w:right w:val="single" w:color="auto" w:sz="4" w:space="0"/>
            </w:tcBorders>
            <w:shd w:val="clear" w:color="auto" w:fill="auto"/>
            <w:vAlign w:val="center"/>
          </w:tcPr>
          <w:p w14:paraId="73FCF6E2">
            <w:pPr>
              <w:widowControl/>
              <w:jc w:val="left"/>
              <w:rPr>
                <w:rFonts w:hint="eastAsia" w:ascii="宋体" w:hAnsi="宋体" w:cs="宋体"/>
                <w:kern w:val="0"/>
                <w:sz w:val="20"/>
                <w:szCs w:val="20"/>
              </w:rPr>
            </w:pPr>
            <w:r>
              <w:rPr>
                <w:rFonts w:hint="eastAsia" w:ascii="宋体" w:hAnsi="宋体" w:cs="宋体"/>
                <w:kern w:val="0"/>
                <w:sz w:val="20"/>
                <w:szCs w:val="20"/>
              </w:rPr>
              <w:t>HDMI无缝高清输入卡</w:t>
            </w:r>
          </w:p>
        </w:tc>
        <w:tc>
          <w:tcPr>
            <w:tcW w:w="3515" w:type="dxa"/>
            <w:tcBorders>
              <w:top w:val="nil"/>
              <w:left w:val="nil"/>
              <w:bottom w:val="single" w:color="auto" w:sz="4" w:space="0"/>
              <w:right w:val="single" w:color="auto" w:sz="4" w:space="0"/>
            </w:tcBorders>
            <w:shd w:val="clear" w:color="auto" w:fill="auto"/>
            <w:vAlign w:val="center"/>
          </w:tcPr>
          <w:p w14:paraId="60CBD7AD">
            <w:pPr>
              <w:widowControl/>
              <w:jc w:val="left"/>
              <w:rPr>
                <w:rFonts w:hint="eastAsia" w:ascii="宋体" w:hAnsi="宋体" w:cs="宋体"/>
                <w:kern w:val="0"/>
                <w:sz w:val="20"/>
                <w:szCs w:val="20"/>
              </w:rPr>
            </w:pPr>
            <w:r>
              <w:rPr>
                <w:rFonts w:hint="eastAsia" w:ascii="宋体" w:hAnsi="宋体" w:cs="宋体"/>
                <w:kern w:val="0"/>
                <w:sz w:val="20"/>
                <w:szCs w:val="20"/>
              </w:rPr>
              <w:t>1.支持≥4路HDMI-A母接口和3.5mm音频座，支持模拟音频与HDMI内嵌音频选择输入；支持热插拔。</w:t>
            </w:r>
            <w:r>
              <w:rPr>
                <w:rFonts w:hint="eastAsia" w:ascii="宋体" w:hAnsi="宋体" w:cs="宋体"/>
                <w:kern w:val="0"/>
                <w:sz w:val="20"/>
                <w:szCs w:val="20"/>
              </w:rPr>
              <w:br w:type="textWrapping"/>
            </w:r>
            <w:r>
              <w:rPr>
                <w:rFonts w:hint="eastAsia" w:ascii="宋体" w:hAnsi="宋体" w:cs="宋体"/>
                <w:kern w:val="0"/>
                <w:sz w:val="20"/>
                <w:szCs w:val="20"/>
              </w:rPr>
              <w:t>2.支持快速无缝切换，无闪烁，无黑屏。</w:t>
            </w:r>
            <w:r>
              <w:rPr>
                <w:rFonts w:hint="eastAsia" w:ascii="宋体" w:hAnsi="宋体" w:cs="宋体"/>
                <w:kern w:val="0"/>
                <w:sz w:val="20"/>
                <w:szCs w:val="20"/>
              </w:rPr>
              <w:br w:type="textWrapping"/>
            </w:r>
            <w:r>
              <w:rPr>
                <w:rFonts w:hint="eastAsia" w:ascii="宋体" w:hAnsi="宋体" w:cs="宋体"/>
                <w:kern w:val="0"/>
                <w:sz w:val="20"/>
                <w:szCs w:val="20"/>
              </w:rPr>
              <w:t>3.支持断电现场切换记忆保护功能，特有ESD静电保护功能。</w:t>
            </w:r>
            <w:r>
              <w:rPr>
                <w:rFonts w:hint="eastAsia" w:ascii="宋体" w:hAnsi="宋体" w:cs="宋体"/>
                <w:kern w:val="0"/>
                <w:sz w:val="20"/>
                <w:szCs w:val="20"/>
              </w:rPr>
              <w:br w:type="textWrapping"/>
            </w:r>
            <w:r>
              <w:rPr>
                <w:rFonts w:hint="eastAsia" w:ascii="宋体" w:hAnsi="宋体" w:cs="宋体"/>
                <w:kern w:val="0"/>
                <w:sz w:val="20"/>
                <w:szCs w:val="20"/>
              </w:rPr>
              <w:t>4.兼容HDMI1.3a的标准，HDCP1.3协议，DVI1.0协议。支持分辨率≥1920X1200P@60。</w:t>
            </w:r>
          </w:p>
        </w:tc>
        <w:tc>
          <w:tcPr>
            <w:tcW w:w="981" w:type="dxa"/>
            <w:tcBorders>
              <w:top w:val="nil"/>
              <w:left w:val="nil"/>
              <w:bottom w:val="single" w:color="auto" w:sz="4" w:space="0"/>
              <w:right w:val="single" w:color="auto" w:sz="4" w:space="0"/>
            </w:tcBorders>
            <w:shd w:val="clear" w:color="auto" w:fill="auto"/>
            <w:vAlign w:val="center"/>
          </w:tcPr>
          <w:p w14:paraId="78AB84A5">
            <w:pPr>
              <w:widowControl/>
              <w:jc w:val="center"/>
              <w:rPr>
                <w:rFonts w:hint="eastAsia" w:ascii="宋体" w:hAnsi="宋体" w:cs="宋体"/>
                <w:kern w:val="0"/>
                <w:sz w:val="20"/>
                <w:szCs w:val="20"/>
              </w:rPr>
            </w:pPr>
            <w:r>
              <w:rPr>
                <w:rFonts w:hint="eastAsia" w:ascii="宋体" w:hAnsi="宋体" w:cs="宋体"/>
                <w:kern w:val="0"/>
                <w:sz w:val="20"/>
                <w:szCs w:val="20"/>
              </w:rPr>
              <w:t>块</w:t>
            </w:r>
          </w:p>
        </w:tc>
        <w:tc>
          <w:tcPr>
            <w:tcW w:w="1177" w:type="dxa"/>
            <w:tcBorders>
              <w:top w:val="nil"/>
              <w:left w:val="nil"/>
              <w:bottom w:val="single" w:color="auto" w:sz="4" w:space="0"/>
              <w:right w:val="single" w:color="auto" w:sz="4" w:space="0"/>
            </w:tcBorders>
            <w:shd w:val="clear" w:color="auto" w:fill="auto"/>
            <w:noWrap/>
            <w:vAlign w:val="center"/>
          </w:tcPr>
          <w:p w14:paraId="6FDEEA86">
            <w:pPr>
              <w:widowControl/>
              <w:jc w:val="center"/>
              <w:rPr>
                <w:rFonts w:hint="eastAsia" w:ascii="宋体" w:hAnsi="宋体" w:cs="宋体"/>
                <w:kern w:val="0"/>
                <w:sz w:val="20"/>
                <w:szCs w:val="20"/>
              </w:rPr>
            </w:pPr>
            <w:r>
              <w:rPr>
                <w:rFonts w:hint="eastAsia" w:ascii="宋体" w:hAnsi="宋体" w:cs="宋体"/>
                <w:kern w:val="0"/>
                <w:sz w:val="20"/>
                <w:szCs w:val="20"/>
              </w:rPr>
              <w:t>2</w:t>
            </w:r>
          </w:p>
        </w:tc>
      </w:tr>
      <w:tr w14:paraId="2C849236">
        <w:tblPrEx>
          <w:tblCellMar>
            <w:top w:w="0" w:type="dxa"/>
            <w:left w:w="108" w:type="dxa"/>
            <w:bottom w:w="0" w:type="dxa"/>
            <w:right w:w="108" w:type="dxa"/>
          </w:tblCellMar>
        </w:tblPrEx>
        <w:trPr>
          <w:trHeight w:val="130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4C277C31">
            <w:pPr>
              <w:widowControl/>
              <w:jc w:val="center"/>
              <w:rPr>
                <w:rFonts w:hint="eastAsia" w:ascii="宋体" w:hAnsi="宋体" w:cs="宋体"/>
                <w:kern w:val="0"/>
                <w:sz w:val="20"/>
                <w:szCs w:val="20"/>
              </w:rPr>
            </w:pPr>
            <w:r>
              <w:rPr>
                <w:rFonts w:hint="eastAsia" w:ascii="宋体" w:hAnsi="宋体" w:cs="宋体"/>
                <w:kern w:val="0"/>
                <w:sz w:val="20"/>
                <w:szCs w:val="20"/>
              </w:rPr>
              <w:t>34</w:t>
            </w:r>
          </w:p>
        </w:tc>
        <w:tc>
          <w:tcPr>
            <w:tcW w:w="1325" w:type="dxa"/>
            <w:tcBorders>
              <w:top w:val="nil"/>
              <w:left w:val="nil"/>
              <w:bottom w:val="single" w:color="auto" w:sz="4" w:space="0"/>
              <w:right w:val="single" w:color="auto" w:sz="4" w:space="0"/>
            </w:tcBorders>
            <w:shd w:val="clear" w:color="auto" w:fill="auto"/>
            <w:vAlign w:val="center"/>
          </w:tcPr>
          <w:p w14:paraId="161BE95C">
            <w:pPr>
              <w:widowControl/>
              <w:jc w:val="left"/>
              <w:rPr>
                <w:rFonts w:hint="eastAsia" w:ascii="宋体" w:hAnsi="宋体" w:cs="宋体"/>
                <w:kern w:val="0"/>
                <w:sz w:val="20"/>
                <w:szCs w:val="20"/>
              </w:rPr>
            </w:pPr>
            <w:r>
              <w:rPr>
                <w:rFonts w:hint="eastAsia" w:ascii="宋体" w:hAnsi="宋体" w:cs="宋体"/>
                <w:kern w:val="0"/>
                <w:sz w:val="20"/>
                <w:szCs w:val="20"/>
              </w:rPr>
              <w:t>HDMI无缝高清输出卡</w:t>
            </w:r>
          </w:p>
        </w:tc>
        <w:tc>
          <w:tcPr>
            <w:tcW w:w="3515" w:type="dxa"/>
            <w:tcBorders>
              <w:top w:val="nil"/>
              <w:left w:val="nil"/>
              <w:bottom w:val="single" w:color="auto" w:sz="4" w:space="0"/>
              <w:right w:val="single" w:color="auto" w:sz="4" w:space="0"/>
            </w:tcBorders>
            <w:shd w:val="clear" w:color="auto" w:fill="auto"/>
            <w:vAlign w:val="center"/>
          </w:tcPr>
          <w:p w14:paraId="045A3ED0">
            <w:pPr>
              <w:widowControl/>
              <w:jc w:val="left"/>
              <w:rPr>
                <w:rFonts w:hint="eastAsia" w:ascii="宋体" w:hAnsi="宋体" w:cs="宋体"/>
                <w:kern w:val="0"/>
                <w:sz w:val="20"/>
                <w:szCs w:val="20"/>
              </w:rPr>
            </w:pPr>
            <w:r>
              <w:rPr>
                <w:rFonts w:hint="eastAsia" w:ascii="宋体" w:hAnsi="宋体" w:cs="宋体"/>
                <w:kern w:val="0"/>
                <w:sz w:val="20"/>
                <w:szCs w:val="20"/>
              </w:rPr>
              <w:t>1.支持≥4路HDMI-A母接口和3.5mm音频座，支持模拟音频与HDMI内嵌音频同时输出。支持热插拔。</w:t>
            </w:r>
            <w:r>
              <w:rPr>
                <w:rFonts w:hint="eastAsia" w:ascii="宋体" w:hAnsi="宋体" w:cs="宋体"/>
                <w:kern w:val="0"/>
                <w:sz w:val="20"/>
                <w:szCs w:val="20"/>
              </w:rPr>
              <w:br w:type="textWrapping"/>
            </w:r>
            <w:r>
              <w:rPr>
                <w:rFonts w:hint="eastAsia" w:ascii="宋体" w:hAnsi="宋体" w:cs="宋体"/>
                <w:kern w:val="0"/>
                <w:sz w:val="20"/>
                <w:szCs w:val="20"/>
              </w:rPr>
              <w:t>2.支持快速无缝切换，无闪烁，无黑屏。</w:t>
            </w:r>
            <w:r>
              <w:rPr>
                <w:rFonts w:hint="eastAsia" w:ascii="宋体" w:hAnsi="宋体" w:cs="宋体"/>
                <w:kern w:val="0"/>
                <w:sz w:val="20"/>
                <w:szCs w:val="20"/>
              </w:rPr>
              <w:br w:type="textWrapping"/>
            </w:r>
            <w:r>
              <w:rPr>
                <w:rFonts w:hint="eastAsia" w:ascii="宋体" w:hAnsi="宋体" w:cs="宋体"/>
                <w:kern w:val="0"/>
                <w:sz w:val="20"/>
                <w:szCs w:val="20"/>
              </w:rPr>
              <w:t>3.支持断电现场切换记忆保护功能，特有ESD静电保护功能。</w:t>
            </w:r>
            <w:r>
              <w:rPr>
                <w:rFonts w:hint="eastAsia" w:ascii="宋体" w:hAnsi="宋体" w:cs="宋体"/>
                <w:kern w:val="0"/>
                <w:sz w:val="20"/>
                <w:szCs w:val="20"/>
              </w:rPr>
              <w:br w:type="textWrapping"/>
            </w:r>
            <w:r>
              <w:rPr>
                <w:rFonts w:hint="eastAsia" w:ascii="宋体" w:hAnsi="宋体" w:cs="宋体"/>
                <w:kern w:val="0"/>
                <w:sz w:val="20"/>
                <w:szCs w:val="20"/>
              </w:rPr>
              <w:t>4.兼容HDMI1.3a的标准，HDCP1.3协议，DVI1.0协议。支持倍线功能，分辨率支持≥1080P。</w:t>
            </w:r>
          </w:p>
        </w:tc>
        <w:tc>
          <w:tcPr>
            <w:tcW w:w="981" w:type="dxa"/>
            <w:tcBorders>
              <w:top w:val="nil"/>
              <w:left w:val="nil"/>
              <w:bottom w:val="single" w:color="auto" w:sz="4" w:space="0"/>
              <w:right w:val="single" w:color="auto" w:sz="4" w:space="0"/>
            </w:tcBorders>
            <w:shd w:val="clear" w:color="auto" w:fill="auto"/>
            <w:vAlign w:val="center"/>
          </w:tcPr>
          <w:p w14:paraId="39B1A359">
            <w:pPr>
              <w:widowControl/>
              <w:jc w:val="center"/>
              <w:rPr>
                <w:rFonts w:hint="eastAsia" w:ascii="宋体" w:hAnsi="宋体" w:cs="宋体"/>
                <w:kern w:val="0"/>
                <w:sz w:val="20"/>
                <w:szCs w:val="20"/>
              </w:rPr>
            </w:pPr>
            <w:r>
              <w:rPr>
                <w:rFonts w:hint="eastAsia" w:ascii="宋体" w:hAnsi="宋体" w:cs="宋体"/>
                <w:kern w:val="0"/>
                <w:sz w:val="20"/>
                <w:szCs w:val="20"/>
              </w:rPr>
              <w:t>块</w:t>
            </w:r>
          </w:p>
        </w:tc>
        <w:tc>
          <w:tcPr>
            <w:tcW w:w="1177" w:type="dxa"/>
            <w:tcBorders>
              <w:top w:val="nil"/>
              <w:left w:val="nil"/>
              <w:bottom w:val="single" w:color="auto" w:sz="4" w:space="0"/>
              <w:right w:val="single" w:color="auto" w:sz="4" w:space="0"/>
            </w:tcBorders>
            <w:shd w:val="clear" w:color="auto" w:fill="auto"/>
            <w:noWrap/>
            <w:vAlign w:val="center"/>
          </w:tcPr>
          <w:p w14:paraId="5608A084">
            <w:pPr>
              <w:widowControl/>
              <w:jc w:val="center"/>
              <w:rPr>
                <w:rFonts w:hint="eastAsia" w:ascii="宋体" w:hAnsi="宋体" w:cs="宋体"/>
                <w:kern w:val="0"/>
                <w:sz w:val="20"/>
                <w:szCs w:val="20"/>
              </w:rPr>
            </w:pPr>
            <w:r>
              <w:rPr>
                <w:rFonts w:hint="eastAsia" w:ascii="宋体" w:hAnsi="宋体" w:cs="宋体"/>
                <w:kern w:val="0"/>
                <w:sz w:val="20"/>
                <w:szCs w:val="20"/>
              </w:rPr>
              <w:t>2</w:t>
            </w:r>
          </w:p>
        </w:tc>
      </w:tr>
      <w:tr w14:paraId="1E3EC7E0">
        <w:tblPrEx>
          <w:tblCellMar>
            <w:top w:w="0" w:type="dxa"/>
            <w:left w:w="108" w:type="dxa"/>
            <w:bottom w:w="0" w:type="dxa"/>
            <w:right w:w="108" w:type="dxa"/>
          </w:tblCellMar>
        </w:tblPrEx>
        <w:trPr>
          <w:trHeight w:val="9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557EC25F">
            <w:pPr>
              <w:widowControl/>
              <w:jc w:val="center"/>
              <w:rPr>
                <w:rFonts w:hint="eastAsia" w:ascii="宋体" w:hAnsi="宋体" w:cs="宋体"/>
                <w:kern w:val="0"/>
                <w:sz w:val="20"/>
                <w:szCs w:val="20"/>
              </w:rPr>
            </w:pPr>
            <w:r>
              <w:rPr>
                <w:rFonts w:hint="eastAsia" w:ascii="宋体" w:hAnsi="宋体" w:cs="宋体"/>
                <w:kern w:val="0"/>
                <w:sz w:val="20"/>
                <w:szCs w:val="20"/>
              </w:rPr>
              <w:t>35</w:t>
            </w:r>
          </w:p>
        </w:tc>
        <w:tc>
          <w:tcPr>
            <w:tcW w:w="1325" w:type="dxa"/>
            <w:tcBorders>
              <w:top w:val="nil"/>
              <w:left w:val="nil"/>
              <w:bottom w:val="single" w:color="auto" w:sz="4" w:space="0"/>
              <w:right w:val="single" w:color="auto" w:sz="4" w:space="0"/>
            </w:tcBorders>
            <w:shd w:val="clear" w:color="auto" w:fill="auto"/>
            <w:noWrap/>
            <w:vAlign w:val="center"/>
          </w:tcPr>
          <w:p w14:paraId="7D03420A">
            <w:pPr>
              <w:widowControl/>
              <w:jc w:val="left"/>
              <w:rPr>
                <w:rFonts w:hint="eastAsia" w:ascii="宋体" w:hAnsi="宋体" w:cs="宋体"/>
                <w:kern w:val="0"/>
                <w:sz w:val="20"/>
                <w:szCs w:val="20"/>
              </w:rPr>
            </w:pPr>
            <w:r>
              <w:rPr>
                <w:rFonts w:hint="eastAsia" w:ascii="宋体" w:hAnsi="宋体" w:cs="宋体"/>
                <w:kern w:val="0"/>
                <w:sz w:val="20"/>
                <w:szCs w:val="20"/>
              </w:rPr>
              <w:t>机柜</w:t>
            </w:r>
          </w:p>
        </w:tc>
        <w:tc>
          <w:tcPr>
            <w:tcW w:w="3515" w:type="dxa"/>
            <w:tcBorders>
              <w:top w:val="nil"/>
              <w:left w:val="nil"/>
              <w:bottom w:val="single" w:color="auto" w:sz="4" w:space="0"/>
              <w:right w:val="single" w:color="auto" w:sz="4" w:space="0"/>
            </w:tcBorders>
            <w:shd w:val="clear" w:color="auto" w:fill="auto"/>
            <w:vAlign w:val="center"/>
          </w:tcPr>
          <w:p w14:paraId="1894619E">
            <w:pPr>
              <w:widowControl/>
              <w:jc w:val="left"/>
              <w:rPr>
                <w:rFonts w:hint="eastAsia" w:ascii="宋体" w:hAnsi="宋体" w:cs="宋体"/>
                <w:kern w:val="0"/>
                <w:sz w:val="20"/>
                <w:szCs w:val="20"/>
              </w:rPr>
            </w:pPr>
            <w:r>
              <w:rPr>
                <w:rFonts w:hint="eastAsia" w:ascii="宋体" w:hAnsi="宋体" w:cs="宋体"/>
                <w:kern w:val="0"/>
                <w:sz w:val="20"/>
                <w:szCs w:val="20"/>
              </w:rPr>
              <w:t>1.尺寸:600X800X2055mm</w:t>
            </w:r>
            <w:r>
              <w:rPr>
                <w:rFonts w:hint="eastAsia" w:ascii="宋体" w:hAnsi="宋体" w:cs="宋体"/>
                <w:kern w:val="0"/>
                <w:sz w:val="20"/>
                <w:szCs w:val="20"/>
              </w:rPr>
              <w:br w:type="page"/>
            </w:r>
            <w:r>
              <w:rPr>
                <w:rFonts w:hint="eastAsia" w:ascii="宋体" w:hAnsi="宋体" w:cs="宋体"/>
                <w:kern w:val="0"/>
                <w:sz w:val="20"/>
                <w:szCs w:val="20"/>
              </w:rPr>
              <w:t>2.容量:42U</w:t>
            </w:r>
            <w:r>
              <w:rPr>
                <w:rFonts w:hint="eastAsia" w:ascii="宋体" w:hAnsi="宋体" w:cs="宋体"/>
                <w:kern w:val="0"/>
                <w:sz w:val="20"/>
                <w:szCs w:val="20"/>
              </w:rPr>
              <w:br w:type="page"/>
            </w:r>
            <w:r>
              <w:rPr>
                <w:rFonts w:hint="eastAsia" w:ascii="宋体" w:hAnsi="宋体" w:cs="宋体"/>
                <w:kern w:val="0"/>
                <w:sz w:val="20"/>
                <w:szCs w:val="20"/>
              </w:rPr>
              <w:t>3.配置:</w:t>
            </w:r>
            <w:r>
              <w:rPr>
                <w:rFonts w:hint="eastAsia" w:ascii="宋体" w:hAnsi="宋体" w:cs="宋体"/>
                <w:kern w:val="0"/>
                <w:sz w:val="20"/>
                <w:szCs w:val="20"/>
              </w:rPr>
              <w:br w:type="page"/>
            </w:r>
            <w:r>
              <w:rPr>
                <w:rFonts w:hint="eastAsia" w:ascii="宋体" w:hAnsi="宋体" w:cs="宋体"/>
                <w:kern w:val="0"/>
                <w:sz w:val="20"/>
                <w:szCs w:val="20"/>
              </w:rPr>
              <w:t>8位10APDU插排一个</w:t>
            </w:r>
            <w:r>
              <w:rPr>
                <w:rFonts w:hint="eastAsia" w:ascii="宋体" w:hAnsi="宋体" w:cs="宋体"/>
                <w:kern w:val="0"/>
                <w:sz w:val="20"/>
                <w:szCs w:val="20"/>
              </w:rPr>
              <w:br w:type="page"/>
            </w:r>
            <w:r>
              <w:rPr>
                <w:rFonts w:hint="eastAsia" w:ascii="宋体" w:hAnsi="宋体" w:cs="宋体"/>
                <w:kern w:val="0"/>
                <w:sz w:val="20"/>
                <w:szCs w:val="20"/>
              </w:rPr>
              <w:t>固定板3块</w:t>
            </w:r>
            <w:r>
              <w:rPr>
                <w:rFonts w:hint="eastAsia" w:ascii="宋体" w:hAnsi="宋体" w:cs="宋体"/>
                <w:kern w:val="0"/>
                <w:sz w:val="20"/>
                <w:szCs w:val="20"/>
              </w:rPr>
              <w:br w:type="page"/>
            </w:r>
            <w:r>
              <w:rPr>
                <w:rFonts w:hint="eastAsia" w:ascii="宋体" w:hAnsi="宋体" w:cs="宋体"/>
                <w:kern w:val="0"/>
                <w:sz w:val="20"/>
                <w:szCs w:val="20"/>
              </w:rPr>
              <w:t>风扇部件2组</w:t>
            </w:r>
            <w:r>
              <w:rPr>
                <w:rFonts w:hint="eastAsia" w:ascii="宋体" w:hAnsi="宋体" w:cs="宋体"/>
                <w:kern w:val="0"/>
                <w:sz w:val="20"/>
                <w:szCs w:val="20"/>
              </w:rPr>
              <w:br w:type="page"/>
            </w:r>
            <w:r>
              <w:rPr>
                <w:rFonts w:hint="eastAsia" w:ascii="宋体" w:hAnsi="宋体" w:cs="宋体"/>
                <w:kern w:val="0"/>
                <w:sz w:val="20"/>
                <w:szCs w:val="20"/>
              </w:rPr>
              <w:t>4只两寸重型脚轮</w:t>
            </w:r>
            <w:r>
              <w:rPr>
                <w:rFonts w:hint="eastAsia" w:ascii="宋体" w:hAnsi="宋体" w:cs="宋体"/>
                <w:kern w:val="0"/>
                <w:sz w:val="20"/>
                <w:szCs w:val="20"/>
              </w:rPr>
              <w:br w:type="page"/>
            </w:r>
            <w:r>
              <w:rPr>
                <w:rFonts w:hint="eastAsia" w:ascii="宋体" w:hAnsi="宋体" w:cs="宋体"/>
                <w:kern w:val="0"/>
                <w:sz w:val="20"/>
                <w:szCs w:val="20"/>
              </w:rPr>
              <w:t>M6方螺母钉40套</w:t>
            </w:r>
            <w:r>
              <w:rPr>
                <w:rFonts w:hint="eastAsia" w:ascii="宋体" w:hAnsi="宋体" w:cs="宋体"/>
                <w:kern w:val="0"/>
                <w:sz w:val="20"/>
                <w:szCs w:val="20"/>
              </w:rPr>
              <w:br w:type="page"/>
            </w:r>
            <w:r>
              <w:rPr>
                <w:rFonts w:hint="eastAsia" w:ascii="宋体" w:hAnsi="宋体" w:cs="宋体"/>
                <w:kern w:val="0"/>
                <w:sz w:val="20"/>
                <w:szCs w:val="20"/>
              </w:rPr>
              <w:t>内六角扳手一只</w:t>
            </w:r>
          </w:p>
        </w:tc>
        <w:tc>
          <w:tcPr>
            <w:tcW w:w="981" w:type="dxa"/>
            <w:tcBorders>
              <w:top w:val="nil"/>
              <w:left w:val="nil"/>
              <w:bottom w:val="single" w:color="auto" w:sz="4" w:space="0"/>
              <w:right w:val="single" w:color="auto" w:sz="4" w:space="0"/>
            </w:tcBorders>
            <w:shd w:val="clear" w:color="auto" w:fill="auto"/>
            <w:vAlign w:val="center"/>
          </w:tcPr>
          <w:p w14:paraId="3661B4D0">
            <w:pPr>
              <w:widowControl/>
              <w:jc w:val="center"/>
              <w:rPr>
                <w:rFonts w:hint="eastAsia" w:ascii="宋体" w:hAnsi="宋体" w:cs="宋体"/>
                <w:kern w:val="0"/>
                <w:sz w:val="20"/>
                <w:szCs w:val="20"/>
              </w:rPr>
            </w:pPr>
            <w:r>
              <w:rPr>
                <w:rFonts w:hint="eastAsia" w:ascii="宋体" w:hAnsi="宋体" w:cs="宋体"/>
                <w:kern w:val="0"/>
                <w:sz w:val="20"/>
                <w:szCs w:val="20"/>
              </w:rPr>
              <w:t>套</w:t>
            </w:r>
          </w:p>
        </w:tc>
        <w:tc>
          <w:tcPr>
            <w:tcW w:w="1177" w:type="dxa"/>
            <w:tcBorders>
              <w:top w:val="nil"/>
              <w:left w:val="nil"/>
              <w:bottom w:val="single" w:color="auto" w:sz="4" w:space="0"/>
              <w:right w:val="single" w:color="auto" w:sz="4" w:space="0"/>
            </w:tcBorders>
            <w:shd w:val="clear" w:color="auto" w:fill="auto"/>
            <w:vAlign w:val="center"/>
          </w:tcPr>
          <w:p w14:paraId="66B5C975">
            <w:pPr>
              <w:widowControl/>
              <w:jc w:val="center"/>
              <w:rPr>
                <w:rFonts w:hint="eastAsia" w:ascii="宋体" w:hAnsi="宋体" w:cs="宋体"/>
                <w:kern w:val="0"/>
                <w:sz w:val="20"/>
                <w:szCs w:val="20"/>
              </w:rPr>
            </w:pPr>
            <w:r>
              <w:rPr>
                <w:rFonts w:hint="eastAsia" w:ascii="宋体" w:hAnsi="宋体" w:cs="宋体"/>
                <w:kern w:val="0"/>
                <w:sz w:val="20"/>
                <w:szCs w:val="20"/>
              </w:rPr>
              <w:t>1</w:t>
            </w:r>
          </w:p>
        </w:tc>
      </w:tr>
      <w:tr w14:paraId="06F7B86B">
        <w:tblPrEx>
          <w:tblCellMar>
            <w:top w:w="0" w:type="dxa"/>
            <w:left w:w="108" w:type="dxa"/>
            <w:bottom w:w="0" w:type="dxa"/>
            <w:right w:w="108" w:type="dxa"/>
          </w:tblCellMar>
        </w:tblPrEx>
        <w:trPr>
          <w:trHeight w:val="208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632A4A6F">
            <w:pPr>
              <w:widowControl/>
              <w:jc w:val="center"/>
              <w:rPr>
                <w:rFonts w:hint="eastAsia" w:ascii="宋体" w:hAnsi="宋体" w:cs="宋体"/>
                <w:kern w:val="0"/>
                <w:sz w:val="20"/>
                <w:szCs w:val="20"/>
              </w:rPr>
            </w:pPr>
            <w:r>
              <w:rPr>
                <w:rFonts w:hint="eastAsia" w:ascii="宋体" w:hAnsi="宋体" w:cs="宋体"/>
                <w:kern w:val="0"/>
                <w:sz w:val="20"/>
                <w:szCs w:val="20"/>
              </w:rPr>
              <w:t>36</w:t>
            </w:r>
          </w:p>
        </w:tc>
        <w:tc>
          <w:tcPr>
            <w:tcW w:w="1325" w:type="dxa"/>
            <w:tcBorders>
              <w:top w:val="nil"/>
              <w:left w:val="nil"/>
              <w:bottom w:val="single" w:color="auto" w:sz="4" w:space="0"/>
              <w:right w:val="single" w:color="auto" w:sz="4" w:space="0"/>
            </w:tcBorders>
            <w:shd w:val="clear" w:color="auto" w:fill="auto"/>
            <w:vAlign w:val="center"/>
          </w:tcPr>
          <w:p w14:paraId="2508296C">
            <w:pPr>
              <w:widowControl/>
              <w:jc w:val="left"/>
              <w:rPr>
                <w:rFonts w:hint="eastAsia" w:ascii="宋体" w:hAnsi="宋体" w:cs="宋体"/>
                <w:kern w:val="0"/>
                <w:sz w:val="20"/>
                <w:szCs w:val="20"/>
              </w:rPr>
            </w:pPr>
            <w:r>
              <w:rPr>
                <w:rFonts w:hint="eastAsia" w:ascii="宋体" w:hAnsi="宋体" w:cs="宋体"/>
                <w:kern w:val="0"/>
                <w:sz w:val="20"/>
                <w:szCs w:val="20"/>
              </w:rPr>
              <w:t>电源管理器</w:t>
            </w:r>
          </w:p>
        </w:tc>
        <w:tc>
          <w:tcPr>
            <w:tcW w:w="3515" w:type="dxa"/>
            <w:tcBorders>
              <w:top w:val="nil"/>
              <w:left w:val="nil"/>
              <w:bottom w:val="single" w:color="auto" w:sz="4" w:space="0"/>
              <w:right w:val="single" w:color="auto" w:sz="4" w:space="0"/>
            </w:tcBorders>
            <w:shd w:val="clear" w:color="auto" w:fill="auto"/>
            <w:vAlign w:val="center"/>
          </w:tcPr>
          <w:p w14:paraId="7F8CE6B7">
            <w:pPr>
              <w:widowControl/>
              <w:jc w:val="left"/>
              <w:rPr>
                <w:rFonts w:hint="eastAsia" w:ascii="宋体" w:hAnsi="宋体" w:cs="宋体"/>
                <w:kern w:val="0"/>
                <w:sz w:val="20"/>
                <w:szCs w:val="20"/>
              </w:rPr>
            </w:pPr>
            <w:r>
              <w:rPr>
                <w:rFonts w:hint="eastAsia" w:ascii="宋体" w:hAnsi="宋体" w:cs="宋体"/>
                <w:kern w:val="0"/>
                <w:sz w:val="20"/>
                <w:szCs w:val="20"/>
              </w:rPr>
              <w:t>1.支持≥8通道电源时序打开/关闭，每路动作延时时间：≤1秒，支持远程控制（上电+24V直流信号）8通道电源时序打开/关闭—当电源开关处于off位置时有效。支持配置CH1和CH2通道为受控或不受控状态。</w:t>
            </w:r>
            <w:r>
              <w:rPr>
                <w:rFonts w:hint="eastAsia" w:ascii="宋体" w:hAnsi="宋体" w:cs="宋体"/>
                <w:kern w:val="0"/>
                <w:sz w:val="20"/>
                <w:szCs w:val="20"/>
              </w:rPr>
              <w:br w:type="textWrapping"/>
            </w:r>
            <w:r>
              <w:rPr>
                <w:rFonts w:hint="eastAsia" w:ascii="宋体" w:hAnsi="宋体" w:cs="宋体"/>
                <w:kern w:val="0"/>
                <w:sz w:val="20"/>
                <w:szCs w:val="20"/>
              </w:rPr>
              <w:t>2.当远程控制有效时同时控制后板ALARM（报警）端口导通以起到级联控制ALARM（报警）功能。</w:t>
            </w:r>
            <w:r>
              <w:rPr>
                <w:rFonts w:hint="eastAsia" w:ascii="宋体" w:hAnsi="宋体" w:cs="宋体"/>
                <w:kern w:val="0"/>
                <w:sz w:val="20"/>
                <w:szCs w:val="20"/>
              </w:rPr>
              <w:br w:type="textWrapping"/>
            </w:r>
            <w:r>
              <w:rPr>
                <w:rFonts w:hint="eastAsia" w:ascii="宋体" w:hAnsi="宋体" w:cs="宋体"/>
                <w:kern w:val="0"/>
                <w:sz w:val="20"/>
                <w:szCs w:val="20"/>
              </w:rPr>
              <w:t>3.单个通道最大负载功率≥2200W，所有通道负载总功率≥6000W。输出连接器：多用途电源插座。</w:t>
            </w:r>
            <w:r>
              <w:rPr>
                <w:rFonts w:hint="eastAsia" w:ascii="宋体" w:hAnsi="宋体" w:cs="宋体"/>
                <w:kern w:val="0"/>
                <w:sz w:val="20"/>
                <w:szCs w:val="20"/>
              </w:rPr>
              <w:br w:type="textWrapping"/>
            </w:r>
            <w:r>
              <w:rPr>
                <w:rFonts w:hint="eastAsia" w:ascii="宋体" w:hAnsi="宋体" w:cs="宋体"/>
                <w:kern w:val="0"/>
                <w:sz w:val="20"/>
                <w:szCs w:val="20"/>
              </w:rPr>
              <w:t>4.具有一路及以上USB输出接口。</w:t>
            </w:r>
          </w:p>
        </w:tc>
        <w:tc>
          <w:tcPr>
            <w:tcW w:w="981" w:type="dxa"/>
            <w:tcBorders>
              <w:top w:val="nil"/>
              <w:left w:val="nil"/>
              <w:bottom w:val="single" w:color="auto" w:sz="4" w:space="0"/>
              <w:right w:val="single" w:color="auto" w:sz="4" w:space="0"/>
            </w:tcBorders>
            <w:shd w:val="clear" w:color="auto" w:fill="auto"/>
            <w:vAlign w:val="center"/>
          </w:tcPr>
          <w:p w14:paraId="744B52D6">
            <w:pPr>
              <w:widowControl/>
              <w:jc w:val="center"/>
              <w:rPr>
                <w:rFonts w:hint="eastAsia" w:ascii="宋体" w:hAnsi="宋体" w:cs="宋体"/>
                <w:kern w:val="0"/>
                <w:sz w:val="20"/>
                <w:szCs w:val="20"/>
              </w:rPr>
            </w:pPr>
            <w:r>
              <w:rPr>
                <w:rFonts w:hint="eastAsia" w:ascii="宋体" w:hAnsi="宋体" w:cs="宋体"/>
                <w:kern w:val="0"/>
                <w:sz w:val="20"/>
                <w:szCs w:val="20"/>
              </w:rPr>
              <w:t>台</w:t>
            </w:r>
          </w:p>
        </w:tc>
        <w:tc>
          <w:tcPr>
            <w:tcW w:w="1177" w:type="dxa"/>
            <w:tcBorders>
              <w:top w:val="nil"/>
              <w:left w:val="nil"/>
              <w:bottom w:val="single" w:color="auto" w:sz="4" w:space="0"/>
              <w:right w:val="single" w:color="auto" w:sz="4" w:space="0"/>
            </w:tcBorders>
            <w:shd w:val="clear" w:color="auto" w:fill="auto"/>
            <w:noWrap/>
            <w:vAlign w:val="center"/>
          </w:tcPr>
          <w:p w14:paraId="3D52EDF6">
            <w:pPr>
              <w:widowControl/>
              <w:jc w:val="center"/>
              <w:rPr>
                <w:rFonts w:hint="eastAsia" w:ascii="宋体" w:hAnsi="宋体" w:cs="宋体"/>
                <w:kern w:val="0"/>
                <w:sz w:val="20"/>
                <w:szCs w:val="20"/>
              </w:rPr>
            </w:pPr>
            <w:r>
              <w:rPr>
                <w:rFonts w:hint="eastAsia" w:ascii="宋体" w:hAnsi="宋体" w:cs="宋体"/>
                <w:kern w:val="0"/>
                <w:sz w:val="20"/>
                <w:szCs w:val="20"/>
              </w:rPr>
              <w:t>2</w:t>
            </w:r>
          </w:p>
        </w:tc>
      </w:tr>
      <w:tr w14:paraId="50F6BFA1">
        <w:tblPrEx>
          <w:tblCellMar>
            <w:top w:w="0" w:type="dxa"/>
            <w:left w:w="108" w:type="dxa"/>
            <w:bottom w:w="0" w:type="dxa"/>
            <w:right w:w="108" w:type="dxa"/>
          </w:tblCellMar>
        </w:tblPrEx>
        <w:trPr>
          <w:trHeight w:val="52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300964FC">
            <w:pPr>
              <w:widowControl/>
              <w:jc w:val="center"/>
              <w:rPr>
                <w:rFonts w:hint="eastAsia" w:ascii="宋体" w:hAnsi="宋体" w:cs="宋体"/>
                <w:kern w:val="0"/>
                <w:sz w:val="20"/>
                <w:szCs w:val="20"/>
              </w:rPr>
            </w:pPr>
            <w:r>
              <w:rPr>
                <w:rFonts w:hint="eastAsia" w:ascii="宋体" w:hAnsi="宋体" w:cs="宋体"/>
                <w:kern w:val="0"/>
                <w:sz w:val="20"/>
                <w:szCs w:val="20"/>
              </w:rPr>
              <w:t>37</w:t>
            </w:r>
          </w:p>
        </w:tc>
        <w:tc>
          <w:tcPr>
            <w:tcW w:w="1325" w:type="dxa"/>
            <w:tcBorders>
              <w:top w:val="nil"/>
              <w:left w:val="nil"/>
              <w:bottom w:val="single" w:color="auto" w:sz="4" w:space="0"/>
              <w:right w:val="single" w:color="auto" w:sz="4" w:space="0"/>
            </w:tcBorders>
            <w:shd w:val="clear" w:color="auto" w:fill="auto"/>
            <w:vAlign w:val="center"/>
          </w:tcPr>
          <w:p w14:paraId="7923B9F1">
            <w:pPr>
              <w:widowControl/>
              <w:jc w:val="left"/>
              <w:rPr>
                <w:rFonts w:hint="eastAsia" w:ascii="宋体" w:hAnsi="宋体" w:cs="宋体"/>
                <w:kern w:val="0"/>
                <w:sz w:val="20"/>
                <w:szCs w:val="20"/>
              </w:rPr>
            </w:pPr>
            <w:r>
              <w:rPr>
                <w:rFonts w:hint="eastAsia" w:ascii="宋体" w:hAnsi="宋体" w:cs="宋体"/>
                <w:kern w:val="0"/>
                <w:sz w:val="20"/>
                <w:szCs w:val="20"/>
              </w:rPr>
              <w:t>变压器</w:t>
            </w:r>
          </w:p>
        </w:tc>
        <w:tc>
          <w:tcPr>
            <w:tcW w:w="3515" w:type="dxa"/>
            <w:tcBorders>
              <w:top w:val="nil"/>
              <w:left w:val="nil"/>
              <w:bottom w:val="single" w:color="auto" w:sz="4" w:space="0"/>
              <w:right w:val="single" w:color="auto" w:sz="4" w:space="0"/>
            </w:tcBorders>
            <w:shd w:val="clear" w:color="auto" w:fill="auto"/>
            <w:vAlign w:val="center"/>
          </w:tcPr>
          <w:p w14:paraId="505C89FA">
            <w:pPr>
              <w:widowControl/>
              <w:jc w:val="left"/>
              <w:rPr>
                <w:rFonts w:hint="eastAsia" w:ascii="宋体" w:hAnsi="宋体" w:cs="宋体"/>
                <w:kern w:val="0"/>
                <w:sz w:val="20"/>
                <w:szCs w:val="20"/>
              </w:rPr>
            </w:pPr>
            <w:r>
              <w:rPr>
                <w:rFonts w:hint="eastAsia" w:ascii="宋体" w:hAnsi="宋体" w:cs="宋体"/>
                <w:kern w:val="0"/>
                <w:sz w:val="20"/>
                <w:szCs w:val="20"/>
              </w:rPr>
              <w:t>1.具备≥2路输入、≥2路输出，工业标准接线端子</w:t>
            </w:r>
            <w:r>
              <w:rPr>
                <w:rFonts w:hint="eastAsia" w:ascii="宋体" w:hAnsi="宋体" w:cs="宋体"/>
                <w:kern w:val="0"/>
                <w:sz w:val="20"/>
                <w:szCs w:val="20"/>
              </w:rPr>
              <w:br w:type="textWrapping"/>
            </w:r>
          </w:p>
          <w:p w14:paraId="69BB623B">
            <w:pPr>
              <w:widowControl/>
              <w:jc w:val="left"/>
              <w:rPr>
                <w:rFonts w:hint="eastAsia" w:ascii="宋体" w:hAnsi="宋体" w:cs="宋体"/>
                <w:kern w:val="0"/>
                <w:sz w:val="20"/>
                <w:szCs w:val="20"/>
              </w:rPr>
            </w:pPr>
            <w:r>
              <w:rPr>
                <w:rFonts w:hint="eastAsia" w:ascii="宋体" w:hAnsi="宋体" w:cs="宋体"/>
                <w:kern w:val="0"/>
                <w:sz w:val="20"/>
                <w:szCs w:val="20"/>
              </w:rPr>
              <w:t>2.输入：AC220V,输出:DC10-5mV</w:t>
            </w:r>
          </w:p>
          <w:p w14:paraId="34D6B365">
            <w:pPr>
              <w:widowControl/>
              <w:jc w:val="left"/>
              <w:rPr>
                <w:rFonts w:hint="eastAsia" w:ascii="宋体" w:hAnsi="宋体" w:cs="宋体"/>
                <w:kern w:val="0"/>
                <w:sz w:val="20"/>
                <w:szCs w:val="20"/>
              </w:rPr>
            </w:pPr>
          </w:p>
        </w:tc>
        <w:tc>
          <w:tcPr>
            <w:tcW w:w="981" w:type="dxa"/>
            <w:tcBorders>
              <w:top w:val="nil"/>
              <w:left w:val="nil"/>
              <w:bottom w:val="single" w:color="auto" w:sz="4" w:space="0"/>
              <w:right w:val="single" w:color="auto" w:sz="4" w:space="0"/>
            </w:tcBorders>
            <w:shd w:val="clear" w:color="auto" w:fill="auto"/>
            <w:vAlign w:val="center"/>
          </w:tcPr>
          <w:p w14:paraId="381CDD11">
            <w:pPr>
              <w:widowControl/>
              <w:jc w:val="center"/>
              <w:rPr>
                <w:rFonts w:hint="eastAsia" w:ascii="宋体" w:hAnsi="宋体" w:cs="宋体"/>
                <w:kern w:val="0"/>
                <w:sz w:val="20"/>
                <w:szCs w:val="20"/>
              </w:rPr>
            </w:pPr>
            <w:r>
              <w:rPr>
                <w:rFonts w:hint="eastAsia" w:ascii="宋体" w:hAnsi="宋体" w:cs="宋体"/>
                <w:kern w:val="0"/>
                <w:sz w:val="20"/>
                <w:szCs w:val="20"/>
              </w:rPr>
              <w:t>只</w:t>
            </w:r>
          </w:p>
        </w:tc>
        <w:tc>
          <w:tcPr>
            <w:tcW w:w="1177" w:type="dxa"/>
            <w:tcBorders>
              <w:top w:val="nil"/>
              <w:left w:val="nil"/>
              <w:bottom w:val="single" w:color="auto" w:sz="4" w:space="0"/>
              <w:right w:val="single" w:color="auto" w:sz="4" w:space="0"/>
            </w:tcBorders>
            <w:shd w:val="clear" w:color="auto" w:fill="auto"/>
            <w:vAlign w:val="center"/>
          </w:tcPr>
          <w:p w14:paraId="792FDB16">
            <w:pPr>
              <w:widowControl/>
              <w:jc w:val="center"/>
              <w:rPr>
                <w:rFonts w:hint="eastAsia" w:ascii="宋体" w:hAnsi="宋体" w:cs="宋体"/>
                <w:kern w:val="0"/>
                <w:sz w:val="20"/>
                <w:szCs w:val="20"/>
              </w:rPr>
            </w:pPr>
            <w:r>
              <w:rPr>
                <w:rFonts w:hint="eastAsia" w:ascii="宋体" w:hAnsi="宋体" w:cs="宋体"/>
                <w:kern w:val="0"/>
                <w:sz w:val="20"/>
                <w:szCs w:val="20"/>
              </w:rPr>
              <w:t>2</w:t>
            </w:r>
          </w:p>
        </w:tc>
      </w:tr>
      <w:tr w14:paraId="263D1BF8">
        <w:tblPrEx>
          <w:tblCellMar>
            <w:top w:w="0" w:type="dxa"/>
            <w:left w:w="108" w:type="dxa"/>
            <w:bottom w:w="0" w:type="dxa"/>
            <w:right w:w="108" w:type="dxa"/>
          </w:tblCellMar>
        </w:tblPrEx>
        <w:trPr>
          <w:trHeight w:val="28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323E339A">
            <w:pPr>
              <w:widowControl/>
              <w:jc w:val="center"/>
              <w:rPr>
                <w:rFonts w:hint="eastAsia" w:ascii="宋体" w:hAnsi="宋体" w:cs="宋体"/>
                <w:kern w:val="0"/>
                <w:sz w:val="20"/>
                <w:szCs w:val="20"/>
              </w:rPr>
            </w:pPr>
            <w:r>
              <w:rPr>
                <w:rFonts w:hint="eastAsia" w:ascii="宋体" w:hAnsi="宋体" w:cs="宋体"/>
                <w:kern w:val="0"/>
                <w:sz w:val="20"/>
                <w:szCs w:val="20"/>
              </w:rPr>
              <w:t>38</w:t>
            </w:r>
          </w:p>
        </w:tc>
        <w:tc>
          <w:tcPr>
            <w:tcW w:w="1325" w:type="dxa"/>
            <w:tcBorders>
              <w:top w:val="nil"/>
              <w:left w:val="nil"/>
              <w:bottom w:val="single" w:color="auto" w:sz="4" w:space="0"/>
              <w:right w:val="single" w:color="auto" w:sz="4" w:space="0"/>
            </w:tcBorders>
            <w:shd w:val="clear" w:color="auto" w:fill="auto"/>
            <w:vAlign w:val="center"/>
          </w:tcPr>
          <w:p w14:paraId="03F99428">
            <w:pPr>
              <w:widowControl/>
              <w:jc w:val="left"/>
              <w:rPr>
                <w:rFonts w:hint="eastAsia" w:ascii="宋体" w:hAnsi="宋体" w:cs="宋体"/>
                <w:kern w:val="0"/>
                <w:sz w:val="20"/>
                <w:szCs w:val="20"/>
              </w:rPr>
            </w:pPr>
            <w:r>
              <w:rPr>
                <w:rFonts w:hint="eastAsia" w:ascii="宋体" w:hAnsi="宋体" w:cs="宋体"/>
                <w:kern w:val="0"/>
                <w:sz w:val="20"/>
                <w:szCs w:val="20"/>
              </w:rPr>
              <w:t>多媒体插座</w:t>
            </w:r>
          </w:p>
        </w:tc>
        <w:tc>
          <w:tcPr>
            <w:tcW w:w="3515" w:type="dxa"/>
            <w:tcBorders>
              <w:top w:val="nil"/>
              <w:left w:val="nil"/>
              <w:bottom w:val="single" w:color="auto" w:sz="4" w:space="0"/>
              <w:right w:val="single" w:color="auto" w:sz="4" w:space="0"/>
            </w:tcBorders>
            <w:shd w:val="clear" w:color="auto" w:fill="auto"/>
            <w:vAlign w:val="center"/>
          </w:tcPr>
          <w:p w14:paraId="54041B8B">
            <w:pPr>
              <w:widowControl/>
              <w:jc w:val="left"/>
              <w:rPr>
                <w:rFonts w:hint="eastAsia" w:ascii="宋体" w:hAnsi="宋体" w:cs="宋体"/>
                <w:kern w:val="0"/>
                <w:sz w:val="20"/>
                <w:szCs w:val="20"/>
              </w:rPr>
            </w:pPr>
            <w:r>
              <w:rPr>
                <w:rFonts w:hint="eastAsia" w:ascii="宋体" w:hAnsi="宋体" w:cs="宋体"/>
                <w:kern w:val="0"/>
                <w:sz w:val="20"/>
                <w:szCs w:val="20"/>
              </w:rPr>
              <w:t>配置2个网络、1个3.5音频、1个HDMI、1个电源</w:t>
            </w:r>
          </w:p>
        </w:tc>
        <w:tc>
          <w:tcPr>
            <w:tcW w:w="981" w:type="dxa"/>
            <w:tcBorders>
              <w:top w:val="nil"/>
              <w:left w:val="nil"/>
              <w:bottom w:val="single" w:color="auto" w:sz="4" w:space="0"/>
              <w:right w:val="single" w:color="auto" w:sz="4" w:space="0"/>
            </w:tcBorders>
            <w:shd w:val="clear" w:color="auto" w:fill="auto"/>
            <w:vAlign w:val="center"/>
          </w:tcPr>
          <w:p w14:paraId="3820630E">
            <w:pPr>
              <w:widowControl/>
              <w:jc w:val="center"/>
              <w:rPr>
                <w:rFonts w:hint="eastAsia" w:ascii="宋体" w:hAnsi="宋体" w:cs="宋体"/>
                <w:kern w:val="0"/>
                <w:sz w:val="20"/>
                <w:szCs w:val="20"/>
              </w:rPr>
            </w:pPr>
            <w:r>
              <w:rPr>
                <w:rFonts w:hint="eastAsia" w:ascii="宋体" w:hAnsi="宋体" w:cs="宋体"/>
                <w:kern w:val="0"/>
                <w:sz w:val="20"/>
                <w:szCs w:val="20"/>
              </w:rPr>
              <w:t>套</w:t>
            </w:r>
          </w:p>
        </w:tc>
        <w:tc>
          <w:tcPr>
            <w:tcW w:w="1177" w:type="dxa"/>
            <w:tcBorders>
              <w:top w:val="nil"/>
              <w:left w:val="nil"/>
              <w:bottom w:val="single" w:color="auto" w:sz="4" w:space="0"/>
              <w:right w:val="single" w:color="auto" w:sz="4" w:space="0"/>
            </w:tcBorders>
            <w:shd w:val="clear" w:color="auto" w:fill="auto"/>
            <w:vAlign w:val="center"/>
          </w:tcPr>
          <w:p w14:paraId="04D27E65">
            <w:pPr>
              <w:widowControl/>
              <w:jc w:val="center"/>
              <w:rPr>
                <w:rFonts w:hint="eastAsia" w:ascii="宋体" w:hAnsi="宋体" w:cs="宋体"/>
                <w:kern w:val="0"/>
                <w:sz w:val="20"/>
                <w:szCs w:val="20"/>
              </w:rPr>
            </w:pPr>
            <w:r>
              <w:rPr>
                <w:rFonts w:hint="eastAsia" w:ascii="宋体" w:hAnsi="宋体" w:cs="宋体"/>
                <w:kern w:val="0"/>
                <w:sz w:val="20"/>
                <w:szCs w:val="20"/>
              </w:rPr>
              <w:t>1</w:t>
            </w:r>
          </w:p>
        </w:tc>
      </w:tr>
      <w:tr w14:paraId="027549BF">
        <w:tblPrEx>
          <w:tblCellMar>
            <w:top w:w="0" w:type="dxa"/>
            <w:left w:w="108" w:type="dxa"/>
            <w:bottom w:w="0" w:type="dxa"/>
            <w:right w:w="108" w:type="dxa"/>
          </w:tblCellMar>
        </w:tblPrEx>
        <w:trPr>
          <w:trHeight w:val="28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1C09310D">
            <w:pPr>
              <w:widowControl/>
              <w:jc w:val="center"/>
              <w:rPr>
                <w:rFonts w:hint="eastAsia" w:ascii="宋体" w:hAnsi="宋体" w:cs="宋体"/>
                <w:kern w:val="0"/>
                <w:sz w:val="20"/>
                <w:szCs w:val="20"/>
              </w:rPr>
            </w:pPr>
            <w:r>
              <w:rPr>
                <w:rFonts w:hint="eastAsia" w:ascii="宋体" w:hAnsi="宋体" w:cs="宋体"/>
                <w:kern w:val="0"/>
                <w:sz w:val="20"/>
                <w:szCs w:val="20"/>
              </w:rPr>
              <w:t>39</w:t>
            </w:r>
          </w:p>
        </w:tc>
        <w:tc>
          <w:tcPr>
            <w:tcW w:w="1325" w:type="dxa"/>
            <w:tcBorders>
              <w:top w:val="nil"/>
              <w:left w:val="nil"/>
              <w:bottom w:val="single" w:color="auto" w:sz="4" w:space="0"/>
              <w:right w:val="single" w:color="auto" w:sz="4" w:space="0"/>
            </w:tcBorders>
            <w:shd w:val="clear" w:color="auto" w:fill="auto"/>
            <w:vAlign w:val="center"/>
          </w:tcPr>
          <w:p w14:paraId="4B0A0067">
            <w:pPr>
              <w:widowControl/>
              <w:jc w:val="left"/>
              <w:rPr>
                <w:rFonts w:hint="eastAsia" w:ascii="宋体" w:hAnsi="宋体" w:cs="宋体"/>
                <w:kern w:val="0"/>
                <w:sz w:val="20"/>
                <w:szCs w:val="20"/>
              </w:rPr>
            </w:pPr>
            <w:r>
              <w:rPr>
                <w:rFonts w:hint="eastAsia" w:ascii="宋体" w:hAnsi="宋体" w:cs="宋体"/>
                <w:kern w:val="0"/>
                <w:sz w:val="20"/>
                <w:szCs w:val="20"/>
              </w:rPr>
              <w:t>音频连接线</w:t>
            </w:r>
          </w:p>
        </w:tc>
        <w:tc>
          <w:tcPr>
            <w:tcW w:w="3515" w:type="dxa"/>
            <w:tcBorders>
              <w:top w:val="nil"/>
              <w:left w:val="nil"/>
              <w:bottom w:val="single" w:color="auto" w:sz="4" w:space="0"/>
              <w:right w:val="single" w:color="auto" w:sz="4" w:space="0"/>
            </w:tcBorders>
            <w:shd w:val="clear" w:color="auto" w:fill="auto"/>
            <w:vAlign w:val="center"/>
          </w:tcPr>
          <w:p w14:paraId="0B5F8ED4">
            <w:pPr>
              <w:widowControl/>
              <w:jc w:val="left"/>
              <w:rPr>
                <w:rFonts w:hint="eastAsia" w:ascii="宋体" w:hAnsi="宋体" w:cs="宋体"/>
                <w:kern w:val="0"/>
                <w:sz w:val="20"/>
                <w:szCs w:val="20"/>
              </w:rPr>
            </w:pPr>
            <w:r>
              <w:rPr>
                <w:rFonts w:hint="eastAsia" w:ascii="宋体" w:hAnsi="宋体" w:cs="宋体"/>
                <w:kern w:val="0"/>
                <w:sz w:val="20"/>
                <w:szCs w:val="20"/>
              </w:rPr>
              <w:t>1.8米音频连接线：卡侬头（母）-卡侬头（公）</w:t>
            </w:r>
          </w:p>
        </w:tc>
        <w:tc>
          <w:tcPr>
            <w:tcW w:w="981" w:type="dxa"/>
            <w:tcBorders>
              <w:top w:val="nil"/>
              <w:left w:val="nil"/>
              <w:bottom w:val="single" w:color="auto" w:sz="4" w:space="0"/>
              <w:right w:val="single" w:color="auto" w:sz="4" w:space="0"/>
            </w:tcBorders>
            <w:shd w:val="clear" w:color="auto" w:fill="auto"/>
            <w:vAlign w:val="center"/>
          </w:tcPr>
          <w:p w14:paraId="57B2A5EE">
            <w:pPr>
              <w:widowControl/>
              <w:jc w:val="center"/>
              <w:rPr>
                <w:rFonts w:hint="eastAsia" w:ascii="宋体" w:hAnsi="宋体" w:cs="宋体"/>
                <w:kern w:val="0"/>
                <w:sz w:val="20"/>
                <w:szCs w:val="20"/>
              </w:rPr>
            </w:pPr>
            <w:r>
              <w:rPr>
                <w:rFonts w:hint="eastAsia" w:ascii="宋体" w:hAnsi="宋体" w:cs="宋体"/>
                <w:kern w:val="0"/>
                <w:sz w:val="20"/>
                <w:szCs w:val="20"/>
              </w:rPr>
              <w:t>根</w:t>
            </w:r>
          </w:p>
        </w:tc>
        <w:tc>
          <w:tcPr>
            <w:tcW w:w="1177" w:type="dxa"/>
            <w:tcBorders>
              <w:top w:val="nil"/>
              <w:left w:val="nil"/>
              <w:bottom w:val="single" w:color="auto" w:sz="4" w:space="0"/>
              <w:right w:val="single" w:color="auto" w:sz="4" w:space="0"/>
            </w:tcBorders>
            <w:shd w:val="clear" w:color="auto" w:fill="auto"/>
            <w:vAlign w:val="center"/>
          </w:tcPr>
          <w:p w14:paraId="389C3C75">
            <w:pPr>
              <w:widowControl/>
              <w:jc w:val="center"/>
              <w:rPr>
                <w:rFonts w:hint="eastAsia" w:ascii="宋体" w:hAnsi="宋体" w:cs="宋体"/>
                <w:kern w:val="0"/>
                <w:sz w:val="20"/>
                <w:szCs w:val="20"/>
              </w:rPr>
            </w:pPr>
            <w:r>
              <w:rPr>
                <w:rFonts w:hint="eastAsia" w:ascii="宋体" w:hAnsi="宋体" w:cs="宋体"/>
                <w:kern w:val="0"/>
                <w:sz w:val="20"/>
                <w:szCs w:val="20"/>
              </w:rPr>
              <w:t>6</w:t>
            </w:r>
          </w:p>
        </w:tc>
      </w:tr>
      <w:tr w14:paraId="387E9CF5">
        <w:tblPrEx>
          <w:tblCellMar>
            <w:top w:w="0" w:type="dxa"/>
            <w:left w:w="108" w:type="dxa"/>
            <w:bottom w:w="0" w:type="dxa"/>
            <w:right w:w="108" w:type="dxa"/>
          </w:tblCellMar>
        </w:tblPrEx>
        <w:trPr>
          <w:trHeight w:val="28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658B3457">
            <w:pPr>
              <w:widowControl/>
              <w:jc w:val="center"/>
              <w:rPr>
                <w:rFonts w:hint="eastAsia" w:ascii="宋体" w:hAnsi="宋体" w:cs="宋体"/>
                <w:kern w:val="0"/>
                <w:sz w:val="20"/>
                <w:szCs w:val="20"/>
              </w:rPr>
            </w:pPr>
            <w:r>
              <w:rPr>
                <w:rFonts w:hint="eastAsia" w:ascii="宋体" w:hAnsi="宋体" w:cs="宋体"/>
                <w:kern w:val="0"/>
                <w:sz w:val="20"/>
                <w:szCs w:val="20"/>
              </w:rPr>
              <w:t>40</w:t>
            </w:r>
          </w:p>
        </w:tc>
        <w:tc>
          <w:tcPr>
            <w:tcW w:w="1325" w:type="dxa"/>
            <w:tcBorders>
              <w:top w:val="nil"/>
              <w:left w:val="nil"/>
              <w:bottom w:val="single" w:color="auto" w:sz="4" w:space="0"/>
              <w:right w:val="single" w:color="auto" w:sz="4" w:space="0"/>
            </w:tcBorders>
            <w:shd w:val="clear" w:color="auto" w:fill="auto"/>
            <w:vAlign w:val="center"/>
          </w:tcPr>
          <w:p w14:paraId="2F762370">
            <w:pPr>
              <w:widowControl/>
              <w:jc w:val="left"/>
              <w:rPr>
                <w:rFonts w:hint="eastAsia" w:ascii="宋体" w:hAnsi="宋体" w:cs="宋体"/>
                <w:kern w:val="0"/>
                <w:sz w:val="20"/>
                <w:szCs w:val="20"/>
              </w:rPr>
            </w:pPr>
            <w:r>
              <w:rPr>
                <w:rFonts w:hint="eastAsia" w:ascii="宋体" w:hAnsi="宋体" w:cs="宋体"/>
                <w:kern w:val="0"/>
                <w:sz w:val="20"/>
                <w:szCs w:val="20"/>
              </w:rPr>
              <w:t>音频连接线</w:t>
            </w:r>
          </w:p>
        </w:tc>
        <w:tc>
          <w:tcPr>
            <w:tcW w:w="3515" w:type="dxa"/>
            <w:tcBorders>
              <w:top w:val="nil"/>
              <w:left w:val="nil"/>
              <w:bottom w:val="single" w:color="auto" w:sz="4" w:space="0"/>
              <w:right w:val="single" w:color="auto" w:sz="4" w:space="0"/>
            </w:tcBorders>
            <w:shd w:val="clear" w:color="auto" w:fill="auto"/>
            <w:vAlign w:val="center"/>
          </w:tcPr>
          <w:p w14:paraId="4C8DEE35">
            <w:pPr>
              <w:widowControl/>
              <w:jc w:val="left"/>
              <w:rPr>
                <w:rFonts w:hint="eastAsia" w:ascii="宋体" w:hAnsi="宋体" w:cs="宋体"/>
                <w:kern w:val="0"/>
                <w:sz w:val="20"/>
                <w:szCs w:val="20"/>
              </w:rPr>
            </w:pPr>
            <w:r>
              <w:rPr>
                <w:rFonts w:hint="eastAsia" w:ascii="宋体" w:hAnsi="宋体" w:cs="宋体"/>
                <w:kern w:val="0"/>
                <w:sz w:val="20"/>
                <w:szCs w:val="20"/>
              </w:rPr>
              <w:t>3米音频连接线：卡侬头（母）-卡侬头（公）</w:t>
            </w:r>
          </w:p>
        </w:tc>
        <w:tc>
          <w:tcPr>
            <w:tcW w:w="981" w:type="dxa"/>
            <w:tcBorders>
              <w:top w:val="nil"/>
              <w:left w:val="nil"/>
              <w:bottom w:val="single" w:color="auto" w:sz="4" w:space="0"/>
              <w:right w:val="single" w:color="auto" w:sz="4" w:space="0"/>
            </w:tcBorders>
            <w:shd w:val="clear" w:color="auto" w:fill="auto"/>
            <w:vAlign w:val="center"/>
          </w:tcPr>
          <w:p w14:paraId="6ACA6B72">
            <w:pPr>
              <w:widowControl/>
              <w:jc w:val="center"/>
              <w:rPr>
                <w:rFonts w:hint="eastAsia" w:ascii="宋体" w:hAnsi="宋体" w:cs="宋体"/>
                <w:kern w:val="0"/>
                <w:sz w:val="20"/>
                <w:szCs w:val="20"/>
              </w:rPr>
            </w:pPr>
            <w:r>
              <w:rPr>
                <w:rFonts w:hint="eastAsia" w:ascii="宋体" w:hAnsi="宋体" w:cs="宋体"/>
                <w:kern w:val="0"/>
                <w:sz w:val="20"/>
                <w:szCs w:val="20"/>
              </w:rPr>
              <w:t>根</w:t>
            </w:r>
          </w:p>
        </w:tc>
        <w:tc>
          <w:tcPr>
            <w:tcW w:w="1177" w:type="dxa"/>
            <w:tcBorders>
              <w:top w:val="nil"/>
              <w:left w:val="nil"/>
              <w:bottom w:val="single" w:color="auto" w:sz="4" w:space="0"/>
              <w:right w:val="single" w:color="auto" w:sz="4" w:space="0"/>
            </w:tcBorders>
            <w:shd w:val="clear" w:color="auto" w:fill="auto"/>
            <w:vAlign w:val="center"/>
          </w:tcPr>
          <w:p w14:paraId="20E89F14">
            <w:pPr>
              <w:widowControl/>
              <w:jc w:val="center"/>
              <w:rPr>
                <w:rFonts w:hint="eastAsia" w:ascii="宋体" w:hAnsi="宋体" w:cs="宋体"/>
                <w:kern w:val="0"/>
                <w:sz w:val="20"/>
                <w:szCs w:val="20"/>
              </w:rPr>
            </w:pPr>
            <w:r>
              <w:rPr>
                <w:rFonts w:hint="eastAsia" w:ascii="宋体" w:hAnsi="宋体" w:cs="宋体"/>
                <w:kern w:val="0"/>
                <w:sz w:val="20"/>
                <w:szCs w:val="20"/>
              </w:rPr>
              <w:t>16</w:t>
            </w:r>
          </w:p>
        </w:tc>
      </w:tr>
      <w:tr w14:paraId="53E04A0B">
        <w:tblPrEx>
          <w:tblCellMar>
            <w:top w:w="0" w:type="dxa"/>
            <w:left w:w="108" w:type="dxa"/>
            <w:bottom w:w="0" w:type="dxa"/>
            <w:right w:w="108" w:type="dxa"/>
          </w:tblCellMar>
        </w:tblPrEx>
        <w:trPr>
          <w:trHeight w:val="28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5E5ADE8D">
            <w:pPr>
              <w:widowControl/>
              <w:jc w:val="center"/>
              <w:rPr>
                <w:rFonts w:hint="eastAsia" w:ascii="宋体" w:hAnsi="宋体" w:cs="宋体"/>
                <w:kern w:val="0"/>
                <w:sz w:val="20"/>
                <w:szCs w:val="20"/>
              </w:rPr>
            </w:pPr>
            <w:r>
              <w:rPr>
                <w:rFonts w:hint="eastAsia" w:ascii="宋体" w:hAnsi="宋体" w:cs="宋体"/>
                <w:kern w:val="0"/>
                <w:sz w:val="20"/>
                <w:szCs w:val="20"/>
              </w:rPr>
              <w:t>41</w:t>
            </w:r>
          </w:p>
        </w:tc>
        <w:tc>
          <w:tcPr>
            <w:tcW w:w="1325" w:type="dxa"/>
            <w:tcBorders>
              <w:top w:val="nil"/>
              <w:left w:val="nil"/>
              <w:bottom w:val="single" w:color="auto" w:sz="4" w:space="0"/>
              <w:right w:val="single" w:color="auto" w:sz="4" w:space="0"/>
            </w:tcBorders>
            <w:shd w:val="clear" w:color="auto" w:fill="auto"/>
            <w:vAlign w:val="center"/>
          </w:tcPr>
          <w:p w14:paraId="46CA0713">
            <w:pPr>
              <w:widowControl/>
              <w:jc w:val="left"/>
              <w:rPr>
                <w:rFonts w:hint="eastAsia" w:ascii="宋体" w:hAnsi="宋体" w:cs="宋体"/>
                <w:kern w:val="0"/>
                <w:sz w:val="20"/>
                <w:szCs w:val="20"/>
              </w:rPr>
            </w:pPr>
            <w:r>
              <w:rPr>
                <w:rFonts w:hint="eastAsia" w:ascii="宋体" w:hAnsi="宋体" w:cs="宋体"/>
                <w:kern w:val="0"/>
                <w:sz w:val="20"/>
                <w:szCs w:val="20"/>
              </w:rPr>
              <w:t>音频连接线</w:t>
            </w:r>
          </w:p>
        </w:tc>
        <w:tc>
          <w:tcPr>
            <w:tcW w:w="3515" w:type="dxa"/>
            <w:tcBorders>
              <w:top w:val="nil"/>
              <w:left w:val="nil"/>
              <w:bottom w:val="single" w:color="auto" w:sz="4" w:space="0"/>
              <w:right w:val="single" w:color="auto" w:sz="4" w:space="0"/>
            </w:tcBorders>
            <w:shd w:val="clear" w:color="auto" w:fill="auto"/>
            <w:vAlign w:val="center"/>
          </w:tcPr>
          <w:p w14:paraId="569C6655">
            <w:pPr>
              <w:widowControl/>
              <w:jc w:val="left"/>
              <w:rPr>
                <w:rFonts w:hint="eastAsia" w:ascii="宋体" w:hAnsi="宋体" w:cs="宋体"/>
                <w:kern w:val="0"/>
                <w:sz w:val="20"/>
                <w:szCs w:val="20"/>
              </w:rPr>
            </w:pPr>
            <w:r>
              <w:rPr>
                <w:rFonts w:hint="eastAsia" w:ascii="宋体" w:hAnsi="宋体" w:cs="宋体"/>
                <w:kern w:val="0"/>
                <w:sz w:val="20"/>
                <w:szCs w:val="20"/>
              </w:rPr>
              <w:t>3米音频连接线：3.5（耳机插头）-双6.35话筒插头</w:t>
            </w:r>
          </w:p>
        </w:tc>
        <w:tc>
          <w:tcPr>
            <w:tcW w:w="981" w:type="dxa"/>
            <w:tcBorders>
              <w:top w:val="nil"/>
              <w:left w:val="nil"/>
              <w:bottom w:val="single" w:color="auto" w:sz="4" w:space="0"/>
              <w:right w:val="single" w:color="auto" w:sz="4" w:space="0"/>
            </w:tcBorders>
            <w:shd w:val="clear" w:color="auto" w:fill="auto"/>
            <w:vAlign w:val="center"/>
          </w:tcPr>
          <w:p w14:paraId="2A47E051">
            <w:pPr>
              <w:widowControl/>
              <w:jc w:val="center"/>
              <w:rPr>
                <w:rFonts w:hint="eastAsia" w:ascii="宋体" w:hAnsi="宋体" w:cs="宋体"/>
                <w:kern w:val="0"/>
                <w:sz w:val="20"/>
                <w:szCs w:val="20"/>
              </w:rPr>
            </w:pPr>
            <w:r>
              <w:rPr>
                <w:rFonts w:hint="eastAsia" w:ascii="宋体" w:hAnsi="宋体" w:cs="宋体"/>
                <w:kern w:val="0"/>
                <w:sz w:val="20"/>
                <w:szCs w:val="20"/>
              </w:rPr>
              <w:t>根</w:t>
            </w:r>
          </w:p>
        </w:tc>
        <w:tc>
          <w:tcPr>
            <w:tcW w:w="1177" w:type="dxa"/>
            <w:tcBorders>
              <w:top w:val="nil"/>
              <w:left w:val="nil"/>
              <w:bottom w:val="single" w:color="auto" w:sz="4" w:space="0"/>
              <w:right w:val="single" w:color="auto" w:sz="4" w:space="0"/>
            </w:tcBorders>
            <w:shd w:val="clear" w:color="auto" w:fill="auto"/>
            <w:vAlign w:val="center"/>
          </w:tcPr>
          <w:p w14:paraId="089E222A">
            <w:pPr>
              <w:widowControl/>
              <w:jc w:val="center"/>
              <w:rPr>
                <w:rFonts w:hint="eastAsia" w:ascii="宋体" w:hAnsi="宋体" w:cs="宋体"/>
                <w:kern w:val="0"/>
                <w:sz w:val="20"/>
                <w:szCs w:val="20"/>
              </w:rPr>
            </w:pPr>
            <w:r>
              <w:rPr>
                <w:rFonts w:hint="eastAsia" w:ascii="宋体" w:hAnsi="宋体" w:cs="宋体"/>
                <w:kern w:val="0"/>
                <w:sz w:val="20"/>
                <w:szCs w:val="20"/>
              </w:rPr>
              <w:t>3</w:t>
            </w:r>
          </w:p>
        </w:tc>
      </w:tr>
      <w:tr w14:paraId="3B678F25">
        <w:tblPrEx>
          <w:tblCellMar>
            <w:top w:w="0" w:type="dxa"/>
            <w:left w:w="108" w:type="dxa"/>
            <w:bottom w:w="0" w:type="dxa"/>
            <w:right w:w="108" w:type="dxa"/>
          </w:tblCellMar>
        </w:tblPrEx>
        <w:trPr>
          <w:trHeight w:val="413"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412309BA">
            <w:pPr>
              <w:widowControl/>
              <w:jc w:val="center"/>
              <w:rPr>
                <w:rFonts w:hint="eastAsia" w:ascii="宋体" w:hAnsi="宋体" w:cs="宋体"/>
                <w:kern w:val="0"/>
                <w:sz w:val="20"/>
                <w:szCs w:val="20"/>
              </w:rPr>
            </w:pPr>
            <w:r>
              <w:rPr>
                <w:rFonts w:hint="eastAsia" w:ascii="宋体" w:hAnsi="宋体" w:cs="宋体"/>
                <w:kern w:val="0"/>
                <w:sz w:val="20"/>
                <w:szCs w:val="20"/>
              </w:rPr>
              <w:t>42</w:t>
            </w:r>
          </w:p>
        </w:tc>
        <w:tc>
          <w:tcPr>
            <w:tcW w:w="1325" w:type="dxa"/>
            <w:tcBorders>
              <w:top w:val="nil"/>
              <w:left w:val="nil"/>
              <w:bottom w:val="single" w:color="auto" w:sz="4" w:space="0"/>
              <w:right w:val="single" w:color="auto" w:sz="4" w:space="0"/>
            </w:tcBorders>
            <w:shd w:val="clear" w:color="auto" w:fill="auto"/>
            <w:vAlign w:val="center"/>
          </w:tcPr>
          <w:p w14:paraId="5CA50244">
            <w:pPr>
              <w:widowControl/>
              <w:jc w:val="left"/>
              <w:rPr>
                <w:rFonts w:hint="eastAsia" w:ascii="宋体" w:hAnsi="宋体" w:cs="宋体"/>
                <w:kern w:val="0"/>
                <w:sz w:val="20"/>
                <w:szCs w:val="20"/>
              </w:rPr>
            </w:pPr>
            <w:r>
              <w:rPr>
                <w:rFonts w:hint="eastAsia" w:ascii="宋体" w:hAnsi="宋体" w:cs="宋体"/>
                <w:kern w:val="0"/>
                <w:sz w:val="20"/>
                <w:szCs w:val="20"/>
              </w:rPr>
              <w:t>线材</w:t>
            </w:r>
          </w:p>
        </w:tc>
        <w:tc>
          <w:tcPr>
            <w:tcW w:w="3515" w:type="dxa"/>
            <w:tcBorders>
              <w:top w:val="nil"/>
              <w:left w:val="nil"/>
              <w:bottom w:val="single" w:color="auto" w:sz="4" w:space="0"/>
              <w:right w:val="single" w:color="auto" w:sz="4" w:space="0"/>
            </w:tcBorders>
            <w:shd w:val="clear" w:color="auto" w:fill="auto"/>
            <w:vAlign w:val="center"/>
          </w:tcPr>
          <w:p w14:paraId="1CE822FE">
            <w:pPr>
              <w:widowControl/>
              <w:jc w:val="left"/>
              <w:rPr>
                <w:rFonts w:hint="eastAsia" w:ascii="宋体" w:hAnsi="宋体" w:cs="宋体"/>
                <w:kern w:val="0"/>
                <w:sz w:val="20"/>
                <w:szCs w:val="20"/>
              </w:rPr>
            </w:pPr>
            <w:r>
              <w:rPr>
                <w:rFonts w:hint="eastAsia" w:ascii="宋体" w:hAnsi="宋体" w:cs="宋体"/>
                <w:kern w:val="0"/>
                <w:sz w:val="20"/>
                <w:szCs w:val="20"/>
              </w:rPr>
              <w:t>1.分辨率:3840*2160，60Hz</w:t>
            </w:r>
            <w:r>
              <w:rPr>
                <w:rFonts w:hint="eastAsia" w:ascii="宋体" w:hAnsi="宋体" w:cs="宋体"/>
                <w:kern w:val="0"/>
                <w:sz w:val="20"/>
                <w:szCs w:val="20"/>
              </w:rPr>
              <w:br w:type="textWrapping"/>
            </w:r>
            <w:r>
              <w:rPr>
                <w:rFonts w:hint="eastAsia" w:ascii="宋体" w:hAnsi="宋体" w:cs="宋体"/>
                <w:kern w:val="0"/>
                <w:sz w:val="20"/>
                <w:szCs w:val="20"/>
              </w:rPr>
              <w:t xml:space="preserve">2.屏蔽:铝箔+编织+地线 </w:t>
            </w:r>
            <w:r>
              <w:rPr>
                <w:rFonts w:hint="eastAsia" w:ascii="宋体" w:hAnsi="宋体" w:cs="宋体"/>
                <w:kern w:val="0"/>
                <w:sz w:val="20"/>
                <w:szCs w:val="20"/>
              </w:rPr>
              <w:br w:type="textWrapping"/>
            </w:r>
            <w:r>
              <w:rPr>
                <w:rFonts w:hint="eastAsia" w:ascii="宋体" w:hAnsi="宋体" w:cs="宋体"/>
                <w:kern w:val="0"/>
                <w:sz w:val="20"/>
                <w:szCs w:val="20"/>
              </w:rPr>
              <w:t xml:space="preserve">3.外被: PVC </w:t>
            </w:r>
            <w:r>
              <w:rPr>
                <w:rFonts w:hint="eastAsia" w:ascii="宋体" w:hAnsi="宋体" w:cs="宋体"/>
                <w:kern w:val="0"/>
                <w:sz w:val="20"/>
                <w:szCs w:val="20"/>
              </w:rPr>
              <w:br w:type="textWrapping"/>
            </w:r>
            <w:r>
              <w:rPr>
                <w:rFonts w:hint="eastAsia" w:ascii="宋体" w:hAnsi="宋体" w:cs="宋体"/>
                <w:kern w:val="0"/>
                <w:sz w:val="20"/>
                <w:szCs w:val="20"/>
              </w:rPr>
              <w:t>4.线芯: 镀锡铜</w:t>
            </w:r>
            <w:r>
              <w:rPr>
                <w:rFonts w:hint="eastAsia" w:ascii="宋体" w:hAnsi="宋体" w:cs="宋体"/>
                <w:kern w:val="0"/>
                <w:sz w:val="20"/>
                <w:szCs w:val="20"/>
              </w:rPr>
              <w:br w:type="textWrapping"/>
            </w:r>
            <w:r>
              <w:rPr>
                <w:rFonts w:hint="eastAsia" w:ascii="宋体" w:hAnsi="宋体" w:cs="宋体"/>
                <w:kern w:val="0"/>
                <w:sz w:val="20"/>
                <w:szCs w:val="20"/>
              </w:rPr>
              <w:t>5.支持HDMI 2.0版本</w:t>
            </w:r>
            <w:r>
              <w:rPr>
                <w:rFonts w:hint="eastAsia" w:ascii="宋体" w:hAnsi="宋体" w:cs="宋体"/>
                <w:kern w:val="0"/>
                <w:sz w:val="20"/>
                <w:szCs w:val="20"/>
              </w:rPr>
              <w:br w:type="textWrapping"/>
            </w:r>
            <w:r>
              <w:rPr>
                <w:rFonts w:hint="eastAsia" w:ascii="宋体" w:hAnsi="宋体" w:cs="宋体"/>
                <w:kern w:val="0"/>
                <w:sz w:val="20"/>
                <w:szCs w:val="20"/>
              </w:rPr>
              <w:t>6.规格：长度2米</w:t>
            </w:r>
            <w:r>
              <w:rPr>
                <w:rFonts w:hint="eastAsia" w:ascii="宋体" w:hAnsi="宋体" w:cs="宋体"/>
                <w:kern w:val="0"/>
                <w:sz w:val="20"/>
                <w:szCs w:val="20"/>
              </w:rPr>
              <w:br w:type="textWrapping"/>
            </w:r>
            <w:r>
              <w:rPr>
                <w:rFonts w:hint="eastAsia" w:ascii="宋体" w:hAnsi="宋体" w:cs="宋体"/>
                <w:kern w:val="0"/>
                <w:sz w:val="20"/>
                <w:szCs w:val="20"/>
              </w:rPr>
              <w:t>7.HDMI头大小：20*26*10.5mm，线径：7.3mm</w:t>
            </w:r>
          </w:p>
        </w:tc>
        <w:tc>
          <w:tcPr>
            <w:tcW w:w="981" w:type="dxa"/>
            <w:tcBorders>
              <w:top w:val="nil"/>
              <w:left w:val="nil"/>
              <w:bottom w:val="single" w:color="auto" w:sz="4" w:space="0"/>
              <w:right w:val="single" w:color="auto" w:sz="4" w:space="0"/>
            </w:tcBorders>
            <w:shd w:val="clear" w:color="auto" w:fill="auto"/>
            <w:vAlign w:val="center"/>
          </w:tcPr>
          <w:p w14:paraId="25F17FA1">
            <w:pPr>
              <w:widowControl/>
              <w:jc w:val="center"/>
              <w:rPr>
                <w:rFonts w:hint="eastAsia" w:ascii="宋体" w:hAnsi="宋体" w:cs="宋体"/>
                <w:kern w:val="0"/>
                <w:sz w:val="20"/>
                <w:szCs w:val="20"/>
              </w:rPr>
            </w:pPr>
            <w:r>
              <w:rPr>
                <w:rFonts w:hint="eastAsia" w:ascii="宋体" w:hAnsi="宋体" w:cs="宋体"/>
                <w:kern w:val="0"/>
                <w:sz w:val="20"/>
                <w:szCs w:val="20"/>
              </w:rPr>
              <w:t>条</w:t>
            </w:r>
          </w:p>
        </w:tc>
        <w:tc>
          <w:tcPr>
            <w:tcW w:w="1177" w:type="dxa"/>
            <w:tcBorders>
              <w:top w:val="nil"/>
              <w:left w:val="nil"/>
              <w:bottom w:val="single" w:color="auto" w:sz="4" w:space="0"/>
              <w:right w:val="single" w:color="auto" w:sz="4" w:space="0"/>
            </w:tcBorders>
            <w:shd w:val="clear" w:color="auto" w:fill="auto"/>
            <w:noWrap/>
            <w:vAlign w:val="center"/>
          </w:tcPr>
          <w:p w14:paraId="0D556C6D">
            <w:pPr>
              <w:widowControl/>
              <w:jc w:val="center"/>
              <w:rPr>
                <w:rFonts w:hint="eastAsia" w:ascii="宋体" w:hAnsi="宋体" w:cs="宋体"/>
                <w:kern w:val="0"/>
                <w:sz w:val="20"/>
                <w:szCs w:val="20"/>
              </w:rPr>
            </w:pPr>
            <w:r>
              <w:rPr>
                <w:rFonts w:hint="eastAsia" w:ascii="宋体" w:hAnsi="宋体" w:cs="宋体"/>
                <w:kern w:val="0"/>
                <w:sz w:val="20"/>
                <w:szCs w:val="20"/>
              </w:rPr>
              <w:t>8</w:t>
            </w:r>
          </w:p>
        </w:tc>
      </w:tr>
      <w:tr w14:paraId="38A2E5C6">
        <w:tblPrEx>
          <w:tblCellMar>
            <w:top w:w="0" w:type="dxa"/>
            <w:left w:w="108" w:type="dxa"/>
            <w:bottom w:w="0" w:type="dxa"/>
            <w:right w:w="108" w:type="dxa"/>
          </w:tblCellMar>
        </w:tblPrEx>
        <w:trPr>
          <w:trHeight w:val="78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1E90D1A7">
            <w:pPr>
              <w:widowControl/>
              <w:jc w:val="center"/>
              <w:rPr>
                <w:rFonts w:hint="eastAsia" w:ascii="宋体" w:hAnsi="宋体" w:cs="宋体"/>
                <w:kern w:val="0"/>
                <w:sz w:val="20"/>
                <w:szCs w:val="20"/>
              </w:rPr>
            </w:pPr>
            <w:r>
              <w:rPr>
                <w:rFonts w:hint="eastAsia" w:ascii="宋体" w:hAnsi="宋体" w:cs="宋体"/>
                <w:kern w:val="0"/>
                <w:sz w:val="20"/>
                <w:szCs w:val="20"/>
              </w:rPr>
              <w:t>43</w:t>
            </w:r>
          </w:p>
        </w:tc>
        <w:tc>
          <w:tcPr>
            <w:tcW w:w="1325" w:type="dxa"/>
            <w:tcBorders>
              <w:top w:val="nil"/>
              <w:left w:val="nil"/>
              <w:bottom w:val="single" w:color="auto" w:sz="4" w:space="0"/>
              <w:right w:val="single" w:color="auto" w:sz="4" w:space="0"/>
            </w:tcBorders>
            <w:shd w:val="clear" w:color="auto" w:fill="auto"/>
            <w:vAlign w:val="center"/>
          </w:tcPr>
          <w:p w14:paraId="4EEAC186">
            <w:pPr>
              <w:widowControl/>
              <w:jc w:val="left"/>
              <w:rPr>
                <w:rFonts w:hint="eastAsia" w:ascii="宋体" w:hAnsi="宋体" w:cs="宋体"/>
                <w:kern w:val="0"/>
                <w:sz w:val="20"/>
                <w:szCs w:val="20"/>
              </w:rPr>
            </w:pPr>
            <w:r>
              <w:rPr>
                <w:rFonts w:hint="eastAsia" w:ascii="宋体" w:hAnsi="宋体" w:cs="宋体"/>
                <w:kern w:val="0"/>
                <w:sz w:val="20"/>
                <w:szCs w:val="20"/>
              </w:rPr>
              <w:t>线材</w:t>
            </w:r>
          </w:p>
        </w:tc>
        <w:tc>
          <w:tcPr>
            <w:tcW w:w="3515" w:type="dxa"/>
            <w:tcBorders>
              <w:top w:val="nil"/>
              <w:left w:val="nil"/>
              <w:bottom w:val="single" w:color="auto" w:sz="4" w:space="0"/>
              <w:right w:val="single" w:color="auto" w:sz="4" w:space="0"/>
            </w:tcBorders>
            <w:shd w:val="clear" w:color="auto" w:fill="auto"/>
            <w:vAlign w:val="center"/>
          </w:tcPr>
          <w:p w14:paraId="03C8621E">
            <w:pPr>
              <w:widowControl/>
              <w:jc w:val="left"/>
              <w:rPr>
                <w:rFonts w:hint="eastAsia" w:ascii="宋体" w:hAnsi="宋体" w:cs="宋体"/>
                <w:kern w:val="0"/>
                <w:sz w:val="20"/>
                <w:szCs w:val="20"/>
              </w:rPr>
            </w:pPr>
            <w:r>
              <w:rPr>
                <w:rFonts w:hint="eastAsia" w:ascii="宋体" w:hAnsi="宋体" w:cs="宋体"/>
                <w:kern w:val="0"/>
                <w:sz w:val="20"/>
                <w:szCs w:val="20"/>
              </w:rPr>
              <w:t>1.分辨率：4k/60hz、2k/144hz、1080p/240hz</w:t>
            </w:r>
            <w:r>
              <w:rPr>
                <w:rFonts w:hint="eastAsia" w:ascii="宋体" w:hAnsi="宋体" w:cs="宋体"/>
                <w:kern w:val="0"/>
                <w:sz w:val="20"/>
                <w:szCs w:val="20"/>
              </w:rPr>
              <w:br w:type="textWrapping"/>
            </w:r>
            <w:r>
              <w:rPr>
                <w:rFonts w:hint="eastAsia" w:ascii="宋体" w:hAnsi="宋体" w:cs="宋体"/>
                <w:kern w:val="0"/>
                <w:sz w:val="20"/>
                <w:szCs w:val="20"/>
              </w:rPr>
              <w:t>2.色彩空间：4:4:4、4:2:2、4:2:0</w:t>
            </w:r>
            <w:r>
              <w:rPr>
                <w:rFonts w:hint="eastAsia" w:ascii="宋体" w:hAnsi="宋体" w:cs="宋体"/>
                <w:kern w:val="0"/>
                <w:sz w:val="20"/>
                <w:szCs w:val="20"/>
              </w:rPr>
              <w:br w:type="textWrapping"/>
            </w:r>
            <w:r>
              <w:rPr>
                <w:rFonts w:hint="eastAsia" w:ascii="宋体" w:hAnsi="宋体" w:cs="宋体"/>
                <w:kern w:val="0"/>
                <w:sz w:val="20"/>
                <w:szCs w:val="20"/>
              </w:rPr>
              <w:t>3.接口版本：HDMI 2.0</w:t>
            </w:r>
          </w:p>
        </w:tc>
        <w:tc>
          <w:tcPr>
            <w:tcW w:w="981" w:type="dxa"/>
            <w:tcBorders>
              <w:top w:val="nil"/>
              <w:left w:val="nil"/>
              <w:bottom w:val="single" w:color="auto" w:sz="4" w:space="0"/>
              <w:right w:val="single" w:color="auto" w:sz="4" w:space="0"/>
            </w:tcBorders>
            <w:shd w:val="clear" w:color="auto" w:fill="auto"/>
            <w:vAlign w:val="center"/>
          </w:tcPr>
          <w:p w14:paraId="190F8927">
            <w:pPr>
              <w:widowControl/>
              <w:jc w:val="center"/>
              <w:rPr>
                <w:rFonts w:hint="eastAsia" w:ascii="宋体" w:hAnsi="宋体" w:cs="宋体"/>
                <w:kern w:val="0"/>
                <w:sz w:val="20"/>
                <w:szCs w:val="20"/>
              </w:rPr>
            </w:pPr>
            <w:r>
              <w:rPr>
                <w:rFonts w:hint="eastAsia" w:ascii="宋体" w:hAnsi="宋体" w:cs="宋体"/>
                <w:kern w:val="0"/>
                <w:sz w:val="20"/>
                <w:szCs w:val="20"/>
              </w:rPr>
              <w:t>条</w:t>
            </w:r>
          </w:p>
        </w:tc>
        <w:tc>
          <w:tcPr>
            <w:tcW w:w="1177" w:type="dxa"/>
            <w:tcBorders>
              <w:top w:val="nil"/>
              <w:left w:val="nil"/>
              <w:bottom w:val="single" w:color="auto" w:sz="4" w:space="0"/>
              <w:right w:val="single" w:color="auto" w:sz="4" w:space="0"/>
            </w:tcBorders>
            <w:shd w:val="clear" w:color="auto" w:fill="auto"/>
            <w:noWrap/>
            <w:vAlign w:val="center"/>
          </w:tcPr>
          <w:p w14:paraId="7E1A7433">
            <w:pPr>
              <w:widowControl/>
              <w:jc w:val="center"/>
              <w:rPr>
                <w:rFonts w:hint="eastAsia" w:ascii="宋体" w:hAnsi="宋体" w:cs="宋体"/>
                <w:kern w:val="0"/>
                <w:sz w:val="20"/>
                <w:szCs w:val="20"/>
              </w:rPr>
            </w:pPr>
            <w:r>
              <w:rPr>
                <w:rFonts w:hint="eastAsia" w:ascii="宋体" w:hAnsi="宋体" w:cs="宋体"/>
                <w:kern w:val="0"/>
                <w:sz w:val="20"/>
                <w:szCs w:val="20"/>
              </w:rPr>
              <w:t>3</w:t>
            </w:r>
          </w:p>
        </w:tc>
      </w:tr>
      <w:tr w14:paraId="1FECA73D">
        <w:tblPrEx>
          <w:tblCellMar>
            <w:top w:w="0" w:type="dxa"/>
            <w:left w:w="108" w:type="dxa"/>
            <w:bottom w:w="0" w:type="dxa"/>
            <w:right w:w="108" w:type="dxa"/>
          </w:tblCellMar>
        </w:tblPrEx>
        <w:trPr>
          <w:trHeight w:val="28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1D1030AD">
            <w:pPr>
              <w:widowControl/>
              <w:jc w:val="center"/>
              <w:rPr>
                <w:rFonts w:hint="eastAsia" w:ascii="宋体" w:hAnsi="宋体" w:cs="宋体"/>
                <w:kern w:val="0"/>
                <w:sz w:val="20"/>
                <w:szCs w:val="20"/>
              </w:rPr>
            </w:pPr>
            <w:r>
              <w:rPr>
                <w:rFonts w:hint="eastAsia" w:ascii="宋体" w:hAnsi="宋体" w:cs="宋体"/>
                <w:kern w:val="0"/>
                <w:sz w:val="20"/>
                <w:szCs w:val="20"/>
              </w:rPr>
              <w:t>44</w:t>
            </w:r>
          </w:p>
        </w:tc>
        <w:tc>
          <w:tcPr>
            <w:tcW w:w="1325" w:type="dxa"/>
            <w:tcBorders>
              <w:top w:val="nil"/>
              <w:left w:val="nil"/>
              <w:bottom w:val="single" w:color="auto" w:sz="4" w:space="0"/>
              <w:right w:val="single" w:color="auto" w:sz="4" w:space="0"/>
            </w:tcBorders>
            <w:shd w:val="clear" w:color="auto" w:fill="auto"/>
            <w:vAlign w:val="center"/>
          </w:tcPr>
          <w:p w14:paraId="7DBF6DDD">
            <w:pPr>
              <w:widowControl/>
              <w:jc w:val="left"/>
              <w:rPr>
                <w:rFonts w:hint="eastAsia" w:ascii="宋体" w:hAnsi="宋体" w:cs="宋体"/>
                <w:kern w:val="0"/>
                <w:sz w:val="20"/>
                <w:szCs w:val="20"/>
              </w:rPr>
            </w:pPr>
            <w:r>
              <w:rPr>
                <w:rFonts w:hint="eastAsia" w:ascii="宋体" w:hAnsi="宋体" w:cs="宋体"/>
                <w:kern w:val="0"/>
                <w:sz w:val="20"/>
                <w:szCs w:val="20"/>
              </w:rPr>
              <w:t>线材</w:t>
            </w:r>
          </w:p>
        </w:tc>
        <w:tc>
          <w:tcPr>
            <w:tcW w:w="3515" w:type="dxa"/>
            <w:tcBorders>
              <w:top w:val="nil"/>
              <w:left w:val="nil"/>
              <w:bottom w:val="single" w:color="auto" w:sz="4" w:space="0"/>
              <w:right w:val="single" w:color="auto" w:sz="4" w:space="0"/>
            </w:tcBorders>
            <w:shd w:val="clear" w:color="auto" w:fill="auto"/>
            <w:vAlign w:val="center"/>
          </w:tcPr>
          <w:p w14:paraId="14E9A6EE">
            <w:pPr>
              <w:widowControl/>
              <w:jc w:val="left"/>
              <w:rPr>
                <w:rFonts w:hint="eastAsia" w:ascii="宋体" w:hAnsi="宋体" w:cs="宋体"/>
                <w:kern w:val="0"/>
                <w:sz w:val="20"/>
                <w:szCs w:val="20"/>
              </w:rPr>
            </w:pPr>
            <w:r>
              <w:rPr>
                <w:rFonts w:hint="eastAsia" w:ascii="宋体" w:hAnsi="宋体" w:cs="宋体"/>
                <w:kern w:val="0"/>
                <w:sz w:val="20"/>
                <w:szCs w:val="20"/>
              </w:rPr>
              <w:t>双芯咪线RVPE2*0.5，100米/卷</w:t>
            </w:r>
          </w:p>
        </w:tc>
        <w:tc>
          <w:tcPr>
            <w:tcW w:w="981" w:type="dxa"/>
            <w:tcBorders>
              <w:top w:val="nil"/>
              <w:left w:val="nil"/>
              <w:bottom w:val="single" w:color="auto" w:sz="4" w:space="0"/>
              <w:right w:val="single" w:color="auto" w:sz="4" w:space="0"/>
            </w:tcBorders>
            <w:shd w:val="clear" w:color="auto" w:fill="auto"/>
            <w:vAlign w:val="center"/>
          </w:tcPr>
          <w:p w14:paraId="2B63735C">
            <w:pPr>
              <w:widowControl/>
              <w:jc w:val="center"/>
              <w:rPr>
                <w:rFonts w:hint="eastAsia" w:ascii="宋体" w:hAnsi="宋体" w:cs="宋体"/>
                <w:kern w:val="0"/>
                <w:sz w:val="20"/>
                <w:szCs w:val="20"/>
              </w:rPr>
            </w:pPr>
            <w:r>
              <w:rPr>
                <w:rFonts w:hint="eastAsia" w:ascii="宋体" w:hAnsi="宋体" w:cs="宋体"/>
                <w:kern w:val="0"/>
                <w:sz w:val="20"/>
                <w:szCs w:val="20"/>
              </w:rPr>
              <w:t>卷</w:t>
            </w:r>
          </w:p>
        </w:tc>
        <w:tc>
          <w:tcPr>
            <w:tcW w:w="1177" w:type="dxa"/>
            <w:tcBorders>
              <w:top w:val="nil"/>
              <w:left w:val="nil"/>
              <w:bottom w:val="single" w:color="auto" w:sz="4" w:space="0"/>
              <w:right w:val="single" w:color="auto" w:sz="4" w:space="0"/>
            </w:tcBorders>
            <w:shd w:val="clear" w:color="auto" w:fill="auto"/>
            <w:noWrap/>
            <w:vAlign w:val="center"/>
          </w:tcPr>
          <w:p w14:paraId="5ECDAF57">
            <w:pPr>
              <w:widowControl/>
              <w:jc w:val="center"/>
              <w:rPr>
                <w:rFonts w:hint="eastAsia" w:ascii="宋体" w:hAnsi="宋体" w:cs="宋体"/>
                <w:kern w:val="0"/>
                <w:sz w:val="20"/>
                <w:szCs w:val="20"/>
              </w:rPr>
            </w:pPr>
            <w:r>
              <w:rPr>
                <w:rFonts w:hint="eastAsia" w:ascii="宋体" w:hAnsi="宋体" w:cs="宋体"/>
                <w:kern w:val="0"/>
                <w:sz w:val="20"/>
                <w:szCs w:val="20"/>
              </w:rPr>
              <w:t>2</w:t>
            </w:r>
          </w:p>
        </w:tc>
      </w:tr>
      <w:tr w14:paraId="40E03DEC">
        <w:tblPrEx>
          <w:tblCellMar>
            <w:top w:w="0" w:type="dxa"/>
            <w:left w:w="108" w:type="dxa"/>
            <w:bottom w:w="0" w:type="dxa"/>
            <w:right w:w="108" w:type="dxa"/>
          </w:tblCellMar>
        </w:tblPrEx>
        <w:trPr>
          <w:trHeight w:val="234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658ECA39">
            <w:pPr>
              <w:widowControl/>
              <w:jc w:val="center"/>
              <w:rPr>
                <w:rFonts w:hint="eastAsia" w:ascii="宋体" w:hAnsi="宋体" w:cs="宋体"/>
                <w:kern w:val="0"/>
                <w:sz w:val="20"/>
                <w:szCs w:val="20"/>
              </w:rPr>
            </w:pPr>
            <w:r>
              <w:rPr>
                <w:rFonts w:hint="eastAsia" w:ascii="宋体" w:hAnsi="宋体" w:cs="宋体"/>
                <w:kern w:val="0"/>
                <w:sz w:val="20"/>
                <w:szCs w:val="20"/>
              </w:rPr>
              <w:t>45</w:t>
            </w:r>
          </w:p>
        </w:tc>
        <w:tc>
          <w:tcPr>
            <w:tcW w:w="1325" w:type="dxa"/>
            <w:tcBorders>
              <w:top w:val="nil"/>
              <w:left w:val="nil"/>
              <w:bottom w:val="single" w:color="auto" w:sz="4" w:space="0"/>
              <w:right w:val="single" w:color="auto" w:sz="4" w:space="0"/>
            </w:tcBorders>
            <w:shd w:val="clear" w:color="auto" w:fill="auto"/>
            <w:vAlign w:val="center"/>
          </w:tcPr>
          <w:p w14:paraId="3685794D">
            <w:pPr>
              <w:widowControl/>
              <w:jc w:val="left"/>
              <w:rPr>
                <w:rFonts w:hint="eastAsia" w:ascii="宋体" w:hAnsi="宋体" w:cs="宋体"/>
                <w:kern w:val="0"/>
                <w:sz w:val="20"/>
                <w:szCs w:val="20"/>
              </w:rPr>
            </w:pPr>
            <w:r>
              <w:rPr>
                <w:rFonts w:hint="eastAsia" w:ascii="宋体" w:hAnsi="宋体" w:cs="宋体"/>
                <w:kern w:val="0"/>
                <w:sz w:val="20"/>
                <w:szCs w:val="20"/>
              </w:rPr>
              <w:t>线材</w:t>
            </w:r>
          </w:p>
        </w:tc>
        <w:tc>
          <w:tcPr>
            <w:tcW w:w="3515" w:type="dxa"/>
            <w:tcBorders>
              <w:top w:val="nil"/>
              <w:left w:val="nil"/>
              <w:bottom w:val="single" w:color="auto" w:sz="4" w:space="0"/>
              <w:right w:val="single" w:color="auto" w:sz="4" w:space="0"/>
            </w:tcBorders>
            <w:shd w:val="clear" w:color="auto" w:fill="auto"/>
            <w:vAlign w:val="center"/>
          </w:tcPr>
          <w:p w14:paraId="07DAFB1A">
            <w:pPr>
              <w:widowControl/>
              <w:jc w:val="left"/>
              <w:rPr>
                <w:rFonts w:hint="eastAsia" w:ascii="宋体" w:hAnsi="宋体" w:cs="宋体"/>
                <w:kern w:val="0"/>
                <w:sz w:val="20"/>
                <w:szCs w:val="20"/>
              </w:rPr>
            </w:pPr>
            <w:r>
              <w:rPr>
                <w:rFonts w:hint="eastAsia" w:ascii="宋体" w:hAnsi="宋体" w:cs="宋体"/>
                <w:kern w:val="0"/>
                <w:sz w:val="20"/>
                <w:szCs w:val="20"/>
              </w:rPr>
              <w:t>1.音响线</w:t>
            </w:r>
            <w:r>
              <w:rPr>
                <w:rFonts w:hint="eastAsia" w:ascii="宋体" w:hAnsi="宋体" w:cs="宋体"/>
                <w:kern w:val="0"/>
                <w:sz w:val="20"/>
                <w:szCs w:val="20"/>
              </w:rPr>
              <w:br w:type="textWrapping"/>
            </w:r>
            <w:r>
              <w:rPr>
                <w:rFonts w:hint="eastAsia" w:ascii="宋体" w:hAnsi="宋体" w:cs="宋体"/>
                <w:kern w:val="0"/>
                <w:sz w:val="20"/>
                <w:szCs w:val="20"/>
              </w:rPr>
              <w:t>2.线径：10.0mm</w:t>
            </w:r>
            <w:r>
              <w:rPr>
                <w:rFonts w:hint="eastAsia" w:ascii="宋体" w:hAnsi="宋体" w:cs="宋体"/>
                <w:kern w:val="0"/>
                <w:sz w:val="20"/>
                <w:szCs w:val="20"/>
              </w:rPr>
              <w:br w:type="textWrapping"/>
            </w:r>
            <w:r>
              <w:rPr>
                <w:rFonts w:hint="eastAsia" w:ascii="宋体" w:hAnsi="宋体" w:cs="宋体"/>
                <w:kern w:val="0"/>
                <w:sz w:val="20"/>
                <w:szCs w:val="20"/>
              </w:rPr>
              <w:t>3.芯数：2*307铜芯</w:t>
            </w:r>
            <w:r>
              <w:rPr>
                <w:rFonts w:hint="eastAsia" w:ascii="宋体" w:hAnsi="宋体" w:cs="宋体"/>
                <w:kern w:val="0"/>
                <w:sz w:val="20"/>
                <w:szCs w:val="20"/>
              </w:rPr>
              <w:br w:type="textWrapping"/>
            </w:r>
            <w:r>
              <w:rPr>
                <w:rFonts w:hint="eastAsia" w:ascii="宋体" w:hAnsi="宋体" w:cs="宋体"/>
                <w:kern w:val="0"/>
                <w:sz w:val="20"/>
                <w:szCs w:val="20"/>
              </w:rPr>
              <w:t>4.平方数：2*2.5</w:t>
            </w:r>
            <w:r>
              <w:rPr>
                <w:rFonts w:hint="eastAsia" w:ascii="宋体" w:hAnsi="宋体" w:cs="宋体"/>
                <w:kern w:val="0"/>
                <w:sz w:val="20"/>
                <w:szCs w:val="20"/>
              </w:rPr>
              <w:br w:type="textWrapping"/>
            </w:r>
            <w:r>
              <w:rPr>
                <w:rFonts w:hint="eastAsia" w:ascii="宋体" w:hAnsi="宋体" w:cs="宋体"/>
                <w:kern w:val="0"/>
                <w:sz w:val="20"/>
                <w:szCs w:val="20"/>
              </w:rPr>
              <w:t xml:space="preserve">5.绝缘层:PVC </w:t>
            </w:r>
            <w:r>
              <w:rPr>
                <w:rFonts w:hint="eastAsia" w:ascii="宋体" w:hAnsi="宋体" w:cs="宋体"/>
                <w:kern w:val="0"/>
                <w:sz w:val="20"/>
                <w:szCs w:val="20"/>
              </w:rPr>
              <w:br w:type="textWrapping"/>
            </w:r>
            <w:r>
              <w:rPr>
                <w:rFonts w:hint="eastAsia" w:ascii="宋体" w:hAnsi="宋体" w:cs="宋体"/>
                <w:kern w:val="0"/>
                <w:sz w:val="20"/>
                <w:szCs w:val="20"/>
              </w:rPr>
              <w:t xml:space="preserve">6.外被:耐磨 PVC </w:t>
            </w:r>
            <w:r>
              <w:rPr>
                <w:rFonts w:hint="eastAsia" w:ascii="宋体" w:hAnsi="宋体" w:cs="宋体"/>
                <w:kern w:val="0"/>
                <w:sz w:val="20"/>
                <w:szCs w:val="20"/>
              </w:rPr>
              <w:br w:type="textWrapping"/>
            </w:r>
            <w:r>
              <w:rPr>
                <w:rFonts w:hint="eastAsia" w:ascii="宋体" w:hAnsi="宋体" w:cs="宋体"/>
                <w:kern w:val="0"/>
                <w:sz w:val="20"/>
                <w:szCs w:val="20"/>
              </w:rPr>
              <w:t>7.导体: 精选铜</w:t>
            </w:r>
            <w:r>
              <w:rPr>
                <w:rFonts w:hint="eastAsia" w:ascii="宋体" w:hAnsi="宋体" w:cs="宋体"/>
                <w:kern w:val="0"/>
                <w:sz w:val="20"/>
                <w:szCs w:val="20"/>
              </w:rPr>
              <w:br w:type="textWrapping"/>
            </w:r>
            <w:r>
              <w:rPr>
                <w:rFonts w:hint="eastAsia" w:ascii="宋体" w:hAnsi="宋体" w:cs="宋体"/>
                <w:kern w:val="0"/>
                <w:sz w:val="20"/>
                <w:szCs w:val="20"/>
              </w:rPr>
              <w:t>8.颜色：黑色</w:t>
            </w:r>
            <w:r>
              <w:rPr>
                <w:rFonts w:hint="eastAsia" w:ascii="宋体" w:hAnsi="宋体" w:cs="宋体"/>
                <w:kern w:val="0"/>
                <w:sz w:val="20"/>
                <w:szCs w:val="20"/>
              </w:rPr>
              <w:br w:type="textWrapping"/>
            </w:r>
            <w:r>
              <w:rPr>
                <w:rFonts w:hint="eastAsia" w:ascii="宋体" w:hAnsi="宋体" w:cs="宋体"/>
                <w:kern w:val="0"/>
                <w:sz w:val="20"/>
                <w:szCs w:val="20"/>
              </w:rPr>
              <w:t>9.100米/卷</w:t>
            </w:r>
          </w:p>
        </w:tc>
        <w:tc>
          <w:tcPr>
            <w:tcW w:w="981" w:type="dxa"/>
            <w:tcBorders>
              <w:top w:val="nil"/>
              <w:left w:val="nil"/>
              <w:bottom w:val="single" w:color="auto" w:sz="4" w:space="0"/>
              <w:right w:val="single" w:color="auto" w:sz="4" w:space="0"/>
            </w:tcBorders>
            <w:shd w:val="clear" w:color="auto" w:fill="auto"/>
            <w:vAlign w:val="center"/>
          </w:tcPr>
          <w:p w14:paraId="705E24DF">
            <w:pPr>
              <w:widowControl/>
              <w:jc w:val="center"/>
              <w:rPr>
                <w:rFonts w:hint="eastAsia" w:ascii="宋体" w:hAnsi="宋体" w:cs="宋体"/>
                <w:kern w:val="0"/>
                <w:sz w:val="20"/>
                <w:szCs w:val="20"/>
              </w:rPr>
            </w:pPr>
            <w:r>
              <w:rPr>
                <w:rFonts w:hint="eastAsia" w:ascii="宋体" w:hAnsi="宋体" w:cs="宋体"/>
                <w:kern w:val="0"/>
                <w:sz w:val="20"/>
                <w:szCs w:val="20"/>
              </w:rPr>
              <w:t>卷</w:t>
            </w:r>
          </w:p>
        </w:tc>
        <w:tc>
          <w:tcPr>
            <w:tcW w:w="1177" w:type="dxa"/>
            <w:tcBorders>
              <w:top w:val="nil"/>
              <w:left w:val="nil"/>
              <w:bottom w:val="single" w:color="auto" w:sz="4" w:space="0"/>
              <w:right w:val="single" w:color="auto" w:sz="4" w:space="0"/>
            </w:tcBorders>
            <w:shd w:val="clear" w:color="auto" w:fill="auto"/>
            <w:noWrap/>
            <w:vAlign w:val="center"/>
          </w:tcPr>
          <w:p w14:paraId="1063E7DE">
            <w:pPr>
              <w:widowControl/>
              <w:jc w:val="center"/>
              <w:rPr>
                <w:rFonts w:hint="eastAsia" w:ascii="宋体" w:hAnsi="宋体" w:cs="宋体"/>
                <w:kern w:val="0"/>
                <w:sz w:val="20"/>
                <w:szCs w:val="20"/>
              </w:rPr>
            </w:pPr>
            <w:r>
              <w:rPr>
                <w:rFonts w:hint="eastAsia" w:ascii="宋体" w:hAnsi="宋体" w:cs="宋体"/>
                <w:kern w:val="0"/>
                <w:sz w:val="20"/>
                <w:szCs w:val="20"/>
              </w:rPr>
              <w:t>3</w:t>
            </w:r>
          </w:p>
        </w:tc>
      </w:tr>
      <w:tr w14:paraId="310B1C7D">
        <w:tblPrEx>
          <w:tblCellMar>
            <w:top w:w="0" w:type="dxa"/>
            <w:left w:w="108" w:type="dxa"/>
            <w:bottom w:w="0" w:type="dxa"/>
            <w:right w:w="108" w:type="dxa"/>
          </w:tblCellMar>
        </w:tblPrEx>
        <w:trPr>
          <w:trHeight w:val="28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7A1C8A56">
            <w:pPr>
              <w:widowControl/>
              <w:jc w:val="center"/>
              <w:rPr>
                <w:rFonts w:hint="eastAsia" w:ascii="宋体" w:hAnsi="宋体" w:cs="宋体"/>
                <w:kern w:val="0"/>
                <w:sz w:val="20"/>
                <w:szCs w:val="20"/>
              </w:rPr>
            </w:pPr>
            <w:r>
              <w:rPr>
                <w:rFonts w:hint="eastAsia" w:ascii="宋体" w:hAnsi="宋体" w:cs="宋体"/>
                <w:kern w:val="0"/>
                <w:sz w:val="20"/>
                <w:szCs w:val="20"/>
              </w:rPr>
              <w:t>46</w:t>
            </w:r>
          </w:p>
        </w:tc>
        <w:tc>
          <w:tcPr>
            <w:tcW w:w="1325" w:type="dxa"/>
            <w:tcBorders>
              <w:top w:val="nil"/>
              <w:left w:val="nil"/>
              <w:bottom w:val="single" w:color="auto" w:sz="4" w:space="0"/>
              <w:right w:val="single" w:color="auto" w:sz="4" w:space="0"/>
            </w:tcBorders>
            <w:shd w:val="clear" w:color="auto" w:fill="auto"/>
            <w:vAlign w:val="center"/>
          </w:tcPr>
          <w:p w14:paraId="163C5C44">
            <w:pPr>
              <w:widowControl/>
              <w:jc w:val="left"/>
              <w:rPr>
                <w:rFonts w:hint="eastAsia" w:ascii="宋体" w:hAnsi="宋体" w:cs="宋体"/>
                <w:kern w:val="0"/>
                <w:sz w:val="20"/>
                <w:szCs w:val="20"/>
              </w:rPr>
            </w:pPr>
            <w:r>
              <w:rPr>
                <w:rFonts w:hint="eastAsia" w:ascii="宋体" w:hAnsi="宋体" w:cs="宋体"/>
                <w:kern w:val="0"/>
                <w:sz w:val="20"/>
                <w:szCs w:val="20"/>
              </w:rPr>
              <w:t>线材</w:t>
            </w:r>
          </w:p>
        </w:tc>
        <w:tc>
          <w:tcPr>
            <w:tcW w:w="3515" w:type="dxa"/>
            <w:tcBorders>
              <w:top w:val="nil"/>
              <w:left w:val="nil"/>
              <w:bottom w:val="single" w:color="auto" w:sz="4" w:space="0"/>
              <w:right w:val="single" w:color="auto" w:sz="4" w:space="0"/>
            </w:tcBorders>
            <w:shd w:val="clear" w:color="auto" w:fill="auto"/>
            <w:vAlign w:val="center"/>
          </w:tcPr>
          <w:p w14:paraId="76A8B6F8">
            <w:pPr>
              <w:widowControl/>
              <w:jc w:val="left"/>
              <w:rPr>
                <w:rFonts w:hint="eastAsia" w:ascii="宋体" w:hAnsi="宋体" w:cs="宋体"/>
                <w:kern w:val="0"/>
                <w:sz w:val="20"/>
                <w:szCs w:val="20"/>
              </w:rPr>
            </w:pPr>
            <w:r>
              <w:rPr>
                <w:rFonts w:hint="eastAsia" w:ascii="宋体" w:hAnsi="宋体" w:cs="宋体"/>
                <w:kern w:val="0"/>
                <w:sz w:val="20"/>
                <w:szCs w:val="20"/>
              </w:rPr>
              <w:t>铜芯护套线RVV3*2.5，200米/卷</w:t>
            </w:r>
          </w:p>
        </w:tc>
        <w:tc>
          <w:tcPr>
            <w:tcW w:w="981" w:type="dxa"/>
            <w:tcBorders>
              <w:top w:val="nil"/>
              <w:left w:val="nil"/>
              <w:bottom w:val="single" w:color="auto" w:sz="4" w:space="0"/>
              <w:right w:val="single" w:color="auto" w:sz="4" w:space="0"/>
            </w:tcBorders>
            <w:shd w:val="clear" w:color="auto" w:fill="auto"/>
            <w:vAlign w:val="center"/>
          </w:tcPr>
          <w:p w14:paraId="51DBFB83">
            <w:pPr>
              <w:widowControl/>
              <w:jc w:val="center"/>
              <w:rPr>
                <w:rFonts w:hint="eastAsia" w:ascii="宋体" w:hAnsi="宋体" w:cs="宋体"/>
                <w:kern w:val="0"/>
                <w:sz w:val="20"/>
                <w:szCs w:val="20"/>
              </w:rPr>
            </w:pPr>
            <w:r>
              <w:rPr>
                <w:rFonts w:hint="eastAsia" w:ascii="宋体" w:hAnsi="宋体" w:cs="宋体"/>
                <w:kern w:val="0"/>
                <w:sz w:val="20"/>
                <w:szCs w:val="20"/>
              </w:rPr>
              <w:t>卷</w:t>
            </w:r>
          </w:p>
        </w:tc>
        <w:tc>
          <w:tcPr>
            <w:tcW w:w="1177" w:type="dxa"/>
            <w:tcBorders>
              <w:top w:val="nil"/>
              <w:left w:val="nil"/>
              <w:bottom w:val="single" w:color="auto" w:sz="4" w:space="0"/>
              <w:right w:val="single" w:color="auto" w:sz="4" w:space="0"/>
            </w:tcBorders>
            <w:shd w:val="clear" w:color="auto" w:fill="auto"/>
            <w:vAlign w:val="center"/>
          </w:tcPr>
          <w:p w14:paraId="694AB056">
            <w:pPr>
              <w:widowControl/>
              <w:jc w:val="center"/>
              <w:rPr>
                <w:rFonts w:hint="eastAsia" w:ascii="宋体" w:hAnsi="宋体" w:cs="宋体"/>
                <w:kern w:val="0"/>
                <w:sz w:val="20"/>
                <w:szCs w:val="20"/>
              </w:rPr>
            </w:pPr>
            <w:r>
              <w:rPr>
                <w:rFonts w:hint="eastAsia" w:ascii="宋体" w:hAnsi="宋体" w:cs="宋体"/>
                <w:kern w:val="0"/>
                <w:sz w:val="20"/>
                <w:szCs w:val="20"/>
              </w:rPr>
              <w:t>4</w:t>
            </w:r>
          </w:p>
        </w:tc>
      </w:tr>
      <w:tr w14:paraId="6731115D">
        <w:tblPrEx>
          <w:tblCellMar>
            <w:top w:w="0" w:type="dxa"/>
            <w:left w:w="108" w:type="dxa"/>
            <w:bottom w:w="0" w:type="dxa"/>
            <w:right w:w="108" w:type="dxa"/>
          </w:tblCellMar>
        </w:tblPrEx>
        <w:trPr>
          <w:trHeight w:val="28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64AFF475">
            <w:pPr>
              <w:widowControl/>
              <w:jc w:val="center"/>
              <w:rPr>
                <w:rFonts w:hint="eastAsia" w:ascii="宋体" w:hAnsi="宋体" w:cs="宋体"/>
                <w:kern w:val="0"/>
                <w:sz w:val="20"/>
                <w:szCs w:val="20"/>
              </w:rPr>
            </w:pPr>
            <w:r>
              <w:rPr>
                <w:rFonts w:hint="eastAsia" w:ascii="宋体" w:hAnsi="宋体" w:cs="宋体"/>
                <w:kern w:val="0"/>
                <w:sz w:val="20"/>
                <w:szCs w:val="20"/>
              </w:rPr>
              <w:t>47</w:t>
            </w:r>
          </w:p>
        </w:tc>
        <w:tc>
          <w:tcPr>
            <w:tcW w:w="1325" w:type="dxa"/>
            <w:tcBorders>
              <w:top w:val="nil"/>
              <w:left w:val="nil"/>
              <w:bottom w:val="single" w:color="auto" w:sz="4" w:space="0"/>
              <w:right w:val="single" w:color="auto" w:sz="4" w:space="0"/>
            </w:tcBorders>
            <w:shd w:val="clear" w:color="auto" w:fill="auto"/>
            <w:vAlign w:val="center"/>
          </w:tcPr>
          <w:p w14:paraId="2E1FFC3B">
            <w:pPr>
              <w:widowControl/>
              <w:jc w:val="left"/>
              <w:rPr>
                <w:rFonts w:hint="eastAsia" w:ascii="宋体" w:hAnsi="宋体" w:cs="宋体"/>
                <w:kern w:val="0"/>
                <w:sz w:val="20"/>
                <w:szCs w:val="20"/>
              </w:rPr>
            </w:pPr>
            <w:r>
              <w:rPr>
                <w:rFonts w:hint="eastAsia" w:ascii="宋体" w:hAnsi="宋体" w:cs="宋体"/>
                <w:kern w:val="0"/>
                <w:sz w:val="20"/>
                <w:szCs w:val="20"/>
              </w:rPr>
              <w:t>线材</w:t>
            </w:r>
          </w:p>
        </w:tc>
        <w:tc>
          <w:tcPr>
            <w:tcW w:w="3515" w:type="dxa"/>
            <w:tcBorders>
              <w:top w:val="nil"/>
              <w:left w:val="nil"/>
              <w:bottom w:val="single" w:color="auto" w:sz="4" w:space="0"/>
              <w:right w:val="single" w:color="auto" w:sz="4" w:space="0"/>
            </w:tcBorders>
            <w:shd w:val="clear" w:color="auto" w:fill="auto"/>
            <w:vAlign w:val="center"/>
          </w:tcPr>
          <w:p w14:paraId="52FC3DE8">
            <w:pPr>
              <w:widowControl/>
              <w:jc w:val="left"/>
              <w:rPr>
                <w:rFonts w:hint="eastAsia" w:ascii="宋体" w:hAnsi="宋体" w:cs="宋体"/>
                <w:kern w:val="0"/>
                <w:sz w:val="20"/>
                <w:szCs w:val="20"/>
              </w:rPr>
            </w:pPr>
            <w:r>
              <w:rPr>
                <w:rFonts w:hint="eastAsia" w:ascii="宋体" w:hAnsi="宋体" w:cs="宋体"/>
                <w:kern w:val="0"/>
                <w:sz w:val="20"/>
                <w:szCs w:val="20"/>
              </w:rPr>
              <w:t>六类屏蔽网线，300米/卷</w:t>
            </w:r>
          </w:p>
        </w:tc>
        <w:tc>
          <w:tcPr>
            <w:tcW w:w="981" w:type="dxa"/>
            <w:tcBorders>
              <w:top w:val="nil"/>
              <w:left w:val="nil"/>
              <w:bottom w:val="single" w:color="auto" w:sz="4" w:space="0"/>
              <w:right w:val="single" w:color="auto" w:sz="4" w:space="0"/>
            </w:tcBorders>
            <w:shd w:val="clear" w:color="auto" w:fill="auto"/>
            <w:vAlign w:val="center"/>
          </w:tcPr>
          <w:p w14:paraId="721A4EE4">
            <w:pPr>
              <w:widowControl/>
              <w:jc w:val="center"/>
              <w:rPr>
                <w:rFonts w:hint="eastAsia" w:ascii="宋体" w:hAnsi="宋体" w:cs="宋体"/>
                <w:kern w:val="0"/>
                <w:sz w:val="20"/>
                <w:szCs w:val="20"/>
              </w:rPr>
            </w:pPr>
            <w:r>
              <w:rPr>
                <w:rFonts w:hint="eastAsia" w:ascii="宋体" w:hAnsi="宋体" w:cs="宋体"/>
                <w:kern w:val="0"/>
                <w:sz w:val="20"/>
                <w:szCs w:val="20"/>
              </w:rPr>
              <w:t>卷</w:t>
            </w:r>
          </w:p>
        </w:tc>
        <w:tc>
          <w:tcPr>
            <w:tcW w:w="1177" w:type="dxa"/>
            <w:tcBorders>
              <w:top w:val="nil"/>
              <w:left w:val="nil"/>
              <w:bottom w:val="single" w:color="auto" w:sz="4" w:space="0"/>
              <w:right w:val="single" w:color="auto" w:sz="4" w:space="0"/>
            </w:tcBorders>
            <w:shd w:val="clear" w:color="auto" w:fill="auto"/>
            <w:vAlign w:val="center"/>
          </w:tcPr>
          <w:p w14:paraId="65020D24">
            <w:pPr>
              <w:widowControl/>
              <w:jc w:val="center"/>
              <w:rPr>
                <w:rFonts w:hint="eastAsia" w:ascii="宋体" w:hAnsi="宋体" w:cs="宋体"/>
                <w:kern w:val="0"/>
                <w:sz w:val="20"/>
                <w:szCs w:val="20"/>
              </w:rPr>
            </w:pPr>
            <w:r>
              <w:rPr>
                <w:rFonts w:hint="eastAsia" w:ascii="宋体" w:hAnsi="宋体" w:cs="宋体"/>
                <w:kern w:val="0"/>
                <w:sz w:val="20"/>
                <w:szCs w:val="20"/>
              </w:rPr>
              <w:t>4</w:t>
            </w:r>
          </w:p>
        </w:tc>
      </w:tr>
      <w:tr w14:paraId="5A487F0A">
        <w:tblPrEx>
          <w:tblCellMar>
            <w:top w:w="0" w:type="dxa"/>
            <w:left w:w="108" w:type="dxa"/>
            <w:bottom w:w="0" w:type="dxa"/>
            <w:right w:w="108" w:type="dxa"/>
          </w:tblCellMar>
        </w:tblPrEx>
        <w:trPr>
          <w:trHeight w:val="28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727C7817">
            <w:pPr>
              <w:widowControl/>
              <w:jc w:val="center"/>
              <w:rPr>
                <w:rFonts w:hint="eastAsia" w:ascii="宋体" w:hAnsi="宋体" w:cs="宋体"/>
                <w:kern w:val="0"/>
                <w:sz w:val="20"/>
                <w:szCs w:val="20"/>
              </w:rPr>
            </w:pPr>
            <w:r>
              <w:rPr>
                <w:rFonts w:hint="eastAsia" w:ascii="宋体" w:hAnsi="宋体" w:cs="宋体"/>
                <w:kern w:val="0"/>
                <w:sz w:val="20"/>
                <w:szCs w:val="20"/>
              </w:rPr>
              <w:t>48</w:t>
            </w:r>
          </w:p>
        </w:tc>
        <w:tc>
          <w:tcPr>
            <w:tcW w:w="1325" w:type="dxa"/>
            <w:tcBorders>
              <w:top w:val="nil"/>
              <w:left w:val="nil"/>
              <w:bottom w:val="single" w:color="auto" w:sz="4" w:space="0"/>
              <w:right w:val="single" w:color="auto" w:sz="4" w:space="0"/>
            </w:tcBorders>
            <w:shd w:val="clear" w:color="auto" w:fill="auto"/>
            <w:vAlign w:val="center"/>
          </w:tcPr>
          <w:p w14:paraId="1EA87F4B">
            <w:pPr>
              <w:widowControl/>
              <w:jc w:val="left"/>
              <w:rPr>
                <w:rFonts w:hint="eastAsia" w:ascii="宋体" w:hAnsi="宋体" w:cs="宋体"/>
                <w:kern w:val="0"/>
                <w:sz w:val="20"/>
                <w:szCs w:val="20"/>
              </w:rPr>
            </w:pPr>
            <w:r>
              <w:rPr>
                <w:rFonts w:hint="eastAsia" w:ascii="宋体" w:hAnsi="宋体" w:cs="宋体"/>
                <w:kern w:val="0"/>
                <w:sz w:val="20"/>
                <w:szCs w:val="20"/>
              </w:rPr>
              <w:t>水晶头</w:t>
            </w:r>
          </w:p>
        </w:tc>
        <w:tc>
          <w:tcPr>
            <w:tcW w:w="3515" w:type="dxa"/>
            <w:tcBorders>
              <w:top w:val="nil"/>
              <w:left w:val="nil"/>
              <w:bottom w:val="single" w:color="auto" w:sz="4" w:space="0"/>
              <w:right w:val="single" w:color="auto" w:sz="4" w:space="0"/>
            </w:tcBorders>
            <w:shd w:val="clear" w:color="auto" w:fill="auto"/>
            <w:vAlign w:val="center"/>
          </w:tcPr>
          <w:p w14:paraId="149EB9D8">
            <w:pPr>
              <w:widowControl/>
              <w:jc w:val="left"/>
              <w:rPr>
                <w:rFonts w:hint="eastAsia" w:ascii="宋体" w:hAnsi="宋体" w:cs="宋体"/>
                <w:kern w:val="0"/>
                <w:sz w:val="20"/>
                <w:szCs w:val="20"/>
              </w:rPr>
            </w:pPr>
            <w:r>
              <w:rPr>
                <w:rFonts w:hint="eastAsia" w:ascii="宋体" w:hAnsi="宋体" w:cs="宋体"/>
                <w:kern w:val="0"/>
                <w:sz w:val="20"/>
                <w:szCs w:val="20"/>
              </w:rPr>
              <w:t>六类水晶头，100个一盒</w:t>
            </w:r>
          </w:p>
        </w:tc>
        <w:tc>
          <w:tcPr>
            <w:tcW w:w="981" w:type="dxa"/>
            <w:tcBorders>
              <w:top w:val="nil"/>
              <w:left w:val="nil"/>
              <w:bottom w:val="single" w:color="auto" w:sz="4" w:space="0"/>
              <w:right w:val="single" w:color="auto" w:sz="4" w:space="0"/>
            </w:tcBorders>
            <w:shd w:val="clear" w:color="auto" w:fill="auto"/>
            <w:noWrap/>
            <w:vAlign w:val="center"/>
          </w:tcPr>
          <w:p w14:paraId="25F61643">
            <w:pPr>
              <w:widowControl/>
              <w:jc w:val="center"/>
              <w:rPr>
                <w:rFonts w:hint="eastAsia" w:ascii="宋体" w:hAnsi="宋体" w:cs="宋体"/>
                <w:kern w:val="0"/>
                <w:sz w:val="20"/>
                <w:szCs w:val="20"/>
              </w:rPr>
            </w:pPr>
            <w:r>
              <w:rPr>
                <w:rFonts w:hint="eastAsia" w:ascii="宋体" w:hAnsi="宋体" w:cs="宋体"/>
                <w:kern w:val="0"/>
                <w:sz w:val="20"/>
                <w:szCs w:val="20"/>
              </w:rPr>
              <w:t>盒</w:t>
            </w:r>
          </w:p>
        </w:tc>
        <w:tc>
          <w:tcPr>
            <w:tcW w:w="1177" w:type="dxa"/>
            <w:tcBorders>
              <w:top w:val="nil"/>
              <w:left w:val="nil"/>
              <w:bottom w:val="single" w:color="auto" w:sz="4" w:space="0"/>
              <w:right w:val="single" w:color="auto" w:sz="4" w:space="0"/>
            </w:tcBorders>
            <w:shd w:val="clear" w:color="auto" w:fill="auto"/>
            <w:vAlign w:val="center"/>
          </w:tcPr>
          <w:p w14:paraId="519BE384">
            <w:pPr>
              <w:widowControl/>
              <w:jc w:val="center"/>
              <w:rPr>
                <w:rFonts w:hint="eastAsia" w:ascii="宋体" w:hAnsi="宋体" w:cs="宋体"/>
                <w:kern w:val="0"/>
                <w:sz w:val="20"/>
                <w:szCs w:val="20"/>
              </w:rPr>
            </w:pPr>
            <w:r>
              <w:rPr>
                <w:rFonts w:hint="eastAsia" w:ascii="宋体" w:hAnsi="宋体" w:cs="宋体"/>
                <w:kern w:val="0"/>
                <w:sz w:val="20"/>
                <w:szCs w:val="20"/>
              </w:rPr>
              <w:t>1</w:t>
            </w:r>
          </w:p>
        </w:tc>
      </w:tr>
      <w:tr w14:paraId="2D2A3232">
        <w:tblPrEx>
          <w:tblCellMar>
            <w:top w:w="0" w:type="dxa"/>
            <w:left w:w="108" w:type="dxa"/>
            <w:bottom w:w="0" w:type="dxa"/>
            <w:right w:w="108" w:type="dxa"/>
          </w:tblCellMar>
        </w:tblPrEx>
        <w:trPr>
          <w:trHeight w:val="28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5DFE9FFD">
            <w:pPr>
              <w:widowControl/>
              <w:jc w:val="center"/>
              <w:rPr>
                <w:rFonts w:hint="eastAsia" w:ascii="宋体" w:hAnsi="宋体" w:cs="宋体"/>
                <w:kern w:val="0"/>
                <w:sz w:val="20"/>
                <w:szCs w:val="20"/>
              </w:rPr>
            </w:pPr>
            <w:r>
              <w:rPr>
                <w:rFonts w:hint="eastAsia" w:ascii="宋体" w:hAnsi="宋体" w:cs="宋体"/>
                <w:kern w:val="0"/>
                <w:sz w:val="20"/>
                <w:szCs w:val="20"/>
              </w:rPr>
              <w:t>49</w:t>
            </w:r>
          </w:p>
        </w:tc>
        <w:tc>
          <w:tcPr>
            <w:tcW w:w="1325" w:type="dxa"/>
            <w:tcBorders>
              <w:top w:val="nil"/>
              <w:left w:val="nil"/>
              <w:bottom w:val="single" w:color="auto" w:sz="4" w:space="0"/>
              <w:right w:val="single" w:color="auto" w:sz="4" w:space="0"/>
            </w:tcBorders>
            <w:shd w:val="clear" w:color="auto" w:fill="auto"/>
            <w:vAlign w:val="center"/>
          </w:tcPr>
          <w:p w14:paraId="08313349">
            <w:pPr>
              <w:widowControl/>
              <w:jc w:val="left"/>
              <w:rPr>
                <w:rFonts w:hint="eastAsia" w:ascii="宋体" w:hAnsi="宋体" w:cs="宋体"/>
                <w:kern w:val="0"/>
                <w:sz w:val="20"/>
                <w:szCs w:val="20"/>
              </w:rPr>
            </w:pPr>
            <w:r>
              <w:rPr>
                <w:rFonts w:hint="eastAsia" w:ascii="宋体" w:hAnsi="宋体" w:cs="宋体"/>
                <w:kern w:val="0"/>
                <w:sz w:val="20"/>
                <w:szCs w:val="20"/>
              </w:rPr>
              <w:t>镀锌钢管</w:t>
            </w:r>
          </w:p>
        </w:tc>
        <w:tc>
          <w:tcPr>
            <w:tcW w:w="3515" w:type="dxa"/>
            <w:tcBorders>
              <w:top w:val="nil"/>
              <w:left w:val="nil"/>
              <w:bottom w:val="single" w:color="auto" w:sz="4" w:space="0"/>
              <w:right w:val="single" w:color="auto" w:sz="4" w:space="0"/>
            </w:tcBorders>
            <w:shd w:val="clear" w:color="auto" w:fill="auto"/>
            <w:vAlign w:val="center"/>
          </w:tcPr>
          <w:p w14:paraId="462AF86E">
            <w:pPr>
              <w:widowControl/>
              <w:jc w:val="left"/>
              <w:rPr>
                <w:rFonts w:hint="eastAsia" w:ascii="宋体" w:hAnsi="宋体" w:cs="宋体"/>
                <w:kern w:val="0"/>
                <w:sz w:val="20"/>
                <w:szCs w:val="20"/>
              </w:rPr>
            </w:pPr>
            <w:r>
              <w:rPr>
                <w:rFonts w:hint="eastAsia" w:ascii="宋体" w:hAnsi="宋体" w:cs="宋体"/>
                <w:kern w:val="0"/>
                <w:sz w:val="20"/>
                <w:szCs w:val="20"/>
              </w:rPr>
              <w:t>DN=32mm，厚度：2.5mm，每支钢管通常定尺长度为6000mm</w:t>
            </w:r>
          </w:p>
        </w:tc>
        <w:tc>
          <w:tcPr>
            <w:tcW w:w="981" w:type="dxa"/>
            <w:tcBorders>
              <w:top w:val="nil"/>
              <w:left w:val="nil"/>
              <w:bottom w:val="single" w:color="auto" w:sz="4" w:space="0"/>
              <w:right w:val="single" w:color="auto" w:sz="4" w:space="0"/>
            </w:tcBorders>
            <w:shd w:val="clear" w:color="auto" w:fill="auto"/>
            <w:vAlign w:val="center"/>
          </w:tcPr>
          <w:p w14:paraId="6AD5EFA3">
            <w:pPr>
              <w:widowControl/>
              <w:jc w:val="center"/>
              <w:rPr>
                <w:rFonts w:hint="eastAsia" w:ascii="宋体" w:hAnsi="宋体" w:cs="宋体"/>
                <w:kern w:val="0"/>
                <w:sz w:val="20"/>
                <w:szCs w:val="20"/>
              </w:rPr>
            </w:pPr>
            <w:r>
              <w:rPr>
                <w:rFonts w:hint="eastAsia" w:ascii="宋体" w:hAnsi="宋体" w:cs="宋体"/>
                <w:kern w:val="0"/>
                <w:sz w:val="20"/>
                <w:szCs w:val="20"/>
              </w:rPr>
              <w:t>根</w:t>
            </w:r>
          </w:p>
        </w:tc>
        <w:tc>
          <w:tcPr>
            <w:tcW w:w="1177" w:type="dxa"/>
            <w:tcBorders>
              <w:top w:val="nil"/>
              <w:left w:val="nil"/>
              <w:bottom w:val="single" w:color="auto" w:sz="4" w:space="0"/>
              <w:right w:val="single" w:color="auto" w:sz="4" w:space="0"/>
            </w:tcBorders>
            <w:shd w:val="clear" w:color="auto" w:fill="auto"/>
            <w:vAlign w:val="center"/>
          </w:tcPr>
          <w:p w14:paraId="7295AF3B">
            <w:pPr>
              <w:widowControl/>
              <w:jc w:val="center"/>
              <w:rPr>
                <w:rFonts w:hint="eastAsia" w:ascii="宋体" w:hAnsi="宋体" w:cs="宋体"/>
                <w:kern w:val="0"/>
                <w:sz w:val="20"/>
                <w:szCs w:val="20"/>
              </w:rPr>
            </w:pPr>
            <w:r>
              <w:rPr>
                <w:rFonts w:hint="eastAsia" w:ascii="宋体" w:hAnsi="宋体" w:cs="宋体"/>
                <w:kern w:val="0"/>
                <w:sz w:val="20"/>
                <w:szCs w:val="20"/>
              </w:rPr>
              <w:t>50</w:t>
            </w:r>
          </w:p>
        </w:tc>
      </w:tr>
      <w:tr w14:paraId="46A1B11B">
        <w:tblPrEx>
          <w:tblCellMar>
            <w:top w:w="0" w:type="dxa"/>
            <w:left w:w="108" w:type="dxa"/>
            <w:bottom w:w="0" w:type="dxa"/>
            <w:right w:w="108" w:type="dxa"/>
          </w:tblCellMar>
        </w:tblPrEx>
        <w:trPr>
          <w:trHeight w:val="333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610BC9CE">
            <w:pPr>
              <w:widowControl/>
              <w:jc w:val="center"/>
              <w:rPr>
                <w:rFonts w:hint="eastAsia" w:ascii="宋体" w:hAnsi="宋体" w:cs="宋体"/>
                <w:kern w:val="0"/>
                <w:sz w:val="20"/>
                <w:szCs w:val="20"/>
              </w:rPr>
            </w:pPr>
            <w:r>
              <w:rPr>
                <w:rFonts w:hint="eastAsia" w:ascii="宋体" w:hAnsi="宋体" w:cs="宋体"/>
                <w:kern w:val="0"/>
                <w:sz w:val="20"/>
                <w:szCs w:val="20"/>
              </w:rPr>
              <w:t>50</w:t>
            </w:r>
          </w:p>
        </w:tc>
        <w:tc>
          <w:tcPr>
            <w:tcW w:w="1325" w:type="dxa"/>
            <w:tcBorders>
              <w:top w:val="nil"/>
              <w:left w:val="nil"/>
              <w:bottom w:val="single" w:color="auto" w:sz="4" w:space="0"/>
              <w:right w:val="single" w:color="auto" w:sz="4" w:space="0"/>
            </w:tcBorders>
            <w:shd w:val="clear" w:color="auto" w:fill="auto"/>
            <w:vAlign w:val="center"/>
          </w:tcPr>
          <w:p w14:paraId="5DDFE045">
            <w:pPr>
              <w:widowControl/>
              <w:jc w:val="left"/>
              <w:rPr>
                <w:rFonts w:hint="eastAsia" w:ascii="宋体" w:hAnsi="宋体" w:cs="宋体"/>
                <w:kern w:val="0"/>
                <w:sz w:val="20"/>
                <w:szCs w:val="20"/>
              </w:rPr>
            </w:pPr>
            <w:r>
              <w:rPr>
                <w:rFonts w:hint="eastAsia" w:ascii="宋体" w:hAnsi="宋体" w:cs="宋体"/>
                <w:kern w:val="0"/>
                <w:sz w:val="20"/>
                <w:szCs w:val="20"/>
              </w:rPr>
              <w:t>户内全彩LED屏</w:t>
            </w:r>
          </w:p>
        </w:tc>
        <w:tc>
          <w:tcPr>
            <w:tcW w:w="3515" w:type="dxa"/>
            <w:tcBorders>
              <w:top w:val="nil"/>
              <w:left w:val="nil"/>
              <w:bottom w:val="single" w:color="auto" w:sz="4" w:space="0"/>
              <w:right w:val="single" w:color="auto" w:sz="4" w:space="0"/>
            </w:tcBorders>
            <w:shd w:val="clear" w:color="auto" w:fill="auto"/>
            <w:vAlign w:val="center"/>
          </w:tcPr>
          <w:p w14:paraId="38FCA2DC">
            <w:pPr>
              <w:widowControl/>
              <w:numPr>
                <w:ilvl w:val="0"/>
                <w:numId w:val="13"/>
              </w:numPr>
              <w:jc w:val="left"/>
              <w:rPr>
                <w:rFonts w:hint="eastAsia" w:ascii="宋体" w:hAnsi="宋体" w:cs="宋体"/>
                <w:kern w:val="0"/>
                <w:sz w:val="20"/>
                <w:szCs w:val="20"/>
              </w:rPr>
            </w:pPr>
            <w:r>
              <w:rPr>
                <w:rFonts w:hint="eastAsia" w:ascii="宋体" w:hAnsi="宋体" w:cs="宋体"/>
                <w:kern w:val="0"/>
                <w:sz w:val="20"/>
                <w:szCs w:val="20"/>
              </w:rPr>
              <w:t>LED显示屏灯珠采用表贴三合一铜线封装；LED封装形式：SMD1515黑灯；</w:t>
            </w:r>
          </w:p>
          <w:p w14:paraId="6AC970CB">
            <w:pPr>
              <w:widowControl/>
              <w:numPr>
                <w:ilvl w:val="0"/>
                <w:numId w:val="13"/>
              </w:numPr>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LED显示屏采用≤2.0mm点间距；</w:t>
            </w:r>
          </w:p>
          <w:p w14:paraId="2046F00D">
            <w:pPr>
              <w:widowControl/>
              <w:numPr>
                <w:ilvl w:val="0"/>
                <w:numId w:val="13"/>
              </w:numPr>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LED显示屏模组尺寸320mm*160mm；</w:t>
            </w:r>
          </w:p>
          <w:p w14:paraId="394DC3A8">
            <w:pPr>
              <w:widowControl/>
              <w:numPr>
                <w:ilvl w:val="0"/>
                <w:numId w:val="13"/>
              </w:numPr>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LED显示屏采用前/后维护方式，可正面拆卸模组、接收卡、电源等低压器件，具备热插拔能力；</w:t>
            </w:r>
          </w:p>
          <w:p w14:paraId="787B4581">
            <w:pPr>
              <w:widowControl/>
              <w:numPr>
                <w:ilvl w:val="0"/>
                <w:numId w:val="13"/>
              </w:numPr>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LED显示屏符合≥IP5X防护等级；</w:t>
            </w:r>
          </w:p>
          <w:p w14:paraId="53962A5D">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6.LED显示屏亮度可达到200-800CD/m²，可通过配套软件0-100%调节，设置亮度定时调节；</w:t>
            </w:r>
          </w:p>
          <w:p w14:paraId="6A449865">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7.LED显示屏对比度≥10000：1；LED显示屏杂点率≤1/100000且无连续失控点；LED显示屏亮度均匀性≥99%；LED显示色度均匀性±0.001Cx,Cy之内；LED显示屏像素中心距相对偏差≤1%；LED显示屏观看水平/垂直视角≥175°；LED显示屏平均故障恢复时间（MTTR）≤2分钟；</w:t>
            </w:r>
          </w:p>
          <w:p w14:paraId="4FAD6AD0">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8.LED显示屏刷新频率≥4200Hz，可通过配套控制软件调节刷新率设置选项；</w:t>
            </w:r>
          </w:p>
          <w:p w14:paraId="04E5B851">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9.LED显示屏色温100K-20000K连续可调，可设冷色、暖色、标准等多档白场调节,色温为8500K时，100%、75%、50%、25%四档电平白场调节色温误差≤100K；</w:t>
            </w:r>
          </w:p>
          <w:p w14:paraId="7F2D8147">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10.LED显示屏峰值功耗为≤500W/㎡；LED显示屏平均功耗为≤125W/㎡；</w:t>
            </w:r>
          </w:p>
          <w:p w14:paraId="0DBDB85B">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11.LED显示屏，PCB采用FR-4四层板同等级或更高材料，PCB导线更宽、导线间距和过孔间距更大，板厚≥1.6mm，铜厚≥1盎司，TG≥150℃，PCB板，防霉等级≤1级；</w:t>
            </w:r>
          </w:p>
          <w:p w14:paraId="310F3886">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12.LED显示屏依据GB/T 5169.16-2017标准（PCB板、线材、电源、连接件）阻燃等级达到V-0等级；</w:t>
            </w:r>
          </w:p>
          <w:p w14:paraId="6DCEF0D0">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13.LED显示屏依据GB/T 2423.17-2008进行试验，，符合盐雾10级要求；</w:t>
            </w:r>
          </w:p>
          <w:p w14:paraId="7E54C026">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14.LED显示屏符合EMCCLASSB抗干扰能力，要求运行稳定不受外界各射频电磁场的干扰；</w:t>
            </w:r>
          </w:p>
          <w:p w14:paraId="7541BF44">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15.LED显示屏具备低蓝光模式，可在控制软件中选择30%、40%、70%三挡调节显示屏蓝光输出，有效减少蓝光辐射对眼睛的伤害。</w:t>
            </w:r>
          </w:p>
        </w:tc>
        <w:tc>
          <w:tcPr>
            <w:tcW w:w="981" w:type="dxa"/>
            <w:tcBorders>
              <w:top w:val="nil"/>
              <w:left w:val="nil"/>
              <w:bottom w:val="single" w:color="auto" w:sz="4" w:space="0"/>
              <w:right w:val="single" w:color="auto" w:sz="4" w:space="0"/>
            </w:tcBorders>
            <w:shd w:val="clear" w:color="auto" w:fill="auto"/>
            <w:vAlign w:val="center"/>
          </w:tcPr>
          <w:p w14:paraId="76DDD7D9">
            <w:pPr>
              <w:widowControl/>
              <w:jc w:val="center"/>
              <w:rPr>
                <w:rFonts w:hint="eastAsia" w:ascii="宋体" w:hAnsi="宋体" w:cs="宋体"/>
                <w:kern w:val="0"/>
                <w:sz w:val="20"/>
                <w:szCs w:val="20"/>
              </w:rPr>
            </w:pPr>
            <w:r>
              <w:rPr>
                <w:rFonts w:hint="eastAsia" w:ascii="宋体" w:hAnsi="宋体" w:cs="宋体"/>
                <w:kern w:val="0"/>
                <w:sz w:val="20"/>
                <w:szCs w:val="20"/>
              </w:rPr>
              <w:t>平方米</w:t>
            </w:r>
          </w:p>
        </w:tc>
        <w:tc>
          <w:tcPr>
            <w:tcW w:w="1177" w:type="dxa"/>
            <w:tcBorders>
              <w:top w:val="nil"/>
              <w:left w:val="nil"/>
              <w:bottom w:val="single" w:color="auto" w:sz="4" w:space="0"/>
              <w:right w:val="single" w:color="auto" w:sz="4" w:space="0"/>
            </w:tcBorders>
            <w:shd w:val="clear" w:color="auto" w:fill="auto"/>
            <w:vAlign w:val="center"/>
          </w:tcPr>
          <w:p w14:paraId="389AD778">
            <w:pPr>
              <w:widowControl/>
              <w:jc w:val="center"/>
              <w:rPr>
                <w:rFonts w:hint="eastAsia" w:ascii="宋体" w:hAnsi="宋体" w:cs="宋体"/>
                <w:kern w:val="0"/>
                <w:sz w:val="20"/>
                <w:szCs w:val="20"/>
              </w:rPr>
            </w:pPr>
            <w:r>
              <w:rPr>
                <w:rFonts w:hint="eastAsia" w:ascii="宋体" w:hAnsi="宋体" w:cs="宋体"/>
                <w:kern w:val="0"/>
                <w:sz w:val="20"/>
                <w:szCs w:val="20"/>
              </w:rPr>
              <w:t>31.7952</w:t>
            </w:r>
          </w:p>
        </w:tc>
      </w:tr>
      <w:tr w14:paraId="6082FBD9">
        <w:tblPrEx>
          <w:tblCellMar>
            <w:top w:w="0" w:type="dxa"/>
            <w:left w:w="108" w:type="dxa"/>
            <w:bottom w:w="0" w:type="dxa"/>
            <w:right w:w="108" w:type="dxa"/>
          </w:tblCellMar>
        </w:tblPrEx>
        <w:trPr>
          <w:trHeight w:val="1685"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47034BAE">
            <w:pPr>
              <w:widowControl/>
              <w:jc w:val="center"/>
              <w:rPr>
                <w:rFonts w:hint="eastAsia" w:ascii="宋体" w:hAnsi="宋体" w:cs="宋体"/>
                <w:kern w:val="0"/>
                <w:sz w:val="20"/>
                <w:szCs w:val="20"/>
              </w:rPr>
            </w:pPr>
            <w:r>
              <w:rPr>
                <w:rFonts w:hint="eastAsia" w:ascii="宋体" w:hAnsi="宋体" w:cs="宋体"/>
                <w:kern w:val="0"/>
                <w:sz w:val="20"/>
                <w:szCs w:val="20"/>
              </w:rPr>
              <w:t>51</w:t>
            </w:r>
          </w:p>
        </w:tc>
        <w:tc>
          <w:tcPr>
            <w:tcW w:w="1325" w:type="dxa"/>
            <w:tcBorders>
              <w:top w:val="nil"/>
              <w:left w:val="nil"/>
              <w:bottom w:val="single" w:color="auto" w:sz="4" w:space="0"/>
              <w:right w:val="single" w:color="auto" w:sz="4" w:space="0"/>
            </w:tcBorders>
            <w:shd w:val="clear" w:color="auto" w:fill="auto"/>
            <w:vAlign w:val="center"/>
          </w:tcPr>
          <w:p w14:paraId="51BF0A14">
            <w:pPr>
              <w:widowControl/>
              <w:jc w:val="left"/>
              <w:rPr>
                <w:rFonts w:hint="eastAsia" w:ascii="宋体" w:hAnsi="宋体" w:cs="宋体"/>
                <w:kern w:val="0"/>
                <w:sz w:val="20"/>
                <w:szCs w:val="20"/>
              </w:rPr>
            </w:pPr>
            <w:r>
              <w:rPr>
                <w:rFonts w:hint="eastAsia" w:ascii="宋体" w:hAnsi="宋体" w:cs="宋体"/>
                <w:kern w:val="0"/>
                <w:sz w:val="20"/>
                <w:szCs w:val="20"/>
              </w:rPr>
              <w:t>专业主控</w:t>
            </w:r>
          </w:p>
        </w:tc>
        <w:tc>
          <w:tcPr>
            <w:tcW w:w="3515" w:type="dxa"/>
            <w:tcBorders>
              <w:top w:val="nil"/>
              <w:left w:val="nil"/>
              <w:bottom w:val="single" w:color="auto" w:sz="4" w:space="0"/>
              <w:right w:val="single" w:color="auto" w:sz="4" w:space="0"/>
            </w:tcBorders>
            <w:shd w:val="clear" w:color="auto" w:fill="auto"/>
            <w:vAlign w:val="center"/>
          </w:tcPr>
          <w:p w14:paraId="30C16BE7">
            <w:pPr>
              <w:widowControl/>
              <w:jc w:val="left"/>
              <w:rPr>
                <w:rFonts w:hint="eastAsia" w:ascii="宋体" w:hAnsi="宋体" w:cs="宋体"/>
                <w:kern w:val="0"/>
                <w:sz w:val="20"/>
                <w:szCs w:val="20"/>
              </w:rPr>
            </w:pPr>
            <w:r>
              <w:rPr>
                <w:rFonts w:hint="eastAsia" w:ascii="宋体" w:hAnsi="宋体" w:cs="宋体"/>
                <w:kern w:val="0"/>
                <w:sz w:val="20"/>
                <w:szCs w:val="20"/>
              </w:rPr>
              <w:t>1.具备带载面积≥1048万像素，最宽≥16384点，或最高≥8192点；</w:t>
            </w:r>
            <w:r>
              <w:rPr>
                <w:rFonts w:hint="eastAsia" w:ascii="宋体" w:hAnsi="宋体" w:cs="宋体"/>
                <w:kern w:val="0"/>
                <w:sz w:val="20"/>
                <w:szCs w:val="20"/>
              </w:rPr>
              <w:br w:type="textWrapping"/>
            </w:r>
            <w:r>
              <w:rPr>
                <w:rFonts w:hint="eastAsia" w:ascii="宋体" w:hAnsi="宋体" w:cs="宋体"/>
                <w:kern w:val="0"/>
                <w:sz w:val="20"/>
                <w:szCs w:val="20"/>
              </w:rPr>
              <w:t>2.具备输入分辨率≥4096×2160@60Hz，支持自定义分辨率设置；</w:t>
            </w:r>
            <w:r>
              <w:rPr>
                <w:rFonts w:hint="eastAsia" w:ascii="宋体" w:hAnsi="宋体" w:cs="宋体"/>
                <w:kern w:val="0"/>
                <w:sz w:val="20"/>
                <w:szCs w:val="20"/>
              </w:rPr>
              <w:br w:type="textWrapping"/>
            </w:r>
            <w:r>
              <w:rPr>
                <w:rFonts w:hint="eastAsia" w:ascii="宋体" w:hAnsi="宋体" w:cs="宋体"/>
                <w:kern w:val="0"/>
                <w:sz w:val="20"/>
                <w:szCs w:val="20"/>
              </w:rPr>
              <w:t>3.具备≥16路千兆网口输出；</w:t>
            </w:r>
            <w:r>
              <w:rPr>
                <w:rFonts w:hint="eastAsia" w:ascii="宋体" w:hAnsi="宋体" w:cs="宋体"/>
                <w:kern w:val="0"/>
                <w:sz w:val="20"/>
                <w:szCs w:val="20"/>
              </w:rPr>
              <w:br w:type="textWrapping"/>
            </w:r>
            <w:r>
              <w:rPr>
                <w:rFonts w:hint="eastAsia" w:ascii="宋体" w:hAnsi="宋体" w:cs="宋体"/>
                <w:kern w:val="0"/>
                <w:sz w:val="20"/>
                <w:szCs w:val="20"/>
              </w:rPr>
              <w:t>4.具备对视频信号任意切换，裁剪，拼接，缩放；</w:t>
            </w:r>
            <w:r>
              <w:rPr>
                <w:rFonts w:hint="eastAsia" w:ascii="宋体" w:hAnsi="宋体" w:cs="宋体"/>
                <w:kern w:val="0"/>
                <w:sz w:val="20"/>
                <w:szCs w:val="20"/>
              </w:rPr>
              <w:br w:type="textWrapping"/>
            </w:r>
            <w:r>
              <w:rPr>
                <w:rFonts w:hint="eastAsia" w:ascii="宋体" w:hAnsi="宋体" w:cs="宋体"/>
                <w:kern w:val="0"/>
                <w:sz w:val="20"/>
                <w:szCs w:val="20"/>
              </w:rPr>
              <w:t>5.具备≥6画面显示，位置，大小可自由调节；</w:t>
            </w:r>
            <w:r>
              <w:rPr>
                <w:rFonts w:hint="eastAsia" w:ascii="宋体" w:hAnsi="宋体" w:cs="宋体"/>
                <w:kern w:val="0"/>
                <w:sz w:val="20"/>
                <w:szCs w:val="20"/>
              </w:rPr>
              <w:br w:type="textWrapping"/>
            </w:r>
            <w:r>
              <w:rPr>
                <w:rFonts w:hint="eastAsia" w:ascii="宋体" w:hAnsi="宋体" w:cs="宋体"/>
                <w:kern w:val="0"/>
                <w:sz w:val="20"/>
                <w:szCs w:val="20"/>
              </w:rPr>
              <w:t>6.具备精确颜色管理，调整显示屏色域；</w:t>
            </w:r>
            <w:r>
              <w:rPr>
                <w:rFonts w:hint="eastAsia" w:ascii="宋体" w:hAnsi="宋体" w:cs="宋体"/>
                <w:kern w:val="0"/>
                <w:sz w:val="20"/>
                <w:szCs w:val="20"/>
              </w:rPr>
              <w:br w:type="textWrapping"/>
            </w:r>
            <w:r>
              <w:rPr>
                <w:rFonts w:hint="eastAsia" w:ascii="宋体" w:hAnsi="宋体" w:cs="宋体"/>
                <w:kern w:val="0"/>
                <w:sz w:val="20"/>
                <w:szCs w:val="20"/>
              </w:rPr>
              <w:t>7.具备视频同步锁相技术；</w:t>
            </w:r>
            <w:r>
              <w:rPr>
                <w:rFonts w:hint="eastAsia" w:ascii="宋体" w:hAnsi="宋体" w:cs="宋体"/>
                <w:kern w:val="0"/>
                <w:sz w:val="20"/>
                <w:szCs w:val="20"/>
              </w:rPr>
              <w:br w:type="textWrapping"/>
            </w:r>
            <w:r>
              <w:rPr>
                <w:rFonts w:hint="eastAsia" w:ascii="宋体" w:hAnsi="宋体" w:cs="宋体"/>
                <w:kern w:val="0"/>
                <w:sz w:val="20"/>
                <w:szCs w:val="20"/>
              </w:rPr>
              <w:t>8.具备独立音频输入输出；</w:t>
            </w:r>
            <w:r>
              <w:rPr>
                <w:rFonts w:hint="eastAsia" w:ascii="宋体" w:hAnsi="宋体" w:cs="宋体"/>
                <w:kern w:val="0"/>
                <w:sz w:val="20"/>
                <w:szCs w:val="20"/>
              </w:rPr>
              <w:br w:type="textWrapping"/>
            </w:r>
            <w:r>
              <w:rPr>
                <w:rFonts w:hint="eastAsia" w:ascii="宋体" w:hAnsi="宋体" w:cs="宋体"/>
                <w:kern w:val="0"/>
                <w:sz w:val="20"/>
                <w:szCs w:val="20"/>
              </w:rPr>
              <w:t>9.具备HDMI和DP音频解析输出；</w:t>
            </w:r>
            <w:r>
              <w:rPr>
                <w:rFonts w:hint="eastAsia" w:ascii="宋体" w:hAnsi="宋体" w:cs="宋体"/>
                <w:kern w:val="0"/>
                <w:sz w:val="20"/>
                <w:szCs w:val="20"/>
              </w:rPr>
              <w:br w:type="textWrapping"/>
            </w:r>
            <w:r>
              <w:rPr>
                <w:rFonts w:hint="eastAsia" w:ascii="宋体" w:hAnsi="宋体" w:cs="宋体"/>
                <w:kern w:val="0"/>
                <w:sz w:val="20"/>
                <w:szCs w:val="20"/>
              </w:rPr>
              <w:t>10.具备LAN口控制；</w:t>
            </w:r>
            <w:r>
              <w:rPr>
                <w:rFonts w:hint="eastAsia" w:ascii="宋体" w:hAnsi="宋体" w:cs="宋体"/>
                <w:kern w:val="0"/>
                <w:sz w:val="20"/>
                <w:szCs w:val="20"/>
              </w:rPr>
              <w:br w:type="textWrapping"/>
            </w:r>
            <w:r>
              <w:rPr>
                <w:rFonts w:hint="eastAsia" w:ascii="宋体" w:hAnsi="宋体" w:cs="宋体"/>
                <w:kern w:val="0"/>
                <w:sz w:val="20"/>
                <w:szCs w:val="20"/>
              </w:rPr>
              <w:t>11.具备RS232串口协议控制；</w:t>
            </w:r>
            <w:r>
              <w:rPr>
                <w:rFonts w:hint="eastAsia" w:ascii="宋体" w:hAnsi="宋体" w:cs="宋体"/>
                <w:kern w:val="0"/>
                <w:sz w:val="20"/>
                <w:szCs w:val="20"/>
              </w:rPr>
              <w:br w:type="textWrapping"/>
            </w:r>
            <w:r>
              <w:rPr>
                <w:rFonts w:hint="eastAsia" w:ascii="宋体" w:hAnsi="宋体" w:cs="宋体"/>
                <w:kern w:val="0"/>
                <w:sz w:val="20"/>
                <w:szCs w:val="20"/>
              </w:rPr>
              <w:t>12.具备HDCP协议的高带宽数字内容保护技术；</w:t>
            </w:r>
            <w:r>
              <w:rPr>
                <w:rFonts w:hint="eastAsia" w:ascii="宋体" w:hAnsi="宋体" w:cs="宋体"/>
                <w:kern w:val="0"/>
                <w:sz w:val="20"/>
                <w:szCs w:val="20"/>
              </w:rPr>
              <w:br w:type="textWrapping"/>
            </w:r>
            <w:r>
              <w:rPr>
                <w:rFonts w:hint="eastAsia" w:ascii="宋体" w:hAnsi="宋体" w:cs="宋体"/>
                <w:kern w:val="0"/>
                <w:sz w:val="20"/>
                <w:szCs w:val="20"/>
              </w:rPr>
              <w:t>13.具备亮度和色温调节；</w:t>
            </w:r>
          </w:p>
        </w:tc>
        <w:tc>
          <w:tcPr>
            <w:tcW w:w="981" w:type="dxa"/>
            <w:tcBorders>
              <w:top w:val="nil"/>
              <w:left w:val="nil"/>
              <w:bottom w:val="single" w:color="auto" w:sz="4" w:space="0"/>
              <w:right w:val="single" w:color="auto" w:sz="4" w:space="0"/>
            </w:tcBorders>
            <w:shd w:val="clear" w:color="auto" w:fill="auto"/>
            <w:vAlign w:val="center"/>
          </w:tcPr>
          <w:p w14:paraId="0E45C930">
            <w:pPr>
              <w:widowControl/>
              <w:jc w:val="center"/>
              <w:rPr>
                <w:rFonts w:hint="eastAsia" w:ascii="宋体" w:hAnsi="宋体" w:cs="宋体"/>
                <w:kern w:val="0"/>
                <w:sz w:val="20"/>
                <w:szCs w:val="20"/>
              </w:rPr>
            </w:pPr>
            <w:r>
              <w:rPr>
                <w:rFonts w:hint="eastAsia" w:ascii="宋体" w:hAnsi="宋体" w:cs="宋体"/>
                <w:kern w:val="0"/>
                <w:sz w:val="20"/>
                <w:szCs w:val="20"/>
              </w:rPr>
              <w:t>台</w:t>
            </w:r>
          </w:p>
        </w:tc>
        <w:tc>
          <w:tcPr>
            <w:tcW w:w="1177" w:type="dxa"/>
            <w:tcBorders>
              <w:top w:val="nil"/>
              <w:left w:val="nil"/>
              <w:bottom w:val="single" w:color="auto" w:sz="4" w:space="0"/>
              <w:right w:val="single" w:color="auto" w:sz="4" w:space="0"/>
            </w:tcBorders>
            <w:shd w:val="clear" w:color="auto" w:fill="auto"/>
            <w:noWrap/>
            <w:vAlign w:val="center"/>
          </w:tcPr>
          <w:p w14:paraId="2473A12E">
            <w:pPr>
              <w:widowControl/>
              <w:jc w:val="center"/>
              <w:rPr>
                <w:rFonts w:hint="eastAsia" w:ascii="宋体" w:hAnsi="宋体" w:cs="宋体"/>
                <w:kern w:val="0"/>
                <w:sz w:val="20"/>
                <w:szCs w:val="20"/>
              </w:rPr>
            </w:pPr>
            <w:r>
              <w:rPr>
                <w:rFonts w:hint="eastAsia" w:ascii="宋体" w:hAnsi="宋体" w:cs="宋体"/>
                <w:kern w:val="0"/>
                <w:sz w:val="20"/>
                <w:szCs w:val="20"/>
              </w:rPr>
              <w:t>1</w:t>
            </w:r>
          </w:p>
        </w:tc>
      </w:tr>
      <w:tr w14:paraId="285716FD">
        <w:tblPrEx>
          <w:tblCellMar>
            <w:top w:w="0" w:type="dxa"/>
            <w:left w:w="108" w:type="dxa"/>
            <w:bottom w:w="0" w:type="dxa"/>
            <w:right w:w="108" w:type="dxa"/>
          </w:tblCellMar>
        </w:tblPrEx>
        <w:trPr>
          <w:trHeight w:val="182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6ADE96DE">
            <w:pPr>
              <w:widowControl/>
              <w:jc w:val="center"/>
              <w:rPr>
                <w:rFonts w:hint="eastAsia" w:ascii="宋体" w:hAnsi="宋体" w:cs="宋体"/>
                <w:kern w:val="0"/>
                <w:sz w:val="20"/>
                <w:szCs w:val="20"/>
              </w:rPr>
            </w:pPr>
            <w:r>
              <w:rPr>
                <w:rFonts w:hint="eastAsia" w:ascii="宋体" w:hAnsi="宋体" w:cs="宋体"/>
                <w:kern w:val="0"/>
                <w:sz w:val="20"/>
                <w:szCs w:val="20"/>
              </w:rPr>
              <w:t>52</w:t>
            </w:r>
          </w:p>
        </w:tc>
        <w:tc>
          <w:tcPr>
            <w:tcW w:w="1325" w:type="dxa"/>
            <w:tcBorders>
              <w:top w:val="nil"/>
              <w:left w:val="nil"/>
              <w:bottom w:val="single" w:color="auto" w:sz="4" w:space="0"/>
              <w:right w:val="single" w:color="auto" w:sz="4" w:space="0"/>
            </w:tcBorders>
            <w:shd w:val="clear" w:color="auto" w:fill="auto"/>
            <w:vAlign w:val="center"/>
          </w:tcPr>
          <w:p w14:paraId="02899218">
            <w:pPr>
              <w:widowControl/>
              <w:jc w:val="left"/>
              <w:rPr>
                <w:rFonts w:hint="eastAsia" w:ascii="宋体" w:hAnsi="宋体" w:cs="宋体"/>
                <w:kern w:val="0"/>
                <w:sz w:val="20"/>
                <w:szCs w:val="20"/>
              </w:rPr>
            </w:pPr>
            <w:r>
              <w:rPr>
                <w:rFonts w:hint="eastAsia" w:ascii="宋体" w:hAnsi="宋体" w:cs="宋体"/>
                <w:kern w:val="0"/>
                <w:sz w:val="20"/>
                <w:szCs w:val="20"/>
              </w:rPr>
              <w:t>配电柜</w:t>
            </w:r>
          </w:p>
        </w:tc>
        <w:tc>
          <w:tcPr>
            <w:tcW w:w="3515" w:type="dxa"/>
            <w:tcBorders>
              <w:top w:val="nil"/>
              <w:left w:val="nil"/>
              <w:bottom w:val="single" w:color="auto" w:sz="4" w:space="0"/>
              <w:right w:val="single" w:color="auto" w:sz="4" w:space="0"/>
            </w:tcBorders>
            <w:shd w:val="clear" w:color="auto" w:fill="auto"/>
            <w:vAlign w:val="center"/>
          </w:tcPr>
          <w:p w14:paraId="1A744864">
            <w:pPr>
              <w:widowControl/>
              <w:jc w:val="left"/>
              <w:rPr>
                <w:rFonts w:hint="eastAsia" w:ascii="宋体" w:hAnsi="宋体" w:cs="宋体"/>
                <w:kern w:val="0"/>
                <w:sz w:val="20"/>
                <w:szCs w:val="20"/>
              </w:rPr>
            </w:pPr>
            <w:r>
              <w:rPr>
                <w:rFonts w:hint="eastAsia" w:ascii="宋体" w:hAnsi="宋体" w:cs="宋体"/>
                <w:kern w:val="0"/>
                <w:sz w:val="20"/>
                <w:szCs w:val="20"/>
              </w:rPr>
              <w:t>1.额定功率：≥30kW，输出路数：≥9路</w:t>
            </w:r>
            <w:r>
              <w:rPr>
                <w:rFonts w:hint="eastAsia" w:ascii="宋体" w:hAnsi="宋体" w:cs="宋体"/>
                <w:kern w:val="0"/>
                <w:sz w:val="20"/>
                <w:szCs w:val="20"/>
              </w:rPr>
              <w:br w:type="textWrapping"/>
            </w:r>
            <w:r>
              <w:rPr>
                <w:rFonts w:hint="eastAsia" w:ascii="宋体" w:hAnsi="宋体" w:cs="宋体"/>
                <w:kern w:val="0"/>
                <w:sz w:val="20"/>
                <w:szCs w:val="20"/>
              </w:rPr>
              <w:t>2.输入电压：三相五线制AC380V±10%，频率50Hz±5%，具有高温断电、浪涌、短路、过流、过载保护功能；</w:t>
            </w:r>
            <w:r>
              <w:rPr>
                <w:rFonts w:hint="eastAsia" w:ascii="宋体" w:hAnsi="宋体" w:cs="宋体"/>
                <w:kern w:val="0"/>
                <w:sz w:val="20"/>
                <w:szCs w:val="20"/>
              </w:rPr>
              <w:br w:type="textWrapping"/>
            </w:r>
            <w:r>
              <w:rPr>
                <w:rFonts w:hint="eastAsia" w:ascii="宋体" w:hAnsi="宋体" w:cs="宋体"/>
                <w:kern w:val="0"/>
                <w:sz w:val="20"/>
                <w:szCs w:val="20"/>
              </w:rPr>
              <w:t>3.输出电压：单相三线制AC220V±10%；</w:t>
            </w:r>
            <w:r>
              <w:rPr>
                <w:rFonts w:hint="eastAsia" w:ascii="宋体" w:hAnsi="宋体" w:cs="宋体"/>
                <w:kern w:val="0"/>
                <w:sz w:val="20"/>
                <w:szCs w:val="20"/>
              </w:rPr>
              <w:br w:type="textWrapping"/>
            </w:r>
            <w:r>
              <w:rPr>
                <w:rFonts w:hint="eastAsia" w:ascii="宋体" w:hAnsi="宋体" w:cs="宋体"/>
                <w:kern w:val="0"/>
                <w:sz w:val="20"/>
                <w:szCs w:val="20"/>
              </w:rPr>
              <w:t>4.内置避雷器，具有避雷防雷功能；</w:t>
            </w:r>
            <w:r>
              <w:rPr>
                <w:rFonts w:hint="eastAsia" w:ascii="宋体" w:hAnsi="宋体" w:cs="宋体"/>
                <w:kern w:val="0"/>
                <w:sz w:val="20"/>
                <w:szCs w:val="20"/>
              </w:rPr>
              <w:br w:type="textWrapping"/>
            </w:r>
            <w:r>
              <w:rPr>
                <w:rFonts w:hint="eastAsia" w:ascii="宋体" w:hAnsi="宋体" w:cs="宋体"/>
                <w:kern w:val="0"/>
                <w:sz w:val="20"/>
                <w:szCs w:val="20"/>
              </w:rPr>
              <w:t>5.配电柜含多功能卡控制，具有远程控制功能、RS232串口或千兆网口通信；</w:t>
            </w:r>
            <w:r>
              <w:rPr>
                <w:rFonts w:hint="eastAsia" w:ascii="宋体" w:hAnsi="宋体" w:cs="宋体"/>
                <w:kern w:val="0"/>
                <w:sz w:val="20"/>
                <w:szCs w:val="20"/>
              </w:rPr>
              <w:br w:type="textWrapping"/>
            </w:r>
            <w:r>
              <w:rPr>
                <w:rFonts w:hint="eastAsia" w:ascii="宋体" w:hAnsi="宋体" w:cs="宋体"/>
                <w:kern w:val="0"/>
                <w:sz w:val="20"/>
                <w:szCs w:val="20"/>
              </w:rPr>
              <w:t>6.通过LED显示屏智慧控制系统软件搭配多功能卡实现电源监视、温度监控操作；</w:t>
            </w:r>
          </w:p>
        </w:tc>
        <w:tc>
          <w:tcPr>
            <w:tcW w:w="981" w:type="dxa"/>
            <w:tcBorders>
              <w:top w:val="nil"/>
              <w:left w:val="nil"/>
              <w:bottom w:val="single" w:color="auto" w:sz="4" w:space="0"/>
              <w:right w:val="single" w:color="auto" w:sz="4" w:space="0"/>
            </w:tcBorders>
            <w:shd w:val="clear" w:color="auto" w:fill="auto"/>
            <w:vAlign w:val="center"/>
          </w:tcPr>
          <w:p w14:paraId="2B9D60F9">
            <w:pPr>
              <w:widowControl/>
              <w:jc w:val="center"/>
              <w:rPr>
                <w:rFonts w:hint="eastAsia" w:ascii="宋体" w:hAnsi="宋体" w:cs="宋体"/>
                <w:kern w:val="0"/>
                <w:sz w:val="20"/>
                <w:szCs w:val="20"/>
              </w:rPr>
            </w:pPr>
            <w:r>
              <w:rPr>
                <w:rFonts w:hint="eastAsia" w:ascii="宋体" w:hAnsi="宋体" w:cs="宋体"/>
                <w:kern w:val="0"/>
                <w:sz w:val="20"/>
                <w:szCs w:val="20"/>
              </w:rPr>
              <w:t>台</w:t>
            </w:r>
          </w:p>
        </w:tc>
        <w:tc>
          <w:tcPr>
            <w:tcW w:w="1177" w:type="dxa"/>
            <w:tcBorders>
              <w:top w:val="nil"/>
              <w:left w:val="nil"/>
              <w:bottom w:val="single" w:color="auto" w:sz="4" w:space="0"/>
              <w:right w:val="single" w:color="auto" w:sz="4" w:space="0"/>
            </w:tcBorders>
            <w:shd w:val="clear" w:color="auto" w:fill="auto"/>
            <w:noWrap/>
            <w:vAlign w:val="center"/>
          </w:tcPr>
          <w:p w14:paraId="326510A8">
            <w:pPr>
              <w:widowControl/>
              <w:jc w:val="center"/>
              <w:rPr>
                <w:rFonts w:hint="eastAsia" w:ascii="宋体" w:hAnsi="宋体" w:cs="宋体"/>
                <w:kern w:val="0"/>
                <w:sz w:val="20"/>
                <w:szCs w:val="20"/>
              </w:rPr>
            </w:pPr>
            <w:r>
              <w:rPr>
                <w:rFonts w:hint="eastAsia" w:ascii="宋体" w:hAnsi="宋体" w:cs="宋体"/>
                <w:kern w:val="0"/>
                <w:sz w:val="20"/>
                <w:szCs w:val="20"/>
              </w:rPr>
              <w:t>1</w:t>
            </w:r>
          </w:p>
        </w:tc>
      </w:tr>
      <w:tr w14:paraId="27204F7B">
        <w:tblPrEx>
          <w:tblCellMar>
            <w:top w:w="0" w:type="dxa"/>
            <w:left w:w="108" w:type="dxa"/>
            <w:bottom w:w="0" w:type="dxa"/>
            <w:right w:w="108" w:type="dxa"/>
          </w:tblCellMar>
        </w:tblPrEx>
        <w:trPr>
          <w:trHeight w:val="28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571D824F">
            <w:pPr>
              <w:widowControl/>
              <w:jc w:val="center"/>
              <w:rPr>
                <w:rFonts w:hint="eastAsia" w:ascii="宋体" w:hAnsi="宋体" w:cs="宋体"/>
                <w:kern w:val="0"/>
                <w:sz w:val="20"/>
                <w:szCs w:val="20"/>
              </w:rPr>
            </w:pPr>
            <w:r>
              <w:rPr>
                <w:rFonts w:hint="eastAsia" w:ascii="宋体" w:hAnsi="宋体" w:cs="宋体"/>
                <w:kern w:val="0"/>
                <w:sz w:val="20"/>
                <w:szCs w:val="20"/>
              </w:rPr>
              <w:t>53</w:t>
            </w:r>
          </w:p>
        </w:tc>
        <w:tc>
          <w:tcPr>
            <w:tcW w:w="1325" w:type="dxa"/>
            <w:tcBorders>
              <w:top w:val="nil"/>
              <w:left w:val="nil"/>
              <w:bottom w:val="single" w:color="auto" w:sz="4" w:space="0"/>
              <w:right w:val="single" w:color="auto" w:sz="4" w:space="0"/>
            </w:tcBorders>
            <w:shd w:val="clear" w:color="auto" w:fill="auto"/>
            <w:vAlign w:val="center"/>
          </w:tcPr>
          <w:p w14:paraId="6C1FBDB9">
            <w:pPr>
              <w:widowControl/>
              <w:jc w:val="left"/>
              <w:rPr>
                <w:rFonts w:hint="eastAsia" w:ascii="宋体" w:hAnsi="宋体" w:cs="宋体"/>
                <w:kern w:val="0"/>
                <w:sz w:val="20"/>
                <w:szCs w:val="20"/>
              </w:rPr>
            </w:pPr>
            <w:r>
              <w:rPr>
                <w:rFonts w:hint="eastAsia" w:ascii="宋体" w:hAnsi="宋体" w:cs="宋体"/>
                <w:kern w:val="0"/>
                <w:sz w:val="20"/>
                <w:szCs w:val="20"/>
              </w:rPr>
              <w:t>台式电脑</w:t>
            </w:r>
          </w:p>
        </w:tc>
        <w:tc>
          <w:tcPr>
            <w:tcW w:w="3515" w:type="dxa"/>
            <w:tcBorders>
              <w:top w:val="nil"/>
              <w:left w:val="nil"/>
              <w:bottom w:val="single" w:color="auto" w:sz="4" w:space="0"/>
              <w:right w:val="single" w:color="auto" w:sz="4" w:space="0"/>
            </w:tcBorders>
            <w:shd w:val="clear" w:color="auto" w:fill="auto"/>
            <w:vAlign w:val="center"/>
          </w:tcPr>
          <w:p w14:paraId="49348B38">
            <w:pPr>
              <w:widowControl/>
              <w:jc w:val="left"/>
              <w:rPr>
                <w:rFonts w:hint="eastAsia" w:ascii="宋体" w:hAnsi="宋体" w:cs="宋体"/>
                <w:kern w:val="0"/>
                <w:sz w:val="20"/>
                <w:szCs w:val="20"/>
              </w:rPr>
            </w:pPr>
            <w:r>
              <w:rPr>
                <w:rFonts w:hint="eastAsia" w:ascii="宋体" w:hAnsi="宋体" w:cs="宋体"/>
                <w:kern w:val="0"/>
                <w:sz w:val="20"/>
                <w:szCs w:val="20"/>
                <w:highlight w:val="none"/>
              </w:rPr>
              <w:t>不低于</w:t>
            </w:r>
            <w:r>
              <w:rPr>
                <w:rFonts w:hint="eastAsia" w:ascii="宋体" w:hAnsi="宋体" w:cs="宋体"/>
                <w:kern w:val="0"/>
                <w:sz w:val="20"/>
                <w:szCs w:val="20"/>
              </w:rPr>
              <w:t>第十代英特尔酷睿i5，台式电脑整机（I5-10500 8G 1T Win10 ）21.5英寸</w:t>
            </w:r>
          </w:p>
        </w:tc>
        <w:tc>
          <w:tcPr>
            <w:tcW w:w="981" w:type="dxa"/>
            <w:tcBorders>
              <w:top w:val="nil"/>
              <w:left w:val="nil"/>
              <w:bottom w:val="single" w:color="auto" w:sz="4" w:space="0"/>
              <w:right w:val="single" w:color="auto" w:sz="4" w:space="0"/>
            </w:tcBorders>
            <w:shd w:val="clear" w:color="auto" w:fill="auto"/>
            <w:vAlign w:val="center"/>
          </w:tcPr>
          <w:p w14:paraId="7D6B43CC">
            <w:pPr>
              <w:widowControl/>
              <w:jc w:val="center"/>
              <w:rPr>
                <w:rFonts w:hint="eastAsia" w:ascii="宋体" w:hAnsi="宋体" w:cs="宋体"/>
                <w:kern w:val="0"/>
                <w:sz w:val="20"/>
                <w:szCs w:val="20"/>
              </w:rPr>
            </w:pPr>
            <w:r>
              <w:rPr>
                <w:rFonts w:hint="eastAsia" w:ascii="宋体" w:hAnsi="宋体" w:cs="宋体"/>
                <w:kern w:val="0"/>
                <w:sz w:val="20"/>
                <w:szCs w:val="20"/>
              </w:rPr>
              <w:t>台</w:t>
            </w:r>
          </w:p>
        </w:tc>
        <w:tc>
          <w:tcPr>
            <w:tcW w:w="1177" w:type="dxa"/>
            <w:tcBorders>
              <w:top w:val="nil"/>
              <w:left w:val="nil"/>
              <w:bottom w:val="single" w:color="auto" w:sz="4" w:space="0"/>
              <w:right w:val="single" w:color="auto" w:sz="4" w:space="0"/>
            </w:tcBorders>
            <w:shd w:val="clear" w:color="auto" w:fill="auto"/>
            <w:vAlign w:val="center"/>
          </w:tcPr>
          <w:p w14:paraId="24B1E69C">
            <w:pPr>
              <w:widowControl/>
              <w:jc w:val="center"/>
              <w:rPr>
                <w:rFonts w:hint="eastAsia" w:ascii="宋体" w:hAnsi="宋体" w:cs="宋体"/>
                <w:kern w:val="0"/>
                <w:sz w:val="20"/>
                <w:szCs w:val="20"/>
              </w:rPr>
            </w:pPr>
            <w:r>
              <w:rPr>
                <w:rFonts w:hint="eastAsia" w:ascii="宋体" w:hAnsi="宋体" w:cs="宋体"/>
                <w:kern w:val="0"/>
                <w:sz w:val="20"/>
                <w:szCs w:val="20"/>
              </w:rPr>
              <w:t>1</w:t>
            </w:r>
          </w:p>
        </w:tc>
      </w:tr>
      <w:tr w14:paraId="61F4FC02">
        <w:tblPrEx>
          <w:tblCellMar>
            <w:top w:w="0" w:type="dxa"/>
            <w:left w:w="108" w:type="dxa"/>
            <w:bottom w:w="0" w:type="dxa"/>
            <w:right w:w="108" w:type="dxa"/>
          </w:tblCellMar>
        </w:tblPrEx>
        <w:trPr>
          <w:trHeight w:val="28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3797D58B">
            <w:pPr>
              <w:widowControl/>
              <w:jc w:val="center"/>
              <w:rPr>
                <w:rFonts w:hint="eastAsia" w:ascii="宋体" w:hAnsi="宋体" w:cs="宋体"/>
                <w:kern w:val="0"/>
                <w:sz w:val="20"/>
                <w:szCs w:val="20"/>
              </w:rPr>
            </w:pPr>
            <w:r>
              <w:rPr>
                <w:rFonts w:hint="eastAsia" w:ascii="宋体" w:hAnsi="宋体" w:cs="宋体"/>
                <w:kern w:val="0"/>
                <w:sz w:val="20"/>
                <w:szCs w:val="20"/>
              </w:rPr>
              <w:t>54</w:t>
            </w:r>
          </w:p>
        </w:tc>
        <w:tc>
          <w:tcPr>
            <w:tcW w:w="1325" w:type="dxa"/>
            <w:tcBorders>
              <w:top w:val="nil"/>
              <w:left w:val="nil"/>
              <w:bottom w:val="single" w:color="auto" w:sz="4" w:space="0"/>
              <w:right w:val="single" w:color="auto" w:sz="4" w:space="0"/>
            </w:tcBorders>
            <w:shd w:val="clear" w:color="auto" w:fill="auto"/>
            <w:vAlign w:val="center"/>
          </w:tcPr>
          <w:p w14:paraId="3EF5E199">
            <w:pPr>
              <w:widowControl/>
              <w:jc w:val="left"/>
              <w:rPr>
                <w:rFonts w:hint="eastAsia" w:ascii="宋体" w:hAnsi="宋体" w:cs="宋体"/>
                <w:kern w:val="0"/>
                <w:sz w:val="20"/>
                <w:szCs w:val="20"/>
              </w:rPr>
            </w:pPr>
            <w:r>
              <w:rPr>
                <w:rFonts w:hint="eastAsia" w:ascii="宋体" w:hAnsi="宋体" w:cs="宋体"/>
                <w:kern w:val="0"/>
                <w:sz w:val="20"/>
                <w:szCs w:val="20"/>
              </w:rPr>
              <w:t>边框技术服务</w:t>
            </w:r>
          </w:p>
        </w:tc>
        <w:tc>
          <w:tcPr>
            <w:tcW w:w="3515" w:type="dxa"/>
            <w:tcBorders>
              <w:top w:val="nil"/>
              <w:left w:val="nil"/>
              <w:bottom w:val="single" w:color="auto" w:sz="4" w:space="0"/>
              <w:right w:val="single" w:color="auto" w:sz="4" w:space="0"/>
            </w:tcBorders>
            <w:shd w:val="clear" w:color="auto" w:fill="auto"/>
            <w:vAlign w:val="center"/>
          </w:tcPr>
          <w:p w14:paraId="09EE0539">
            <w:pPr>
              <w:widowControl/>
              <w:jc w:val="left"/>
              <w:rPr>
                <w:rFonts w:hint="eastAsia" w:ascii="宋体" w:hAnsi="宋体" w:cs="宋体"/>
                <w:kern w:val="0"/>
                <w:sz w:val="20"/>
                <w:szCs w:val="20"/>
              </w:rPr>
            </w:pPr>
            <w:r>
              <w:rPr>
                <w:rFonts w:hint="eastAsia" w:ascii="宋体" w:hAnsi="宋体" w:cs="宋体"/>
                <w:kern w:val="0"/>
                <w:sz w:val="20"/>
                <w:szCs w:val="20"/>
              </w:rPr>
              <w:t>多功能会议室</w:t>
            </w:r>
          </w:p>
        </w:tc>
        <w:tc>
          <w:tcPr>
            <w:tcW w:w="981" w:type="dxa"/>
            <w:tcBorders>
              <w:top w:val="nil"/>
              <w:left w:val="nil"/>
              <w:bottom w:val="single" w:color="auto" w:sz="4" w:space="0"/>
              <w:right w:val="single" w:color="auto" w:sz="4" w:space="0"/>
            </w:tcBorders>
            <w:shd w:val="clear" w:color="auto" w:fill="auto"/>
            <w:vAlign w:val="center"/>
          </w:tcPr>
          <w:p w14:paraId="1A2BE1C9">
            <w:pPr>
              <w:widowControl/>
              <w:jc w:val="center"/>
              <w:rPr>
                <w:rFonts w:hint="eastAsia" w:ascii="宋体" w:hAnsi="宋体" w:cs="宋体"/>
                <w:kern w:val="0"/>
                <w:sz w:val="20"/>
                <w:szCs w:val="20"/>
              </w:rPr>
            </w:pPr>
            <w:r>
              <w:rPr>
                <w:rFonts w:hint="eastAsia" w:ascii="宋体" w:hAnsi="宋体" w:cs="宋体"/>
                <w:kern w:val="0"/>
                <w:sz w:val="20"/>
                <w:szCs w:val="20"/>
              </w:rPr>
              <w:t>项</w:t>
            </w:r>
          </w:p>
        </w:tc>
        <w:tc>
          <w:tcPr>
            <w:tcW w:w="1177" w:type="dxa"/>
            <w:tcBorders>
              <w:top w:val="nil"/>
              <w:left w:val="nil"/>
              <w:bottom w:val="single" w:color="auto" w:sz="4" w:space="0"/>
              <w:right w:val="single" w:color="auto" w:sz="4" w:space="0"/>
            </w:tcBorders>
            <w:shd w:val="clear" w:color="auto" w:fill="auto"/>
            <w:vAlign w:val="center"/>
          </w:tcPr>
          <w:p w14:paraId="4CA68C83">
            <w:pPr>
              <w:widowControl/>
              <w:jc w:val="center"/>
              <w:rPr>
                <w:rFonts w:hint="eastAsia" w:ascii="宋体" w:hAnsi="宋体" w:cs="宋体"/>
                <w:kern w:val="0"/>
                <w:sz w:val="20"/>
                <w:szCs w:val="20"/>
              </w:rPr>
            </w:pPr>
            <w:r>
              <w:rPr>
                <w:rFonts w:hint="eastAsia" w:ascii="宋体" w:hAnsi="宋体" w:cs="宋体"/>
                <w:kern w:val="0"/>
                <w:sz w:val="20"/>
                <w:szCs w:val="20"/>
              </w:rPr>
              <w:t>1</w:t>
            </w:r>
          </w:p>
        </w:tc>
      </w:tr>
      <w:tr w14:paraId="51DE43C8">
        <w:tblPrEx>
          <w:tblCellMar>
            <w:top w:w="0" w:type="dxa"/>
            <w:left w:w="108" w:type="dxa"/>
            <w:bottom w:w="0" w:type="dxa"/>
            <w:right w:w="108" w:type="dxa"/>
          </w:tblCellMar>
        </w:tblPrEx>
        <w:trPr>
          <w:trHeight w:val="28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29D35E28">
            <w:pPr>
              <w:widowControl/>
              <w:jc w:val="center"/>
              <w:rPr>
                <w:rFonts w:hint="eastAsia" w:ascii="宋体" w:hAnsi="宋体" w:cs="宋体"/>
                <w:kern w:val="0"/>
                <w:sz w:val="20"/>
                <w:szCs w:val="20"/>
              </w:rPr>
            </w:pPr>
            <w:r>
              <w:rPr>
                <w:rFonts w:hint="eastAsia" w:ascii="宋体" w:hAnsi="宋体" w:cs="宋体"/>
                <w:kern w:val="0"/>
                <w:sz w:val="20"/>
                <w:szCs w:val="20"/>
              </w:rPr>
              <w:t>55</w:t>
            </w:r>
          </w:p>
        </w:tc>
        <w:tc>
          <w:tcPr>
            <w:tcW w:w="1325" w:type="dxa"/>
            <w:tcBorders>
              <w:top w:val="nil"/>
              <w:left w:val="nil"/>
              <w:bottom w:val="single" w:color="auto" w:sz="4" w:space="0"/>
              <w:right w:val="single" w:color="auto" w:sz="4" w:space="0"/>
            </w:tcBorders>
            <w:shd w:val="clear" w:color="auto" w:fill="auto"/>
            <w:vAlign w:val="center"/>
          </w:tcPr>
          <w:p w14:paraId="7D76A5A2">
            <w:pPr>
              <w:widowControl/>
              <w:jc w:val="left"/>
              <w:rPr>
                <w:rFonts w:hint="eastAsia" w:ascii="宋体" w:hAnsi="宋体" w:cs="宋体"/>
                <w:kern w:val="0"/>
                <w:sz w:val="20"/>
                <w:szCs w:val="20"/>
              </w:rPr>
            </w:pPr>
            <w:r>
              <w:rPr>
                <w:rFonts w:hint="eastAsia" w:ascii="宋体" w:hAnsi="宋体" w:cs="宋体"/>
                <w:kern w:val="0"/>
                <w:sz w:val="20"/>
                <w:szCs w:val="20"/>
              </w:rPr>
              <w:t>包装材料</w:t>
            </w:r>
          </w:p>
        </w:tc>
        <w:tc>
          <w:tcPr>
            <w:tcW w:w="3515" w:type="dxa"/>
            <w:tcBorders>
              <w:top w:val="nil"/>
              <w:left w:val="nil"/>
              <w:bottom w:val="single" w:color="auto" w:sz="4" w:space="0"/>
              <w:right w:val="single" w:color="auto" w:sz="4" w:space="0"/>
            </w:tcBorders>
            <w:shd w:val="clear" w:color="auto" w:fill="auto"/>
            <w:vAlign w:val="center"/>
          </w:tcPr>
          <w:p w14:paraId="0CA95589">
            <w:pPr>
              <w:widowControl/>
              <w:jc w:val="left"/>
              <w:rPr>
                <w:rFonts w:hint="eastAsia" w:ascii="宋体" w:hAnsi="宋体" w:cs="宋体"/>
                <w:kern w:val="0"/>
                <w:sz w:val="20"/>
                <w:szCs w:val="20"/>
              </w:rPr>
            </w:pPr>
            <w:r>
              <w:rPr>
                <w:rFonts w:hint="eastAsia" w:ascii="宋体" w:hAnsi="宋体" w:cs="宋体"/>
                <w:kern w:val="0"/>
                <w:sz w:val="20"/>
                <w:szCs w:val="20"/>
              </w:rPr>
              <w:t>8mm胶合免熏蒸木箱</w:t>
            </w:r>
          </w:p>
        </w:tc>
        <w:tc>
          <w:tcPr>
            <w:tcW w:w="981" w:type="dxa"/>
            <w:tcBorders>
              <w:top w:val="nil"/>
              <w:left w:val="nil"/>
              <w:bottom w:val="single" w:color="auto" w:sz="4" w:space="0"/>
              <w:right w:val="single" w:color="auto" w:sz="4" w:space="0"/>
            </w:tcBorders>
            <w:shd w:val="clear" w:color="auto" w:fill="auto"/>
            <w:vAlign w:val="center"/>
          </w:tcPr>
          <w:p w14:paraId="5C039146">
            <w:pPr>
              <w:widowControl/>
              <w:jc w:val="center"/>
              <w:rPr>
                <w:rFonts w:hint="eastAsia" w:ascii="宋体" w:hAnsi="宋体" w:cs="宋体"/>
                <w:kern w:val="0"/>
                <w:sz w:val="20"/>
                <w:szCs w:val="20"/>
              </w:rPr>
            </w:pPr>
            <w:r>
              <w:rPr>
                <w:rFonts w:hint="eastAsia" w:ascii="宋体" w:hAnsi="宋体" w:cs="宋体"/>
                <w:kern w:val="0"/>
                <w:sz w:val="20"/>
                <w:szCs w:val="20"/>
              </w:rPr>
              <w:t>平方米</w:t>
            </w:r>
          </w:p>
        </w:tc>
        <w:tc>
          <w:tcPr>
            <w:tcW w:w="1177" w:type="dxa"/>
            <w:tcBorders>
              <w:top w:val="nil"/>
              <w:left w:val="nil"/>
              <w:bottom w:val="single" w:color="auto" w:sz="4" w:space="0"/>
              <w:right w:val="single" w:color="auto" w:sz="4" w:space="0"/>
            </w:tcBorders>
            <w:shd w:val="clear" w:color="auto" w:fill="auto"/>
            <w:vAlign w:val="center"/>
          </w:tcPr>
          <w:p w14:paraId="13170238">
            <w:pPr>
              <w:widowControl/>
              <w:jc w:val="center"/>
              <w:rPr>
                <w:rFonts w:hint="eastAsia" w:ascii="宋体" w:hAnsi="宋体" w:cs="宋体"/>
                <w:kern w:val="0"/>
                <w:sz w:val="20"/>
                <w:szCs w:val="20"/>
              </w:rPr>
            </w:pPr>
            <w:r>
              <w:rPr>
                <w:rFonts w:hint="eastAsia" w:ascii="宋体" w:hAnsi="宋体" w:cs="宋体"/>
                <w:kern w:val="0"/>
                <w:sz w:val="20"/>
                <w:szCs w:val="20"/>
              </w:rPr>
              <w:t>31.7952</w:t>
            </w:r>
          </w:p>
        </w:tc>
      </w:tr>
      <w:tr w14:paraId="4300CA8D">
        <w:tblPrEx>
          <w:tblCellMar>
            <w:top w:w="0" w:type="dxa"/>
            <w:left w:w="108" w:type="dxa"/>
            <w:bottom w:w="0" w:type="dxa"/>
            <w:right w:w="108" w:type="dxa"/>
          </w:tblCellMar>
        </w:tblPrEx>
        <w:trPr>
          <w:trHeight w:val="312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1258BD4E">
            <w:pPr>
              <w:widowControl/>
              <w:jc w:val="center"/>
              <w:rPr>
                <w:rFonts w:hint="eastAsia" w:ascii="宋体" w:hAnsi="宋体" w:cs="宋体"/>
                <w:kern w:val="0"/>
                <w:sz w:val="20"/>
                <w:szCs w:val="20"/>
              </w:rPr>
            </w:pPr>
            <w:r>
              <w:rPr>
                <w:rFonts w:hint="eastAsia" w:ascii="宋体" w:hAnsi="宋体" w:cs="宋体"/>
                <w:kern w:val="0"/>
                <w:sz w:val="20"/>
                <w:szCs w:val="20"/>
              </w:rPr>
              <w:t>56</w:t>
            </w:r>
          </w:p>
        </w:tc>
        <w:tc>
          <w:tcPr>
            <w:tcW w:w="1325" w:type="dxa"/>
            <w:tcBorders>
              <w:top w:val="nil"/>
              <w:left w:val="nil"/>
              <w:bottom w:val="single" w:color="auto" w:sz="4" w:space="0"/>
              <w:right w:val="single" w:color="auto" w:sz="4" w:space="0"/>
            </w:tcBorders>
            <w:shd w:val="clear" w:color="auto" w:fill="auto"/>
            <w:vAlign w:val="center"/>
          </w:tcPr>
          <w:p w14:paraId="16E6C6E7">
            <w:pPr>
              <w:widowControl/>
              <w:jc w:val="left"/>
              <w:rPr>
                <w:rFonts w:hint="eastAsia" w:ascii="宋体" w:hAnsi="宋体" w:cs="宋体"/>
                <w:kern w:val="0"/>
                <w:sz w:val="20"/>
                <w:szCs w:val="20"/>
              </w:rPr>
            </w:pPr>
            <w:r>
              <w:rPr>
                <w:rFonts w:hint="eastAsia" w:ascii="宋体" w:hAnsi="宋体" w:cs="宋体"/>
                <w:kern w:val="0"/>
                <w:sz w:val="20"/>
                <w:szCs w:val="20"/>
              </w:rPr>
              <w:t>专业功放</w:t>
            </w:r>
          </w:p>
        </w:tc>
        <w:tc>
          <w:tcPr>
            <w:tcW w:w="3515" w:type="dxa"/>
            <w:tcBorders>
              <w:top w:val="nil"/>
              <w:left w:val="nil"/>
              <w:bottom w:val="single" w:color="auto" w:sz="4" w:space="0"/>
              <w:right w:val="single" w:color="auto" w:sz="4" w:space="0"/>
            </w:tcBorders>
            <w:shd w:val="clear" w:color="auto" w:fill="auto"/>
            <w:vAlign w:val="center"/>
          </w:tcPr>
          <w:p w14:paraId="5DAC5ECE">
            <w:pPr>
              <w:widowControl/>
              <w:jc w:val="left"/>
              <w:rPr>
                <w:rFonts w:hint="eastAsia" w:ascii="宋体" w:hAnsi="宋体" w:cs="宋体"/>
                <w:kern w:val="0"/>
                <w:sz w:val="20"/>
                <w:szCs w:val="20"/>
              </w:rPr>
            </w:pPr>
            <w:r>
              <w:rPr>
                <w:rFonts w:hint="eastAsia" w:ascii="宋体" w:hAnsi="宋体" w:cs="宋体"/>
                <w:kern w:val="0"/>
                <w:sz w:val="20"/>
                <w:szCs w:val="20"/>
              </w:rPr>
              <w:t>1.双通道大功率专业数字功放；</w:t>
            </w:r>
            <w:r>
              <w:rPr>
                <w:rFonts w:hint="eastAsia" w:ascii="宋体" w:hAnsi="宋体" w:cs="宋体"/>
                <w:kern w:val="0"/>
                <w:sz w:val="20"/>
                <w:szCs w:val="20"/>
              </w:rPr>
              <w:br w:type="page"/>
            </w:r>
            <w:r>
              <w:rPr>
                <w:rFonts w:hint="eastAsia" w:ascii="宋体" w:hAnsi="宋体" w:cs="宋体"/>
                <w:kern w:val="0"/>
                <w:sz w:val="20"/>
                <w:szCs w:val="20"/>
              </w:rPr>
              <w:t>2.功放有直流、短路、过载、过热保护；</w:t>
            </w:r>
            <w:r>
              <w:rPr>
                <w:rFonts w:hint="eastAsia" w:ascii="宋体" w:hAnsi="宋体" w:cs="宋体"/>
                <w:kern w:val="0"/>
                <w:sz w:val="20"/>
                <w:szCs w:val="20"/>
              </w:rPr>
              <w:br w:type="page"/>
            </w:r>
            <w:r>
              <w:rPr>
                <w:rFonts w:hint="eastAsia" w:ascii="宋体" w:hAnsi="宋体" w:cs="宋体"/>
                <w:kern w:val="0"/>
                <w:sz w:val="20"/>
                <w:szCs w:val="20"/>
              </w:rPr>
              <w:t>3.采用可变震荡调制技术、多重反馈调控技术以及输出功率控制技术；</w:t>
            </w:r>
            <w:r>
              <w:rPr>
                <w:rFonts w:hint="eastAsia" w:ascii="宋体" w:hAnsi="宋体" w:cs="宋体"/>
                <w:kern w:val="0"/>
                <w:sz w:val="20"/>
                <w:szCs w:val="20"/>
              </w:rPr>
              <w:br w:type="page"/>
            </w:r>
            <w:r>
              <w:rPr>
                <w:rFonts w:hint="eastAsia" w:ascii="宋体" w:hAnsi="宋体" w:cs="宋体"/>
                <w:kern w:val="0"/>
                <w:sz w:val="20"/>
                <w:szCs w:val="20"/>
              </w:rPr>
              <w:t>4.支持灵敏度≥1V/2V可选择切换，XLR平衡式输入/XLR 平衡式LINK输出；SPEAKON音响插座输出；</w:t>
            </w:r>
            <w:r>
              <w:rPr>
                <w:rFonts w:hint="eastAsia" w:ascii="宋体" w:hAnsi="宋体" w:cs="宋体"/>
                <w:kern w:val="0"/>
                <w:sz w:val="20"/>
                <w:szCs w:val="20"/>
              </w:rPr>
              <w:br w:type="page"/>
            </w:r>
            <w:r>
              <w:rPr>
                <w:rFonts w:hint="eastAsia" w:ascii="宋体" w:hAnsi="宋体" w:cs="宋体"/>
                <w:kern w:val="0"/>
                <w:sz w:val="20"/>
                <w:szCs w:val="20"/>
              </w:rPr>
              <w:t>5.输出功率（1KHz/THD≤1％）：连续功率：立体声8Ω×2：2*1200W；立体声4Ω×2：≥2*1900W；立体声2Ω×2：≥2*3200W；桥接16Ω：≥2400W；桥接8Ω：≥3800W；桥接4Ω：≥6400W；</w:t>
            </w:r>
            <w:r>
              <w:rPr>
                <w:rFonts w:hint="eastAsia" w:ascii="宋体" w:hAnsi="宋体" w:cs="宋体"/>
                <w:kern w:val="0"/>
                <w:sz w:val="20"/>
                <w:szCs w:val="20"/>
              </w:rPr>
              <w:br w:type="page"/>
            </w:r>
            <w:r>
              <w:rPr>
                <w:rFonts w:hint="eastAsia" w:ascii="宋体" w:hAnsi="宋体" w:cs="宋体"/>
                <w:kern w:val="0"/>
                <w:sz w:val="20"/>
                <w:szCs w:val="20"/>
              </w:rPr>
              <w:t>6.电压增益 (@1KHz)：≥41dB</w:t>
            </w:r>
            <w:r>
              <w:rPr>
                <w:rFonts w:hint="eastAsia" w:ascii="宋体" w:hAnsi="宋体" w:cs="宋体"/>
                <w:kern w:val="0"/>
                <w:sz w:val="20"/>
                <w:szCs w:val="20"/>
              </w:rPr>
              <w:br w:type="page"/>
            </w:r>
            <w:r>
              <w:rPr>
                <w:rFonts w:hint="eastAsia" w:ascii="宋体" w:hAnsi="宋体" w:cs="宋体"/>
                <w:kern w:val="0"/>
                <w:sz w:val="20"/>
                <w:szCs w:val="20"/>
              </w:rPr>
              <w:t>7.频率响应(@1W功率下）≥20Hz-20KHz/±1dB</w:t>
            </w:r>
            <w:r>
              <w:rPr>
                <w:rFonts w:hint="eastAsia" w:ascii="宋体" w:hAnsi="宋体" w:cs="宋体"/>
                <w:kern w:val="0"/>
                <w:sz w:val="20"/>
                <w:szCs w:val="20"/>
              </w:rPr>
              <w:br w:type="page"/>
            </w:r>
            <w:r>
              <w:rPr>
                <w:rFonts w:hint="eastAsia" w:ascii="宋体" w:hAnsi="宋体" w:cs="宋体"/>
                <w:kern w:val="0"/>
                <w:sz w:val="20"/>
                <w:szCs w:val="20"/>
              </w:rPr>
              <w:t>8.THD+N(@1/8功率下）：≤0.01％</w:t>
            </w:r>
            <w:r>
              <w:rPr>
                <w:rFonts w:hint="eastAsia" w:ascii="宋体" w:hAnsi="宋体" w:cs="宋体"/>
                <w:kern w:val="0"/>
                <w:sz w:val="20"/>
                <w:szCs w:val="20"/>
              </w:rPr>
              <w:br w:type="page"/>
            </w:r>
            <w:r>
              <w:rPr>
                <w:rFonts w:hint="eastAsia" w:ascii="宋体" w:hAnsi="宋体" w:cs="宋体"/>
                <w:kern w:val="0"/>
                <w:sz w:val="20"/>
                <w:szCs w:val="20"/>
              </w:rPr>
              <w:t>9.信噪比 (A计权)：≥105dB</w:t>
            </w:r>
          </w:p>
        </w:tc>
        <w:tc>
          <w:tcPr>
            <w:tcW w:w="981" w:type="dxa"/>
            <w:tcBorders>
              <w:top w:val="nil"/>
              <w:left w:val="nil"/>
              <w:bottom w:val="single" w:color="auto" w:sz="4" w:space="0"/>
              <w:right w:val="single" w:color="auto" w:sz="4" w:space="0"/>
            </w:tcBorders>
            <w:shd w:val="clear" w:color="auto" w:fill="auto"/>
            <w:vAlign w:val="center"/>
          </w:tcPr>
          <w:p w14:paraId="7E999090">
            <w:pPr>
              <w:widowControl/>
              <w:jc w:val="center"/>
              <w:rPr>
                <w:rFonts w:hint="eastAsia" w:ascii="宋体" w:hAnsi="宋体" w:cs="宋体"/>
                <w:kern w:val="0"/>
                <w:sz w:val="20"/>
                <w:szCs w:val="20"/>
              </w:rPr>
            </w:pPr>
            <w:r>
              <w:rPr>
                <w:rFonts w:hint="eastAsia" w:ascii="宋体" w:hAnsi="宋体" w:cs="宋体"/>
                <w:kern w:val="0"/>
                <w:sz w:val="20"/>
                <w:szCs w:val="20"/>
              </w:rPr>
              <w:t>台</w:t>
            </w:r>
          </w:p>
        </w:tc>
        <w:tc>
          <w:tcPr>
            <w:tcW w:w="1177" w:type="dxa"/>
            <w:tcBorders>
              <w:top w:val="nil"/>
              <w:left w:val="nil"/>
              <w:bottom w:val="single" w:color="auto" w:sz="4" w:space="0"/>
              <w:right w:val="single" w:color="auto" w:sz="4" w:space="0"/>
            </w:tcBorders>
            <w:shd w:val="clear" w:color="auto" w:fill="auto"/>
            <w:noWrap/>
            <w:vAlign w:val="center"/>
          </w:tcPr>
          <w:p w14:paraId="1629ED2F">
            <w:pPr>
              <w:widowControl/>
              <w:jc w:val="center"/>
              <w:rPr>
                <w:rFonts w:hint="eastAsia" w:ascii="宋体" w:hAnsi="宋体" w:cs="宋体"/>
                <w:kern w:val="0"/>
                <w:sz w:val="20"/>
                <w:szCs w:val="20"/>
              </w:rPr>
            </w:pPr>
            <w:r>
              <w:rPr>
                <w:rFonts w:hint="eastAsia" w:ascii="宋体" w:hAnsi="宋体" w:cs="宋体"/>
                <w:kern w:val="0"/>
                <w:sz w:val="20"/>
                <w:szCs w:val="20"/>
              </w:rPr>
              <w:t>2</w:t>
            </w:r>
          </w:p>
        </w:tc>
      </w:tr>
      <w:tr w14:paraId="7D2255F4">
        <w:tblPrEx>
          <w:tblCellMar>
            <w:top w:w="0" w:type="dxa"/>
            <w:left w:w="108" w:type="dxa"/>
            <w:bottom w:w="0" w:type="dxa"/>
            <w:right w:w="108" w:type="dxa"/>
          </w:tblCellMar>
        </w:tblPrEx>
        <w:trPr>
          <w:trHeight w:val="518"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46D4A517">
            <w:pPr>
              <w:widowControl/>
              <w:jc w:val="center"/>
              <w:rPr>
                <w:rFonts w:hint="eastAsia" w:ascii="宋体" w:hAnsi="宋体" w:cs="宋体"/>
                <w:kern w:val="0"/>
                <w:sz w:val="20"/>
                <w:szCs w:val="20"/>
              </w:rPr>
            </w:pPr>
            <w:r>
              <w:rPr>
                <w:rFonts w:hint="eastAsia" w:ascii="宋体" w:hAnsi="宋体" w:cs="宋体"/>
                <w:kern w:val="0"/>
                <w:sz w:val="20"/>
                <w:szCs w:val="20"/>
              </w:rPr>
              <w:t>57</w:t>
            </w:r>
          </w:p>
        </w:tc>
        <w:tc>
          <w:tcPr>
            <w:tcW w:w="1325" w:type="dxa"/>
            <w:tcBorders>
              <w:top w:val="nil"/>
              <w:left w:val="nil"/>
              <w:bottom w:val="single" w:color="auto" w:sz="4" w:space="0"/>
              <w:right w:val="single" w:color="auto" w:sz="4" w:space="0"/>
            </w:tcBorders>
            <w:shd w:val="clear" w:color="auto" w:fill="auto"/>
            <w:vAlign w:val="center"/>
          </w:tcPr>
          <w:p w14:paraId="19EDDB38">
            <w:pPr>
              <w:widowControl/>
              <w:jc w:val="left"/>
              <w:rPr>
                <w:rFonts w:hint="eastAsia" w:ascii="宋体" w:hAnsi="宋体" w:cs="宋体"/>
                <w:kern w:val="0"/>
                <w:sz w:val="20"/>
                <w:szCs w:val="20"/>
              </w:rPr>
            </w:pPr>
            <w:r>
              <w:rPr>
                <w:rFonts w:hint="eastAsia" w:ascii="宋体" w:hAnsi="宋体" w:cs="宋体"/>
                <w:kern w:val="0"/>
                <w:sz w:val="20"/>
                <w:szCs w:val="20"/>
              </w:rPr>
              <w:t>线阵音箱</w:t>
            </w:r>
          </w:p>
        </w:tc>
        <w:tc>
          <w:tcPr>
            <w:tcW w:w="3515" w:type="dxa"/>
            <w:tcBorders>
              <w:top w:val="nil"/>
              <w:left w:val="nil"/>
              <w:bottom w:val="single" w:color="auto" w:sz="4" w:space="0"/>
              <w:right w:val="single" w:color="auto" w:sz="4" w:space="0"/>
            </w:tcBorders>
            <w:shd w:val="clear" w:color="auto" w:fill="auto"/>
            <w:vAlign w:val="center"/>
          </w:tcPr>
          <w:p w14:paraId="077444F7">
            <w:pPr>
              <w:widowControl/>
              <w:jc w:val="left"/>
              <w:rPr>
                <w:rFonts w:hint="eastAsia" w:ascii="宋体" w:hAnsi="宋体" w:cs="宋体"/>
                <w:kern w:val="0"/>
                <w:sz w:val="20"/>
                <w:szCs w:val="20"/>
              </w:rPr>
            </w:pPr>
            <w:r>
              <w:rPr>
                <w:rFonts w:hint="eastAsia" w:ascii="宋体" w:hAnsi="宋体" w:cs="宋体"/>
                <w:kern w:val="0"/>
                <w:sz w:val="20"/>
                <w:szCs w:val="20"/>
              </w:rPr>
              <w:t>1.箱体采用进口桦木制作、耐磨喷漆处理；由≥二个10寸（250mm）的低频驱动器以及≥一个75mm高频驱动器组成。</w:t>
            </w:r>
            <w:r>
              <w:rPr>
                <w:rFonts w:hint="eastAsia" w:ascii="宋体" w:hAnsi="宋体" w:cs="宋体"/>
                <w:kern w:val="0"/>
                <w:sz w:val="20"/>
                <w:szCs w:val="20"/>
              </w:rPr>
              <w:br w:type="textWrapping"/>
            </w:r>
            <w:r>
              <w:rPr>
                <w:rFonts w:hint="eastAsia" w:ascii="宋体" w:hAnsi="宋体" w:cs="宋体"/>
                <w:kern w:val="0"/>
                <w:sz w:val="20"/>
                <w:szCs w:val="20"/>
              </w:rPr>
              <w:t>2.采用吊装组合线阵设计，允≥许0-8度范围调整音箱覆盖区域。专业吊挂件组合。</w:t>
            </w:r>
            <w:r>
              <w:rPr>
                <w:rFonts w:hint="eastAsia" w:ascii="宋体" w:hAnsi="宋体" w:cs="宋体"/>
                <w:kern w:val="0"/>
                <w:sz w:val="20"/>
                <w:szCs w:val="20"/>
              </w:rPr>
              <w:br w:type="textWrapping"/>
            </w:r>
            <w:r>
              <w:rPr>
                <w:rFonts w:hint="eastAsia" w:ascii="宋体" w:hAnsi="宋体" w:cs="宋体"/>
                <w:kern w:val="0"/>
                <w:sz w:val="20"/>
                <w:szCs w:val="20"/>
              </w:rPr>
              <w:t>3.功率≥700W；标称阻抗：≤8Ω。</w:t>
            </w:r>
            <w:r>
              <w:rPr>
                <w:rFonts w:hint="eastAsia" w:ascii="宋体" w:hAnsi="宋体" w:cs="宋体"/>
                <w:kern w:val="0"/>
                <w:sz w:val="20"/>
                <w:szCs w:val="20"/>
              </w:rPr>
              <w:br w:type="textWrapping"/>
            </w:r>
            <w:r>
              <w:rPr>
                <w:rFonts w:hint="eastAsia" w:ascii="宋体" w:hAnsi="宋体" w:cs="宋体"/>
                <w:kern w:val="0"/>
                <w:sz w:val="20"/>
                <w:szCs w:val="20"/>
              </w:rPr>
              <w:t>4.频率范围≥60Hz-20kHz，灵敏度≥104dB (1M/1W )。</w:t>
            </w:r>
            <w:r>
              <w:rPr>
                <w:rFonts w:hint="eastAsia" w:ascii="宋体" w:hAnsi="宋体" w:cs="宋体"/>
                <w:kern w:val="0"/>
                <w:sz w:val="20"/>
                <w:szCs w:val="20"/>
              </w:rPr>
              <w:br w:type="textWrapping"/>
            </w:r>
            <w:r>
              <w:rPr>
                <w:rFonts w:hint="eastAsia" w:ascii="宋体" w:hAnsi="宋体" w:cs="宋体"/>
                <w:kern w:val="0"/>
                <w:sz w:val="20"/>
                <w:szCs w:val="20"/>
              </w:rPr>
              <w:t>5.低频扬声器：≥10" x 2，高频扬声器：≥75mm（3"）压缩驱动器×1，水平覆盖角(-6dB)≥110°；垂直覆盖角(-6dB)≥10°。</w:t>
            </w:r>
          </w:p>
        </w:tc>
        <w:tc>
          <w:tcPr>
            <w:tcW w:w="981" w:type="dxa"/>
            <w:tcBorders>
              <w:top w:val="nil"/>
              <w:left w:val="nil"/>
              <w:bottom w:val="single" w:color="auto" w:sz="4" w:space="0"/>
              <w:right w:val="single" w:color="auto" w:sz="4" w:space="0"/>
            </w:tcBorders>
            <w:shd w:val="clear" w:color="auto" w:fill="auto"/>
            <w:vAlign w:val="center"/>
          </w:tcPr>
          <w:p w14:paraId="5EFCF159">
            <w:pPr>
              <w:widowControl/>
              <w:jc w:val="center"/>
              <w:rPr>
                <w:rFonts w:hint="eastAsia" w:ascii="宋体" w:hAnsi="宋体" w:cs="宋体"/>
                <w:kern w:val="0"/>
                <w:sz w:val="20"/>
                <w:szCs w:val="20"/>
              </w:rPr>
            </w:pPr>
            <w:r>
              <w:rPr>
                <w:rFonts w:hint="eastAsia" w:ascii="宋体" w:hAnsi="宋体" w:cs="宋体"/>
                <w:kern w:val="0"/>
                <w:sz w:val="20"/>
                <w:szCs w:val="20"/>
              </w:rPr>
              <w:t>只</w:t>
            </w:r>
          </w:p>
        </w:tc>
        <w:tc>
          <w:tcPr>
            <w:tcW w:w="1177" w:type="dxa"/>
            <w:tcBorders>
              <w:top w:val="nil"/>
              <w:left w:val="nil"/>
              <w:bottom w:val="single" w:color="auto" w:sz="4" w:space="0"/>
              <w:right w:val="single" w:color="auto" w:sz="4" w:space="0"/>
            </w:tcBorders>
            <w:shd w:val="clear" w:color="auto" w:fill="auto"/>
            <w:noWrap/>
            <w:vAlign w:val="center"/>
          </w:tcPr>
          <w:p w14:paraId="0B51B8A7">
            <w:pPr>
              <w:widowControl/>
              <w:jc w:val="center"/>
              <w:rPr>
                <w:rFonts w:hint="eastAsia" w:ascii="宋体" w:hAnsi="宋体" w:cs="宋体"/>
                <w:kern w:val="0"/>
                <w:sz w:val="20"/>
                <w:szCs w:val="20"/>
              </w:rPr>
            </w:pPr>
            <w:r>
              <w:rPr>
                <w:rFonts w:hint="eastAsia" w:ascii="宋体" w:hAnsi="宋体" w:cs="宋体"/>
                <w:kern w:val="0"/>
                <w:sz w:val="20"/>
                <w:szCs w:val="20"/>
              </w:rPr>
              <w:t>8</w:t>
            </w:r>
          </w:p>
        </w:tc>
      </w:tr>
      <w:tr w14:paraId="1A88C77D">
        <w:tblPrEx>
          <w:tblCellMar>
            <w:top w:w="0" w:type="dxa"/>
            <w:left w:w="108" w:type="dxa"/>
            <w:bottom w:w="0" w:type="dxa"/>
            <w:right w:w="108" w:type="dxa"/>
          </w:tblCellMar>
        </w:tblPrEx>
        <w:trPr>
          <w:trHeight w:val="130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7A3A91B7">
            <w:pPr>
              <w:widowControl/>
              <w:jc w:val="center"/>
              <w:rPr>
                <w:rFonts w:hint="eastAsia" w:ascii="宋体" w:hAnsi="宋体" w:cs="宋体"/>
                <w:kern w:val="0"/>
                <w:sz w:val="20"/>
                <w:szCs w:val="20"/>
              </w:rPr>
            </w:pPr>
            <w:r>
              <w:rPr>
                <w:rFonts w:hint="eastAsia" w:ascii="宋体" w:hAnsi="宋体" w:cs="宋体"/>
                <w:kern w:val="0"/>
                <w:sz w:val="20"/>
                <w:szCs w:val="20"/>
              </w:rPr>
              <w:t>58</w:t>
            </w:r>
          </w:p>
        </w:tc>
        <w:tc>
          <w:tcPr>
            <w:tcW w:w="1325" w:type="dxa"/>
            <w:tcBorders>
              <w:top w:val="nil"/>
              <w:left w:val="nil"/>
              <w:bottom w:val="single" w:color="auto" w:sz="4" w:space="0"/>
              <w:right w:val="single" w:color="auto" w:sz="4" w:space="0"/>
            </w:tcBorders>
            <w:shd w:val="clear" w:color="auto" w:fill="auto"/>
            <w:vAlign w:val="center"/>
          </w:tcPr>
          <w:p w14:paraId="4C5C5B56">
            <w:pPr>
              <w:widowControl/>
              <w:jc w:val="left"/>
              <w:rPr>
                <w:rFonts w:hint="eastAsia" w:ascii="宋体" w:hAnsi="宋体" w:cs="宋体"/>
                <w:kern w:val="0"/>
                <w:sz w:val="20"/>
                <w:szCs w:val="20"/>
              </w:rPr>
            </w:pPr>
            <w:r>
              <w:rPr>
                <w:rFonts w:hint="eastAsia" w:ascii="宋体" w:hAnsi="宋体" w:cs="宋体"/>
                <w:kern w:val="0"/>
                <w:sz w:val="20"/>
                <w:szCs w:val="20"/>
              </w:rPr>
              <w:t>支架</w:t>
            </w:r>
          </w:p>
        </w:tc>
        <w:tc>
          <w:tcPr>
            <w:tcW w:w="3515" w:type="dxa"/>
            <w:tcBorders>
              <w:top w:val="nil"/>
              <w:left w:val="nil"/>
              <w:bottom w:val="single" w:color="auto" w:sz="4" w:space="0"/>
              <w:right w:val="single" w:color="auto" w:sz="4" w:space="0"/>
            </w:tcBorders>
            <w:shd w:val="clear" w:color="auto" w:fill="auto"/>
            <w:vAlign w:val="center"/>
          </w:tcPr>
          <w:p w14:paraId="716C480E">
            <w:pPr>
              <w:widowControl/>
              <w:jc w:val="left"/>
              <w:rPr>
                <w:rFonts w:hint="eastAsia" w:ascii="宋体" w:hAnsi="宋体" w:cs="宋体"/>
                <w:kern w:val="0"/>
                <w:sz w:val="20"/>
                <w:szCs w:val="20"/>
              </w:rPr>
            </w:pPr>
            <w:r>
              <w:rPr>
                <w:rFonts w:hint="eastAsia" w:ascii="宋体" w:hAnsi="宋体" w:cs="宋体"/>
                <w:kern w:val="0"/>
                <w:sz w:val="20"/>
                <w:szCs w:val="20"/>
              </w:rPr>
              <w:t>1.标配长度：≥6米；包含：葫芦架1套。承重：≥2T。</w:t>
            </w:r>
            <w:r>
              <w:rPr>
                <w:rFonts w:hint="eastAsia" w:ascii="宋体" w:hAnsi="宋体" w:cs="宋体"/>
                <w:kern w:val="0"/>
                <w:sz w:val="20"/>
                <w:szCs w:val="20"/>
              </w:rPr>
              <w:br w:type="textWrapping"/>
            </w:r>
            <w:r>
              <w:rPr>
                <w:rFonts w:hint="eastAsia" w:ascii="宋体" w:hAnsi="宋体" w:cs="宋体"/>
                <w:kern w:val="0"/>
                <w:sz w:val="20"/>
                <w:szCs w:val="20"/>
              </w:rPr>
              <w:t>2.材质：国标G80级锰钢；外壳：加厚合金钢。</w:t>
            </w:r>
            <w:r>
              <w:rPr>
                <w:rFonts w:hint="eastAsia" w:ascii="宋体" w:hAnsi="宋体" w:cs="宋体"/>
                <w:kern w:val="0"/>
                <w:sz w:val="20"/>
                <w:szCs w:val="20"/>
              </w:rPr>
              <w:br w:type="textWrapping"/>
            </w:r>
            <w:r>
              <w:rPr>
                <w:rFonts w:hint="eastAsia" w:ascii="宋体" w:hAnsi="宋体" w:cs="宋体"/>
                <w:kern w:val="0"/>
                <w:sz w:val="20"/>
                <w:szCs w:val="20"/>
              </w:rPr>
              <w:t>3.表面处理：淬火工艺+镀锌；颜色：黄色+红色。</w:t>
            </w:r>
            <w:r>
              <w:rPr>
                <w:rFonts w:hint="eastAsia" w:ascii="宋体" w:hAnsi="宋体" w:cs="宋体"/>
                <w:kern w:val="0"/>
                <w:sz w:val="20"/>
                <w:szCs w:val="20"/>
              </w:rPr>
              <w:br w:type="textWrapping"/>
            </w:r>
            <w:r>
              <w:rPr>
                <w:rFonts w:hint="eastAsia" w:ascii="宋体" w:hAnsi="宋体" w:cs="宋体"/>
                <w:kern w:val="0"/>
                <w:sz w:val="20"/>
                <w:szCs w:val="20"/>
              </w:rPr>
              <w:t>4.链条破断应力：≥800Mpa。</w:t>
            </w:r>
            <w:r>
              <w:rPr>
                <w:rFonts w:hint="eastAsia" w:ascii="宋体" w:hAnsi="宋体" w:cs="宋体"/>
                <w:kern w:val="0"/>
                <w:sz w:val="20"/>
                <w:szCs w:val="20"/>
              </w:rPr>
              <w:br w:type="textWrapping"/>
            </w:r>
            <w:r>
              <w:rPr>
                <w:rFonts w:hint="eastAsia" w:ascii="宋体" w:hAnsi="宋体" w:cs="宋体"/>
                <w:kern w:val="0"/>
                <w:sz w:val="20"/>
                <w:szCs w:val="20"/>
              </w:rPr>
              <w:t>5.刹车系统：双重干式；轴承：滚针轴承。</w:t>
            </w:r>
          </w:p>
        </w:tc>
        <w:tc>
          <w:tcPr>
            <w:tcW w:w="981" w:type="dxa"/>
            <w:tcBorders>
              <w:top w:val="nil"/>
              <w:left w:val="nil"/>
              <w:bottom w:val="single" w:color="auto" w:sz="4" w:space="0"/>
              <w:right w:val="single" w:color="auto" w:sz="4" w:space="0"/>
            </w:tcBorders>
            <w:shd w:val="clear" w:color="auto" w:fill="auto"/>
            <w:vAlign w:val="center"/>
          </w:tcPr>
          <w:p w14:paraId="285B0BB7">
            <w:pPr>
              <w:widowControl/>
              <w:jc w:val="center"/>
              <w:rPr>
                <w:rFonts w:hint="eastAsia" w:ascii="宋体" w:hAnsi="宋体" w:cs="宋体"/>
                <w:kern w:val="0"/>
                <w:sz w:val="20"/>
                <w:szCs w:val="20"/>
              </w:rPr>
            </w:pPr>
            <w:r>
              <w:rPr>
                <w:rFonts w:hint="eastAsia" w:ascii="宋体" w:hAnsi="宋体" w:cs="宋体"/>
                <w:kern w:val="0"/>
                <w:sz w:val="20"/>
                <w:szCs w:val="20"/>
              </w:rPr>
              <w:t>套</w:t>
            </w:r>
          </w:p>
        </w:tc>
        <w:tc>
          <w:tcPr>
            <w:tcW w:w="1177" w:type="dxa"/>
            <w:tcBorders>
              <w:top w:val="nil"/>
              <w:left w:val="nil"/>
              <w:bottom w:val="single" w:color="auto" w:sz="4" w:space="0"/>
              <w:right w:val="single" w:color="auto" w:sz="4" w:space="0"/>
            </w:tcBorders>
            <w:shd w:val="clear" w:color="auto" w:fill="auto"/>
            <w:noWrap/>
            <w:vAlign w:val="center"/>
          </w:tcPr>
          <w:p w14:paraId="45078A0D">
            <w:pPr>
              <w:widowControl/>
              <w:jc w:val="center"/>
              <w:rPr>
                <w:rFonts w:hint="eastAsia" w:ascii="宋体" w:hAnsi="宋体" w:cs="宋体"/>
                <w:kern w:val="0"/>
                <w:sz w:val="20"/>
                <w:szCs w:val="20"/>
              </w:rPr>
            </w:pPr>
            <w:r>
              <w:rPr>
                <w:rFonts w:hint="eastAsia" w:ascii="宋体" w:hAnsi="宋体" w:cs="宋体"/>
                <w:kern w:val="0"/>
                <w:sz w:val="20"/>
                <w:szCs w:val="20"/>
              </w:rPr>
              <w:t>2</w:t>
            </w:r>
          </w:p>
        </w:tc>
      </w:tr>
      <w:tr w14:paraId="3ACBB2E5">
        <w:tblPrEx>
          <w:tblCellMar>
            <w:top w:w="0" w:type="dxa"/>
            <w:left w:w="108" w:type="dxa"/>
            <w:bottom w:w="0" w:type="dxa"/>
            <w:right w:w="108" w:type="dxa"/>
          </w:tblCellMar>
        </w:tblPrEx>
        <w:trPr>
          <w:trHeight w:val="28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27395436">
            <w:pPr>
              <w:widowControl/>
              <w:jc w:val="center"/>
              <w:rPr>
                <w:rFonts w:hint="eastAsia" w:ascii="宋体" w:hAnsi="宋体" w:cs="宋体"/>
                <w:kern w:val="0"/>
                <w:sz w:val="20"/>
                <w:szCs w:val="20"/>
              </w:rPr>
            </w:pPr>
            <w:r>
              <w:rPr>
                <w:rFonts w:hint="eastAsia" w:ascii="宋体" w:hAnsi="宋体" w:cs="宋体"/>
                <w:kern w:val="0"/>
                <w:sz w:val="20"/>
                <w:szCs w:val="20"/>
              </w:rPr>
              <w:t>59</w:t>
            </w:r>
          </w:p>
        </w:tc>
        <w:tc>
          <w:tcPr>
            <w:tcW w:w="1325" w:type="dxa"/>
            <w:tcBorders>
              <w:top w:val="nil"/>
              <w:left w:val="nil"/>
              <w:bottom w:val="single" w:color="auto" w:sz="4" w:space="0"/>
              <w:right w:val="single" w:color="auto" w:sz="4" w:space="0"/>
            </w:tcBorders>
            <w:shd w:val="clear" w:color="auto" w:fill="auto"/>
            <w:vAlign w:val="center"/>
          </w:tcPr>
          <w:p w14:paraId="51F7316E">
            <w:pPr>
              <w:widowControl/>
              <w:jc w:val="left"/>
              <w:rPr>
                <w:rFonts w:hint="eastAsia" w:ascii="宋体" w:hAnsi="宋体" w:cs="宋体"/>
                <w:kern w:val="0"/>
                <w:sz w:val="20"/>
                <w:szCs w:val="20"/>
              </w:rPr>
            </w:pPr>
            <w:r>
              <w:rPr>
                <w:rFonts w:hint="eastAsia" w:ascii="宋体" w:hAnsi="宋体" w:cs="宋体"/>
                <w:kern w:val="0"/>
                <w:sz w:val="20"/>
                <w:szCs w:val="20"/>
              </w:rPr>
              <w:t>支架</w:t>
            </w:r>
          </w:p>
        </w:tc>
        <w:tc>
          <w:tcPr>
            <w:tcW w:w="3515" w:type="dxa"/>
            <w:tcBorders>
              <w:top w:val="nil"/>
              <w:left w:val="nil"/>
              <w:bottom w:val="single" w:color="auto" w:sz="4" w:space="0"/>
              <w:right w:val="single" w:color="auto" w:sz="4" w:space="0"/>
            </w:tcBorders>
            <w:shd w:val="clear" w:color="auto" w:fill="auto"/>
            <w:vAlign w:val="center"/>
          </w:tcPr>
          <w:p w14:paraId="4461E93E">
            <w:pPr>
              <w:widowControl/>
              <w:jc w:val="left"/>
              <w:rPr>
                <w:rFonts w:hint="eastAsia" w:ascii="宋体" w:hAnsi="宋体" w:cs="宋体"/>
                <w:kern w:val="0"/>
                <w:sz w:val="20"/>
                <w:szCs w:val="20"/>
              </w:rPr>
            </w:pPr>
            <w:r>
              <w:rPr>
                <w:rFonts w:hint="eastAsia" w:ascii="宋体" w:hAnsi="宋体" w:cs="宋体"/>
                <w:kern w:val="0"/>
                <w:sz w:val="20"/>
                <w:szCs w:val="20"/>
              </w:rPr>
              <w:t>线阵音箱支架</w:t>
            </w:r>
          </w:p>
        </w:tc>
        <w:tc>
          <w:tcPr>
            <w:tcW w:w="981" w:type="dxa"/>
            <w:tcBorders>
              <w:top w:val="nil"/>
              <w:left w:val="nil"/>
              <w:bottom w:val="single" w:color="auto" w:sz="4" w:space="0"/>
              <w:right w:val="single" w:color="auto" w:sz="4" w:space="0"/>
            </w:tcBorders>
            <w:shd w:val="clear" w:color="auto" w:fill="auto"/>
            <w:vAlign w:val="center"/>
          </w:tcPr>
          <w:p w14:paraId="0AA71EE9">
            <w:pPr>
              <w:widowControl/>
              <w:jc w:val="center"/>
              <w:rPr>
                <w:rFonts w:hint="eastAsia" w:ascii="宋体" w:hAnsi="宋体" w:cs="宋体"/>
                <w:kern w:val="0"/>
                <w:sz w:val="20"/>
                <w:szCs w:val="20"/>
              </w:rPr>
            </w:pPr>
            <w:r>
              <w:rPr>
                <w:rFonts w:hint="eastAsia" w:ascii="宋体" w:hAnsi="宋体" w:cs="宋体"/>
                <w:kern w:val="0"/>
                <w:sz w:val="20"/>
                <w:szCs w:val="20"/>
              </w:rPr>
              <w:t>套</w:t>
            </w:r>
          </w:p>
        </w:tc>
        <w:tc>
          <w:tcPr>
            <w:tcW w:w="1177" w:type="dxa"/>
            <w:tcBorders>
              <w:top w:val="nil"/>
              <w:left w:val="nil"/>
              <w:bottom w:val="single" w:color="auto" w:sz="4" w:space="0"/>
              <w:right w:val="single" w:color="auto" w:sz="4" w:space="0"/>
            </w:tcBorders>
            <w:shd w:val="clear" w:color="auto" w:fill="auto"/>
            <w:noWrap/>
            <w:vAlign w:val="center"/>
          </w:tcPr>
          <w:p w14:paraId="551C93D0">
            <w:pPr>
              <w:widowControl/>
              <w:jc w:val="center"/>
              <w:rPr>
                <w:rFonts w:hint="eastAsia" w:ascii="宋体" w:hAnsi="宋体" w:cs="宋体"/>
                <w:kern w:val="0"/>
                <w:sz w:val="20"/>
                <w:szCs w:val="20"/>
              </w:rPr>
            </w:pPr>
            <w:r>
              <w:rPr>
                <w:rFonts w:hint="eastAsia" w:ascii="宋体" w:hAnsi="宋体" w:cs="宋体"/>
                <w:kern w:val="0"/>
                <w:sz w:val="20"/>
                <w:szCs w:val="20"/>
              </w:rPr>
              <w:t>2</w:t>
            </w:r>
          </w:p>
        </w:tc>
      </w:tr>
      <w:tr w14:paraId="43B4BCF8">
        <w:tblPrEx>
          <w:tblCellMar>
            <w:top w:w="0" w:type="dxa"/>
            <w:left w:w="108" w:type="dxa"/>
            <w:bottom w:w="0" w:type="dxa"/>
            <w:right w:w="108" w:type="dxa"/>
          </w:tblCellMar>
        </w:tblPrEx>
        <w:trPr>
          <w:trHeight w:val="208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6383956C">
            <w:pPr>
              <w:widowControl/>
              <w:jc w:val="center"/>
              <w:rPr>
                <w:rFonts w:hint="eastAsia" w:ascii="宋体" w:hAnsi="宋体" w:cs="宋体"/>
                <w:kern w:val="0"/>
                <w:sz w:val="20"/>
                <w:szCs w:val="20"/>
              </w:rPr>
            </w:pPr>
            <w:r>
              <w:rPr>
                <w:rFonts w:hint="eastAsia" w:ascii="宋体" w:hAnsi="宋体" w:cs="宋体"/>
                <w:kern w:val="0"/>
                <w:sz w:val="20"/>
                <w:szCs w:val="20"/>
              </w:rPr>
              <w:t>60</w:t>
            </w:r>
          </w:p>
        </w:tc>
        <w:tc>
          <w:tcPr>
            <w:tcW w:w="1325" w:type="dxa"/>
            <w:tcBorders>
              <w:top w:val="nil"/>
              <w:left w:val="nil"/>
              <w:bottom w:val="single" w:color="auto" w:sz="4" w:space="0"/>
              <w:right w:val="single" w:color="auto" w:sz="4" w:space="0"/>
            </w:tcBorders>
            <w:shd w:val="clear" w:color="auto" w:fill="auto"/>
            <w:vAlign w:val="center"/>
          </w:tcPr>
          <w:p w14:paraId="26546E5B">
            <w:pPr>
              <w:widowControl/>
              <w:jc w:val="left"/>
              <w:rPr>
                <w:rFonts w:hint="eastAsia" w:ascii="宋体" w:hAnsi="宋体" w:cs="宋体"/>
                <w:kern w:val="0"/>
                <w:sz w:val="20"/>
                <w:szCs w:val="20"/>
              </w:rPr>
            </w:pPr>
            <w:r>
              <w:rPr>
                <w:rFonts w:hint="eastAsia" w:ascii="宋体" w:hAnsi="宋体" w:cs="宋体"/>
                <w:kern w:val="0"/>
                <w:sz w:val="20"/>
                <w:szCs w:val="20"/>
              </w:rPr>
              <w:t>专业功放</w:t>
            </w:r>
          </w:p>
        </w:tc>
        <w:tc>
          <w:tcPr>
            <w:tcW w:w="3515" w:type="dxa"/>
            <w:tcBorders>
              <w:top w:val="nil"/>
              <w:left w:val="nil"/>
              <w:bottom w:val="single" w:color="auto" w:sz="4" w:space="0"/>
              <w:right w:val="single" w:color="auto" w:sz="4" w:space="0"/>
            </w:tcBorders>
            <w:shd w:val="clear" w:color="auto" w:fill="auto"/>
            <w:vAlign w:val="center"/>
          </w:tcPr>
          <w:p w14:paraId="06D032FA">
            <w:pPr>
              <w:widowControl/>
              <w:jc w:val="left"/>
              <w:rPr>
                <w:rFonts w:hint="eastAsia" w:ascii="宋体" w:hAnsi="宋体" w:cs="宋体"/>
                <w:kern w:val="0"/>
                <w:sz w:val="20"/>
                <w:szCs w:val="20"/>
              </w:rPr>
            </w:pPr>
            <w:r>
              <w:rPr>
                <w:rFonts w:hint="eastAsia" w:ascii="宋体" w:hAnsi="宋体" w:cs="宋体"/>
                <w:kern w:val="0"/>
                <w:sz w:val="20"/>
                <w:szCs w:val="20"/>
              </w:rPr>
              <w:t>1.1U机箱设计，采用D类数字功放设计方案。</w:t>
            </w:r>
            <w:r>
              <w:rPr>
                <w:rFonts w:hint="eastAsia" w:ascii="宋体" w:hAnsi="宋体" w:cs="宋体"/>
                <w:kern w:val="0"/>
                <w:sz w:val="20"/>
                <w:szCs w:val="20"/>
              </w:rPr>
              <w:br w:type="textWrapping"/>
            </w:r>
            <w:r>
              <w:rPr>
                <w:rFonts w:hint="eastAsia" w:ascii="宋体" w:hAnsi="宋体" w:cs="宋体"/>
                <w:kern w:val="0"/>
                <w:sz w:val="20"/>
                <w:szCs w:val="20"/>
              </w:rPr>
              <w:t>2.标准XLR输入接口，和LINK输出口。</w:t>
            </w:r>
            <w:r>
              <w:rPr>
                <w:rFonts w:hint="eastAsia" w:ascii="宋体" w:hAnsi="宋体" w:cs="宋体"/>
                <w:kern w:val="0"/>
                <w:sz w:val="20"/>
                <w:szCs w:val="20"/>
              </w:rPr>
              <w:br w:type="textWrapping"/>
            </w:r>
            <w:r>
              <w:rPr>
                <w:rFonts w:hint="eastAsia" w:ascii="宋体" w:hAnsi="宋体" w:cs="宋体"/>
                <w:kern w:val="0"/>
                <w:sz w:val="20"/>
                <w:szCs w:val="20"/>
              </w:rPr>
              <w:t>3.电源采用开关电源技术，效率高，有效的抑制电源谐波。</w:t>
            </w:r>
            <w:r>
              <w:rPr>
                <w:rFonts w:hint="eastAsia" w:ascii="宋体" w:hAnsi="宋体" w:cs="宋体"/>
                <w:kern w:val="0"/>
                <w:sz w:val="20"/>
                <w:szCs w:val="20"/>
              </w:rPr>
              <w:br w:type="textWrapping"/>
            </w:r>
            <w:r>
              <w:rPr>
                <w:rFonts w:hint="eastAsia" w:ascii="宋体" w:hAnsi="宋体" w:cs="宋体"/>
                <w:kern w:val="0"/>
                <w:sz w:val="20"/>
                <w:szCs w:val="20"/>
              </w:rPr>
              <w:t xml:space="preserve">4.内置智能削峰限幅器，支持开机软启动，防止开机时向电网吸收大电流，干扰其它用电设备。 </w:t>
            </w:r>
            <w:r>
              <w:rPr>
                <w:rFonts w:hint="eastAsia" w:ascii="宋体" w:hAnsi="宋体" w:cs="宋体"/>
                <w:kern w:val="0"/>
                <w:sz w:val="20"/>
                <w:szCs w:val="20"/>
              </w:rPr>
              <w:br w:type="textWrapping"/>
            </w:r>
            <w:r>
              <w:rPr>
                <w:rFonts w:hint="eastAsia" w:ascii="宋体" w:hAnsi="宋体" w:cs="宋体"/>
                <w:kern w:val="0"/>
                <w:sz w:val="20"/>
                <w:szCs w:val="20"/>
              </w:rPr>
              <w:t>5.具有：过压保护，欠压保护，过流保护，直流保护，输出短路保护，温控风扇等功能。</w:t>
            </w:r>
            <w:r>
              <w:rPr>
                <w:rFonts w:hint="eastAsia" w:ascii="宋体" w:hAnsi="宋体" w:cs="宋体"/>
                <w:kern w:val="0"/>
                <w:sz w:val="20"/>
                <w:szCs w:val="20"/>
              </w:rPr>
              <w:br w:type="textWrapping"/>
            </w:r>
            <w:r>
              <w:rPr>
                <w:rFonts w:hint="eastAsia" w:ascii="宋体" w:hAnsi="宋体" w:cs="宋体"/>
                <w:kern w:val="0"/>
                <w:sz w:val="20"/>
                <w:szCs w:val="20"/>
              </w:rPr>
              <w:t>6.输出功率：立体声@8Ω：≥700W×2；立体声@4Ω：≥1000W×2；桥接@16Ω：≥1400W；桥接@8Ω：≥2000W</w:t>
            </w:r>
          </w:p>
        </w:tc>
        <w:tc>
          <w:tcPr>
            <w:tcW w:w="981" w:type="dxa"/>
            <w:tcBorders>
              <w:top w:val="nil"/>
              <w:left w:val="nil"/>
              <w:bottom w:val="single" w:color="auto" w:sz="4" w:space="0"/>
              <w:right w:val="single" w:color="auto" w:sz="4" w:space="0"/>
            </w:tcBorders>
            <w:shd w:val="clear" w:color="auto" w:fill="auto"/>
            <w:vAlign w:val="center"/>
          </w:tcPr>
          <w:p w14:paraId="28AFF3F8">
            <w:pPr>
              <w:widowControl/>
              <w:jc w:val="center"/>
              <w:rPr>
                <w:rFonts w:hint="eastAsia" w:ascii="宋体" w:hAnsi="宋体" w:cs="宋体"/>
                <w:kern w:val="0"/>
                <w:sz w:val="20"/>
                <w:szCs w:val="20"/>
              </w:rPr>
            </w:pPr>
            <w:r>
              <w:rPr>
                <w:rFonts w:hint="eastAsia" w:ascii="宋体" w:hAnsi="宋体" w:cs="宋体"/>
                <w:kern w:val="0"/>
                <w:sz w:val="20"/>
                <w:szCs w:val="20"/>
              </w:rPr>
              <w:t>台</w:t>
            </w:r>
          </w:p>
        </w:tc>
        <w:tc>
          <w:tcPr>
            <w:tcW w:w="1177" w:type="dxa"/>
            <w:tcBorders>
              <w:top w:val="nil"/>
              <w:left w:val="nil"/>
              <w:bottom w:val="single" w:color="auto" w:sz="4" w:space="0"/>
              <w:right w:val="single" w:color="auto" w:sz="4" w:space="0"/>
            </w:tcBorders>
            <w:shd w:val="clear" w:color="auto" w:fill="auto"/>
            <w:noWrap/>
            <w:vAlign w:val="center"/>
          </w:tcPr>
          <w:p w14:paraId="2B371C11">
            <w:pPr>
              <w:widowControl/>
              <w:jc w:val="center"/>
              <w:rPr>
                <w:rFonts w:hint="eastAsia" w:ascii="宋体" w:hAnsi="宋体" w:cs="宋体"/>
                <w:kern w:val="0"/>
                <w:sz w:val="20"/>
                <w:szCs w:val="20"/>
              </w:rPr>
            </w:pPr>
            <w:r>
              <w:rPr>
                <w:rFonts w:hint="eastAsia" w:ascii="宋体" w:hAnsi="宋体" w:cs="宋体"/>
                <w:kern w:val="0"/>
                <w:sz w:val="20"/>
                <w:szCs w:val="20"/>
              </w:rPr>
              <w:t>3</w:t>
            </w:r>
          </w:p>
        </w:tc>
      </w:tr>
      <w:tr w14:paraId="00E1B36E">
        <w:tblPrEx>
          <w:tblCellMar>
            <w:top w:w="0" w:type="dxa"/>
            <w:left w:w="108" w:type="dxa"/>
            <w:bottom w:w="0" w:type="dxa"/>
            <w:right w:w="108" w:type="dxa"/>
          </w:tblCellMar>
        </w:tblPrEx>
        <w:trPr>
          <w:trHeight w:val="156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56266A95">
            <w:pPr>
              <w:widowControl/>
              <w:jc w:val="center"/>
              <w:rPr>
                <w:rFonts w:hint="eastAsia" w:ascii="宋体" w:hAnsi="宋体" w:cs="宋体"/>
                <w:kern w:val="0"/>
                <w:sz w:val="20"/>
                <w:szCs w:val="20"/>
              </w:rPr>
            </w:pPr>
            <w:r>
              <w:rPr>
                <w:rFonts w:hint="eastAsia" w:ascii="宋体" w:hAnsi="宋体" w:cs="宋体"/>
                <w:kern w:val="0"/>
                <w:sz w:val="20"/>
                <w:szCs w:val="20"/>
              </w:rPr>
              <w:t>61</w:t>
            </w:r>
          </w:p>
        </w:tc>
        <w:tc>
          <w:tcPr>
            <w:tcW w:w="1325" w:type="dxa"/>
            <w:tcBorders>
              <w:top w:val="nil"/>
              <w:left w:val="nil"/>
              <w:bottom w:val="single" w:color="auto" w:sz="4" w:space="0"/>
              <w:right w:val="single" w:color="auto" w:sz="4" w:space="0"/>
            </w:tcBorders>
            <w:shd w:val="clear" w:color="auto" w:fill="auto"/>
            <w:vAlign w:val="center"/>
          </w:tcPr>
          <w:p w14:paraId="38DAFE63">
            <w:pPr>
              <w:widowControl/>
              <w:jc w:val="left"/>
              <w:rPr>
                <w:rFonts w:hint="eastAsia" w:ascii="宋体" w:hAnsi="宋体" w:cs="宋体"/>
                <w:kern w:val="0"/>
                <w:sz w:val="20"/>
                <w:szCs w:val="20"/>
              </w:rPr>
            </w:pPr>
            <w:r>
              <w:rPr>
                <w:rFonts w:hint="eastAsia" w:ascii="宋体" w:hAnsi="宋体" w:cs="宋体"/>
                <w:kern w:val="0"/>
                <w:sz w:val="20"/>
                <w:szCs w:val="20"/>
              </w:rPr>
              <w:t>专业音箱</w:t>
            </w:r>
          </w:p>
        </w:tc>
        <w:tc>
          <w:tcPr>
            <w:tcW w:w="3515" w:type="dxa"/>
            <w:tcBorders>
              <w:top w:val="nil"/>
              <w:left w:val="nil"/>
              <w:bottom w:val="single" w:color="auto" w:sz="4" w:space="0"/>
              <w:right w:val="single" w:color="auto" w:sz="4" w:space="0"/>
            </w:tcBorders>
            <w:shd w:val="clear" w:color="auto" w:fill="auto"/>
            <w:vAlign w:val="center"/>
          </w:tcPr>
          <w:p w14:paraId="305C9D5B">
            <w:pPr>
              <w:widowControl/>
              <w:jc w:val="left"/>
              <w:rPr>
                <w:rFonts w:hint="eastAsia" w:ascii="宋体" w:hAnsi="宋体" w:cs="宋体"/>
                <w:kern w:val="0"/>
                <w:sz w:val="20"/>
                <w:szCs w:val="20"/>
              </w:rPr>
            </w:pPr>
            <w:r>
              <w:rPr>
                <w:rFonts w:hint="eastAsia" w:ascii="宋体" w:hAnsi="宋体" w:cs="宋体"/>
                <w:kern w:val="0"/>
                <w:sz w:val="20"/>
                <w:szCs w:val="20"/>
              </w:rPr>
              <w:t>1．阻抗≤8Ω</w:t>
            </w:r>
            <w:r>
              <w:rPr>
                <w:rFonts w:hint="eastAsia" w:ascii="宋体" w:hAnsi="宋体" w:cs="宋体"/>
                <w:kern w:val="0"/>
                <w:sz w:val="20"/>
                <w:szCs w:val="20"/>
              </w:rPr>
              <w:br w:type="textWrapping"/>
            </w:r>
            <w:r>
              <w:rPr>
                <w:rFonts w:hint="eastAsia" w:ascii="宋体" w:hAnsi="宋体" w:cs="宋体"/>
                <w:kern w:val="0"/>
                <w:sz w:val="20"/>
                <w:szCs w:val="20"/>
              </w:rPr>
              <w:t>2．频响≥45Hz-20KHz</w:t>
            </w:r>
            <w:r>
              <w:rPr>
                <w:rFonts w:hint="eastAsia" w:ascii="宋体" w:hAnsi="宋体" w:cs="宋体"/>
                <w:kern w:val="0"/>
                <w:sz w:val="20"/>
                <w:szCs w:val="20"/>
              </w:rPr>
              <w:br w:type="textWrapping"/>
            </w:r>
            <w:r>
              <w:rPr>
                <w:rFonts w:hint="eastAsia" w:ascii="宋体" w:hAnsi="宋体" w:cs="宋体"/>
                <w:kern w:val="0"/>
                <w:sz w:val="20"/>
                <w:szCs w:val="20"/>
              </w:rPr>
              <w:t>3．额定功率≥400W</w:t>
            </w:r>
            <w:r>
              <w:rPr>
                <w:rFonts w:hint="eastAsia" w:ascii="宋体" w:hAnsi="宋体" w:cs="宋体"/>
                <w:kern w:val="0"/>
                <w:sz w:val="20"/>
                <w:szCs w:val="20"/>
              </w:rPr>
              <w:br w:type="textWrapping"/>
            </w:r>
            <w:r>
              <w:rPr>
                <w:rFonts w:hint="eastAsia" w:ascii="宋体" w:hAnsi="宋体" w:cs="宋体"/>
                <w:kern w:val="0"/>
                <w:sz w:val="20"/>
                <w:szCs w:val="20"/>
              </w:rPr>
              <w:t>4．灵敏度≥99dB/W/M</w:t>
            </w:r>
            <w:r>
              <w:rPr>
                <w:rFonts w:hint="eastAsia" w:ascii="宋体" w:hAnsi="宋体" w:cs="宋体"/>
                <w:kern w:val="0"/>
                <w:sz w:val="20"/>
                <w:szCs w:val="20"/>
              </w:rPr>
              <w:br w:type="textWrapping"/>
            </w:r>
            <w:r>
              <w:rPr>
                <w:rFonts w:hint="eastAsia" w:ascii="宋体" w:hAnsi="宋体" w:cs="宋体"/>
                <w:kern w:val="0"/>
                <w:sz w:val="20"/>
                <w:szCs w:val="20"/>
              </w:rPr>
              <w:t>5．水平覆盖角≥90°，垂直覆盖角≥80°</w:t>
            </w:r>
            <w:r>
              <w:rPr>
                <w:rFonts w:hint="eastAsia" w:ascii="宋体" w:hAnsi="宋体" w:cs="宋体"/>
                <w:kern w:val="0"/>
                <w:sz w:val="20"/>
                <w:szCs w:val="20"/>
              </w:rPr>
              <w:br w:type="textWrapping"/>
            </w:r>
            <w:r>
              <w:rPr>
                <w:rFonts w:hint="eastAsia" w:ascii="宋体" w:hAnsi="宋体" w:cs="宋体"/>
                <w:kern w:val="0"/>
                <w:sz w:val="20"/>
                <w:szCs w:val="20"/>
              </w:rPr>
              <w:t>6．高音≥1.7"压缩高音单元×1；低音：12"低音×1</w:t>
            </w:r>
          </w:p>
        </w:tc>
        <w:tc>
          <w:tcPr>
            <w:tcW w:w="981" w:type="dxa"/>
            <w:tcBorders>
              <w:top w:val="nil"/>
              <w:left w:val="nil"/>
              <w:bottom w:val="single" w:color="auto" w:sz="4" w:space="0"/>
              <w:right w:val="single" w:color="auto" w:sz="4" w:space="0"/>
            </w:tcBorders>
            <w:shd w:val="clear" w:color="auto" w:fill="auto"/>
            <w:vAlign w:val="center"/>
          </w:tcPr>
          <w:p w14:paraId="24B4984B">
            <w:pPr>
              <w:widowControl/>
              <w:jc w:val="center"/>
              <w:rPr>
                <w:rFonts w:hint="eastAsia" w:ascii="宋体" w:hAnsi="宋体" w:cs="宋体"/>
                <w:kern w:val="0"/>
                <w:sz w:val="20"/>
                <w:szCs w:val="20"/>
              </w:rPr>
            </w:pPr>
            <w:r>
              <w:rPr>
                <w:rFonts w:hint="eastAsia" w:ascii="宋体" w:hAnsi="宋体" w:cs="宋体"/>
                <w:kern w:val="0"/>
                <w:sz w:val="20"/>
                <w:szCs w:val="20"/>
              </w:rPr>
              <w:t>只</w:t>
            </w:r>
          </w:p>
        </w:tc>
        <w:tc>
          <w:tcPr>
            <w:tcW w:w="1177" w:type="dxa"/>
            <w:tcBorders>
              <w:top w:val="nil"/>
              <w:left w:val="nil"/>
              <w:bottom w:val="single" w:color="auto" w:sz="4" w:space="0"/>
              <w:right w:val="single" w:color="auto" w:sz="4" w:space="0"/>
            </w:tcBorders>
            <w:shd w:val="clear" w:color="auto" w:fill="auto"/>
            <w:noWrap/>
            <w:vAlign w:val="center"/>
          </w:tcPr>
          <w:p w14:paraId="6E57E249">
            <w:pPr>
              <w:widowControl/>
              <w:jc w:val="center"/>
              <w:rPr>
                <w:rFonts w:hint="eastAsia" w:ascii="宋体" w:hAnsi="宋体" w:cs="宋体"/>
                <w:kern w:val="0"/>
                <w:sz w:val="20"/>
                <w:szCs w:val="20"/>
              </w:rPr>
            </w:pPr>
            <w:r>
              <w:rPr>
                <w:rFonts w:hint="eastAsia" w:ascii="宋体" w:hAnsi="宋体" w:cs="宋体"/>
                <w:kern w:val="0"/>
                <w:sz w:val="20"/>
                <w:szCs w:val="20"/>
              </w:rPr>
              <w:t>6</w:t>
            </w:r>
          </w:p>
        </w:tc>
      </w:tr>
      <w:tr w14:paraId="415FC06F">
        <w:tblPrEx>
          <w:tblCellMar>
            <w:top w:w="0" w:type="dxa"/>
            <w:left w:w="108" w:type="dxa"/>
            <w:bottom w:w="0" w:type="dxa"/>
            <w:right w:w="108" w:type="dxa"/>
          </w:tblCellMar>
        </w:tblPrEx>
        <w:trPr>
          <w:trHeight w:val="28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7E16B35C">
            <w:pPr>
              <w:widowControl/>
              <w:jc w:val="center"/>
              <w:rPr>
                <w:rFonts w:hint="eastAsia" w:ascii="宋体" w:hAnsi="宋体" w:cs="宋体"/>
                <w:kern w:val="0"/>
                <w:sz w:val="20"/>
                <w:szCs w:val="20"/>
              </w:rPr>
            </w:pPr>
            <w:r>
              <w:rPr>
                <w:rFonts w:hint="eastAsia" w:ascii="宋体" w:hAnsi="宋体" w:cs="宋体"/>
                <w:kern w:val="0"/>
                <w:sz w:val="20"/>
                <w:szCs w:val="20"/>
              </w:rPr>
              <w:t>62</w:t>
            </w:r>
          </w:p>
        </w:tc>
        <w:tc>
          <w:tcPr>
            <w:tcW w:w="1325" w:type="dxa"/>
            <w:tcBorders>
              <w:top w:val="nil"/>
              <w:left w:val="nil"/>
              <w:bottom w:val="single" w:color="auto" w:sz="4" w:space="0"/>
              <w:right w:val="single" w:color="auto" w:sz="4" w:space="0"/>
            </w:tcBorders>
            <w:shd w:val="clear" w:color="auto" w:fill="auto"/>
            <w:vAlign w:val="center"/>
          </w:tcPr>
          <w:p w14:paraId="269FABA8">
            <w:pPr>
              <w:widowControl/>
              <w:jc w:val="left"/>
              <w:rPr>
                <w:rFonts w:hint="eastAsia" w:ascii="宋体" w:hAnsi="宋体" w:cs="宋体"/>
                <w:kern w:val="0"/>
                <w:sz w:val="20"/>
                <w:szCs w:val="20"/>
              </w:rPr>
            </w:pPr>
            <w:r>
              <w:rPr>
                <w:rFonts w:hint="eastAsia" w:ascii="宋体" w:hAnsi="宋体" w:cs="宋体"/>
                <w:kern w:val="0"/>
                <w:sz w:val="20"/>
                <w:szCs w:val="20"/>
              </w:rPr>
              <w:t>支架</w:t>
            </w:r>
          </w:p>
        </w:tc>
        <w:tc>
          <w:tcPr>
            <w:tcW w:w="3515" w:type="dxa"/>
            <w:tcBorders>
              <w:top w:val="nil"/>
              <w:left w:val="nil"/>
              <w:bottom w:val="single" w:color="auto" w:sz="4" w:space="0"/>
              <w:right w:val="single" w:color="auto" w:sz="4" w:space="0"/>
            </w:tcBorders>
            <w:shd w:val="clear" w:color="auto" w:fill="auto"/>
            <w:vAlign w:val="center"/>
          </w:tcPr>
          <w:p w14:paraId="1DE51E0E">
            <w:pPr>
              <w:widowControl/>
              <w:jc w:val="left"/>
              <w:rPr>
                <w:rFonts w:hint="eastAsia" w:ascii="宋体" w:hAnsi="宋体" w:cs="宋体"/>
                <w:kern w:val="0"/>
                <w:sz w:val="20"/>
                <w:szCs w:val="20"/>
              </w:rPr>
            </w:pPr>
            <w:r>
              <w:rPr>
                <w:rFonts w:hint="eastAsia" w:ascii="宋体" w:hAnsi="宋体" w:cs="宋体"/>
                <w:kern w:val="0"/>
                <w:sz w:val="20"/>
                <w:szCs w:val="20"/>
              </w:rPr>
              <w:t>音箱支架</w:t>
            </w:r>
          </w:p>
        </w:tc>
        <w:tc>
          <w:tcPr>
            <w:tcW w:w="981" w:type="dxa"/>
            <w:tcBorders>
              <w:top w:val="nil"/>
              <w:left w:val="nil"/>
              <w:bottom w:val="single" w:color="auto" w:sz="4" w:space="0"/>
              <w:right w:val="single" w:color="auto" w:sz="4" w:space="0"/>
            </w:tcBorders>
            <w:shd w:val="clear" w:color="auto" w:fill="auto"/>
            <w:vAlign w:val="center"/>
          </w:tcPr>
          <w:p w14:paraId="07AFE518">
            <w:pPr>
              <w:widowControl/>
              <w:jc w:val="center"/>
              <w:rPr>
                <w:rFonts w:hint="eastAsia" w:ascii="宋体" w:hAnsi="宋体" w:cs="宋体"/>
                <w:kern w:val="0"/>
                <w:sz w:val="20"/>
                <w:szCs w:val="20"/>
              </w:rPr>
            </w:pPr>
            <w:r>
              <w:rPr>
                <w:rFonts w:hint="eastAsia" w:ascii="宋体" w:hAnsi="宋体" w:cs="宋体"/>
                <w:kern w:val="0"/>
                <w:sz w:val="20"/>
                <w:szCs w:val="20"/>
              </w:rPr>
              <w:t>只</w:t>
            </w:r>
          </w:p>
        </w:tc>
        <w:tc>
          <w:tcPr>
            <w:tcW w:w="1177" w:type="dxa"/>
            <w:tcBorders>
              <w:top w:val="nil"/>
              <w:left w:val="nil"/>
              <w:bottom w:val="single" w:color="auto" w:sz="4" w:space="0"/>
              <w:right w:val="single" w:color="auto" w:sz="4" w:space="0"/>
            </w:tcBorders>
            <w:shd w:val="clear" w:color="auto" w:fill="auto"/>
            <w:noWrap/>
            <w:vAlign w:val="center"/>
          </w:tcPr>
          <w:p w14:paraId="0DDDBE6C">
            <w:pPr>
              <w:widowControl/>
              <w:jc w:val="center"/>
              <w:rPr>
                <w:rFonts w:hint="eastAsia" w:ascii="宋体" w:hAnsi="宋体" w:cs="宋体"/>
                <w:kern w:val="0"/>
                <w:sz w:val="20"/>
                <w:szCs w:val="20"/>
              </w:rPr>
            </w:pPr>
            <w:r>
              <w:rPr>
                <w:rFonts w:hint="eastAsia" w:ascii="宋体" w:hAnsi="宋体" w:cs="宋体"/>
                <w:kern w:val="0"/>
                <w:sz w:val="20"/>
                <w:szCs w:val="20"/>
              </w:rPr>
              <w:t>6</w:t>
            </w:r>
          </w:p>
        </w:tc>
      </w:tr>
      <w:tr w14:paraId="2B7AEA13">
        <w:tblPrEx>
          <w:tblCellMar>
            <w:top w:w="0" w:type="dxa"/>
            <w:left w:w="108" w:type="dxa"/>
            <w:bottom w:w="0" w:type="dxa"/>
            <w:right w:w="108" w:type="dxa"/>
          </w:tblCellMar>
        </w:tblPrEx>
        <w:trPr>
          <w:trHeight w:val="76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4EEEF64E">
            <w:pPr>
              <w:widowControl/>
              <w:jc w:val="center"/>
              <w:rPr>
                <w:rFonts w:hint="eastAsia" w:ascii="宋体" w:hAnsi="宋体" w:cs="宋体"/>
                <w:kern w:val="0"/>
                <w:sz w:val="20"/>
                <w:szCs w:val="20"/>
              </w:rPr>
            </w:pPr>
            <w:r>
              <w:rPr>
                <w:rFonts w:hint="eastAsia" w:ascii="宋体" w:hAnsi="宋体" w:cs="宋体"/>
                <w:kern w:val="0"/>
                <w:sz w:val="20"/>
                <w:szCs w:val="20"/>
              </w:rPr>
              <w:t>63</w:t>
            </w:r>
          </w:p>
        </w:tc>
        <w:tc>
          <w:tcPr>
            <w:tcW w:w="1325" w:type="dxa"/>
            <w:tcBorders>
              <w:top w:val="nil"/>
              <w:left w:val="nil"/>
              <w:bottom w:val="single" w:color="auto" w:sz="4" w:space="0"/>
              <w:right w:val="single" w:color="auto" w:sz="4" w:space="0"/>
            </w:tcBorders>
            <w:shd w:val="clear" w:color="auto" w:fill="auto"/>
            <w:vAlign w:val="center"/>
          </w:tcPr>
          <w:p w14:paraId="1F694CE3">
            <w:pPr>
              <w:widowControl/>
              <w:jc w:val="left"/>
              <w:rPr>
                <w:rFonts w:hint="eastAsia" w:ascii="宋体" w:hAnsi="宋体" w:cs="宋体"/>
                <w:kern w:val="0"/>
                <w:sz w:val="20"/>
                <w:szCs w:val="20"/>
              </w:rPr>
            </w:pPr>
            <w:r>
              <w:rPr>
                <w:rFonts w:hint="eastAsia" w:ascii="宋体" w:hAnsi="宋体" w:cs="宋体"/>
                <w:kern w:val="0"/>
                <w:sz w:val="20"/>
                <w:szCs w:val="20"/>
              </w:rPr>
              <w:t>无线话筒</w:t>
            </w:r>
          </w:p>
        </w:tc>
        <w:tc>
          <w:tcPr>
            <w:tcW w:w="3515" w:type="dxa"/>
            <w:tcBorders>
              <w:top w:val="nil"/>
              <w:left w:val="nil"/>
              <w:bottom w:val="single" w:color="auto" w:sz="4" w:space="0"/>
              <w:right w:val="single" w:color="auto" w:sz="4" w:space="0"/>
            </w:tcBorders>
            <w:shd w:val="clear" w:color="auto" w:fill="auto"/>
            <w:vAlign w:val="center"/>
          </w:tcPr>
          <w:p w14:paraId="6BF7DEA5">
            <w:pPr>
              <w:widowControl/>
              <w:jc w:val="left"/>
              <w:rPr>
                <w:rFonts w:hint="eastAsia" w:ascii="宋体" w:hAnsi="宋体" w:cs="宋体"/>
                <w:kern w:val="0"/>
                <w:sz w:val="20"/>
                <w:szCs w:val="20"/>
              </w:rPr>
            </w:pPr>
            <w:r>
              <w:rPr>
                <w:rFonts w:hint="eastAsia" w:ascii="宋体" w:hAnsi="宋体" w:cs="宋体"/>
                <w:kern w:val="0"/>
                <w:sz w:val="20"/>
                <w:szCs w:val="20"/>
              </w:rPr>
              <w:t>1.具有≥1台接收主机、≥双手持发射机；频率范围≥470-510MHz、540MHz-590MHz、640MHz-690MHz、807MHz-830MHz。</w:t>
            </w:r>
            <w:r>
              <w:rPr>
                <w:rFonts w:hint="eastAsia" w:ascii="宋体" w:hAnsi="宋体" w:cs="宋体"/>
                <w:kern w:val="0"/>
                <w:sz w:val="20"/>
                <w:szCs w:val="20"/>
              </w:rPr>
              <w:br w:type="textWrapping"/>
            </w:r>
            <w:r>
              <w:rPr>
                <w:rFonts w:hint="eastAsia" w:ascii="宋体" w:hAnsi="宋体" w:cs="宋体"/>
                <w:kern w:val="0"/>
                <w:sz w:val="20"/>
                <w:szCs w:val="20"/>
              </w:rPr>
              <w:t>2.接收机具有≥2路平衡输出、≥1路非平衡混音输出。</w:t>
            </w:r>
            <w:r>
              <w:rPr>
                <w:rFonts w:hint="eastAsia" w:ascii="宋体" w:hAnsi="宋体" w:cs="宋体"/>
                <w:kern w:val="0"/>
                <w:sz w:val="20"/>
                <w:szCs w:val="20"/>
              </w:rPr>
              <w:br w:type="textWrapping"/>
            </w:r>
            <w:r>
              <w:rPr>
                <w:rFonts w:hint="eastAsia" w:ascii="宋体" w:hAnsi="宋体" w:cs="宋体"/>
                <w:kern w:val="0"/>
                <w:sz w:val="20"/>
                <w:szCs w:val="20"/>
              </w:rPr>
              <w:t>3.具有自动频率扫描功能，可快速地给麦克风找到清晰的频率。</w:t>
            </w:r>
            <w:r>
              <w:rPr>
                <w:rFonts w:hint="eastAsia" w:ascii="宋体" w:hAnsi="宋体" w:cs="宋体"/>
                <w:kern w:val="0"/>
                <w:sz w:val="20"/>
                <w:szCs w:val="20"/>
              </w:rPr>
              <w:br w:type="textWrapping"/>
            </w:r>
            <w:r>
              <w:rPr>
                <w:rFonts w:hint="eastAsia" w:ascii="宋体" w:hAnsi="宋体" w:cs="宋体"/>
                <w:kern w:val="0"/>
                <w:sz w:val="20"/>
                <w:szCs w:val="20"/>
              </w:rPr>
              <w:t>4.支持混响调节功能，比例调节、延时调节、电平调节≥25个档位。</w:t>
            </w:r>
            <w:r>
              <w:rPr>
                <w:rFonts w:hint="eastAsia" w:ascii="宋体" w:hAnsi="宋体" w:cs="宋体"/>
                <w:kern w:val="0"/>
                <w:sz w:val="20"/>
                <w:szCs w:val="20"/>
              </w:rPr>
              <w:br w:type="textWrapping"/>
            </w:r>
            <w:r>
              <w:rPr>
                <w:rFonts w:hint="eastAsia" w:ascii="宋体" w:hAnsi="宋体" w:cs="宋体"/>
                <w:kern w:val="0"/>
                <w:sz w:val="20"/>
                <w:szCs w:val="20"/>
              </w:rPr>
              <w:t>5.支持麦克风均衡器调节功能，≥高、中、低音三种调节档位。</w:t>
            </w:r>
            <w:r>
              <w:rPr>
                <w:rFonts w:hint="eastAsia" w:ascii="宋体" w:hAnsi="宋体" w:cs="宋体"/>
                <w:kern w:val="0"/>
                <w:sz w:val="20"/>
                <w:szCs w:val="20"/>
              </w:rPr>
              <w:br w:type="textWrapping"/>
            </w:r>
            <w:r>
              <w:rPr>
                <w:rFonts w:hint="eastAsia" w:ascii="宋体" w:hAnsi="宋体" w:cs="宋体"/>
                <w:kern w:val="0"/>
                <w:sz w:val="20"/>
                <w:szCs w:val="20"/>
              </w:rPr>
              <w:t>6.接收机具有显示屏，用户可通过显示屏查看设备发射功率强度、音频加密状态、电池电量、频率数值、智能静音状态、静音标志。</w:t>
            </w:r>
            <w:r>
              <w:rPr>
                <w:rFonts w:hint="eastAsia" w:ascii="宋体" w:hAnsi="宋体" w:cs="宋体"/>
                <w:kern w:val="0"/>
                <w:sz w:val="20"/>
                <w:szCs w:val="20"/>
              </w:rPr>
              <w:br w:type="textWrapping"/>
            </w:r>
            <w:r>
              <w:rPr>
                <w:rFonts w:hint="eastAsia" w:ascii="宋体" w:hAnsi="宋体" w:cs="宋体"/>
                <w:kern w:val="0"/>
                <w:sz w:val="20"/>
                <w:szCs w:val="20"/>
              </w:rPr>
              <w:t>7.具有自动静音功能，麦克风跌落、抛掷时，毫秒级响应自动静音，避免冲击声；产品静置5秒自动静音。</w:t>
            </w:r>
            <w:r>
              <w:rPr>
                <w:rFonts w:hint="eastAsia" w:ascii="宋体" w:hAnsi="宋体" w:cs="宋体"/>
                <w:kern w:val="0"/>
                <w:sz w:val="20"/>
                <w:szCs w:val="20"/>
              </w:rPr>
              <w:br w:type="textWrapping"/>
            </w:r>
            <w:r>
              <w:rPr>
                <w:rFonts w:hint="eastAsia" w:ascii="宋体" w:hAnsi="宋体" w:cs="宋体"/>
                <w:kern w:val="0"/>
                <w:sz w:val="20"/>
                <w:szCs w:val="20"/>
              </w:rPr>
              <w:t>8.麦克风具有长时间静置自动关机功能，设备自动检测工作状态（使用状态、静置状态），静置时间≥8分钟后，设备自动关机。</w:t>
            </w:r>
          </w:p>
        </w:tc>
        <w:tc>
          <w:tcPr>
            <w:tcW w:w="981" w:type="dxa"/>
            <w:tcBorders>
              <w:top w:val="nil"/>
              <w:left w:val="nil"/>
              <w:bottom w:val="single" w:color="auto" w:sz="4" w:space="0"/>
              <w:right w:val="single" w:color="auto" w:sz="4" w:space="0"/>
            </w:tcBorders>
            <w:shd w:val="clear" w:color="auto" w:fill="auto"/>
            <w:vAlign w:val="center"/>
          </w:tcPr>
          <w:p w14:paraId="1F30A03F">
            <w:pPr>
              <w:widowControl/>
              <w:jc w:val="center"/>
              <w:rPr>
                <w:rFonts w:hint="eastAsia" w:ascii="宋体" w:hAnsi="宋体" w:cs="宋体"/>
                <w:kern w:val="0"/>
                <w:sz w:val="20"/>
                <w:szCs w:val="20"/>
              </w:rPr>
            </w:pPr>
            <w:r>
              <w:rPr>
                <w:rFonts w:hint="eastAsia" w:ascii="宋体" w:hAnsi="宋体" w:cs="宋体"/>
                <w:kern w:val="0"/>
                <w:sz w:val="20"/>
                <w:szCs w:val="20"/>
              </w:rPr>
              <w:t>套</w:t>
            </w:r>
          </w:p>
        </w:tc>
        <w:tc>
          <w:tcPr>
            <w:tcW w:w="1177" w:type="dxa"/>
            <w:tcBorders>
              <w:top w:val="nil"/>
              <w:left w:val="nil"/>
              <w:bottom w:val="single" w:color="auto" w:sz="4" w:space="0"/>
              <w:right w:val="single" w:color="auto" w:sz="4" w:space="0"/>
            </w:tcBorders>
            <w:shd w:val="clear" w:color="auto" w:fill="auto"/>
            <w:noWrap/>
            <w:vAlign w:val="center"/>
          </w:tcPr>
          <w:p w14:paraId="3B765D9B">
            <w:pPr>
              <w:widowControl/>
              <w:jc w:val="center"/>
              <w:rPr>
                <w:rFonts w:hint="eastAsia" w:ascii="宋体" w:hAnsi="宋体" w:cs="宋体"/>
                <w:kern w:val="0"/>
                <w:sz w:val="20"/>
                <w:szCs w:val="20"/>
              </w:rPr>
            </w:pPr>
            <w:r>
              <w:rPr>
                <w:rFonts w:hint="eastAsia" w:ascii="宋体" w:hAnsi="宋体" w:cs="宋体"/>
                <w:kern w:val="0"/>
                <w:sz w:val="20"/>
                <w:szCs w:val="20"/>
              </w:rPr>
              <w:t>2</w:t>
            </w:r>
          </w:p>
        </w:tc>
      </w:tr>
      <w:tr w14:paraId="30A23872">
        <w:tblPrEx>
          <w:tblCellMar>
            <w:top w:w="0" w:type="dxa"/>
            <w:left w:w="108" w:type="dxa"/>
            <w:bottom w:w="0" w:type="dxa"/>
            <w:right w:w="108" w:type="dxa"/>
          </w:tblCellMar>
        </w:tblPrEx>
        <w:trPr>
          <w:trHeight w:val="312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33A80657">
            <w:pPr>
              <w:widowControl/>
              <w:jc w:val="center"/>
              <w:rPr>
                <w:rFonts w:hint="eastAsia" w:ascii="宋体" w:hAnsi="宋体" w:cs="宋体"/>
                <w:kern w:val="0"/>
                <w:sz w:val="20"/>
                <w:szCs w:val="20"/>
              </w:rPr>
            </w:pPr>
            <w:r>
              <w:rPr>
                <w:rFonts w:hint="eastAsia" w:ascii="宋体" w:hAnsi="宋体" w:cs="宋体"/>
                <w:kern w:val="0"/>
                <w:sz w:val="20"/>
                <w:szCs w:val="20"/>
              </w:rPr>
              <w:t>64</w:t>
            </w:r>
          </w:p>
        </w:tc>
        <w:tc>
          <w:tcPr>
            <w:tcW w:w="1325" w:type="dxa"/>
            <w:tcBorders>
              <w:top w:val="nil"/>
              <w:left w:val="nil"/>
              <w:bottom w:val="single" w:color="auto" w:sz="4" w:space="0"/>
              <w:right w:val="single" w:color="auto" w:sz="4" w:space="0"/>
            </w:tcBorders>
            <w:shd w:val="clear" w:color="auto" w:fill="auto"/>
            <w:vAlign w:val="center"/>
          </w:tcPr>
          <w:p w14:paraId="163F8C20">
            <w:pPr>
              <w:widowControl/>
              <w:jc w:val="left"/>
              <w:rPr>
                <w:rFonts w:hint="eastAsia" w:ascii="宋体" w:hAnsi="宋体" w:cs="宋体"/>
                <w:kern w:val="0"/>
                <w:sz w:val="20"/>
                <w:szCs w:val="20"/>
              </w:rPr>
            </w:pPr>
            <w:r>
              <w:rPr>
                <w:rFonts w:hint="eastAsia" w:ascii="宋体" w:hAnsi="宋体" w:cs="宋体"/>
                <w:kern w:val="0"/>
                <w:sz w:val="20"/>
                <w:szCs w:val="20"/>
              </w:rPr>
              <w:t>无线话筒</w:t>
            </w:r>
          </w:p>
        </w:tc>
        <w:tc>
          <w:tcPr>
            <w:tcW w:w="3515" w:type="dxa"/>
            <w:tcBorders>
              <w:top w:val="nil"/>
              <w:left w:val="nil"/>
              <w:bottom w:val="single" w:color="auto" w:sz="4" w:space="0"/>
              <w:right w:val="single" w:color="auto" w:sz="4" w:space="0"/>
            </w:tcBorders>
            <w:shd w:val="clear" w:color="auto" w:fill="auto"/>
            <w:vAlign w:val="center"/>
          </w:tcPr>
          <w:p w14:paraId="74B4ED86">
            <w:pPr>
              <w:widowControl/>
              <w:numPr>
                <w:ilvl w:val="0"/>
                <w:numId w:val="14"/>
              </w:numPr>
              <w:jc w:val="left"/>
              <w:rPr>
                <w:rFonts w:hint="eastAsia" w:ascii="宋体" w:hAnsi="宋体" w:cs="宋体"/>
                <w:kern w:val="0"/>
                <w:sz w:val="20"/>
                <w:szCs w:val="20"/>
              </w:rPr>
            </w:pPr>
            <w:r>
              <w:rPr>
                <w:rFonts w:hint="eastAsia" w:ascii="宋体" w:hAnsi="宋体" w:cs="宋体"/>
                <w:kern w:val="0"/>
                <w:sz w:val="20"/>
                <w:szCs w:val="20"/>
              </w:rPr>
              <w:t>具有≥1台接收主机、≥8只桌面式鹅颈咪杆话筒；频率范围≥540MHz-590MHz、640MHz-690MHz。</w:t>
            </w:r>
          </w:p>
          <w:p w14:paraId="74CF10B0">
            <w:pPr>
              <w:widowControl/>
              <w:numPr>
                <w:ilvl w:val="0"/>
                <w:numId w:val="14"/>
              </w:numPr>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接收机具有≥8路平衡输出、≥2路非平衡混音输出。</w:t>
            </w:r>
          </w:p>
          <w:p w14:paraId="43C117F0">
            <w:pPr>
              <w:widowControl/>
              <w:numPr>
                <w:ilvl w:val="0"/>
                <w:numId w:val="14"/>
              </w:numPr>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具有自动频率扫描功能，可快速地给麦克风找到清晰的频率。</w:t>
            </w:r>
            <w:r>
              <w:rPr>
                <w:rFonts w:hint="eastAsia" w:ascii="宋体" w:hAnsi="宋体" w:cs="宋体"/>
                <w:kern w:val="0"/>
                <w:sz w:val="20"/>
                <w:szCs w:val="20"/>
              </w:rPr>
              <w:br w:type="page"/>
            </w:r>
            <w:r>
              <w:rPr>
                <w:rFonts w:hint="eastAsia" w:ascii="宋体" w:hAnsi="宋体" w:cs="宋体"/>
                <w:kern w:val="0"/>
                <w:sz w:val="20"/>
                <w:szCs w:val="20"/>
              </w:rPr>
              <w:t>支持混响调节功能，比例调节、延时调节、电平调节≥25个档位。</w:t>
            </w:r>
          </w:p>
          <w:p w14:paraId="3C525589">
            <w:pPr>
              <w:widowControl/>
              <w:numPr>
                <w:ilvl w:val="0"/>
                <w:numId w:val="14"/>
              </w:numPr>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支持麦克风均衡器调节功能，≥高、中、低音三种调节档位。</w:t>
            </w:r>
            <w:r>
              <w:rPr>
                <w:rFonts w:hint="eastAsia" w:ascii="宋体" w:hAnsi="宋体" w:cs="宋体"/>
                <w:kern w:val="0"/>
                <w:sz w:val="20"/>
                <w:szCs w:val="20"/>
              </w:rPr>
              <w:br w:type="page"/>
            </w:r>
            <w:r>
              <w:rPr>
                <w:rFonts w:hint="eastAsia" w:ascii="宋体" w:hAnsi="宋体" w:cs="宋体"/>
                <w:kern w:val="0"/>
                <w:sz w:val="20"/>
                <w:szCs w:val="20"/>
              </w:rPr>
              <w:t>接收机具有显示屏，用户可通过显示屏查看设备发射功率强度、音频加密状态、电池电量、频率数值。</w:t>
            </w:r>
          </w:p>
          <w:p w14:paraId="08CB5A54">
            <w:pPr>
              <w:widowControl/>
              <w:numPr>
                <w:ilvl w:val="0"/>
                <w:numId w:val="13"/>
              </w:numPr>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桌面麦≥1个3.5mm耳机孔，可通过3.5mm耳机孔输入音频。</w:t>
            </w:r>
            <w:r>
              <w:rPr>
                <w:rFonts w:hint="eastAsia" w:ascii="宋体" w:hAnsi="宋体" w:cs="宋体"/>
                <w:kern w:val="0"/>
                <w:sz w:val="20"/>
                <w:szCs w:val="20"/>
              </w:rPr>
              <w:br w:type="page"/>
            </w:r>
            <w:r>
              <w:rPr>
                <w:rFonts w:hint="eastAsia" w:ascii="宋体" w:hAnsi="宋体" w:cs="宋体"/>
                <w:kern w:val="0"/>
                <w:sz w:val="20"/>
                <w:szCs w:val="20"/>
              </w:rPr>
              <w:t>8.桌面麦支持通过Type-C口进行充电。</w:t>
            </w:r>
          </w:p>
          <w:p w14:paraId="3867A91A">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9.桌面麦电池孔位≥4个，连续使用时长≥15小时；电池具有扩展性，连续使用时长可扩展至≥60小时。</w:t>
            </w:r>
          </w:p>
        </w:tc>
        <w:tc>
          <w:tcPr>
            <w:tcW w:w="981" w:type="dxa"/>
            <w:tcBorders>
              <w:top w:val="nil"/>
              <w:left w:val="nil"/>
              <w:bottom w:val="single" w:color="auto" w:sz="4" w:space="0"/>
              <w:right w:val="single" w:color="auto" w:sz="4" w:space="0"/>
            </w:tcBorders>
            <w:shd w:val="clear" w:color="auto" w:fill="auto"/>
            <w:vAlign w:val="center"/>
          </w:tcPr>
          <w:p w14:paraId="254A05BC">
            <w:pPr>
              <w:widowControl/>
              <w:jc w:val="center"/>
              <w:rPr>
                <w:rFonts w:hint="eastAsia" w:ascii="宋体" w:hAnsi="宋体" w:cs="宋体"/>
                <w:kern w:val="0"/>
                <w:sz w:val="20"/>
                <w:szCs w:val="20"/>
              </w:rPr>
            </w:pPr>
            <w:r>
              <w:rPr>
                <w:rFonts w:hint="eastAsia" w:ascii="宋体" w:hAnsi="宋体" w:cs="宋体"/>
                <w:kern w:val="0"/>
                <w:sz w:val="20"/>
                <w:szCs w:val="20"/>
              </w:rPr>
              <w:t>套</w:t>
            </w:r>
          </w:p>
        </w:tc>
        <w:tc>
          <w:tcPr>
            <w:tcW w:w="1177" w:type="dxa"/>
            <w:tcBorders>
              <w:top w:val="nil"/>
              <w:left w:val="nil"/>
              <w:bottom w:val="single" w:color="auto" w:sz="4" w:space="0"/>
              <w:right w:val="single" w:color="auto" w:sz="4" w:space="0"/>
            </w:tcBorders>
            <w:shd w:val="clear" w:color="auto" w:fill="auto"/>
            <w:noWrap/>
            <w:vAlign w:val="center"/>
          </w:tcPr>
          <w:p w14:paraId="1D3ADBEB">
            <w:pPr>
              <w:widowControl/>
              <w:jc w:val="center"/>
              <w:rPr>
                <w:rFonts w:hint="eastAsia" w:ascii="宋体" w:hAnsi="宋体" w:cs="宋体"/>
                <w:kern w:val="0"/>
                <w:sz w:val="20"/>
                <w:szCs w:val="20"/>
              </w:rPr>
            </w:pPr>
            <w:r>
              <w:rPr>
                <w:rFonts w:hint="eastAsia" w:ascii="宋体" w:hAnsi="宋体" w:cs="宋体"/>
                <w:kern w:val="0"/>
                <w:sz w:val="20"/>
                <w:szCs w:val="20"/>
              </w:rPr>
              <w:t>1</w:t>
            </w:r>
          </w:p>
        </w:tc>
      </w:tr>
      <w:tr w14:paraId="319D35C1">
        <w:tblPrEx>
          <w:tblCellMar>
            <w:top w:w="0" w:type="dxa"/>
            <w:left w:w="108" w:type="dxa"/>
            <w:bottom w:w="0" w:type="dxa"/>
            <w:right w:w="108" w:type="dxa"/>
          </w:tblCellMar>
        </w:tblPrEx>
        <w:trPr>
          <w:trHeight w:val="130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21AB85C4">
            <w:pPr>
              <w:widowControl/>
              <w:jc w:val="center"/>
              <w:rPr>
                <w:rFonts w:hint="eastAsia" w:ascii="宋体" w:hAnsi="宋体" w:cs="宋体"/>
                <w:kern w:val="0"/>
                <w:sz w:val="20"/>
                <w:szCs w:val="20"/>
              </w:rPr>
            </w:pPr>
            <w:r>
              <w:rPr>
                <w:rFonts w:hint="eastAsia" w:ascii="宋体" w:hAnsi="宋体" w:cs="宋体"/>
                <w:kern w:val="0"/>
                <w:sz w:val="20"/>
                <w:szCs w:val="20"/>
              </w:rPr>
              <w:t>65</w:t>
            </w:r>
          </w:p>
        </w:tc>
        <w:tc>
          <w:tcPr>
            <w:tcW w:w="1325" w:type="dxa"/>
            <w:tcBorders>
              <w:top w:val="nil"/>
              <w:left w:val="nil"/>
              <w:bottom w:val="single" w:color="auto" w:sz="4" w:space="0"/>
              <w:right w:val="single" w:color="auto" w:sz="4" w:space="0"/>
            </w:tcBorders>
            <w:shd w:val="clear" w:color="auto" w:fill="auto"/>
            <w:vAlign w:val="center"/>
          </w:tcPr>
          <w:p w14:paraId="45557F9F">
            <w:pPr>
              <w:widowControl/>
              <w:jc w:val="left"/>
              <w:rPr>
                <w:rFonts w:hint="eastAsia" w:ascii="宋体" w:hAnsi="宋体" w:cs="宋体"/>
                <w:kern w:val="0"/>
                <w:sz w:val="20"/>
                <w:szCs w:val="20"/>
              </w:rPr>
            </w:pPr>
            <w:r>
              <w:rPr>
                <w:rFonts w:hint="eastAsia" w:ascii="宋体" w:hAnsi="宋体" w:cs="宋体"/>
                <w:kern w:val="0"/>
                <w:sz w:val="20"/>
                <w:szCs w:val="20"/>
              </w:rPr>
              <w:t>天线分配器</w:t>
            </w:r>
          </w:p>
        </w:tc>
        <w:tc>
          <w:tcPr>
            <w:tcW w:w="3515" w:type="dxa"/>
            <w:tcBorders>
              <w:top w:val="nil"/>
              <w:left w:val="nil"/>
              <w:bottom w:val="single" w:color="auto" w:sz="4" w:space="0"/>
              <w:right w:val="single" w:color="auto" w:sz="4" w:space="0"/>
            </w:tcBorders>
            <w:shd w:val="clear" w:color="auto" w:fill="auto"/>
            <w:vAlign w:val="center"/>
          </w:tcPr>
          <w:p w14:paraId="00EE69C3">
            <w:pPr>
              <w:widowControl/>
              <w:jc w:val="left"/>
              <w:rPr>
                <w:rFonts w:hint="eastAsia" w:ascii="宋体" w:hAnsi="宋体" w:cs="宋体"/>
                <w:kern w:val="0"/>
                <w:sz w:val="20"/>
                <w:szCs w:val="20"/>
              </w:rPr>
            </w:pPr>
            <w:r>
              <w:rPr>
                <w:rFonts w:hint="eastAsia" w:ascii="宋体" w:hAnsi="宋体" w:cs="宋体"/>
                <w:kern w:val="0"/>
                <w:sz w:val="20"/>
                <w:szCs w:val="20"/>
              </w:rPr>
              <w:t>1.具有≥2个信号输入接口，支持接收天线信号，实现放大射频信号的效果。</w:t>
            </w:r>
            <w:r>
              <w:rPr>
                <w:rFonts w:hint="eastAsia" w:ascii="宋体" w:hAnsi="宋体" w:cs="宋体"/>
                <w:kern w:val="0"/>
                <w:sz w:val="20"/>
                <w:szCs w:val="20"/>
              </w:rPr>
              <w:br w:type="textWrapping"/>
            </w:r>
            <w:r>
              <w:rPr>
                <w:rFonts w:hint="eastAsia" w:ascii="宋体" w:hAnsi="宋体" w:cs="宋体"/>
                <w:kern w:val="0"/>
                <w:sz w:val="20"/>
                <w:szCs w:val="20"/>
              </w:rPr>
              <w:t>2.具有≥8个天线信号输出接口，可将一对天线分频至4台（一拖二）接收机达到扩展无线话筒系统的目的。</w:t>
            </w:r>
            <w:r>
              <w:rPr>
                <w:rFonts w:hint="eastAsia" w:ascii="宋体" w:hAnsi="宋体" w:cs="宋体"/>
                <w:kern w:val="0"/>
                <w:sz w:val="20"/>
                <w:szCs w:val="20"/>
              </w:rPr>
              <w:br w:type="textWrapping"/>
            </w:r>
            <w:r>
              <w:rPr>
                <w:rFonts w:hint="eastAsia" w:ascii="宋体" w:hAnsi="宋体" w:cs="宋体"/>
                <w:kern w:val="0"/>
                <w:sz w:val="20"/>
                <w:szCs w:val="20"/>
              </w:rPr>
              <w:t>3.具有≥2个天线级联接口；支持级联分配器，可实现放大射频信号扩展无线话筒天线的目的。</w:t>
            </w:r>
            <w:r>
              <w:rPr>
                <w:rFonts w:hint="eastAsia" w:ascii="宋体" w:hAnsi="宋体" w:cs="宋体"/>
                <w:kern w:val="0"/>
                <w:sz w:val="20"/>
                <w:szCs w:val="20"/>
              </w:rPr>
              <w:br w:type="textWrapping"/>
            </w:r>
            <w:r>
              <w:rPr>
                <w:rFonts w:hint="eastAsia" w:ascii="宋体" w:hAnsi="宋体" w:cs="宋体"/>
                <w:kern w:val="0"/>
                <w:sz w:val="20"/>
                <w:szCs w:val="20"/>
              </w:rPr>
              <w:t>4.具有≥4个直流电源接口，支持给4台接收机提供供电。</w:t>
            </w:r>
          </w:p>
        </w:tc>
        <w:tc>
          <w:tcPr>
            <w:tcW w:w="981" w:type="dxa"/>
            <w:tcBorders>
              <w:top w:val="nil"/>
              <w:left w:val="nil"/>
              <w:bottom w:val="single" w:color="auto" w:sz="4" w:space="0"/>
              <w:right w:val="single" w:color="auto" w:sz="4" w:space="0"/>
            </w:tcBorders>
            <w:shd w:val="clear" w:color="auto" w:fill="auto"/>
            <w:vAlign w:val="center"/>
          </w:tcPr>
          <w:p w14:paraId="2856459B">
            <w:pPr>
              <w:widowControl/>
              <w:jc w:val="center"/>
              <w:rPr>
                <w:rFonts w:hint="eastAsia" w:ascii="宋体" w:hAnsi="宋体" w:cs="宋体"/>
                <w:kern w:val="0"/>
                <w:sz w:val="20"/>
                <w:szCs w:val="20"/>
              </w:rPr>
            </w:pPr>
            <w:r>
              <w:rPr>
                <w:rFonts w:hint="eastAsia" w:ascii="宋体" w:hAnsi="宋体" w:cs="宋体"/>
                <w:kern w:val="0"/>
                <w:sz w:val="20"/>
                <w:szCs w:val="20"/>
              </w:rPr>
              <w:t>套</w:t>
            </w:r>
          </w:p>
        </w:tc>
        <w:tc>
          <w:tcPr>
            <w:tcW w:w="1177" w:type="dxa"/>
            <w:tcBorders>
              <w:top w:val="nil"/>
              <w:left w:val="nil"/>
              <w:bottom w:val="single" w:color="auto" w:sz="4" w:space="0"/>
              <w:right w:val="single" w:color="auto" w:sz="4" w:space="0"/>
            </w:tcBorders>
            <w:shd w:val="clear" w:color="auto" w:fill="auto"/>
            <w:noWrap/>
            <w:vAlign w:val="center"/>
          </w:tcPr>
          <w:p w14:paraId="38C9D503">
            <w:pPr>
              <w:widowControl/>
              <w:jc w:val="center"/>
              <w:rPr>
                <w:rFonts w:hint="eastAsia" w:ascii="宋体" w:hAnsi="宋体" w:cs="宋体"/>
                <w:kern w:val="0"/>
                <w:sz w:val="20"/>
                <w:szCs w:val="20"/>
              </w:rPr>
            </w:pPr>
            <w:r>
              <w:rPr>
                <w:rFonts w:hint="eastAsia" w:ascii="宋体" w:hAnsi="宋体" w:cs="宋体"/>
                <w:kern w:val="0"/>
                <w:sz w:val="20"/>
                <w:szCs w:val="20"/>
              </w:rPr>
              <w:t>2</w:t>
            </w:r>
          </w:p>
        </w:tc>
      </w:tr>
      <w:tr w14:paraId="40A224C8">
        <w:tblPrEx>
          <w:tblCellMar>
            <w:top w:w="0" w:type="dxa"/>
            <w:left w:w="108" w:type="dxa"/>
            <w:bottom w:w="0" w:type="dxa"/>
            <w:right w:w="108" w:type="dxa"/>
          </w:tblCellMar>
        </w:tblPrEx>
        <w:trPr>
          <w:trHeight w:val="104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28C30CFB">
            <w:pPr>
              <w:widowControl/>
              <w:jc w:val="center"/>
              <w:rPr>
                <w:rFonts w:hint="eastAsia" w:ascii="宋体" w:hAnsi="宋体" w:cs="宋体"/>
                <w:kern w:val="0"/>
                <w:sz w:val="20"/>
                <w:szCs w:val="20"/>
              </w:rPr>
            </w:pPr>
            <w:r>
              <w:rPr>
                <w:rFonts w:hint="eastAsia" w:ascii="宋体" w:hAnsi="宋体" w:cs="宋体"/>
                <w:kern w:val="0"/>
                <w:sz w:val="20"/>
                <w:szCs w:val="20"/>
              </w:rPr>
              <w:t>66</w:t>
            </w:r>
          </w:p>
        </w:tc>
        <w:tc>
          <w:tcPr>
            <w:tcW w:w="1325" w:type="dxa"/>
            <w:tcBorders>
              <w:top w:val="nil"/>
              <w:left w:val="nil"/>
              <w:bottom w:val="single" w:color="auto" w:sz="4" w:space="0"/>
              <w:right w:val="single" w:color="auto" w:sz="4" w:space="0"/>
            </w:tcBorders>
            <w:shd w:val="clear" w:color="auto" w:fill="auto"/>
            <w:vAlign w:val="center"/>
          </w:tcPr>
          <w:p w14:paraId="6810C3D6">
            <w:pPr>
              <w:widowControl/>
              <w:jc w:val="left"/>
              <w:rPr>
                <w:rFonts w:hint="eastAsia" w:ascii="宋体" w:hAnsi="宋体" w:cs="宋体"/>
                <w:kern w:val="0"/>
                <w:sz w:val="20"/>
                <w:szCs w:val="20"/>
              </w:rPr>
            </w:pPr>
            <w:r>
              <w:rPr>
                <w:rFonts w:hint="eastAsia" w:ascii="宋体" w:hAnsi="宋体" w:cs="宋体"/>
                <w:kern w:val="0"/>
                <w:sz w:val="20"/>
                <w:szCs w:val="20"/>
              </w:rPr>
              <w:t>话筒天线</w:t>
            </w:r>
          </w:p>
        </w:tc>
        <w:tc>
          <w:tcPr>
            <w:tcW w:w="3515" w:type="dxa"/>
            <w:tcBorders>
              <w:top w:val="nil"/>
              <w:left w:val="nil"/>
              <w:bottom w:val="single" w:color="auto" w:sz="4" w:space="0"/>
              <w:right w:val="single" w:color="auto" w:sz="4" w:space="0"/>
            </w:tcBorders>
            <w:shd w:val="clear" w:color="auto" w:fill="auto"/>
            <w:vAlign w:val="center"/>
          </w:tcPr>
          <w:p w14:paraId="2AE30C59">
            <w:pPr>
              <w:widowControl/>
              <w:jc w:val="left"/>
              <w:rPr>
                <w:rFonts w:hint="eastAsia" w:ascii="宋体" w:hAnsi="宋体" w:cs="宋体"/>
                <w:kern w:val="0"/>
                <w:sz w:val="20"/>
                <w:szCs w:val="20"/>
              </w:rPr>
            </w:pPr>
            <w:r>
              <w:rPr>
                <w:rFonts w:hint="eastAsia" w:ascii="宋体" w:hAnsi="宋体" w:cs="宋体"/>
                <w:kern w:val="0"/>
                <w:sz w:val="20"/>
                <w:szCs w:val="20"/>
              </w:rPr>
              <w:t>1.射频频率范围≥470～950MHz</w:t>
            </w:r>
            <w:r>
              <w:rPr>
                <w:rFonts w:hint="eastAsia" w:ascii="宋体" w:hAnsi="宋体" w:cs="宋体"/>
                <w:kern w:val="0"/>
                <w:sz w:val="20"/>
                <w:szCs w:val="20"/>
              </w:rPr>
              <w:br w:type="textWrapping"/>
            </w:r>
            <w:r>
              <w:rPr>
                <w:rFonts w:hint="eastAsia" w:ascii="宋体" w:hAnsi="宋体" w:cs="宋体"/>
                <w:kern w:val="0"/>
                <w:sz w:val="20"/>
                <w:szCs w:val="20"/>
              </w:rPr>
              <w:t>2.驻波比：≤2.0</w:t>
            </w:r>
            <w:r>
              <w:rPr>
                <w:rFonts w:hint="eastAsia" w:ascii="宋体" w:hAnsi="宋体" w:cs="宋体"/>
                <w:kern w:val="0"/>
                <w:sz w:val="20"/>
                <w:szCs w:val="20"/>
              </w:rPr>
              <w:br w:type="textWrapping"/>
            </w:r>
            <w:r>
              <w:rPr>
                <w:rFonts w:hint="eastAsia" w:ascii="宋体" w:hAnsi="宋体" w:cs="宋体"/>
                <w:kern w:val="0"/>
                <w:sz w:val="20"/>
                <w:szCs w:val="20"/>
              </w:rPr>
              <w:t>3.输入阻抗：≤50Ω</w:t>
            </w:r>
            <w:r>
              <w:rPr>
                <w:rFonts w:hint="eastAsia" w:ascii="宋体" w:hAnsi="宋体" w:cs="宋体"/>
                <w:kern w:val="0"/>
                <w:sz w:val="20"/>
                <w:szCs w:val="20"/>
              </w:rPr>
              <w:br w:type="textWrapping"/>
            </w:r>
            <w:r>
              <w:rPr>
                <w:rFonts w:hint="eastAsia" w:ascii="宋体" w:hAnsi="宋体" w:cs="宋体"/>
                <w:kern w:val="0"/>
                <w:sz w:val="20"/>
                <w:szCs w:val="20"/>
              </w:rPr>
              <w:t>4.指向性：≥180度指向</w:t>
            </w:r>
          </w:p>
        </w:tc>
        <w:tc>
          <w:tcPr>
            <w:tcW w:w="981" w:type="dxa"/>
            <w:tcBorders>
              <w:top w:val="nil"/>
              <w:left w:val="nil"/>
              <w:bottom w:val="single" w:color="auto" w:sz="4" w:space="0"/>
              <w:right w:val="single" w:color="auto" w:sz="4" w:space="0"/>
            </w:tcBorders>
            <w:shd w:val="clear" w:color="auto" w:fill="auto"/>
            <w:vAlign w:val="center"/>
          </w:tcPr>
          <w:p w14:paraId="3F54C99D">
            <w:pPr>
              <w:widowControl/>
              <w:jc w:val="center"/>
              <w:rPr>
                <w:rFonts w:hint="eastAsia" w:ascii="宋体" w:hAnsi="宋体" w:cs="宋体"/>
                <w:kern w:val="0"/>
                <w:sz w:val="20"/>
                <w:szCs w:val="20"/>
              </w:rPr>
            </w:pPr>
            <w:r>
              <w:rPr>
                <w:rFonts w:hint="eastAsia" w:ascii="宋体" w:hAnsi="宋体" w:cs="宋体"/>
                <w:kern w:val="0"/>
                <w:sz w:val="20"/>
                <w:szCs w:val="20"/>
              </w:rPr>
              <w:t>套</w:t>
            </w:r>
          </w:p>
        </w:tc>
        <w:tc>
          <w:tcPr>
            <w:tcW w:w="1177" w:type="dxa"/>
            <w:tcBorders>
              <w:top w:val="nil"/>
              <w:left w:val="nil"/>
              <w:bottom w:val="single" w:color="auto" w:sz="4" w:space="0"/>
              <w:right w:val="single" w:color="auto" w:sz="4" w:space="0"/>
            </w:tcBorders>
            <w:shd w:val="clear" w:color="auto" w:fill="auto"/>
            <w:vAlign w:val="center"/>
          </w:tcPr>
          <w:p w14:paraId="2ADD92B9">
            <w:pPr>
              <w:widowControl/>
              <w:jc w:val="center"/>
              <w:rPr>
                <w:rFonts w:hint="eastAsia" w:ascii="宋体" w:hAnsi="宋体" w:cs="宋体"/>
                <w:kern w:val="0"/>
                <w:sz w:val="20"/>
                <w:szCs w:val="20"/>
              </w:rPr>
            </w:pPr>
            <w:r>
              <w:rPr>
                <w:rFonts w:hint="eastAsia" w:ascii="宋体" w:hAnsi="宋体" w:cs="宋体"/>
                <w:kern w:val="0"/>
                <w:sz w:val="20"/>
                <w:szCs w:val="20"/>
              </w:rPr>
              <w:t>1</w:t>
            </w:r>
          </w:p>
        </w:tc>
      </w:tr>
      <w:tr w14:paraId="136AC091">
        <w:tblPrEx>
          <w:tblCellMar>
            <w:top w:w="0" w:type="dxa"/>
            <w:left w:w="108" w:type="dxa"/>
            <w:bottom w:w="0" w:type="dxa"/>
            <w:right w:w="108" w:type="dxa"/>
          </w:tblCellMar>
        </w:tblPrEx>
        <w:trPr>
          <w:trHeight w:val="208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273FB8FC">
            <w:pPr>
              <w:widowControl/>
              <w:jc w:val="center"/>
              <w:rPr>
                <w:rFonts w:hint="eastAsia" w:ascii="宋体" w:hAnsi="宋体" w:cs="宋体"/>
                <w:kern w:val="0"/>
                <w:sz w:val="20"/>
                <w:szCs w:val="20"/>
              </w:rPr>
            </w:pPr>
            <w:r>
              <w:rPr>
                <w:rFonts w:hint="eastAsia" w:ascii="宋体" w:hAnsi="宋体" w:cs="宋体"/>
                <w:kern w:val="0"/>
                <w:sz w:val="20"/>
                <w:szCs w:val="20"/>
              </w:rPr>
              <w:t>67</w:t>
            </w:r>
          </w:p>
        </w:tc>
        <w:tc>
          <w:tcPr>
            <w:tcW w:w="1325" w:type="dxa"/>
            <w:tcBorders>
              <w:top w:val="nil"/>
              <w:left w:val="nil"/>
              <w:bottom w:val="single" w:color="auto" w:sz="4" w:space="0"/>
              <w:right w:val="single" w:color="auto" w:sz="4" w:space="0"/>
            </w:tcBorders>
            <w:shd w:val="clear" w:color="auto" w:fill="auto"/>
            <w:vAlign w:val="center"/>
          </w:tcPr>
          <w:p w14:paraId="6F8C4DDF">
            <w:pPr>
              <w:widowControl/>
              <w:jc w:val="left"/>
              <w:rPr>
                <w:rFonts w:hint="eastAsia" w:ascii="宋体" w:hAnsi="宋体" w:cs="宋体"/>
                <w:kern w:val="0"/>
                <w:sz w:val="20"/>
                <w:szCs w:val="20"/>
              </w:rPr>
            </w:pPr>
            <w:r>
              <w:rPr>
                <w:rFonts w:hint="eastAsia" w:ascii="宋体" w:hAnsi="宋体" w:cs="宋体"/>
                <w:kern w:val="0"/>
                <w:sz w:val="20"/>
                <w:szCs w:val="20"/>
              </w:rPr>
              <w:t>调音台</w:t>
            </w:r>
          </w:p>
        </w:tc>
        <w:tc>
          <w:tcPr>
            <w:tcW w:w="3515" w:type="dxa"/>
            <w:tcBorders>
              <w:top w:val="nil"/>
              <w:left w:val="nil"/>
              <w:bottom w:val="single" w:color="auto" w:sz="4" w:space="0"/>
              <w:right w:val="single" w:color="auto" w:sz="4" w:space="0"/>
            </w:tcBorders>
            <w:shd w:val="clear" w:color="auto" w:fill="auto"/>
            <w:vAlign w:val="center"/>
          </w:tcPr>
          <w:p w14:paraId="6A069741">
            <w:pPr>
              <w:widowControl/>
              <w:jc w:val="left"/>
              <w:rPr>
                <w:rFonts w:hint="eastAsia" w:ascii="宋体" w:hAnsi="宋体" w:cs="宋体"/>
                <w:kern w:val="0"/>
                <w:sz w:val="20"/>
                <w:szCs w:val="20"/>
              </w:rPr>
            </w:pPr>
            <w:r>
              <w:rPr>
                <w:rFonts w:hint="eastAsia" w:ascii="宋体" w:hAnsi="宋体" w:cs="宋体"/>
                <w:kern w:val="0"/>
                <w:sz w:val="20"/>
                <w:szCs w:val="20"/>
              </w:rPr>
              <w:t>1.支持≥10路MIC输入兼容8路线路输入接口，支持≥2组立体声输入接口，≥4路RCA输入，话筒接口幻象电源：+48V。</w:t>
            </w:r>
            <w:r>
              <w:rPr>
                <w:rFonts w:hint="eastAsia" w:ascii="宋体" w:hAnsi="宋体" w:cs="宋体"/>
                <w:kern w:val="0"/>
                <w:sz w:val="20"/>
                <w:szCs w:val="20"/>
              </w:rPr>
              <w:br w:type="textWrapping"/>
            </w:r>
            <w:r>
              <w:rPr>
                <w:rFonts w:hint="eastAsia" w:ascii="宋体" w:hAnsi="宋体" w:cs="宋体"/>
                <w:kern w:val="0"/>
                <w:sz w:val="20"/>
                <w:szCs w:val="20"/>
              </w:rPr>
              <w:t>2.具有≥2组立体主输出、≥4路编组输出、≥4路辅助输出、≥1组立体声监听输出、≥1个耳机监听输出、≥1个效果输出、≥1组主混音断点插入、≥8个断点插入。</w:t>
            </w:r>
            <w:r>
              <w:rPr>
                <w:rFonts w:hint="eastAsia" w:ascii="宋体" w:hAnsi="宋体" w:cs="宋体"/>
                <w:kern w:val="0"/>
                <w:sz w:val="20"/>
                <w:szCs w:val="20"/>
              </w:rPr>
              <w:br w:type="textWrapping"/>
            </w:r>
            <w:r>
              <w:rPr>
                <w:rFonts w:hint="eastAsia" w:ascii="宋体" w:hAnsi="宋体" w:cs="宋体"/>
                <w:kern w:val="0"/>
                <w:sz w:val="20"/>
                <w:szCs w:val="20"/>
              </w:rPr>
              <w:t>3.内置≥24位DSP效果器，提供≥100种预设效果。</w:t>
            </w:r>
            <w:r>
              <w:rPr>
                <w:rFonts w:hint="eastAsia" w:ascii="宋体" w:hAnsi="宋体" w:cs="宋体"/>
                <w:kern w:val="0"/>
                <w:sz w:val="20"/>
                <w:szCs w:val="20"/>
              </w:rPr>
              <w:br w:type="textWrapping"/>
            </w:r>
            <w:r>
              <w:rPr>
                <w:rFonts w:hint="eastAsia" w:ascii="宋体" w:hAnsi="宋体" w:cs="宋体"/>
                <w:kern w:val="0"/>
                <w:sz w:val="20"/>
                <w:szCs w:val="20"/>
              </w:rPr>
              <w:t>4.具备≥15个60mm行程的高精密碳膜推子。</w:t>
            </w:r>
            <w:r>
              <w:rPr>
                <w:rFonts w:hint="eastAsia" w:ascii="宋体" w:hAnsi="宋体" w:cs="宋体"/>
                <w:kern w:val="0"/>
                <w:sz w:val="20"/>
                <w:szCs w:val="20"/>
              </w:rPr>
              <w:br w:type="textWrapping"/>
            </w:r>
            <w:r>
              <w:rPr>
                <w:rFonts w:hint="eastAsia" w:ascii="宋体" w:hAnsi="宋体" w:cs="宋体"/>
                <w:kern w:val="0"/>
                <w:sz w:val="20"/>
                <w:szCs w:val="20"/>
              </w:rPr>
              <w:t>5.内置USB声卡模块，支持连接电脑进行音乐播放和声音录音；内置MP3播放器，支持≥1个USB接口接U盘播放音乐。</w:t>
            </w:r>
          </w:p>
        </w:tc>
        <w:tc>
          <w:tcPr>
            <w:tcW w:w="981" w:type="dxa"/>
            <w:tcBorders>
              <w:top w:val="nil"/>
              <w:left w:val="nil"/>
              <w:bottom w:val="single" w:color="auto" w:sz="4" w:space="0"/>
              <w:right w:val="single" w:color="auto" w:sz="4" w:space="0"/>
            </w:tcBorders>
            <w:shd w:val="clear" w:color="auto" w:fill="auto"/>
            <w:vAlign w:val="center"/>
          </w:tcPr>
          <w:p w14:paraId="71A6B92D">
            <w:pPr>
              <w:widowControl/>
              <w:jc w:val="center"/>
              <w:rPr>
                <w:rFonts w:hint="eastAsia" w:ascii="宋体" w:hAnsi="宋体" w:cs="宋体"/>
                <w:kern w:val="0"/>
                <w:sz w:val="20"/>
                <w:szCs w:val="20"/>
              </w:rPr>
            </w:pPr>
            <w:r>
              <w:rPr>
                <w:rFonts w:hint="eastAsia" w:ascii="宋体" w:hAnsi="宋体" w:cs="宋体"/>
                <w:kern w:val="0"/>
                <w:sz w:val="20"/>
                <w:szCs w:val="20"/>
              </w:rPr>
              <w:t>台</w:t>
            </w:r>
          </w:p>
        </w:tc>
        <w:tc>
          <w:tcPr>
            <w:tcW w:w="1177" w:type="dxa"/>
            <w:tcBorders>
              <w:top w:val="nil"/>
              <w:left w:val="nil"/>
              <w:bottom w:val="single" w:color="auto" w:sz="4" w:space="0"/>
              <w:right w:val="single" w:color="auto" w:sz="4" w:space="0"/>
            </w:tcBorders>
            <w:shd w:val="clear" w:color="auto" w:fill="auto"/>
            <w:vAlign w:val="center"/>
          </w:tcPr>
          <w:p w14:paraId="584C5645">
            <w:pPr>
              <w:widowControl/>
              <w:jc w:val="center"/>
              <w:rPr>
                <w:rFonts w:hint="eastAsia" w:ascii="宋体" w:hAnsi="宋体" w:cs="宋体"/>
                <w:kern w:val="0"/>
                <w:sz w:val="20"/>
                <w:szCs w:val="20"/>
              </w:rPr>
            </w:pPr>
            <w:r>
              <w:rPr>
                <w:rFonts w:hint="eastAsia" w:ascii="宋体" w:hAnsi="宋体" w:cs="宋体"/>
                <w:kern w:val="0"/>
                <w:sz w:val="20"/>
                <w:szCs w:val="20"/>
              </w:rPr>
              <w:t>1</w:t>
            </w:r>
          </w:p>
        </w:tc>
      </w:tr>
      <w:tr w14:paraId="11DDCFEE">
        <w:tblPrEx>
          <w:tblCellMar>
            <w:top w:w="0" w:type="dxa"/>
            <w:left w:w="108" w:type="dxa"/>
            <w:bottom w:w="0" w:type="dxa"/>
            <w:right w:w="108" w:type="dxa"/>
          </w:tblCellMar>
        </w:tblPrEx>
        <w:trPr>
          <w:trHeight w:val="1207"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35A63F5A">
            <w:pPr>
              <w:widowControl/>
              <w:jc w:val="center"/>
              <w:rPr>
                <w:rFonts w:hint="eastAsia" w:ascii="宋体" w:hAnsi="宋体" w:cs="宋体"/>
                <w:kern w:val="0"/>
                <w:sz w:val="20"/>
                <w:szCs w:val="20"/>
              </w:rPr>
            </w:pPr>
            <w:r>
              <w:rPr>
                <w:rFonts w:hint="eastAsia" w:ascii="宋体" w:hAnsi="宋体" w:cs="宋体"/>
                <w:kern w:val="0"/>
                <w:sz w:val="20"/>
                <w:szCs w:val="20"/>
              </w:rPr>
              <w:t>68</w:t>
            </w:r>
          </w:p>
        </w:tc>
        <w:tc>
          <w:tcPr>
            <w:tcW w:w="1325" w:type="dxa"/>
            <w:tcBorders>
              <w:top w:val="nil"/>
              <w:left w:val="nil"/>
              <w:bottom w:val="single" w:color="auto" w:sz="4" w:space="0"/>
              <w:right w:val="single" w:color="auto" w:sz="4" w:space="0"/>
            </w:tcBorders>
            <w:shd w:val="clear" w:color="auto" w:fill="auto"/>
            <w:vAlign w:val="center"/>
          </w:tcPr>
          <w:p w14:paraId="21863DA9">
            <w:pPr>
              <w:widowControl/>
              <w:jc w:val="left"/>
              <w:rPr>
                <w:rFonts w:hint="eastAsia" w:ascii="宋体" w:hAnsi="宋体" w:cs="宋体"/>
                <w:kern w:val="0"/>
                <w:sz w:val="20"/>
                <w:szCs w:val="20"/>
              </w:rPr>
            </w:pPr>
            <w:r>
              <w:rPr>
                <w:rFonts w:hint="eastAsia" w:ascii="宋体" w:hAnsi="宋体" w:cs="宋体"/>
                <w:kern w:val="0"/>
                <w:sz w:val="20"/>
                <w:szCs w:val="20"/>
              </w:rPr>
              <w:t>音频处理器</w:t>
            </w:r>
          </w:p>
        </w:tc>
        <w:tc>
          <w:tcPr>
            <w:tcW w:w="3515" w:type="dxa"/>
            <w:tcBorders>
              <w:top w:val="nil"/>
              <w:left w:val="nil"/>
              <w:bottom w:val="single" w:color="auto" w:sz="4" w:space="0"/>
              <w:right w:val="single" w:color="auto" w:sz="4" w:space="0"/>
            </w:tcBorders>
            <w:shd w:val="clear" w:color="auto" w:fill="auto"/>
            <w:vAlign w:val="center"/>
          </w:tcPr>
          <w:p w14:paraId="67CCC85C">
            <w:pPr>
              <w:widowControl/>
              <w:jc w:val="left"/>
              <w:rPr>
                <w:rFonts w:hint="eastAsia" w:ascii="宋体" w:hAnsi="宋体" w:cs="宋体"/>
                <w:kern w:val="0"/>
                <w:sz w:val="20"/>
                <w:szCs w:val="20"/>
              </w:rPr>
            </w:pPr>
            <w:r>
              <w:rPr>
                <w:rFonts w:hint="eastAsia" w:ascii="宋体" w:hAnsi="宋体" w:cs="宋体"/>
                <w:kern w:val="0"/>
                <w:sz w:val="20"/>
                <w:szCs w:val="20"/>
              </w:rPr>
              <w:t>1.数字音频处理器支持≥12路平衡式话筒/线路输入通道，采用裸线接口端子，平衡接法；支持≥12路平衡式线路输出，采用裸线接口端子，平衡接法。</w:t>
            </w:r>
            <w:r>
              <w:rPr>
                <w:rFonts w:hint="eastAsia" w:ascii="宋体" w:hAnsi="宋体" w:cs="宋体"/>
                <w:kern w:val="0"/>
                <w:sz w:val="20"/>
                <w:szCs w:val="20"/>
              </w:rPr>
              <w:br w:type="textWrapping"/>
            </w:r>
            <w:r>
              <w:rPr>
                <w:rFonts w:hint="eastAsia" w:ascii="宋体" w:hAnsi="宋体" w:cs="宋体"/>
                <w:kern w:val="0"/>
                <w:sz w:val="20"/>
                <w:szCs w:val="20"/>
              </w:rPr>
              <w:t>2.输入通道支持前级放大、信号发生器、扩展器、压缩器、≥12段参量均衡，≥31段图示均衡、闪避器、AGC自动增益、AM自动混音功能（门限式、增益共享式）、AFC自适应反馈消除、AEC回声消除、ANC噪声消除、音频矩阵。</w:t>
            </w:r>
            <w:r>
              <w:rPr>
                <w:rFonts w:hint="eastAsia" w:ascii="宋体" w:hAnsi="宋体" w:cs="宋体"/>
                <w:kern w:val="0"/>
                <w:sz w:val="20"/>
                <w:szCs w:val="20"/>
              </w:rPr>
              <w:br w:type="textWrapping"/>
            </w:r>
            <w:r>
              <w:rPr>
                <w:rFonts w:hint="eastAsia" w:ascii="宋体" w:hAnsi="宋体" w:cs="宋体"/>
                <w:kern w:val="0"/>
                <w:sz w:val="20"/>
                <w:szCs w:val="20"/>
              </w:rPr>
              <w:t>3.输出通道支持≥12段参量均衡，≥31段图示均衡、延时器、分频器、高低通滤波器、限幅器。</w:t>
            </w:r>
            <w:r>
              <w:rPr>
                <w:rFonts w:hint="eastAsia" w:ascii="宋体" w:hAnsi="宋体" w:cs="宋体"/>
                <w:kern w:val="0"/>
                <w:sz w:val="20"/>
                <w:szCs w:val="20"/>
              </w:rPr>
              <w:br w:type="textWrapping"/>
            </w:r>
            <w:r>
              <w:rPr>
                <w:rFonts w:hint="eastAsia" w:ascii="宋体" w:hAnsi="宋体" w:cs="宋体"/>
                <w:kern w:val="0"/>
                <w:sz w:val="20"/>
                <w:szCs w:val="20"/>
              </w:rPr>
              <w:t>4.高性能专业DSP处理器，支持≥32bit/48kHz的声音，支持输入通道48V幻象供电。</w:t>
            </w:r>
            <w:r>
              <w:rPr>
                <w:rFonts w:hint="eastAsia" w:ascii="宋体" w:hAnsi="宋体" w:cs="宋体"/>
                <w:kern w:val="0"/>
                <w:sz w:val="20"/>
                <w:szCs w:val="20"/>
              </w:rPr>
              <w:br w:type="textWrapping"/>
            </w:r>
            <w:r>
              <w:rPr>
                <w:rFonts w:hint="eastAsia" w:ascii="宋体" w:hAnsi="宋体" w:cs="宋体"/>
                <w:kern w:val="0"/>
                <w:sz w:val="20"/>
                <w:szCs w:val="20"/>
              </w:rPr>
              <w:t>5.具有≥2英寸IPS真彩显示屏，支持显示设备网络信息、实时电平、通道静音状态。</w:t>
            </w:r>
            <w:r>
              <w:rPr>
                <w:rFonts w:hint="eastAsia" w:ascii="宋体" w:hAnsi="宋体" w:cs="宋体"/>
                <w:kern w:val="0"/>
                <w:sz w:val="20"/>
                <w:szCs w:val="20"/>
              </w:rPr>
              <w:br w:type="textWrapping"/>
            </w:r>
            <w:r>
              <w:rPr>
                <w:rFonts w:hint="eastAsia" w:ascii="宋体" w:hAnsi="宋体" w:cs="宋体"/>
                <w:kern w:val="0"/>
                <w:sz w:val="20"/>
                <w:szCs w:val="20"/>
              </w:rPr>
              <w:t>6.支持通过APP软件进行操作控制，面板具备USB接口，支持多媒体存储，可进行播放或存储录播。</w:t>
            </w:r>
            <w:r>
              <w:rPr>
                <w:rFonts w:hint="eastAsia" w:ascii="宋体" w:hAnsi="宋体" w:cs="宋体"/>
                <w:kern w:val="0"/>
                <w:sz w:val="20"/>
                <w:szCs w:val="20"/>
              </w:rPr>
              <w:br w:type="textWrapping"/>
            </w:r>
            <w:r>
              <w:rPr>
                <w:rFonts w:hint="eastAsia" w:ascii="宋体" w:hAnsi="宋体" w:cs="宋体"/>
                <w:kern w:val="0"/>
                <w:sz w:val="20"/>
                <w:szCs w:val="20"/>
              </w:rPr>
              <w:t>7.配置双向RS-232接口，可用于控制外部设备；配置RS-485接口，可实现自动摄像跟踪功能。配置≥8通道可编程GPIO控制接口（可自定义输入输出）。</w:t>
            </w:r>
            <w:r>
              <w:rPr>
                <w:rFonts w:hint="eastAsia" w:ascii="宋体" w:hAnsi="宋体" w:cs="宋体"/>
                <w:kern w:val="0"/>
                <w:sz w:val="20"/>
                <w:szCs w:val="20"/>
              </w:rPr>
              <w:br w:type="textWrapping"/>
            </w:r>
            <w:r>
              <w:rPr>
                <w:rFonts w:hint="eastAsia" w:ascii="宋体" w:hAnsi="宋体" w:cs="宋体"/>
                <w:kern w:val="0"/>
                <w:sz w:val="20"/>
                <w:szCs w:val="20"/>
              </w:rPr>
              <w:t>8.支持断电自动保护记忆功能。支持通道拷贝、粘贴、联控功能。管理控制软件可工作在XP/Windows7、8、10等系统环境下。</w:t>
            </w:r>
            <w:r>
              <w:rPr>
                <w:rFonts w:hint="eastAsia" w:ascii="宋体" w:hAnsi="宋体" w:cs="宋体"/>
                <w:kern w:val="0"/>
                <w:sz w:val="20"/>
                <w:szCs w:val="20"/>
              </w:rPr>
              <w:br w:type="textWrapping"/>
            </w:r>
            <w:r>
              <w:rPr>
                <w:rFonts w:hint="eastAsia" w:ascii="宋体" w:hAnsi="宋体" w:cs="宋体"/>
                <w:kern w:val="0"/>
                <w:sz w:val="20"/>
                <w:szCs w:val="20"/>
              </w:rPr>
              <w:t>9.≥8个场景预设，支持场景信息导入、场景信息导出。</w:t>
            </w:r>
          </w:p>
        </w:tc>
        <w:tc>
          <w:tcPr>
            <w:tcW w:w="981" w:type="dxa"/>
            <w:tcBorders>
              <w:top w:val="nil"/>
              <w:left w:val="nil"/>
              <w:bottom w:val="single" w:color="auto" w:sz="4" w:space="0"/>
              <w:right w:val="single" w:color="auto" w:sz="4" w:space="0"/>
            </w:tcBorders>
            <w:shd w:val="clear" w:color="auto" w:fill="auto"/>
            <w:vAlign w:val="center"/>
          </w:tcPr>
          <w:p w14:paraId="78AEAFAF">
            <w:pPr>
              <w:widowControl/>
              <w:jc w:val="center"/>
              <w:rPr>
                <w:rFonts w:hint="eastAsia" w:ascii="宋体" w:hAnsi="宋体" w:cs="宋体"/>
                <w:kern w:val="0"/>
                <w:sz w:val="20"/>
                <w:szCs w:val="20"/>
              </w:rPr>
            </w:pPr>
            <w:r>
              <w:rPr>
                <w:rFonts w:hint="eastAsia" w:ascii="宋体" w:hAnsi="宋体" w:cs="宋体"/>
                <w:kern w:val="0"/>
                <w:sz w:val="20"/>
                <w:szCs w:val="20"/>
              </w:rPr>
              <w:t>台</w:t>
            </w:r>
          </w:p>
        </w:tc>
        <w:tc>
          <w:tcPr>
            <w:tcW w:w="1177" w:type="dxa"/>
            <w:tcBorders>
              <w:top w:val="nil"/>
              <w:left w:val="nil"/>
              <w:bottom w:val="single" w:color="auto" w:sz="4" w:space="0"/>
              <w:right w:val="single" w:color="auto" w:sz="4" w:space="0"/>
            </w:tcBorders>
            <w:shd w:val="clear" w:color="auto" w:fill="auto"/>
            <w:noWrap/>
            <w:vAlign w:val="center"/>
          </w:tcPr>
          <w:p w14:paraId="1E9E7B4A">
            <w:pPr>
              <w:widowControl/>
              <w:jc w:val="center"/>
              <w:rPr>
                <w:rFonts w:hint="eastAsia" w:ascii="宋体" w:hAnsi="宋体" w:cs="宋体"/>
                <w:kern w:val="0"/>
                <w:sz w:val="20"/>
                <w:szCs w:val="20"/>
              </w:rPr>
            </w:pPr>
            <w:r>
              <w:rPr>
                <w:rFonts w:hint="eastAsia" w:ascii="宋体" w:hAnsi="宋体" w:cs="宋体"/>
                <w:kern w:val="0"/>
                <w:sz w:val="20"/>
                <w:szCs w:val="20"/>
              </w:rPr>
              <w:t>1</w:t>
            </w:r>
          </w:p>
        </w:tc>
      </w:tr>
      <w:tr w14:paraId="20616EBF">
        <w:tblPrEx>
          <w:tblCellMar>
            <w:top w:w="0" w:type="dxa"/>
            <w:left w:w="108" w:type="dxa"/>
            <w:bottom w:w="0" w:type="dxa"/>
            <w:right w:w="108" w:type="dxa"/>
          </w:tblCellMar>
        </w:tblPrEx>
        <w:trPr>
          <w:trHeight w:val="312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697B7685">
            <w:pPr>
              <w:widowControl/>
              <w:jc w:val="center"/>
              <w:rPr>
                <w:rFonts w:hint="eastAsia" w:ascii="宋体" w:hAnsi="宋体" w:cs="宋体"/>
                <w:kern w:val="0"/>
                <w:sz w:val="20"/>
                <w:szCs w:val="20"/>
              </w:rPr>
            </w:pPr>
            <w:r>
              <w:rPr>
                <w:rFonts w:hint="eastAsia" w:ascii="宋体" w:hAnsi="宋体" w:cs="宋体"/>
                <w:kern w:val="0"/>
                <w:sz w:val="20"/>
                <w:szCs w:val="20"/>
              </w:rPr>
              <w:t>69</w:t>
            </w:r>
          </w:p>
        </w:tc>
        <w:tc>
          <w:tcPr>
            <w:tcW w:w="1325" w:type="dxa"/>
            <w:tcBorders>
              <w:top w:val="nil"/>
              <w:left w:val="nil"/>
              <w:bottom w:val="single" w:color="auto" w:sz="4" w:space="0"/>
              <w:right w:val="single" w:color="auto" w:sz="4" w:space="0"/>
            </w:tcBorders>
            <w:shd w:val="clear" w:color="auto" w:fill="auto"/>
            <w:vAlign w:val="center"/>
          </w:tcPr>
          <w:p w14:paraId="5EFCE07C">
            <w:pPr>
              <w:widowControl/>
              <w:jc w:val="left"/>
              <w:rPr>
                <w:rFonts w:hint="eastAsia" w:ascii="宋体" w:hAnsi="宋体" w:cs="宋体"/>
                <w:kern w:val="0"/>
                <w:sz w:val="20"/>
                <w:szCs w:val="20"/>
              </w:rPr>
            </w:pPr>
            <w:r>
              <w:rPr>
                <w:rFonts w:hint="eastAsia" w:ascii="宋体" w:hAnsi="宋体" w:cs="宋体"/>
                <w:kern w:val="0"/>
                <w:sz w:val="20"/>
                <w:szCs w:val="20"/>
              </w:rPr>
              <w:t>智能混音器</w:t>
            </w:r>
          </w:p>
        </w:tc>
        <w:tc>
          <w:tcPr>
            <w:tcW w:w="3515" w:type="dxa"/>
            <w:tcBorders>
              <w:top w:val="nil"/>
              <w:left w:val="nil"/>
              <w:bottom w:val="single" w:color="auto" w:sz="4" w:space="0"/>
              <w:right w:val="single" w:color="auto" w:sz="4" w:space="0"/>
            </w:tcBorders>
            <w:shd w:val="clear" w:color="auto" w:fill="auto"/>
            <w:vAlign w:val="center"/>
          </w:tcPr>
          <w:p w14:paraId="2A8C2830">
            <w:pPr>
              <w:widowControl/>
              <w:jc w:val="left"/>
              <w:rPr>
                <w:rFonts w:hint="eastAsia" w:ascii="宋体" w:hAnsi="宋体" w:cs="宋体"/>
                <w:kern w:val="0"/>
                <w:sz w:val="20"/>
                <w:szCs w:val="20"/>
              </w:rPr>
            </w:pPr>
            <w:r>
              <w:rPr>
                <w:rFonts w:hint="eastAsia" w:ascii="宋体" w:hAnsi="宋体" w:cs="宋体"/>
                <w:kern w:val="0"/>
                <w:sz w:val="20"/>
                <w:szCs w:val="20"/>
              </w:rPr>
              <w:t>1.输入通道：≥16路平衡式话筒/线路输入，采用裸线接口端子，平衡接法。支持麦克风输入和线路输入切换。每路输入带≥48V幻象电源，可通过PC软件单独配置。（提供设备接口图及功能界面截图佐证）</w:t>
            </w:r>
            <w:r>
              <w:rPr>
                <w:rFonts w:hint="eastAsia" w:ascii="宋体" w:hAnsi="宋体" w:cs="宋体"/>
                <w:kern w:val="0"/>
                <w:sz w:val="20"/>
                <w:szCs w:val="20"/>
              </w:rPr>
              <w:br w:type="textWrapping"/>
            </w:r>
            <w:r>
              <w:rPr>
                <w:rFonts w:hint="eastAsia" w:ascii="宋体" w:hAnsi="宋体" w:cs="宋体"/>
                <w:kern w:val="0"/>
                <w:sz w:val="20"/>
                <w:szCs w:val="20"/>
              </w:rPr>
              <w:t xml:space="preserve">  2.输出通道：≥4路平衡式线路输出，采用裸线接口端子，平衡接法。</w:t>
            </w:r>
            <w:r>
              <w:rPr>
                <w:rFonts w:hint="eastAsia" w:ascii="宋体" w:hAnsi="宋体" w:cs="宋体"/>
                <w:kern w:val="0"/>
                <w:sz w:val="20"/>
                <w:szCs w:val="20"/>
              </w:rPr>
              <w:br w:type="textWrapping"/>
            </w:r>
            <w:r>
              <w:rPr>
                <w:rFonts w:hint="eastAsia" w:ascii="宋体" w:hAnsi="宋体" w:cs="宋体"/>
                <w:kern w:val="0"/>
                <w:sz w:val="20"/>
                <w:szCs w:val="20"/>
              </w:rPr>
              <w:t>3.具有丰富的音频处理功能：闪避器、自动增益、均衡器、分频器、扩展器。</w:t>
            </w:r>
            <w:r>
              <w:rPr>
                <w:rFonts w:hint="eastAsia" w:ascii="宋体" w:hAnsi="宋体" w:cs="宋体"/>
                <w:kern w:val="0"/>
                <w:sz w:val="20"/>
                <w:szCs w:val="20"/>
              </w:rPr>
              <w:br w:type="textWrapping"/>
            </w:r>
            <w:r>
              <w:rPr>
                <w:rFonts w:hint="eastAsia" w:ascii="宋体" w:hAnsi="宋体" w:cs="宋体"/>
                <w:kern w:val="0"/>
                <w:sz w:val="20"/>
                <w:szCs w:val="20"/>
              </w:rPr>
              <w:t>4.具有自动混音功能，包括增益共享混音以及门限自动混音。</w:t>
            </w:r>
            <w:r>
              <w:rPr>
                <w:rFonts w:hint="eastAsia" w:ascii="宋体" w:hAnsi="宋体" w:cs="宋体"/>
                <w:kern w:val="0"/>
                <w:sz w:val="20"/>
                <w:szCs w:val="20"/>
              </w:rPr>
              <w:br w:type="textWrapping"/>
            </w:r>
            <w:r>
              <w:rPr>
                <w:rFonts w:hint="eastAsia" w:ascii="宋体" w:hAnsi="宋体" w:cs="宋体"/>
                <w:kern w:val="0"/>
                <w:sz w:val="20"/>
                <w:szCs w:val="20"/>
              </w:rPr>
              <w:t>5.输入具有≥10段图示均衡调节，输出具有≥31段图示均衡调节，参量全频段拖动可调。</w:t>
            </w:r>
            <w:r>
              <w:rPr>
                <w:rFonts w:hint="eastAsia" w:ascii="宋体" w:hAnsi="宋体" w:cs="宋体"/>
                <w:kern w:val="0"/>
                <w:sz w:val="20"/>
                <w:szCs w:val="20"/>
              </w:rPr>
              <w:br w:type="textWrapping"/>
            </w:r>
            <w:r>
              <w:rPr>
                <w:rFonts w:hint="eastAsia" w:ascii="宋体" w:hAnsi="宋体" w:cs="宋体"/>
                <w:kern w:val="0"/>
                <w:sz w:val="20"/>
                <w:szCs w:val="20"/>
              </w:rPr>
              <w:t>6.高、低通分频器全频段可调，具有贝塞尔、林克威治-瑞利、巴特沃斯三种滤波器可供选择。</w:t>
            </w:r>
            <w:r>
              <w:rPr>
                <w:rFonts w:hint="eastAsia" w:ascii="宋体" w:hAnsi="宋体" w:cs="宋体"/>
                <w:kern w:val="0"/>
                <w:sz w:val="20"/>
                <w:szCs w:val="20"/>
              </w:rPr>
              <w:br w:type="textWrapping"/>
            </w:r>
            <w:r>
              <w:rPr>
                <w:rFonts w:hint="eastAsia" w:ascii="宋体" w:hAnsi="宋体" w:cs="宋体"/>
                <w:kern w:val="0"/>
                <w:sz w:val="20"/>
                <w:szCs w:val="20"/>
              </w:rPr>
              <w:t>7.具有恢复出厂设置、设备定位、断电自动保护记忆。</w:t>
            </w:r>
            <w:r>
              <w:rPr>
                <w:rFonts w:hint="eastAsia" w:ascii="宋体" w:hAnsi="宋体" w:cs="宋体"/>
                <w:kern w:val="0"/>
                <w:sz w:val="20"/>
                <w:szCs w:val="20"/>
              </w:rPr>
              <w:br w:type="textWrapping"/>
            </w:r>
            <w:r>
              <w:rPr>
                <w:rFonts w:hint="eastAsia" w:ascii="宋体" w:hAnsi="宋体" w:cs="宋体"/>
                <w:kern w:val="0"/>
                <w:sz w:val="20"/>
                <w:szCs w:val="20"/>
              </w:rPr>
              <w:t>8.设备级联最大可扩展≥256个输入。</w:t>
            </w:r>
            <w:r>
              <w:rPr>
                <w:rFonts w:hint="eastAsia" w:ascii="宋体" w:hAnsi="宋体" w:cs="宋体"/>
                <w:kern w:val="0"/>
                <w:sz w:val="20"/>
                <w:szCs w:val="20"/>
              </w:rPr>
              <w:br w:type="textWrapping"/>
            </w:r>
            <w:r>
              <w:rPr>
                <w:rFonts w:hint="eastAsia" w:ascii="宋体" w:hAnsi="宋体" w:cs="宋体"/>
                <w:kern w:val="0"/>
                <w:sz w:val="20"/>
                <w:szCs w:val="20"/>
              </w:rPr>
              <w:t>9.极低系统延时，延时≤3ms。</w:t>
            </w:r>
            <w:r>
              <w:rPr>
                <w:rFonts w:hint="eastAsia" w:ascii="宋体" w:hAnsi="宋体" w:cs="宋体"/>
                <w:kern w:val="0"/>
                <w:sz w:val="20"/>
                <w:szCs w:val="20"/>
              </w:rPr>
              <w:br w:type="textWrapping"/>
            </w:r>
            <w:r>
              <w:rPr>
                <w:rFonts w:hint="eastAsia" w:ascii="宋体" w:hAnsi="宋体" w:cs="宋体"/>
                <w:kern w:val="0"/>
                <w:sz w:val="20"/>
                <w:szCs w:val="20"/>
              </w:rPr>
              <w:t>10.多场景切换：≥4个场景切换；支持通过后台管理软件导入、导出场景数据。</w:t>
            </w:r>
          </w:p>
        </w:tc>
        <w:tc>
          <w:tcPr>
            <w:tcW w:w="981" w:type="dxa"/>
            <w:tcBorders>
              <w:top w:val="nil"/>
              <w:left w:val="nil"/>
              <w:bottom w:val="single" w:color="auto" w:sz="4" w:space="0"/>
              <w:right w:val="single" w:color="auto" w:sz="4" w:space="0"/>
            </w:tcBorders>
            <w:shd w:val="clear" w:color="auto" w:fill="auto"/>
            <w:vAlign w:val="center"/>
          </w:tcPr>
          <w:p w14:paraId="38F60FDD">
            <w:pPr>
              <w:widowControl/>
              <w:jc w:val="center"/>
              <w:rPr>
                <w:rFonts w:hint="eastAsia" w:ascii="宋体" w:hAnsi="宋体" w:cs="宋体"/>
                <w:kern w:val="0"/>
                <w:sz w:val="20"/>
                <w:szCs w:val="20"/>
              </w:rPr>
            </w:pPr>
            <w:r>
              <w:rPr>
                <w:rFonts w:hint="eastAsia" w:ascii="宋体" w:hAnsi="宋体" w:cs="宋体"/>
                <w:kern w:val="0"/>
                <w:sz w:val="20"/>
                <w:szCs w:val="20"/>
              </w:rPr>
              <w:t>台</w:t>
            </w:r>
          </w:p>
        </w:tc>
        <w:tc>
          <w:tcPr>
            <w:tcW w:w="1177" w:type="dxa"/>
            <w:tcBorders>
              <w:top w:val="nil"/>
              <w:left w:val="nil"/>
              <w:bottom w:val="single" w:color="auto" w:sz="4" w:space="0"/>
              <w:right w:val="single" w:color="auto" w:sz="4" w:space="0"/>
            </w:tcBorders>
            <w:shd w:val="clear" w:color="auto" w:fill="auto"/>
            <w:noWrap/>
            <w:vAlign w:val="center"/>
          </w:tcPr>
          <w:p w14:paraId="15D6D14D">
            <w:pPr>
              <w:widowControl/>
              <w:jc w:val="center"/>
              <w:rPr>
                <w:rFonts w:hint="eastAsia" w:ascii="宋体" w:hAnsi="宋体" w:cs="宋体"/>
                <w:kern w:val="0"/>
                <w:sz w:val="20"/>
                <w:szCs w:val="20"/>
              </w:rPr>
            </w:pPr>
            <w:r>
              <w:rPr>
                <w:rFonts w:hint="eastAsia" w:ascii="宋体" w:hAnsi="宋体" w:cs="宋体"/>
                <w:kern w:val="0"/>
                <w:sz w:val="20"/>
                <w:szCs w:val="20"/>
              </w:rPr>
              <w:t>1</w:t>
            </w:r>
          </w:p>
        </w:tc>
      </w:tr>
      <w:tr w14:paraId="4A2754BB">
        <w:tblPrEx>
          <w:tblCellMar>
            <w:top w:w="0" w:type="dxa"/>
            <w:left w:w="108" w:type="dxa"/>
            <w:bottom w:w="0" w:type="dxa"/>
            <w:right w:w="108" w:type="dxa"/>
          </w:tblCellMar>
        </w:tblPrEx>
        <w:trPr>
          <w:trHeight w:val="3711"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0372E391">
            <w:pPr>
              <w:widowControl/>
              <w:jc w:val="center"/>
              <w:rPr>
                <w:rFonts w:hint="eastAsia" w:ascii="宋体" w:hAnsi="宋体" w:cs="宋体"/>
                <w:kern w:val="0"/>
                <w:sz w:val="20"/>
                <w:szCs w:val="20"/>
              </w:rPr>
            </w:pPr>
            <w:r>
              <w:rPr>
                <w:rFonts w:hint="eastAsia" w:ascii="宋体" w:hAnsi="宋体" w:cs="宋体"/>
                <w:kern w:val="0"/>
                <w:sz w:val="20"/>
                <w:szCs w:val="20"/>
              </w:rPr>
              <w:t>70</w:t>
            </w:r>
          </w:p>
        </w:tc>
        <w:tc>
          <w:tcPr>
            <w:tcW w:w="1325" w:type="dxa"/>
            <w:tcBorders>
              <w:top w:val="nil"/>
              <w:left w:val="nil"/>
              <w:bottom w:val="single" w:color="auto" w:sz="4" w:space="0"/>
              <w:right w:val="single" w:color="auto" w:sz="4" w:space="0"/>
            </w:tcBorders>
            <w:shd w:val="clear" w:color="auto" w:fill="auto"/>
            <w:vAlign w:val="center"/>
          </w:tcPr>
          <w:p w14:paraId="24174B2C">
            <w:pPr>
              <w:widowControl/>
              <w:jc w:val="left"/>
              <w:rPr>
                <w:rFonts w:hint="eastAsia" w:ascii="宋体" w:hAnsi="宋体" w:cs="宋体"/>
                <w:kern w:val="0"/>
                <w:sz w:val="20"/>
                <w:szCs w:val="20"/>
              </w:rPr>
            </w:pPr>
            <w:r>
              <w:rPr>
                <w:rFonts w:hint="eastAsia" w:ascii="宋体" w:hAnsi="宋体" w:cs="宋体"/>
                <w:kern w:val="0"/>
                <w:sz w:val="20"/>
                <w:szCs w:val="20"/>
              </w:rPr>
              <w:t>摄像机</w:t>
            </w:r>
          </w:p>
        </w:tc>
        <w:tc>
          <w:tcPr>
            <w:tcW w:w="3515" w:type="dxa"/>
            <w:tcBorders>
              <w:top w:val="nil"/>
              <w:left w:val="nil"/>
              <w:bottom w:val="single" w:color="auto" w:sz="4" w:space="0"/>
              <w:right w:val="single" w:color="auto" w:sz="4" w:space="0"/>
            </w:tcBorders>
            <w:shd w:val="clear" w:color="auto" w:fill="auto"/>
            <w:vAlign w:val="center"/>
          </w:tcPr>
          <w:p w14:paraId="5BE80A7A">
            <w:pPr>
              <w:widowControl/>
              <w:numPr>
                <w:ilvl w:val="0"/>
                <w:numId w:val="15"/>
              </w:numPr>
              <w:jc w:val="left"/>
              <w:rPr>
                <w:rFonts w:hint="eastAsia" w:ascii="宋体" w:hAnsi="宋体" w:cs="宋体"/>
                <w:kern w:val="0"/>
                <w:sz w:val="20"/>
                <w:szCs w:val="20"/>
              </w:rPr>
            </w:pPr>
            <w:r>
              <w:rPr>
                <w:rFonts w:hint="eastAsia" w:ascii="宋体" w:hAnsi="宋体" w:cs="宋体"/>
                <w:kern w:val="0"/>
                <w:sz w:val="20"/>
                <w:szCs w:val="20"/>
              </w:rPr>
              <w:t>高清摄像机具备20倍光学变倍镜头，并支持16倍数字变焦；采用1/2.8英寸、207万有效像素的高品质HD CMOS传感器。</w:t>
            </w:r>
          </w:p>
          <w:p w14:paraId="65258F2D">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2.镜头焦距f4.42mm ~ 88.5mm, 光圈系数F1.8 ~ F2.8 。</w:t>
            </w:r>
          </w:p>
          <w:p w14:paraId="355F3D71">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3.支持1080P60，1080P59.94，1080P50，1080I60，1080I59.94，1080I50，1080P30，1080P29.97，1080P25，720P60，720P59.94，720P50分辨率，支持输出帧率60帧/秒。</w:t>
            </w:r>
          </w:p>
          <w:p w14:paraId="235DE6B1">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4.支持HDMI、SDI、USB、网络四路视频同时输出。</w:t>
            </w:r>
          </w:p>
          <w:p w14:paraId="7A8E69E7">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5.支持RS232和RS485串口，可对摄像机进行控制；支持预置位数量255个，预置位精度：0.1°。</w:t>
            </w:r>
          </w:p>
          <w:p w14:paraId="6CA31570">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6.水平视场角：60.7°～3.36°；支持水平转动范围：-170°～+170°，垂直转动范围：-30°～+90°，水平转动速度范围：水平：1.7° ~ 100°/s，俯仰：1.7° ~ 69.9°/s。</w:t>
            </w:r>
          </w:p>
          <w:p w14:paraId="6ECA9EAC">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7.支持先进的2D、3D降噪技术。</w:t>
            </w:r>
          </w:p>
          <w:p w14:paraId="36C8A33E">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8.内置AI技术和行人重识别技术，实现自动识别目标人形并跟踪、自动框选功能。</w:t>
            </w:r>
          </w:p>
          <w:p w14:paraId="1D77193C">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9.支持AAC音频编码，音质更佳，带宽占用更小</w:t>
            </w:r>
          </w:p>
          <w:p w14:paraId="64DC4B2C">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10.支持PoE供电。</w:t>
            </w:r>
          </w:p>
          <w:p w14:paraId="0F352B4C">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11.具备≥1路HDMI输出接口、≥1路3G-SDI输出接口、≥1路USB3.0输出接口，具备≥1路3.5mm音频输入接口和≥1路3.5mm音频输出接口。</w:t>
            </w:r>
          </w:p>
        </w:tc>
        <w:tc>
          <w:tcPr>
            <w:tcW w:w="981" w:type="dxa"/>
            <w:tcBorders>
              <w:top w:val="nil"/>
              <w:left w:val="nil"/>
              <w:bottom w:val="single" w:color="auto" w:sz="4" w:space="0"/>
              <w:right w:val="single" w:color="auto" w:sz="4" w:space="0"/>
            </w:tcBorders>
            <w:shd w:val="clear" w:color="auto" w:fill="auto"/>
            <w:vAlign w:val="center"/>
          </w:tcPr>
          <w:p w14:paraId="20B3CCDA">
            <w:pPr>
              <w:widowControl/>
              <w:jc w:val="center"/>
              <w:rPr>
                <w:rFonts w:hint="eastAsia" w:ascii="宋体" w:hAnsi="宋体" w:cs="宋体"/>
                <w:kern w:val="0"/>
                <w:sz w:val="20"/>
                <w:szCs w:val="20"/>
              </w:rPr>
            </w:pPr>
            <w:r>
              <w:rPr>
                <w:rFonts w:hint="eastAsia" w:ascii="宋体" w:hAnsi="宋体" w:cs="宋体"/>
                <w:kern w:val="0"/>
                <w:sz w:val="20"/>
                <w:szCs w:val="20"/>
              </w:rPr>
              <w:t>台</w:t>
            </w:r>
          </w:p>
        </w:tc>
        <w:tc>
          <w:tcPr>
            <w:tcW w:w="1177" w:type="dxa"/>
            <w:tcBorders>
              <w:top w:val="nil"/>
              <w:left w:val="nil"/>
              <w:bottom w:val="single" w:color="auto" w:sz="4" w:space="0"/>
              <w:right w:val="single" w:color="auto" w:sz="4" w:space="0"/>
            </w:tcBorders>
            <w:shd w:val="clear" w:color="auto" w:fill="auto"/>
            <w:noWrap/>
            <w:vAlign w:val="center"/>
          </w:tcPr>
          <w:p w14:paraId="12F36DCC">
            <w:pPr>
              <w:widowControl/>
              <w:jc w:val="center"/>
              <w:rPr>
                <w:rFonts w:hint="eastAsia" w:ascii="宋体" w:hAnsi="宋体" w:cs="宋体"/>
                <w:kern w:val="0"/>
                <w:sz w:val="20"/>
                <w:szCs w:val="20"/>
              </w:rPr>
            </w:pPr>
            <w:r>
              <w:rPr>
                <w:rFonts w:hint="eastAsia" w:ascii="宋体" w:hAnsi="宋体" w:cs="宋体"/>
                <w:kern w:val="0"/>
                <w:sz w:val="20"/>
                <w:szCs w:val="20"/>
              </w:rPr>
              <w:t>1</w:t>
            </w:r>
          </w:p>
        </w:tc>
      </w:tr>
      <w:tr w14:paraId="660EAECF">
        <w:tblPrEx>
          <w:tblCellMar>
            <w:top w:w="0" w:type="dxa"/>
            <w:left w:w="108" w:type="dxa"/>
            <w:bottom w:w="0" w:type="dxa"/>
            <w:right w:w="108" w:type="dxa"/>
          </w:tblCellMar>
        </w:tblPrEx>
        <w:trPr>
          <w:trHeight w:val="156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1B62AED1">
            <w:pPr>
              <w:widowControl/>
              <w:jc w:val="center"/>
              <w:rPr>
                <w:rFonts w:hint="eastAsia" w:ascii="宋体" w:hAnsi="宋体" w:cs="宋体"/>
                <w:kern w:val="0"/>
                <w:sz w:val="20"/>
                <w:szCs w:val="20"/>
              </w:rPr>
            </w:pPr>
            <w:r>
              <w:rPr>
                <w:rFonts w:hint="eastAsia" w:ascii="宋体" w:hAnsi="宋体" w:cs="宋体"/>
                <w:kern w:val="0"/>
                <w:sz w:val="20"/>
                <w:szCs w:val="20"/>
              </w:rPr>
              <w:t>71</w:t>
            </w:r>
          </w:p>
        </w:tc>
        <w:tc>
          <w:tcPr>
            <w:tcW w:w="1325" w:type="dxa"/>
            <w:tcBorders>
              <w:top w:val="nil"/>
              <w:left w:val="nil"/>
              <w:bottom w:val="single" w:color="auto" w:sz="4" w:space="0"/>
              <w:right w:val="single" w:color="auto" w:sz="4" w:space="0"/>
            </w:tcBorders>
            <w:shd w:val="clear" w:color="auto" w:fill="auto"/>
            <w:vAlign w:val="center"/>
          </w:tcPr>
          <w:p w14:paraId="7D725269">
            <w:pPr>
              <w:widowControl/>
              <w:jc w:val="left"/>
              <w:rPr>
                <w:rFonts w:hint="eastAsia" w:ascii="宋体" w:hAnsi="宋体" w:cs="宋体"/>
                <w:kern w:val="0"/>
                <w:sz w:val="20"/>
                <w:szCs w:val="20"/>
              </w:rPr>
            </w:pPr>
            <w:r>
              <w:rPr>
                <w:rFonts w:hint="eastAsia" w:ascii="宋体" w:hAnsi="宋体" w:cs="宋体"/>
                <w:kern w:val="0"/>
                <w:sz w:val="20"/>
                <w:szCs w:val="20"/>
              </w:rPr>
              <w:t>有源音箱</w:t>
            </w:r>
          </w:p>
        </w:tc>
        <w:tc>
          <w:tcPr>
            <w:tcW w:w="3515" w:type="dxa"/>
            <w:tcBorders>
              <w:top w:val="nil"/>
              <w:left w:val="nil"/>
              <w:bottom w:val="single" w:color="auto" w:sz="4" w:space="0"/>
              <w:right w:val="single" w:color="auto" w:sz="4" w:space="0"/>
            </w:tcBorders>
            <w:shd w:val="clear" w:color="auto" w:fill="auto"/>
            <w:vAlign w:val="center"/>
          </w:tcPr>
          <w:p w14:paraId="52CAABB4">
            <w:pPr>
              <w:widowControl/>
              <w:jc w:val="left"/>
              <w:rPr>
                <w:rFonts w:hint="eastAsia" w:ascii="宋体" w:hAnsi="宋体" w:cs="宋体"/>
                <w:kern w:val="0"/>
                <w:sz w:val="20"/>
                <w:szCs w:val="20"/>
              </w:rPr>
            </w:pPr>
            <w:r>
              <w:rPr>
                <w:rFonts w:hint="eastAsia" w:ascii="宋体" w:hAnsi="宋体" w:cs="宋体"/>
                <w:kern w:val="0"/>
                <w:sz w:val="20"/>
                <w:szCs w:val="20"/>
              </w:rPr>
              <w:t>1.有源音箱内置高保真扬声器，额定输出功率支持≥2×25W，支持4-8Ω输出阻抗。</w:t>
            </w:r>
            <w:r>
              <w:rPr>
                <w:rFonts w:hint="eastAsia" w:ascii="宋体" w:hAnsi="宋体" w:cs="宋体"/>
                <w:kern w:val="0"/>
                <w:sz w:val="20"/>
                <w:szCs w:val="20"/>
              </w:rPr>
              <w:br w:type="textWrapping"/>
            </w:r>
            <w:r>
              <w:rPr>
                <w:rFonts w:hint="eastAsia" w:ascii="宋体" w:hAnsi="宋体" w:cs="宋体"/>
                <w:kern w:val="0"/>
                <w:sz w:val="20"/>
                <w:szCs w:val="20"/>
              </w:rPr>
              <w:t>2.支持≥1路话筒和≥1路立体声线路输入接口、≥1路立体声线路输出接口，带默音功能，话筒优先于线路输入。具有≥1个麦克风音量调节，≥1个线路输入音量调节，≥2个高低音调节。</w:t>
            </w:r>
            <w:r>
              <w:rPr>
                <w:rFonts w:hint="eastAsia" w:ascii="宋体" w:hAnsi="宋体" w:cs="宋体"/>
                <w:kern w:val="0"/>
                <w:sz w:val="20"/>
                <w:szCs w:val="20"/>
              </w:rPr>
              <w:br w:type="textWrapping"/>
            </w:r>
            <w:r>
              <w:rPr>
                <w:rFonts w:hint="eastAsia" w:ascii="宋体" w:hAnsi="宋体" w:cs="宋体"/>
                <w:kern w:val="0"/>
                <w:sz w:val="20"/>
                <w:szCs w:val="20"/>
              </w:rPr>
              <w:t>3.支持≥100V广播输入接口。</w:t>
            </w:r>
            <w:r>
              <w:rPr>
                <w:rFonts w:hint="eastAsia" w:ascii="宋体" w:hAnsi="宋体" w:cs="宋体"/>
                <w:kern w:val="0"/>
                <w:sz w:val="20"/>
                <w:szCs w:val="20"/>
              </w:rPr>
              <w:br w:type="textWrapping"/>
            </w:r>
            <w:r>
              <w:rPr>
                <w:rFonts w:hint="eastAsia" w:ascii="宋体" w:hAnsi="宋体" w:cs="宋体"/>
                <w:kern w:val="0"/>
                <w:sz w:val="20"/>
                <w:szCs w:val="20"/>
              </w:rPr>
              <w:t>4.具有输出过载、过压、短路保护。</w:t>
            </w:r>
            <w:r>
              <w:rPr>
                <w:rFonts w:hint="eastAsia" w:ascii="宋体" w:hAnsi="宋体" w:cs="宋体"/>
                <w:kern w:val="0"/>
                <w:sz w:val="20"/>
                <w:szCs w:val="20"/>
              </w:rPr>
              <w:br w:type="textWrapping"/>
            </w:r>
            <w:r>
              <w:rPr>
                <w:rFonts w:hint="eastAsia" w:ascii="宋体" w:hAnsi="宋体" w:cs="宋体"/>
                <w:kern w:val="0"/>
                <w:sz w:val="20"/>
                <w:szCs w:val="20"/>
              </w:rPr>
              <w:t>5.信噪比≥70dB，频率响应≥40Hz~20KHz(≤±3dB)，谐波失真≤1%。</w:t>
            </w:r>
          </w:p>
        </w:tc>
        <w:tc>
          <w:tcPr>
            <w:tcW w:w="981" w:type="dxa"/>
            <w:tcBorders>
              <w:top w:val="nil"/>
              <w:left w:val="nil"/>
              <w:bottom w:val="single" w:color="auto" w:sz="4" w:space="0"/>
              <w:right w:val="single" w:color="auto" w:sz="4" w:space="0"/>
            </w:tcBorders>
            <w:shd w:val="clear" w:color="auto" w:fill="auto"/>
            <w:vAlign w:val="center"/>
          </w:tcPr>
          <w:p w14:paraId="4BA4AB63">
            <w:pPr>
              <w:widowControl/>
              <w:jc w:val="center"/>
              <w:rPr>
                <w:rFonts w:hint="eastAsia" w:ascii="宋体" w:hAnsi="宋体" w:cs="宋体"/>
                <w:kern w:val="0"/>
                <w:sz w:val="20"/>
                <w:szCs w:val="20"/>
              </w:rPr>
            </w:pPr>
            <w:r>
              <w:rPr>
                <w:rFonts w:hint="eastAsia" w:ascii="宋体" w:hAnsi="宋体" w:cs="宋体"/>
                <w:kern w:val="0"/>
                <w:sz w:val="20"/>
                <w:szCs w:val="20"/>
              </w:rPr>
              <w:t>套</w:t>
            </w:r>
          </w:p>
        </w:tc>
        <w:tc>
          <w:tcPr>
            <w:tcW w:w="1177" w:type="dxa"/>
            <w:tcBorders>
              <w:top w:val="nil"/>
              <w:left w:val="nil"/>
              <w:bottom w:val="single" w:color="auto" w:sz="4" w:space="0"/>
              <w:right w:val="single" w:color="auto" w:sz="4" w:space="0"/>
            </w:tcBorders>
            <w:shd w:val="clear" w:color="auto" w:fill="auto"/>
            <w:noWrap/>
            <w:vAlign w:val="center"/>
          </w:tcPr>
          <w:p w14:paraId="1FC1BA46">
            <w:pPr>
              <w:widowControl/>
              <w:jc w:val="center"/>
              <w:rPr>
                <w:rFonts w:hint="eastAsia" w:ascii="宋体" w:hAnsi="宋体" w:cs="宋体"/>
                <w:kern w:val="0"/>
                <w:sz w:val="20"/>
                <w:szCs w:val="20"/>
              </w:rPr>
            </w:pPr>
            <w:r>
              <w:rPr>
                <w:rFonts w:hint="eastAsia" w:ascii="宋体" w:hAnsi="宋体" w:cs="宋体"/>
                <w:kern w:val="0"/>
                <w:sz w:val="20"/>
                <w:szCs w:val="20"/>
              </w:rPr>
              <w:t>1</w:t>
            </w:r>
          </w:p>
        </w:tc>
      </w:tr>
      <w:tr w14:paraId="64B602C0">
        <w:tblPrEx>
          <w:tblCellMar>
            <w:top w:w="0" w:type="dxa"/>
            <w:left w:w="108" w:type="dxa"/>
            <w:bottom w:w="0" w:type="dxa"/>
            <w:right w:w="108" w:type="dxa"/>
          </w:tblCellMar>
        </w:tblPrEx>
        <w:trPr>
          <w:trHeight w:val="442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7D2F403A">
            <w:pPr>
              <w:widowControl/>
              <w:jc w:val="center"/>
              <w:rPr>
                <w:rFonts w:hint="eastAsia" w:ascii="宋体" w:hAnsi="宋体" w:cs="宋体"/>
                <w:kern w:val="0"/>
                <w:sz w:val="20"/>
                <w:szCs w:val="20"/>
              </w:rPr>
            </w:pPr>
            <w:r>
              <w:rPr>
                <w:rFonts w:hint="eastAsia" w:ascii="宋体" w:hAnsi="宋体" w:cs="宋体"/>
                <w:kern w:val="0"/>
                <w:sz w:val="20"/>
                <w:szCs w:val="20"/>
              </w:rPr>
              <w:t>72</w:t>
            </w:r>
          </w:p>
        </w:tc>
        <w:tc>
          <w:tcPr>
            <w:tcW w:w="1325" w:type="dxa"/>
            <w:tcBorders>
              <w:top w:val="nil"/>
              <w:left w:val="nil"/>
              <w:bottom w:val="single" w:color="auto" w:sz="4" w:space="0"/>
              <w:right w:val="single" w:color="auto" w:sz="4" w:space="0"/>
            </w:tcBorders>
            <w:shd w:val="clear" w:color="auto" w:fill="auto"/>
            <w:vAlign w:val="center"/>
          </w:tcPr>
          <w:p w14:paraId="31FDD5E2">
            <w:pPr>
              <w:widowControl/>
              <w:jc w:val="left"/>
              <w:rPr>
                <w:rFonts w:hint="eastAsia" w:ascii="宋体" w:hAnsi="宋体" w:cs="宋体"/>
                <w:kern w:val="0"/>
                <w:sz w:val="20"/>
                <w:szCs w:val="20"/>
              </w:rPr>
            </w:pPr>
            <w:r>
              <w:rPr>
                <w:rFonts w:hint="eastAsia" w:ascii="宋体" w:hAnsi="宋体" w:cs="宋体"/>
                <w:kern w:val="0"/>
                <w:sz w:val="20"/>
                <w:szCs w:val="20"/>
              </w:rPr>
              <w:t>无缝高清矩阵切换器</w:t>
            </w:r>
          </w:p>
        </w:tc>
        <w:tc>
          <w:tcPr>
            <w:tcW w:w="3515" w:type="dxa"/>
            <w:tcBorders>
              <w:top w:val="nil"/>
              <w:left w:val="nil"/>
              <w:bottom w:val="single" w:color="auto" w:sz="4" w:space="0"/>
              <w:right w:val="single" w:color="auto" w:sz="4" w:space="0"/>
            </w:tcBorders>
            <w:shd w:val="clear" w:color="auto" w:fill="auto"/>
            <w:vAlign w:val="center"/>
          </w:tcPr>
          <w:p w14:paraId="7878F091">
            <w:pPr>
              <w:widowControl/>
              <w:jc w:val="left"/>
              <w:rPr>
                <w:rFonts w:hint="eastAsia" w:ascii="宋体" w:hAnsi="宋体" w:cs="宋体"/>
                <w:kern w:val="0"/>
                <w:sz w:val="20"/>
                <w:szCs w:val="20"/>
              </w:rPr>
            </w:pPr>
            <w:r>
              <w:rPr>
                <w:rFonts w:hint="eastAsia" w:ascii="宋体" w:hAnsi="宋体" w:cs="宋体"/>
                <w:kern w:val="0"/>
                <w:sz w:val="20"/>
                <w:szCs w:val="20"/>
              </w:rPr>
              <w:t>1.矩阵采用纯硬件标准化机箱设计，支持配置≥8×8路信号切换，支持HDMI、DVI、VGA、SDI、HDBaseT、光纤的任意输入/输出信号卡，其中DVI输入卡兼容CVBS，YUV,VGA信号，VGA输入/输出卡均兼容CVBS，YUV,VGA信号。</w:t>
            </w:r>
            <w:r>
              <w:rPr>
                <w:rFonts w:hint="eastAsia" w:ascii="宋体" w:hAnsi="宋体" w:cs="宋体"/>
                <w:kern w:val="0"/>
                <w:sz w:val="20"/>
                <w:szCs w:val="20"/>
              </w:rPr>
              <w:br w:type="textWrapping"/>
            </w:r>
            <w:r>
              <w:rPr>
                <w:rFonts w:hint="eastAsia" w:ascii="宋体" w:hAnsi="宋体" w:cs="宋体"/>
                <w:kern w:val="0"/>
                <w:sz w:val="20"/>
                <w:szCs w:val="20"/>
              </w:rPr>
              <w:t>2.采用板卡模块化设计，支持接入≥2块输入卡，≥2块输出卡，≥1块控制卡；通过定制配置各类相同或不同的输入输出卡可以组成单一接口类型或多接口类型的矩阵，如HDMI矩阵，DVI矩阵，VGA矩阵，YUV矩阵。</w:t>
            </w:r>
            <w:r>
              <w:rPr>
                <w:rFonts w:hint="eastAsia" w:ascii="宋体" w:hAnsi="宋体" w:cs="宋体"/>
                <w:kern w:val="0"/>
                <w:sz w:val="20"/>
                <w:szCs w:val="20"/>
              </w:rPr>
              <w:br w:type="textWrapping"/>
            </w:r>
            <w:r>
              <w:rPr>
                <w:rFonts w:hint="eastAsia" w:ascii="宋体" w:hAnsi="宋体" w:cs="宋体"/>
                <w:kern w:val="0"/>
                <w:sz w:val="20"/>
                <w:szCs w:val="20"/>
              </w:rPr>
              <w:t>3.支持无缝切换功能，切换过程无黑屏信号。</w:t>
            </w:r>
            <w:r>
              <w:rPr>
                <w:rFonts w:hint="eastAsia" w:ascii="宋体" w:hAnsi="宋体" w:cs="宋体"/>
                <w:kern w:val="0"/>
                <w:sz w:val="20"/>
                <w:szCs w:val="20"/>
              </w:rPr>
              <w:br w:type="textWrapping"/>
            </w:r>
            <w:r>
              <w:rPr>
                <w:rFonts w:hint="eastAsia" w:ascii="宋体" w:hAnsi="宋体" w:cs="宋体"/>
                <w:kern w:val="0"/>
                <w:sz w:val="20"/>
                <w:szCs w:val="20"/>
              </w:rPr>
              <w:t>4.分辨率支持≥4Kx2K。支持断电记忆功能，免除上电重复设置动作。系统内可存储多组预切换指令，调用时可以一键切换。</w:t>
            </w:r>
            <w:r>
              <w:rPr>
                <w:rFonts w:hint="eastAsia" w:ascii="宋体" w:hAnsi="宋体" w:cs="宋体"/>
                <w:kern w:val="0"/>
                <w:sz w:val="20"/>
                <w:szCs w:val="20"/>
              </w:rPr>
              <w:br w:type="textWrapping"/>
            </w:r>
            <w:r>
              <w:rPr>
                <w:rFonts w:hint="eastAsia" w:ascii="宋体" w:hAnsi="宋体" w:cs="宋体"/>
                <w:kern w:val="0"/>
                <w:sz w:val="20"/>
                <w:szCs w:val="20"/>
              </w:rPr>
              <w:t>5.支持模拟音频与HDMI内嵌音频选择输入、支持模拟音频与HDMI内嵌音频同时输出。</w:t>
            </w:r>
            <w:r>
              <w:rPr>
                <w:rFonts w:hint="eastAsia" w:ascii="宋体" w:hAnsi="宋体" w:cs="宋体"/>
                <w:kern w:val="0"/>
                <w:sz w:val="20"/>
                <w:szCs w:val="20"/>
              </w:rPr>
              <w:br w:type="textWrapping"/>
            </w:r>
            <w:r>
              <w:rPr>
                <w:rFonts w:hint="eastAsia" w:ascii="宋体" w:hAnsi="宋体" w:cs="宋体"/>
                <w:kern w:val="0"/>
                <w:sz w:val="20"/>
                <w:szCs w:val="20"/>
              </w:rPr>
              <w:t>6.支持接入≥1块控制板卡，具有≥1路RS-232,≥1路RS-485,≥1路TCP/IP端口（PC软件）</w:t>
            </w:r>
            <w:r>
              <w:rPr>
                <w:rFonts w:hint="eastAsia" w:ascii="宋体" w:hAnsi="宋体" w:cs="宋体"/>
                <w:kern w:val="0"/>
                <w:sz w:val="20"/>
                <w:szCs w:val="20"/>
              </w:rPr>
              <w:br w:type="textWrapping"/>
            </w:r>
            <w:r>
              <w:rPr>
                <w:rFonts w:hint="eastAsia" w:ascii="宋体" w:hAnsi="宋体" w:cs="宋体"/>
                <w:kern w:val="0"/>
                <w:sz w:val="20"/>
                <w:szCs w:val="20"/>
              </w:rPr>
              <w:t>7.HDBaseT输入输出信号支持双向 RS-232 和双向 IR 信号传输，可对RS-232和IR 信号选择随视频信号切换，或分离切换模式，支持扩展POC模块对外设供电。</w:t>
            </w:r>
            <w:r>
              <w:rPr>
                <w:rFonts w:hint="eastAsia" w:ascii="宋体" w:hAnsi="宋体" w:cs="宋体"/>
                <w:kern w:val="0"/>
                <w:sz w:val="20"/>
                <w:szCs w:val="20"/>
              </w:rPr>
              <w:br w:type="textWrapping"/>
            </w:r>
            <w:r>
              <w:rPr>
                <w:rFonts w:hint="eastAsia" w:ascii="宋体" w:hAnsi="宋体" w:cs="宋体"/>
                <w:kern w:val="0"/>
                <w:sz w:val="20"/>
                <w:szCs w:val="20"/>
              </w:rPr>
              <w:t>8.机箱前面板带有≥7英寸全彩触摸屏。</w:t>
            </w:r>
            <w:r>
              <w:rPr>
                <w:rFonts w:hint="eastAsia" w:ascii="宋体" w:hAnsi="宋体" w:cs="宋体"/>
                <w:kern w:val="0"/>
                <w:sz w:val="20"/>
                <w:szCs w:val="20"/>
              </w:rPr>
              <w:br w:type="textWrapping"/>
            </w:r>
            <w:r>
              <w:rPr>
                <w:rFonts w:hint="eastAsia" w:ascii="宋体" w:hAnsi="宋体" w:cs="宋体"/>
                <w:kern w:val="0"/>
                <w:sz w:val="20"/>
                <w:szCs w:val="20"/>
              </w:rPr>
              <w:t>9.支持通过前面板触控屏进行通道切换，场景调用、切换、保存操作，支持自定义设置场景名称，支持查看设备IP地址、通道信息、切换状态，可进行IP地址设置、重置，支持通道切换状态显示，支持输出分辨率显示，支持板卡接入状态显示，支持中英文双语切换。</w:t>
            </w:r>
          </w:p>
        </w:tc>
        <w:tc>
          <w:tcPr>
            <w:tcW w:w="981" w:type="dxa"/>
            <w:tcBorders>
              <w:top w:val="nil"/>
              <w:left w:val="nil"/>
              <w:bottom w:val="single" w:color="auto" w:sz="4" w:space="0"/>
              <w:right w:val="single" w:color="auto" w:sz="4" w:space="0"/>
            </w:tcBorders>
            <w:shd w:val="clear" w:color="auto" w:fill="auto"/>
            <w:vAlign w:val="center"/>
          </w:tcPr>
          <w:p w14:paraId="3A5A8F3F">
            <w:pPr>
              <w:widowControl/>
              <w:jc w:val="center"/>
              <w:rPr>
                <w:rFonts w:hint="eastAsia" w:ascii="宋体" w:hAnsi="宋体" w:cs="宋体"/>
                <w:kern w:val="0"/>
                <w:sz w:val="20"/>
                <w:szCs w:val="20"/>
              </w:rPr>
            </w:pPr>
            <w:r>
              <w:rPr>
                <w:rFonts w:hint="eastAsia" w:ascii="宋体" w:hAnsi="宋体" w:cs="宋体"/>
                <w:kern w:val="0"/>
                <w:sz w:val="20"/>
                <w:szCs w:val="20"/>
              </w:rPr>
              <w:t>台</w:t>
            </w:r>
          </w:p>
        </w:tc>
        <w:tc>
          <w:tcPr>
            <w:tcW w:w="1177" w:type="dxa"/>
            <w:tcBorders>
              <w:top w:val="nil"/>
              <w:left w:val="nil"/>
              <w:bottom w:val="single" w:color="auto" w:sz="4" w:space="0"/>
              <w:right w:val="single" w:color="auto" w:sz="4" w:space="0"/>
            </w:tcBorders>
            <w:shd w:val="clear" w:color="auto" w:fill="auto"/>
            <w:noWrap/>
            <w:vAlign w:val="center"/>
          </w:tcPr>
          <w:p w14:paraId="7C5D9896">
            <w:pPr>
              <w:widowControl/>
              <w:jc w:val="center"/>
              <w:rPr>
                <w:rFonts w:hint="eastAsia" w:ascii="宋体" w:hAnsi="宋体" w:cs="宋体"/>
                <w:kern w:val="0"/>
                <w:sz w:val="20"/>
                <w:szCs w:val="20"/>
              </w:rPr>
            </w:pPr>
            <w:r>
              <w:rPr>
                <w:rFonts w:hint="eastAsia" w:ascii="宋体" w:hAnsi="宋体" w:cs="宋体"/>
                <w:kern w:val="0"/>
                <w:sz w:val="20"/>
                <w:szCs w:val="20"/>
              </w:rPr>
              <w:t>1</w:t>
            </w:r>
          </w:p>
        </w:tc>
      </w:tr>
      <w:tr w14:paraId="2B5DB345">
        <w:tblPrEx>
          <w:tblCellMar>
            <w:top w:w="0" w:type="dxa"/>
            <w:left w:w="108" w:type="dxa"/>
            <w:bottom w:w="0" w:type="dxa"/>
            <w:right w:w="108" w:type="dxa"/>
          </w:tblCellMar>
        </w:tblPrEx>
        <w:trPr>
          <w:trHeight w:val="130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072BD51F">
            <w:pPr>
              <w:widowControl/>
              <w:jc w:val="center"/>
              <w:rPr>
                <w:rFonts w:hint="eastAsia" w:ascii="宋体" w:hAnsi="宋体" w:cs="宋体"/>
                <w:kern w:val="0"/>
                <w:sz w:val="20"/>
                <w:szCs w:val="20"/>
              </w:rPr>
            </w:pPr>
            <w:r>
              <w:rPr>
                <w:rFonts w:hint="eastAsia" w:ascii="宋体" w:hAnsi="宋体" w:cs="宋体"/>
                <w:kern w:val="0"/>
                <w:sz w:val="20"/>
                <w:szCs w:val="20"/>
              </w:rPr>
              <w:t>73</w:t>
            </w:r>
          </w:p>
        </w:tc>
        <w:tc>
          <w:tcPr>
            <w:tcW w:w="1325" w:type="dxa"/>
            <w:tcBorders>
              <w:top w:val="nil"/>
              <w:left w:val="nil"/>
              <w:bottom w:val="single" w:color="auto" w:sz="4" w:space="0"/>
              <w:right w:val="single" w:color="auto" w:sz="4" w:space="0"/>
            </w:tcBorders>
            <w:shd w:val="clear" w:color="auto" w:fill="auto"/>
            <w:vAlign w:val="center"/>
          </w:tcPr>
          <w:p w14:paraId="1621E4AC">
            <w:pPr>
              <w:widowControl/>
              <w:jc w:val="left"/>
              <w:rPr>
                <w:rFonts w:hint="eastAsia" w:ascii="宋体" w:hAnsi="宋体" w:cs="宋体"/>
                <w:kern w:val="0"/>
                <w:sz w:val="20"/>
                <w:szCs w:val="20"/>
              </w:rPr>
            </w:pPr>
            <w:r>
              <w:rPr>
                <w:rFonts w:hint="eastAsia" w:ascii="宋体" w:hAnsi="宋体" w:cs="宋体"/>
                <w:kern w:val="0"/>
                <w:sz w:val="20"/>
                <w:szCs w:val="20"/>
              </w:rPr>
              <w:t>HDMI无缝高清输入卡</w:t>
            </w:r>
          </w:p>
        </w:tc>
        <w:tc>
          <w:tcPr>
            <w:tcW w:w="3515" w:type="dxa"/>
            <w:tcBorders>
              <w:top w:val="nil"/>
              <w:left w:val="nil"/>
              <w:bottom w:val="single" w:color="auto" w:sz="4" w:space="0"/>
              <w:right w:val="single" w:color="auto" w:sz="4" w:space="0"/>
            </w:tcBorders>
            <w:shd w:val="clear" w:color="auto" w:fill="auto"/>
            <w:vAlign w:val="center"/>
          </w:tcPr>
          <w:p w14:paraId="4C66A82C">
            <w:pPr>
              <w:widowControl/>
              <w:jc w:val="left"/>
              <w:rPr>
                <w:rFonts w:hint="eastAsia" w:ascii="宋体" w:hAnsi="宋体" w:cs="宋体"/>
                <w:kern w:val="0"/>
                <w:sz w:val="20"/>
                <w:szCs w:val="20"/>
              </w:rPr>
            </w:pPr>
            <w:r>
              <w:rPr>
                <w:rFonts w:hint="eastAsia" w:ascii="宋体" w:hAnsi="宋体" w:cs="宋体"/>
                <w:kern w:val="0"/>
                <w:sz w:val="20"/>
                <w:szCs w:val="20"/>
              </w:rPr>
              <w:t>1.支持≥4路HDMI-A母接口和3.5mm音频座，支持模拟音频与HDMI内嵌音频选择输入；支持热插拔。</w:t>
            </w:r>
            <w:r>
              <w:rPr>
                <w:rFonts w:hint="eastAsia" w:ascii="宋体" w:hAnsi="宋体" w:cs="宋体"/>
                <w:kern w:val="0"/>
                <w:sz w:val="20"/>
                <w:szCs w:val="20"/>
              </w:rPr>
              <w:br w:type="textWrapping"/>
            </w:r>
            <w:r>
              <w:rPr>
                <w:rFonts w:hint="eastAsia" w:ascii="宋体" w:hAnsi="宋体" w:cs="宋体"/>
                <w:kern w:val="0"/>
                <w:sz w:val="20"/>
                <w:szCs w:val="20"/>
              </w:rPr>
              <w:t>2.支持快速无缝切换，无闪烁，无黑屏。</w:t>
            </w:r>
            <w:r>
              <w:rPr>
                <w:rFonts w:hint="eastAsia" w:ascii="宋体" w:hAnsi="宋体" w:cs="宋体"/>
                <w:kern w:val="0"/>
                <w:sz w:val="20"/>
                <w:szCs w:val="20"/>
              </w:rPr>
              <w:br w:type="textWrapping"/>
            </w:r>
            <w:r>
              <w:rPr>
                <w:rFonts w:hint="eastAsia" w:ascii="宋体" w:hAnsi="宋体" w:cs="宋体"/>
                <w:kern w:val="0"/>
                <w:sz w:val="20"/>
                <w:szCs w:val="20"/>
              </w:rPr>
              <w:t>3.支持断电现场切换记忆保护功能，特有ESD静电保护功能。</w:t>
            </w:r>
            <w:r>
              <w:rPr>
                <w:rFonts w:hint="eastAsia" w:ascii="宋体" w:hAnsi="宋体" w:cs="宋体"/>
                <w:kern w:val="0"/>
                <w:sz w:val="20"/>
                <w:szCs w:val="20"/>
              </w:rPr>
              <w:br w:type="textWrapping"/>
            </w:r>
            <w:r>
              <w:rPr>
                <w:rFonts w:hint="eastAsia" w:ascii="宋体" w:hAnsi="宋体" w:cs="宋体"/>
                <w:kern w:val="0"/>
                <w:sz w:val="20"/>
                <w:szCs w:val="20"/>
              </w:rPr>
              <w:t>4.兼容HDMI1.3a的标准，HDCP1.3协议，DVI1.0协议。支持分辨率≥1920X1200P@60。</w:t>
            </w:r>
          </w:p>
        </w:tc>
        <w:tc>
          <w:tcPr>
            <w:tcW w:w="981" w:type="dxa"/>
            <w:tcBorders>
              <w:top w:val="nil"/>
              <w:left w:val="nil"/>
              <w:bottom w:val="single" w:color="auto" w:sz="4" w:space="0"/>
              <w:right w:val="single" w:color="auto" w:sz="4" w:space="0"/>
            </w:tcBorders>
            <w:shd w:val="clear" w:color="auto" w:fill="auto"/>
            <w:vAlign w:val="center"/>
          </w:tcPr>
          <w:p w14:paraId="36649C8E">
            <w:pPr>
              <w:widowControl/>
              <w:jc w:val="center"/>
              <w:rPr>
                <w:rFonts w:hint="eastAsia" w:ascii="宋体" w:hAnsi="宋体" w:cs="宋体"/>
                <w:kern w:val="0"/>
                <w:sz w:val="20"/>
                <w:szCs w:val="20"/>
              </w:rPr>
            </w:pPr>
            <w:r>
              <w:rPr>
                <w:rFonts w:hint="eastAsia" w:ascii="宋体" w:hAnsi="宋体" w:cs="宋体"/>
                <w:kern w:val="0"/>
                <w:sz w:val="20"/>
                <w:szCs w:val="20"/>
              </w:rPr>
              <w:t>块</w:t>
            </w:r>
          </w:p>
        </w:tc>
        <w:tc>
          <w:tcPr>
            <w:tcW w:w="1177" w:type="dxa"/>
            <w:tcBorders>
              <w:top w:val="nil"/>
              <w:left w:val="nil"/>
              <w:bottom w:val="single" w:color="auto" w:sz="4" w:space="0"/>
              <w:right w:val="single" w:color="auto" w:sz="4" w:space="0"/>
            </w:tcBorders>
            <w:shd w:val="clear" w:color="auto" w:fill="auto"/>
            <w:noWrap/>
            <w:vAlign w:val="center"/>
          </w:tcPr>
          <w:p w14:paraId="53638B89">
            <w:pPr>
              <w:widowControl/>
              <w:jc w:val="center"/>
              <w:rPr>
                <w:rFonts w:hint="eastAsia" w:ascii="宋体" w:hAnsi="宋体" w:cs="宋体"/>
                <w:kern w:val="0"/>
                <w:sz w:val="20"/>
                <w:szCs w:val="20"/>
              </w:rPr>
            </w:pPr>
            <w:r>
              <w:rPr>
                <w:rFonts w:hint="eastAsia" w:ascii="宋体" w:hAnsi="宋体" w:cs="宋体"/>
                <w:kern w:val="0"/>
                <w:sz w:val="20"/>
                <w:szCs w:val="20"/>
              </w:rPr>
              <w:t>2</w:t>
            </w:r>
          </w:p>
        </w:tc>
      </w:tr>
      <w:tr w14:paraId="541D81E8">
        <w:tblPrEx>
          <w:tblCellMar>
            <w:top w:w="0" w:type="dxa"/>
            <w:left w:w="108" w:type="dxa"/>
            <w:bottom w:w="0" w:type="dxa"/>
            <w:right w:w="108" w:type="dxa"/>
          </w:tblCellMar>
        </w:tblPrEx>
        <w:trPr>
          <w:trHeight w:val="130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5BC3C463">
            <w:pPr>
              <w:widowControl/>
              <w:jc w:val="center"/>
              <w:rPr>
                <w:rFonts w:hint="eastAsia" w:ascii="宋体" w:hAnsi="宋体" w:cs="宋体"/>
                <w:kern w:val="0"/>
                <w:sz w:val="20"/>
                <w:szCs w:val="20"/>
              </w:rPr>
            </w:pPr>
            <w:r>
              <w:rPr>
                <w:rFonts w:hint="eastAsia" w:ascii="宋体" w:hAnsi="宋体" w:cs="宋体"/>
                <w:kern w:val="0"/>
                <w:sz w:val="20"/>
                <w:szCs w:val="20"/>
              </w:rPr>
              <w:t>74</w:t>
            </w:r>
          </w:p>
        </w:tc>
        <w:tc>
          <w:tcPr>
            <w:tcW w:w="1325" w:type="dxa"/>
            <w:tcBorders>
              <w:top w:val="nil"/>
              <w:left w:val="nil"/>
              <w:bottom w:val="single" w:color="auto" w:sz="4" w:space="0"/>
              <w:right w:val="single" w:color="auto" w:sz="4" w:space="0"/>
            </w:tcBorders>
            <w:shd w:val="clear" w:color="auto" w:fill="auto"/>
            <w:vAlign w:val="center"/>
          </w:tcPr>
          <w:p w14:paraId="396B655B">
            <w:pPr>
              <w:widowControl/>
              <w:jc w:val="left"/>
              <w:rPr>
                <w:rFonts w:hint="eastAsia" w:ascii="宋体" w:hAnsi="宋体" w:cs="宋体"/>
                <w:kern w:val="0"/>
                <w:sz w:val="20"/>
                <w:szCs w:val="20"/>
              </w:rPr>
            </w:pPr>
            <w:r>
              <w:rPr>
                <w:rFonts w:hint="eastAsia" w:ascii="宋体" w:hAnsi="宋体" w:cs="宋体"/>
                <w:kern w:val="0"/>
                <w:sz w:val="20"/>
                <w:szCs w:val="20"/>
              </w:rPr>
              <w:t>HDMI无缝高清输出卡</w:t>
            </w:r>
          </w:p>
        </w:tc>
        <w:tc>
          <w:tcPr>
            <w:tcW w:w="3515" w:type="dxa"/>
            <w:tcBorders>
              <w:top w:val="nil"/>
              <w:left w:val="nil"/>
              <w:bottom w:val="single" w:color="auto" w:sz="4" w:space="0"/>
              <w:right w:val="single" w:color="auto" w:sz="4" w:space="0"/>
            </w:tcBorders>
            <w:shd w:val="clear" w:color="auto" w:fill="auto"/>
            <w:vAlign w:val="center"/>
          </w:tcPr>
          <w:p w14:paraId="79EF17E7">
            <w:pPr>
              <w:widowControl/>
              <w:jc w:val="left"/>
              <w:rPr>
                <w:rFonts w:hint="eastAsia" w:ascii="宋体" w:hAnsi="宋体" w:cs="宋体"/>
                <w:kern w:val="0"/>
                <w:sz w:val="20"/>
                <w:szCs w:val="20"/>
              </w:rPr>
            </w:pPr>
            <w:r>
              <w:rPr>
                <w:rFonts w:hint="eastAsia" w:ascii="宋体" w:hAnsi="宋体" w:cs="宋体"/>
                <w:kern w:val="0"/>
                <w:sz w:val="20"/>
                <w:szCs w:val="20"/>
              </w:rPr>
              <w:t>1.支持≥4路HDMI-A母接口和3.5mm音频座，支持模拟音频与HDMI内嵌音频同时输出。支持热插拔。</w:t>
            </w:r>
            <w:r>
              <w:rPr>
                <w:rFonts w:hint="eastAsia" w:ascii="宋体" w:hAnsi="宋体" w:cs="宋体"/>
                <w:kern w:val="0"/>
                <w:sz w:val="20"/>
                <w:szCs w:val="20"/>
              </w:rPr>
              <w:br w:type="textWrapping"/>
            </w:r>
            <w:r>
              <w:rPr>
                <w:rFonts w:hint="eastAsia" w:ascii="宋体" w:hAnsi="宋体" w:cs="宋体"/>
                <w:kern w:val="0"/>
                <w:sz w:val="20"/>
                <w:szCs w:val="20"/>
              </w:rPr>
              <w:t>2.支持快速无缝切换，无闪烁，无黑屏。</w:t>
            </w:r>
            <w:r>
              <w:rPr>
                <w:rFonts w:hint="eastAsia" w:ascii="宋体" w:hAnsi="宋体" w:cs="宋体"/>
                <w:kern w:val="0"/>
                <w:sz w:val="20"/>
                <w:szCs w:val="20"/>
              </w:rPr>
              <w:br w:type="textWrapping"/>
            </w:r>
            <w:r>
              <w:rPr>
                <w:rFonts w:hint="eastAsia" w:ascii="宋体" w:hAnsi="宋体" w:cs="宋体"/>
                <w:kern w:val="0"/>
                <w:sz w:val="20"/>
                <w:szCs w:val="20"/>
              </w:rPr>
              <w:t>3.支持断电现场切换记忆保护功能，特有ESD静电保护功能。</w:t>
            </w:r>
            <w:r>
              <w:rPr>
                <w:rFonts w:hint="eastAsia" w:ascii="宋体" w:hAnsi="宋体" w:cs="宋体"/>
                <w:kern w:val="0"/>
                <w:sz w:val="20"/>
                <w:szCs w:val="20"/>
              </w:rPr>
              <w:br w:type="textWrapping"/>
            </w:r>
            <w:r>
              <w:rPr>
                <w:rFonts w:hint="eastAsia" w:ascii="宋体" w:hAnsi="宋体" w:cs="宋体"/>
                <w:kern w:val="0"/>
                <w:sz w:val="20"/>
                <w:szCs w:val="20"/>
              </w:rPr>
              <w:t>4.兼容HDMI1.3a的标准，HDCP1.3协议，DVI1.0协议。支持倍线功能，分辨率支持≥1080P。</w:t>
            </w:r>
          </w:p>
        </w:tc>
        <w:tc>
          <w:tcPr>
            <w:tcW w:w="981" w:type="dxa"/>
            <w:tcBorders>
              <w:top w:val="nil"/>
              <w:left w:val="nil"/>
              <w:bottom w:val="single" w:color="auto" w:sz="4" w:space="0"/>
              <w:right w:val="single" w:color="auto" w:sz="4" w:space="0"/>
            </w:tcBorders>
            <w:shd w:val="clear" w:color="auto" w:fill="auto"/>
            <w:vAlign w:val="center"/>
          </w:tcPr>
          <w:p w14:paraId="6A000DA6">
            <w:pPr>
              <w:widowControl/>
              <w:jc w:val="center"/>
              <w:rPr>
                <w:rFonts w:hint="eastAsia" w:ascii="宋体" w:hAnsi="宋体" w:cs="宋体"/>
                <w:kern w:val="0"/>
                <w:sz w:val="20"/>
                <w:szCs w:val="20"/>
              </w:rPr>
            </w:pPr>
            <w:r>
              <w:rPr>
                <w:rFonts w:hint="eastAsia" w:ascii="宋体" w:hAnsi="宋体" w:cs="宋体"/>
                <w:kern w:val="0"/>
                <w:sz w:val="20"/>
                <w:szCs w:val="20"/>
              </w:rPr>
              <w:t>块</w:t>
            </w:r>
          </w:p>
        </w:tc>
        <w:tc>
          <w:tcPr>
            <w:tcW w:w="1177" w:type="dxa"/>
            <w:tcBorders>
              <w:top w:val="nil"/>
              <w:left w:val="nil"/>
              <w:bottom w:val="single" w:color="auto" w:sz="4" w:space="0"/>
              <w:right w:val="single" w:color="auto" w:sz="4" w:space="0"/>
            </w:tcBorders>
            <w:shd w:val="clear" w:color="auto" w:fill="auto"/>
            <w:noWrap/>
            <w:vAlign w:val="center"/>
          </w:tcPr>
          <w:p w14:paraId="776B2C2C">
            <w:pPr>
              <w:widowControl/>
              <w:jc w:val="center"/>
              <w:rPr>
                <w:rFonts w:hint="eastAsia" w:ascii="宋体" w:hAnsi="宋体" w:cs="宋体"/>
                <w:kern w:val="0"/>
                <w:sz w:val="20"/>
                <w:szCs w:val="20"/>
              </w:rPr>
            </w:pPr>
            <w:r>
              <w:rPr>
                <w:rFonts w:hint="eastAsia" w:ascii="宋体" w:hAnsi="宋体" w:cs="宋体"/>
                <w:kern w:val="0"/>
                <w:sz w:val="20"/>
                <w:szCs w:val="20"/>
              </w:rPr>
              <w:t>2</w:t>
            </w:r>
          </w:p>
        </w:tc>
      </w:tr>
      <w:tr w14:paraId="1BA774F2">
        <w:tblPrEx>
          <w:tblCellMar>
            <w:top w:w="0" w:type="dxa"/>
            <w:left w:w="108" w:type="dxa"/>
            <w:bottom w:w="0" w:type="dxa"/>
            <w:right w:w="108" w:type="dxa"/>
          </w:tblCellMar>
        </w:tblPrEx>
        <w:trPr>
          <w:trHeight w:val="255"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7CC28704">
            <w:pPr>
              <w:widowControl/>
              <w:jc w:val="center"/>
              <w:rPr>
                <w:rFonts w:hint="eastAsia" w:ascii="宋体" w:hAnsi="宋体" w:cs="宋体"/>
                <w:kern w:val="0"/>
                <w:sz w:val="20"/>
                <w:szCs w:val="20"/>
              </w:rPr>
            </w:pPr>
            <w:r>
              <w:rPr>
                <w:rFonts w:hint="eastAsia" w:ascii="宋体" w:hAnsi="宋体" w:cs="宋体"/>
                <w:kern w:val="0"/>
                <w:sz w:val="20"/>
                <w:szCs w:val="20"/>
              </w:rPr>
              <w:t>75</w:t>
            </w:r>
          </w:p>
        </w:tc>
        <w:tc>
          <w:tcPr>
            <w:tcW w:w="1325" w:type="dxa"/>
            <w:tcBorders>
              <w:top w:val="nil"/>
              <w:left w:val="nil"/>
              <w:bottom w:val="single" w:color="auto" w:sz="4" w:space="0"/>
              <w:right w:val="single" w:color="auto" w:sz="4" w:space="0"/>
            </w:tcBorders>
            <w:shd w:val="clear" w:color="auto" w:fill="auto"/>
            <w:noWrap/>
            <w:vAlign w:val="center"/>
          </w:tcPr>
          <w:p w14:paraId="576B19C1">
            <w:pPr>
              <w:widowControl/>
              <w:jc w:val="left"/>
              <w:rPr>
                <w:rFonts w:hint="eastAsia" w:ascii="宋体" w:hAnsi="宋体" w:cs="宋体"/>
                <w:kern w:val="0"/>
                <w:sz w:val="20"/>
                <w:szCs w:val="20"/>
              </w:rPr>
            </w:pPr>
            <w:r>
              <w:rPr>
                <w:rFonts w:hint="eastAsia" w:ascii="宋体" w:hAnsi="宋体" w:cs="宋体"/>
                <w:kern w:val="0"/>
                <w:sz w:val="20"/>
                <w:szCs w:val="20"/>
              </w:rPr>
              <w:t>机柜</w:t>
            </w:r>
          </w:p>
        </w:tc>
        <w:tc>
          <w:tcPr>
            <w:tcW w:w="3515" w:type="dxa"/>
            <w:tcBorders>
              <w:top w:val="nil"/>
              <w:left w:val="nil"/>
              <w:bottom w:val="single" w:color="auto" w:sz="4" w:space="0"/>
              <w:right w:val="single" w:color="auto" w:sz="4" w:space="0"/>
            </w:tcBorders>
            <w:shd w:val="clear" w:color="auto" w:fill="auto"/>
            <w:vAlign w:val="center"/>
          </w:tcPr>
          <w:p w14:paraId="73073BF6">
            <w:pPr>
              <w:widowControl/>
              <w:jc w:val="left"/>
              <w:rPr>
                <w:rFonts w:hint="eastAsia" w:ascii="宋体" w:hAnsi="宋体" w:cs="宋体"/>
                <w:kern w:val="0"/>
                <w:sz w:val="20"/>
                <w:szCs w:val="20"/>
              </w:rPr>
            </w:pPr>
            <w:r>
              <w:rPr>
                <w:rFonts w:hint="eastAsia" w:ascii="宋体" w:hAnsi="宋体" w:cs="宋体"/>
                <w:kern w:val="0"/>
                <w:sz w:val="20"/>
                <w:szCs w:val="20"/>
              </w:rPr>
              <w:t>1.尺寸:600X800X2055mm</w:t>
            </w:r>
            <w:r>
              <w:rPr>
                <w:rFonts w:hint="eastAsia" w:ascii="宋体" w:hAnsi="宋体" w:cs="宋体"/>
                <w:kern w:val="0"/>
                <w:sz w:val="20"/>
                <w:szCs w:val="20"/>
              </w:rPr>
              <w:br w:type="textWrapping"/>
            </w:r>
            <w:r>
              <w:rPr>
                <w:rFonts w:hint="eastAsia" w:ascii="宋体" w:hAnsi="宋体" w:cs="宋体"/>
                <w:kern w:val="0"/>
                <w:sz w:val="20"/>
                <w:szCs w:val="20"/>
              </w:rPr>
              <w:t>2.容量:42U</w:t>
            </w:r>
            <w:r>
              <w:rPr>
                <w:rFonts w:hint="eastAsia" w:ascii="宋体" w:hAnsi="宋体" w:cs="宋体"/>
                <w:kern w:val="0"/>
                <w:sz w:val="20"/>
                <w:szCs w:val="20"/>
              </w:rPr>
              <w:br w:type="textWrapping"/>
            </w:r>
            <w:r>
              <w:rPr>
                <w:rFonts w:hint="eastAsia" w:ascii="宋体" w:hAnsi="宋体" w:cs="宋体"/>
                <w:kern w:val="0"/>
                <w:sz w:val="20"/>
                <w:szCs w:val="20"/>
              </w:rPr>
              <w:t>3.配置:</w:t>
            </w:r>
            <w:r>
              <w:rPr>
                <w:rFonts w:hint="eastAsia" w:ascii="宋体" w:hAnsi="宋体" w:cs="宋体"/>
                <w:kern w:val="0"/>
                <w:sz w:val="20"/>
                <w:szCs w:val="20"/>
              </w:rPr>
              <w:br w:type="textWrapping"/>
            </w:r>
            <w:r>
              <w:rPr>
                <w:rFonts w:hint="eastAsia" w:ascii="宋体" w:hAnsi="宋体" w:cs="宋体"/>
                <w:kern w:val="0"/>
                <w:sz w:val="20"/>
                <w:szCs w:val="20"/>
              </w:rPr>
              <w:t>8位10APDU插排一个</w:t>
            </w:r>
            <w:r>
              <w:rPr>
                <w:rFonts w:hint="eastAsia" w:ascii="宋体" w:hAnsi="宋体" w:cs="宋体"/>
                <w:kern w:val="0"/>
                <w:sz w:val="20"/>
                <w:szCs w:val="20"/>
              </w:rPr>
              <w:br w:type="textWrapping"/>
            </w:r>
            <w:r>
              <w:rPr>
                <w:rFonts w:hint="eastAsia" w:ascii="宋体" w:hAnsi="宋体" w:cs="宋体"/>
                <w:kern w:val="0"/>
                <w:sz w:val="20"/>
                <w:szCs w:val="20"/>
              </w:rPr>
              <w:t>固定板3块</w:t>
            </w:r>
            <w:r>
              <w:rPr>
                <w:rFonts w:hint="eastAsia" w:ascii="宋体" w:hAnsi="宋体" w:cs="宋体"/>
                <w:kern w:val="0"/>
                <w:sz w:val="20"/>
                <w:szCs w:val="20"/>
              </w:rPr>
              <w:br w:type="textWrapping"/>
            </w:r>
            <w:r>
              <w:rPr>
                <w:rFonts w:hint="eastAsia" w:ascii="宋体" w:hAnsi="宋体" w:cs="宋体"/>
                <w:kern w:val="0"/>
                <w:sz w:val="20"/>
                <w:szCs w:val="20"/>
              </w:rPr>
              <w:t>风扇部件2组</w:t>
            </w:r>
            <w:r>
              <w:rPr>
                <w:rFonts w:hint="eastAsia" w:ascii="宋体" w:hAnsi="宋体" w:cs="宋体"/>
                <w:kern w:val="0"/>
                <w:sz w:val="20"/>
                <w:szCs w:val="20"/>
              </w:rPr>
              <w:br w:type="textWrapping"/>
            </w:r>
            <w:r>
              <w:rPr>
                <w:rFonts w:hint="eastAsia" w:ascii="宋体" w:hAnsi="宋体" w:cs="宋体"/>
                <w:kern w:val="0"/>
                <w:sz w:val="20"/>
                <w:szCs w:val="20"/>
              </w:rPr>
              <w:t>4只两寸重型脚轮</w:t>
            </w:r>
            <w:r>
              <w:rPr>
                <w:rFonts w:hint="eastAsia" w:ascii="宋体" w:hAnsi="宋体" w:cs="宋体"/>
                <w:kern w:val="0"/>
                <w:sz w:val="20"/>
                <w:szCs w:val="20"/>
              </w:rPr>
              <w:br w:type="textWrapping"/>
            </w:r>
            <w:r>
              <w:rPr>
                <w:rFonts w:hint="eastAsia" w:ascii="宋体" w:hAnsi="宋体" w:cs="宋体"/>
                <w:kern w:val="0"/>
                <w:sz w:val="20"/>
                <w:szCs w:val="20"/>
              </w:rPr>
              <w:t>M6方螺母钉40套</w:t>
            </w:r>
            <w:r>
              <w:rPr>
                <w:rFonts w:hint="eastAsia" w:ascii="宋体" w:hAnsi="宋体" w:cs="宋体"/>
                <w:kern w:val="0"/>
                <w:sz w:val="20"/>
                <w:szCs w:val="20"/>
              </w:rPr>
              <w:br w:type="textWrapping"/>
            </w:r>
            <w:r>
              <w:rPr>
                <w:rFonts w:hint="eastAsia" w:ascii="宋体" w:hAnsi="宋体" w:cs="宋体"/>
                <w:kern w:val="0"/>
                <w:sz w:val="20"/>
                <w:szCs w:val="20"/>
              </w:rPr>
              <w:t>内六角扳手一只</w:t>
            </w:r>
          </w:p>
        </w:tc>
        <w:tc>
          <w:tcPr>
            <w:tcW w:w="981" w:type="dxa"/>
            <w:tcBorders>
              <w:top w:val="nil"/>
              <w:left w:val="nil"/>
              <w:bottom w:val="single" w:color="auto" w:sz="4" w:space="0"/>
              <w:right w:val="single" w:color="auto" w:sz="4" w:space="0"/>
            </w:tcBorders>
            <w:shd w:val="clear" w:color="auto" w:fill="auto"/>
            <w:vAlign w:val="center"/>
          </w:tcPr>
          <w:p w14:paraId="50D1DDBF">
            <w:pPr>
              <w:widowControl/>
              <w:jc w:val="center"/>
              <w:rPr>
                <w:rFonts w:hint="eastAsia" w:ascii="宋体" w:hAnsi="宋体" w:cs="宋体"/>
                <w:kern w:val="0"/>
                <w:sz w:val="20"/>
                <w:szCs w:val="20"/>
              </w:rPr>
            </w:pPr>
            <w:r>
              <w:rPr>
                <w:rFonts w:hint="eastAsia" w:ascii="宋体" w:hAnsi="宋体" w:cs="宋体"/>
                <w:kern w:val="0"/>
                <w:sz w:val="20"/>
                <w:szCs w:val="20"/>
              </w:rPr>
              <w:t>套</w:t>
            </w:r>
          </w:p>
        </w:tc>
        <w:tc>
          <w:tcPr>
            <w:tcW w:w="1177" w:type="dxa"/>
            <w:tcBorders>
              <w:top w:val="nil"/>
              <w:left w:val="nil"/>
              <w:bottom w:val="single" w:color="auto" w:sz="4" w:space="0"/>
              <w:right w:val="single" w:color="auto" w:sz="4" w:space="0"/>
            </w:tcBorders>
            <w:shd w:val="clear" w:color="auto" w:fill="auto"/>
            <w:vAlign w:val="center"/>
          </w:tcPr>
          <w:p w14:paraId="6343742F">
            <w:pPr>
              <w:widowControl/>
              <w:jc w:val="center"/>
              <w:rPr>
                <w:rFonts w:hint="eastAsia" w:ascii="宋体" w:hAnsi="宋体" w:cs="宋体"/>
                <w:kern w:val="0"/>
                <w:sz w:val="20"/>
                <w:szCs w:val="20"/>
              </w:rPr>
            </w:pPr>
            <w:r>
              <w:rPr>
                <w:rFonts w:hint="eastAsia" w:ascii="宋体" w:hAnsi="宋体" w:cs="宋体"/>
                <w:kern w:val="0"/>
                <w:sz w:val="20"/>
                <w:szCs w:val="20"/>
              </w:rPr>
              <w:t>2</w:t>
            </w:r>
          </w:p>
        </w:tc>
      </w:tr>
      <w:tr w14:paraId="7E7FBC80">
        <w:tblPrEx>
          <w:tblCellMar>
            <w:top w:w="0" w:type="dxa"/>
            <w:left w:w="108" w:type="dxa"/>
            <w:bottom w:w="0" w:type="dxa"/>
            <w:right w:w="108" w:type="dxa"/>
          </w:tblCellMar>
        </w:tblPrEx>
        <w:trPr>
          <w:trHeight w:val="208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0E7ADA06">
            <w:pPr>
              <w:widowControl/>
              <w:jc w:val="center"/>
              <w:rPr>
                <w:rFonts w:hint="eastAsia" w:ascii="宋体" w:hAnsi="宋体" w:cs="宋体"/>
                <w:kern w:val="0"/>
                <w:sz w:val="20"/>
                <w:szCs w:val="20"/>
              </w:rPr>
            </w:pPr>
            <w:r>
              <w:rPr>
                <w:rFonts w:hint="eastAsia" w:ascii="宋体" w:hAnsi="宋体" w:cs="宋体"/>
                <w:kern w:val="0"/>
                <w:sz w:val="20"/>
                <w:szCs w:val="20"/>
              </w:rPr>
              <w:t>76</w:t>
            </w:r>
          </w:p>
        </w:tc>
        <w:tc>
          <w:tcPr>
            <w:tcW w:w="1325" w:type="dxa"/>
            <w:tcBorders>
              <w:top w:val="nil"/>
              <w:left w:val="nil"/>
              <w:bottom w:val="single" w:color="auto" w:sz="4" w:space="0"/>
              <w:right w:val="single" w:color="auto" w:sz="4" w:space="0"/>
            </w:tcBorders>
            <w:shd w:val="clear" w:color="auto" w:fill="auto"/>
            <w:vAlign w:val="center"/>
          </w:tcPr>
          <w:p w14:paraId="23937BB2">
            <w:pPr>
              <w:widowControl/>
              <w:jc w:val="left"/>
              <w:rPr>
                <w:rFonts w:hint="eastAsia" w:ascii="宋体" w:hAnsi="宋体" w:cs="宋体"/>
                <w:kern w:val="0"/>
                <w:sz w:val="20"/>
                <w:szCs w:val="20"/>
              </w:rPr>
            </w:pPr>
            <w:r>
              <w:rPr>
                <w:rFonts w:hint="eastAsia" w:ascii="宋体" w:hAnsi="宋体" w:cs="宋体"/>
                <w:kern w:val="0"/>
                <w:sz w:val="20"/>
                <w:szCs w:val="20"/>
              </w:rPr>
              <w:t>电源管理器</w:t>
            </w:r>
          </w:p>
        </w:tc>
        <w:tc>
          <w:tcPr>
            <w:tcW w:w="3515" w:type="dxa"/>
            <w:tcBorders>
              <w:top w:val="nil"/>
              <w:left w:val="nil"/>
              <w:bottom w:val="single" w:color="auto" w:sz="4" w:space="0"/>
              <w:right w:val="single" w:color="auto" w:sz="4" w:space="0"/>
            </w:tcBorders>
            <w:shd w:val="clear" w:color="auto" w:fill="auto"/>
            <w:vAlign w:val="center"/>
          </w:tcPr>
          <w:p w14:paraId="306F8D8A">
            <w:pPr>
              <w:widowControl/>
              <w:numPr>
                <w:ilvl w:val="0"/>
                <w:numId w:val="16"/>
              </w:numPr>
              <w:jc w:val="left"/>
              <w:rPr>
                <w:rFonts w:hint="eastAsia" w:ascii="宋体" w:hAnsi="宋体" w:cs="宋体"/>
                <w:kern w:val="0"/>
                <w:sz w:val="20"/>
                <w:szCs w:val="20"/>
              </w:rPr>
            </w:pPr>
            <w:r>
              <w:rPr>
                <w:rFonts w:hint="eastAsia" w:ascii="宋体" w:hAnsi="宋体" w:cs="宋体"/>
                <w:kern w:val="0"/>
                <w:sz w:val="20"/>
                <w:szCs w:val="20"/>
              </w:rPr>
              <w:t>支持≥8通道电源时序打开/关闭，每路动作延时时间：≤1秒，支持远程控制（上电+24V直流信号）8通道电源时序打开/关闭—当电源开关处于off位置时有效。支持配置CH1和CH2通道为受控或不受控状态。</w:t>
            </w:r>
          </w:p>
          <w:p w14:paraId="4ED7D65C">
            <w:pPr>
              <w:widowControl/>
              <w:numPr>
                <w:ilvl w:val="0"/>
                <w:numId w:val="16"/>
              </w:numPr>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当远程控制有效时同时控制后板ALARM（报警）端口导通以起到级联控制ALARM（报警）功能。</w:t>
            </w:r>
          </w:p>
          <w:p w14:paraId="2A269042">
            <w:pPr>
              <w:widowControl/>
              <w:numPr>
                <w:ilvl w:val="0"/>
                <w:numId w:val="16"/>
              </w:numPr>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单个通道最大负载功率≥2200W，所有通道负载总功率≥6000W。输出连接器：多用途电源插座。</w:t>
            </w:r>
          </w:p>
          <w:p w14:paraId="71F91380">
            <w:pPr>
              <w:widowControl/>
              <w:jc w:val="left"/>
              <w:rPr>
                <w:rFonts w:hint="eastAsia" w:ascii="宋体" w:hAnsi="宋体" w:cs="宋体"/>
                <w:kern w:val="0"/>
                <w:sz w:val="20"/>
                <w:szCs w:val="20"/>
              </w:rPr>
            </w:pPr>
            <w:r>
              <w:rPr>
                <w:rFonts w:hint="eastAsia" w:ascii="宋体" w:hAnsi="宋体" w:cs="宋体"/>
                <w:kern w:val="0"/>
                <w:sz w:val="20"/>
                <w:szCs w:val="20"/>
              </w:rPr>
              <w:br w:type="page"/>
            </w:r>
            <w:r>
              <w:rPr>
                <w:rFonts w:hint="eastAsia" w:ascii="宋体" w:hAnsi="宋体" w:cs="宋体"/>
                <w:kern w:val="0"/>
                <w:sz w:val="20"/>
                <w:szCs w:val="20"/>
              </w:rPr>
              <w:t>4.具有一路及以上USB输出接口。</w:t>
            </w:r>
          </w:p>
        </w:tc>
        <w:tc>
          <w:tcPr>
            <w:tcW w:w="981" w:type="dxa"/>
            <w:tcBorders>
              <w:top w:val="nil"/>
              <w:left w:val="nil"/>
              <w:bottom w:val="single" w:color="auto" w:sz="4" w:space="0"/>
              <w:right w:val="single" w:color="auto" w:sz="4" w:space="0"/>
            </w:tcBorders>
            <w:shd w:val="clear" w:color="auto" w:fill="auto"/>
            <w:vAlign w:val="center"/>
          </w:tcPr>
          <w:p w14:paraId="3DF4357D">
            <w:pPr>
              <w:widowControl/>
              <w:jc w:val="center"/>
              <w:rPr>
                <w:rFonts w:hint="eastAsia" w:ascii="宋体" w:hAnsi="宋体" w:cs="宋体"/>
                <w:kern w:val="0"/>
                <w:sz w:val="20"/>
                <w:szCs w:val="20"/>
              </w:rPr>
            </w:pPr>
            <w:r>
              <w:rPr>
                <w:rFonts w:hint="eastAsia" w:ascii="宋体" w:hAnsi="宋体" w:cs="宋体"/>
                <w:kern w:val="0"/>
                <w:sz w:val="20"/>
                <w:szCs w:val="20"/>
              </w:rPr>
              <w:t>台</w:t>
            </w:r>
          </w:p>
        </w:tc>
        <w:tc>
          <w:tcPr>
            <w:tcW w:w="1177" w:type="dxa"/>
            <w:tcBorders>
              <w:top w:val="nil"/>
              <w:left w:val="nil"/>
              <w:bottom w:val="single" w:color="auto" w:sz="4" w:space="0"/>
              <w:right w:val="single" w:color="auto" w:sz="4" w:space="0"/>
            </w:tcBorders>
            <w:shd w:val="clear" w:color="auto" w:fill="auto"/>
            <w:noWrap/>
            <w:vAlign w:val="center"/>
          </w:tcPr>
          <w:p w14:paraId="352C4A29">
            <w:pPr>
              <w:widowControl/>
              <w:jc w:val="center"/>
              <w:rPr>
                <w:rFonts w:hint="eastAsia" w:ascii="宋体" w:hAnsi="宋体" w:cs="宋体"/>
                <w:kern w:val="0"/>
                <w:sz w:val="20"/>
                <w:szCs w:val="20"/>
              </w:rPr>
            </w:pPr>
            <w:r>
              <w:rPr>
                <w:rFonts w:hint="eastAsia" w:ascii="宋体" w:hAnsi="宋体" w:cs="宋体"/>
                <w:kern w:val="0"/>
                <w:sz w:val="20"/>
                <w:szCs w:val="20"/>
              </w:rPr>
              <w:t>1</w:t>
            </w:r>
          </w:p>
        </w:tc>
      </w:tr>
      <w:tr w14:paraId="41147E74">
        <w:tblPrEx>
          <w:tblCellMar>
            <w:top w:w="0" w:type="dxa"/>
            <w:left w:w="108" w:type="dxa"/>
            <w:bottom w:w="0" w:type="dxa"/>
            <w:right w:w="108" w:type="dxa"/>
          </w:tblCellMar>
        </w:tblPrEx>
        <w:trPr>
          <w:trHeight w:val="208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76BD161B">
            <w:pPr>
              <w:widowControl/>
              <w:jc w:val="center"/>
              <w:rPr>
                <w:rFonts w:hint="eastAsia" w:ascii="宋体" w:hAnsi="宋体" w:cs="宋体"/>
                <w:kern w:val="0"/>
                <w:sz w:val="20"/>
                <w:szCs w:val="20"/>
              </w:rPr>
            </w:pPr>
            <w:r>
              <w:rPr>
                <w:rFonts w:hint="eastAsia" w:ascii="宋体" w:hAnsi="宋体" w:cs="宋体"/>
                <w:kern w:val="0"/>
                <w:sz w:val="20"/>
                <w:szCs w:val="20"/>
              </w:rPr>
              <w:t>77</w:t>
            </w:r>
          </w:p>
        </w:tc>
        <w:tc>
          <w:tcPr>
            <w:tcW w:w="1325" w:type="dxa"/>
            <w:tcBorders>
              <w:top w:val="nil"/>
              <w:left w:val="nil"/>
              <w:bottom w:val="single" w:color="auto" w:sz="4" w:space="0"/>
              <w:right w:val="single" w:color="auto" w:sz="4" w:space="0"/>
            </w:tcBorders>
            <w:shd w:val="clear" w:color="auto" w:fill="auto"/>
            <w:vAlign w:val="center"/>
          </w:tcPr>
          <w:p w14:paraId="698F0368">
            <w:pPr>
              <w:widowControl/>
              <w:jc w:val="left"/>
              <w:rPr>
                <w:rFonts w:hint="eastAsia" w:ascii="宋体" w:hAnsi="宋体" w:cs="宋体"/>
                <w:kern w:val="0"/>
                <w:sz w:val="20"/>
                <w:szCs w:val="20"/>
              </w:rPr>
            </w:pPr>
            <w:r>
              <w:rPr>
                <w:rFonts w:hint="eastAsia" w:ascii="宋体" w:hAnsi="宋体" w:cs="宋体"/>
                <w:kern w:val="0"/>
                <w:sz w:val="20"/>
                <w:szCs w:val="20"/>
              </w:rPr>
              <w:t>电源管理器</w:t>
            </w:r>
          </w:p>
        </w:tc>
        <w:tc>
          <w:tcPr>
            <w:tcW w:w="3515" w:type="dxa"/>
            <w:tcBorders>
              <w:top w:val="nil"/>
              <w:left w:val="nil"/>
              <w:bottom w:val="single" w:color="auto" w:sz="4" w:space="0"/>
              <w:right w:val="single" w:color="auto" w:sz="4" w:space="0"/>
            </w:tcBorders>
            <w:shd w:val="clear" w:color="auto" w:fill="auto"/>
            <w:vAlign w:val="center"/>
          </w:tcPr>
          <w:p w14:paraId="1B5C19CB">
            <w:pPr>
              <w:widowControl/>
              <w:jc w:val="left"/>
              <w:rPr>
                <w:rFonts w:hint="eastAsia" w:ascii="宋体" w:hAnsi="宋体" w:cs="宋体"/>
                <w:kern w:val="0"/>
                <w:sz w:val="20"/>
                <w:szCs w:val="20"/>
              </w:rPr>
            </w:pPr>
            <w:r>
              <w:rPr>
                <w:rFonts w:hint="eastAsia" w:ascii="宋体" w:hAnsi="宋体" w:cs="宋体"/>
                <w:kern w:val="0"/>
                <w:sz w:val="20"/>
                <w:szCs w:val="20"/>
              </w:rPr>
              <w:t>1.支持≥8通道电源时序打开/关闭，支持远程控制（上电+24V直流信号）≥8通道电源时序打开/关闭—当电源开关锁处于off位置时有效。支持配置CH1和CH2通道为受控或不受控状态。</w:t>
            </w:r>
            <w:r>
              <w:rPr>
                <w:rFonts w:hint="eastAsia" w:ascii="宋体" w:hAnsi="宋体" w:cs="宋体"/>
                <w:kern w:val="0"/>
                <w:sz w:val="20"/>
                <w:szCs w:val="20"/>
              </w:rPr>
              <w:br w:type="textWrapping"/>
            </w:r>
            <w:r>
              <w:rPr>
                <w:rFonts w:hint="eastAsia" w:ascii="宋体" w:hAnsi="宋体" w:cs="宋体"/>
                <w:kern w:val="0"/>
                <w:sz w:val="20"/>
                <w:szCs w:val="20"/>
              </w:rPr>
              <w:t>2.当远程控制有效时同时控制后板ALARM（报警）端口导通以起到级联控制ALARM（报警）功能。</w:t>
            </w:r>
            <w:r>
              <w:rPr>
                <w:rFonts w:hint="eastAsia" w:ascii="宋体" w:hAnsi="宋体" w:cs="宋体"/>
                <w:kern w:val="0"/>
                <w:sz w:val="20"/>
                <w:szCs w:val="20"/>
              </w:rPr>
              <w:br w:type="textWrapping"/>
            </w:r>
            <w:r>
              <w:rPr>
                <w:rFonts w:hint="eastAsia" w:ascii="宋体" w:hAnsi="宋体" w:cs="宋体"/>
                <w:kern w:val="0"/>
                <w:sz w:val="20"/>
                <w:szCs w:val="20"/>
              </w:rPr>
              <w:t xml:space="preserve">3.单个通道最大负载功率≥3500W，所有通道负载总功率达≥6000W，输入连接器：大功率线码式电源连接器。 </w:t>
            </w:r>
            <w:r>
              <w:rPr>
                <w:rFonts w:hint="eastAsia" w:ascii="宋体" w:hAnsi="宋体" w:cs="宋体"/>
                <w:kern w:val="0"/>
                <w:sz w:val="20"/>
                <w:szCs w:val="20"/>
              </w:rPr>
              <w:br w:type="textWrapping"/>
            </w:r>
            <w:r>
              <w:rPr>
                <w:rFonts w:hint="eastAsia" w:ascii="宋体" w:hAnsi="宋体" w:cs="宋体"/>
                <w:kern w:val="0"/>
                <w:sz w:val="20"/>
                <w:szCs w:val="20"/>
              </w:rPr>
              <w:t>4.输出连接器：≥2个16A，≥2个16A接线端子和≥4个10A电源插座。</w:t>
            </w:r>
            <w:r>
              <w:rPr>
                <w:rFonts w:hint="eastAsia" w:ascii="宋体" w:hAnsi="宋体" w:cs="宋体"/>
                <w:kern w:val="0"/>
                <w:sz w:val="20"/>
                <w:szCs w:val="20"/>
              </w:rPr>
              <w:br w:type="textWrapping"/>
            </w:r>
            <w:r>
              <w:rPr>
                <w:rFonts w:hint="eastAsia" w:ascii="宋体" w:hAnsi="宋体" w:cs="宋体"/>
                <w:kern w:val="0"/>
                <w:sz w:val="20"/>
                <w:szCs w:val="20"/>
              </w:rPr>
              <w:t>5.具有≥1路USB接口。</w:t>
            </w:r>
          </w:p>
        </w:tc>
        <w:tc>
          <w:tcPr>
            <w:tcW w:w="981" w:type="dxa"/>
            <w:tcBorders>
              <w:top w:val="nil"/>
              <w:left w:val="nil"/>
              <w:bottom w:val="single" w:color="auto" w:sz="4" w:space="0"/>
              <w:right w:val="single" w:color="auto" w:sz="4" w:space="0"/>
            </w:tcBorders>
            <w:shd w:val="clear" w:color="auto" w:fill="auto"/>
            <w:vAlign w:val="center"/>
          </w:tcPr>
          <w:p w14:paraId="18B420B6">
            <w:pPr>
              <w:widowControl/>
              <w:jc w:val="center"/>
              <w:rPr>
                <w:rFonts w:hint="eastAsia" w:ascii="宋体" w:hAnsi="宋体" w:cs="宋体"/>
                <w:kern w:val="0"/>
                <w:sz w:val="20"/>
                <w:szCs w:val="20"/>
              </w:rPr>
            </w:pPr>
            <w:r>
              <w:rPr>
                <w:rFonts w:hint="eastAsia" w:ascii="宋体" w:hAnsi="宋体" w:cs="宋体"/>
                <w:kern w:val="0"/>
                <w:sz w:val="20"/>
                <w:szCs w:val="20"/>
              </w:rPr>
              <w:t>台</w:t>
            </w:r>
          </w:p>
        </w:tc>
        <w:tc>
          <w:tcPr>
            <w:tcW w:w="1177" w:type="dxa"/>
            <w:tcBorders>
              <w:top w:val="nil"/>
              <w:left w:val="nil"/>
              <w:bottom w:val="single" w:color="auto" w:sz="4" w:space="0"/>
              <w:right w:val="single" w:color="auto" w:sz="4" w:space="0"/>
            </w:tcBorders>
            <w:shd w:val="clear" w:color="auto" w:fill="auto"/>
            <w:noWrap/>
            <w:vAlign w:val="center"/>
          </w:tcPr>
          <w:p w14:paraId="1A29DB29">
            <w:pPr>
              <w:widowControl/>
              <w:jc w:val="center"/>
              <w:rPr>
                <w:rFonts w:hint="eastAsia" w:ascii="宋体" w:hAnsi="宋体" w:cs="宋体"/>
                <w:kern w:val="0"/>
                <w:sz w:val="20"/>
                <w:szCs w:val="20"/>
              </w:rPr>
            </w:pPr>
            <w:r>
              <w:rPr>
                <w:rFonts w:hint="eastAsia" w:ascii="宋体" w:hAnsi="宋体" w:cs="宋体"/>
                <w:kern w:val="0"/>
                <w:sz w:val="20"/>
                <w:szCs w:val="20"/>
              </w:rPr>
              <w:t>2</w:t>
            </w:r>
          </w:p>
        </w:tc>
      </w:tr>
      <w:tr w14:paraId="3E997133">
        <w:tblPrEx>
          <w:tblCellMar>
            <w:top w:w="0" w:type="dxa"/>
            <w:left w:w="108" w:type="dxa"/>
            <w:bottom w:w="0" w:type="dxa"/>
            <w:right w:w="108" w:type="dxa"/>
          </w:tblCellMar>
        </w:tblPrEx>
        <w:trPr>
          <w:trHeight w:val="52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3DB51489">
            <w:pPr>
              <w:widowControl/>
              <w:jc w:val="center"/>
              <w:rPr>
                <w:rFonts w:hint="eastAsia" w:ascii="宋体" w:hAnsi="宋体" w:cs="宋体"/>
                <w:kern w:val="0"/>
                <w:sz w:val="20"/>
                <w:szCs w:val="20"/>
              </w:rPr>
            </w:pPr>
            <w:r>
              <w:rPr>
                <w:rFonts w:hint="eastAsia" w:ascii="宋体" w:hAnsi="宋体" w:cs="宋体"/>
                <w:kern w:val="0"/>
                <w:sz w:val="20"/>
                <w:szCs w:val="20"/>
              </w:rPr>
              <w:t>78</w:t>
            </w:r>
          </w:p>
        </w:tc>
        <w:tc>
          <w:tcPr>
            <w:tcW w:w="1325" w:type="dxa"/>
            <w:tcBorders>
              <w:top w:val="nil"/>
              <w:left w:val="nil"/>
              <w:bottom w:val="single" w:color="auto" w:sz="4" w:space="0"/>
              <w:right w:val="single" w:color="auto" w:sz="4" w:space="0"/>
            </w:tcBorders>
            <w:shd w:val="clear" w:color="auto" w:fill="auto"/>
            <w:vAlign w:val="center"/>
          </w:tcPr>
          <w:p w14:paraId="09F0A322">
            <w:pPr>
              <w:widowControl/>
              <w:jc w:val="left"/>
              <w:rPr>
                <w:rFonts w:hint="eastAsia" w:ascii="宋体" w:hAnsi="宋体" w:cs="宋体"/>
                <w:kern w:val="0"/>
                <w:sz w:val="20"/>
                <w:szCs w:val="20"/>
              </w:rPr>
            </w:pPr>
            <w:r>
              <w:rPr>
                <w:rFonts w:hint="eastAsia" w:ascii="宋体" w:hAnsi="宋体" w:cs="宋体"/>
                <w:kern w:val="0"/>
                <w:sz w:val="20"/>
                <w:szCs w:val="20"/>
              </w:rPr>
              <w:t>变压器</w:t>
            </w:r>
          </w:p>
        </w:tc>
        <w:tc>
          <w:tcPr>
            <w:tcW w:w="3515" w:type="dxa"/>
            <w:tcBorders>
              <w:top w:val="nil"/>
              <w:left w:val="nil"/>
              <w:bottom w:val="single" w:color="auto" w:sz="4" w:space="0"/>
              <w:right w:val="single" w:color="auto" w:sz="4" w:space="0"/>
            </w:tcBorders>
            <w:shd w:val="clear" w:color="auto" w:fill="auto"/>
            <w:vAlign w:val="center"/>
          </w:tcPr>
          <w:p w14:paraId="7FDCBEFB">
            <w:pPr>
              <w:widowControl/>
              <w:jc w:val="left"/>
              <w:rPr>
                <w:rFonts w:hint="eastAsia" w:ascii="宋体" w:hAnsi="宋体" w:cs="宋体"/>
                <w:kern w:val="0"/>
                <w:sz w:val="20"/>
                <w:szCs w:val="20"/>
              </w:rPr>
            </w:pPr>
            <w:r>
              <w:rPr>
                <w:rFonts w:hint="eastAsia" w:ascii="宋体" w:hAnsi="宋体" w:cs="宋体"/>
                <w:kern w:val="0"/>
                <w:sz w:val="20"/>
                <w:szCs w:val="20"/>
              </w:rPr>
              <w:t>1．具备≥2路输入、≥2路输出，工业标准接线端子。</w:t>
            </w:r>
            <w:r>
              <w:rPr>
                <w:rFonts w:hint="eastAsia" w:ascii="宋体" w:hAnsi="宋体" w:cs="宋体"/>
                <w:kern w:val="0"/>
                <w:sz w:val="20"/>
                <w:szCs w:val="20"/>
              </w:rPr>
              <w:br w:type="textWrapping"/>
            </w:r>
            <w:r>
              <w:rPr>
                <w:rFonts w:hint="eastAsia" w:ascii="宋体" w:hAnsi="宋体" w:cs="宋体"/>
                <w:kern w:val="0"/>
                <w:sz w:val="20"/>
                <w:szCs w:val="20"/>
              </w:rPr>
              <w:t>2．隔离静噪抗干扰器，消除“嗡”音和“嗞”音“超大电流声”</w:t>
            </w:r>
          </w:p>
        </w:tc>
        <w:tc>
          <w:tcPr>
            <w:tcW w:w="981" w:type="dxa"/>
            <w:tcBorders>
              <w:top w:val="nil"/>
              <w:left w:val="nil"/>
              <w:bottom w:val="single" w:color="auto" w:sz="4" w:space="0"/>
              <w:right w:val="single" w:color="auto" w:sz="4" w:space="0"/>
            </w:tcBorders>
            <w:shd w:val="clear" w:color="auto" w:fill="auto"/>
            <w:vAlign w:val="center"/>
          </w:tcPr>
          <w:p w14:paraId="44EC00E9">
            <w:pPr>
              <w:widowControl/>
              <w:jc w:val="center"/>
              <w:rPr>
                <w:rFonts w:hint="eastAsia" w:ascii="宋体" w:hAnsi="宋体" w:cs="宋体"/>
                <w:kern w:val="0"/>
                <w:sz w:val="20"/>
                <w:szCs w:val="20"/>
              </w:rPr>
            </w:pPr>
            <w:r>
              <w:rPr>
                <w:rFonts w:hint="eastAsia" w:ascii="宋体" w:hAnsi="宋体" w:cs="宋体"/>
                <w:kern w:val="0"/>
                <w:sz w:val="20"/>
                <w:szCs w:val="20"/>
              </w:rPr>
              <w:t>只</w:t>
            </w:r>
          </w:p>
        </w:tc>
        <w:tc>
          <w:tcPr>
            <w:tcW w:w="1177" w:type="dxa"/>
            <w:tcBorders>
              <w:top w:val="nil"/>
              <w:left w:val="nil"/>
              <w:bottom w:val="single" w:color="auto" w:sz="4" w:space="0"/>
              <w:right w:val="single" w:color="auto" w:sz="4" w:space="0"/>
            </w:tcBorders>
            <w:shd w:val="clear" w:color="auto" w:fill="auto"/>
            <w:vAlign w:val="center"/>
          </w:tcPr>
          <w:p w14:paraId="47D872CC">
            <w:pPr>
              <w:widowControl/>
              <w:jc w:val="center"/>
              <w:rPr>
                <w:rFonts w:hint="eastAsia" w:ascii="宋体" w:hAnsi="宋体" w:cs="宋体"/>
                <w:kern w:val="0"/>
                <w:sz w:val="20"/>
                <w:szCs w:val="20"/>
              </w:rPr>
            </w:pPr>
            <w:r>
              <w:rPr>
                <w:rFonts w:hint="eastAsia" w:ascii="宋体" w:hAnsi="宋体" w:cs="宋体"/>
                <w:kern w:val="0"/>
                <w:sz w:val="20"/>
                <w:szCs w:val="20"/>
              </w:rPr>
              <w:t>6</w:t>
            </w:r>
          </w:p>
        </w:tc>
      </w:tr>
      <w:tr w14:paraId="5162F44A">
        <w:tblPrEx>
          <w:tblCellMar>
            <w:top w:w="0" w:type="dxa"/>
            <w:left w:w="108" w:type="dxa"/>
            <w:bottom w:w="0" w:type="dxa"/>
            <w:right w:w="108" w:type="dxa"/>
          </w:tblCellMar>
        </w:tblPrEx>
        <w:trPr>
          <w:trHeight w:val="28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54BBDBF0">
            <w:pPr>
              <w:widowControl/>
              <w:jc w:val="center"/>
              <w:rPr>
                <w:rFonts w:hint="eastAsia" w:ascii="宋体" w:hAnsi="宋体" w:cs="宋体"/>
                <w:kern w:val="0"/>
                <w:sz w:val="20"/>
                <w:szCs w:val="20"/>
              </w:rPr>
            </w:pPr>
            <w:r>
              <w:rPr>
                <w:rFonts w:hint="eastAsia" w:ascii="宋体" w:hAnsi="宋体" w:cs="宋体"/>
                <w:kern w:val="0"/>
                <w:sz w:val="20"/>
                <w:szCs w:val="20"/>
              </w:rPr>
              <w:t>79</w:t>
            </w:r>
          </w:p>
        </w:tc>
        <w:tc>
          <w:tcPr>
            <w:tcW w:w="1325" w:type="dxa"/>
            <w:tcBorders>
              <w:top w:val="nil"/>
              <w:left w:val="nil"/>
              <w:bottom w:val="single" w:color="auto" w:sz="4" w:space="0"/>
              <w:right w:val="single" w:color="auto" w:sz="4" w:space="0"/>
            </w:tcBorders>
            <w:shd w:val="clear" w:color="auto" w:fill="auto"/>
            <w:vAlign w:val="center"/>
          </w:tcPr>
          <w:p w14:paraId="67C659C1">
            <w:pPr>
              <w:widowControl/>
              <w:jc w:val="left"/>
              <w:rPr>
                <w:rFonts w:hint="eastAsia" w:ascii="宋体" w:hAnsi="宋体" w:cs="宋体"/>
                <w:kern w:val="0"/>
                <w:sz w:val="20"/>
                <w:szCs w:val="20"/>
              </w:rPr>
            </w:pPr>
            <w:r>
              <w:rPr>
                <w:rFonts w:hint="eastAsia" w:ascii="宋体" w:hAnsi="宋体" w:cs="宋体"/>
                <w:kern w:val="0"/>
                <w:sz w:val="20"/>
                <w:szCs w:val="20"/>
              </w:rPr>
              <w:t>多媒体插座</w:t>
            </w:r>
          </w:p>
        </w:tc>
        <w:tc>
          <w:tcPr>
            <w:tcW w:w="3515" w:type="dxa"/>
            <w:tcBorders>
              <w:top w:val="nil"/>
              <w:left w:val="nil"/>
              <w:bottom w:val="single" w:color="auto" w:sz="4" w:space="0"/>
              <w:right w:val="single" w:color="auto" w:sz="4" w:space="0"/>
            </w:tcBorders>
            <w:shd w:val="clear" w:color="auto" w:fill="auto"/>
            <w:vAlign w:val="center"/>
          </w:tcPr>
          <w:p w14:paraId="2C8E2517">
            <w:pPr>
              <w:widowControl/>
              <w:jc w:val="left"/>
              <w:rPr>
                <w:rFonts w:hint="eastAsia" w:ascii="宋体" w:hAnsi="宋体" w:cs="宋体"/>
                <w:kern w:val="0"/>
                <w:sz w:val="20"/>
                <w:szCs w:val="20"/>
              </w:rPr>
            </w:pPr>
            <w:r>
              <w:rPr>
                <w:rFonts w:hint="eastAsia" w:ascii="宋体" w:hAnsi="宋体" w:cs="宋体"/>
                <w:kern w:val="0"/>
                <w:sz w:val="20"/>
                <w:szCs w:val="20"/>
              </w:rPr>
              <w:t>配置2个网络、1个3.5音频、1个HDMI、1个电源</w:t>
            </w:r>
          </w:p>
        </w:tc>
        <w:tc>
          <w:tcPr>
            <w:tcW w:w="981" w:type="dxa"/>
            <w:tcBorders>
              <w:top w:val="nil"/>
              <w:left w:val="nil"/>
              <w:bottom w:val="single" w:color="auto" w:sz="4" w:space="0"/>
              <w:right w:val="single" w:color="auto" w:sz="4" w:space="0"/>
            </w:tcBorders>
            <w:shd w:val="clear" w:color="auto" w:fill="auto"/>
            <w:vAlign w:val="center"/>
          </w:tcPr>
          <w:p w14:paraId="07A1426E">
            <w:pPr>
              <w:widowControl/>
              <w:jc w:val="center"/>
              <w:rPr>
                <w:rFonts w:hint="eastAsia" w:ascii="宋体" w:hAnsi="宋体" w:cs="宋体"/>
                <w:kern w:val="0"/>
                <w:sz w:val="20"/>
                <w:szCs w:val="20"/>
              </w:rPr>
            </w:pPr>
            <w:r>
              <w:rPr>
                <w:rFonts w:hint="eastAsia" w:ascii="宋体" w:hAnsi="宋体" w:cs="宋体"/>
                <w:kern w:val="0"/>
                <w:sz w:val="20"/>
                <w:szCs w:val="20"/>
              </w:rPr>
              <w:t>套</w:t>
            </w:r>
          </w:p>
        </w:tc>
        <w:tc>
          <w:tcPr>
            <w:tcW w:w="1177" w:type="dxa"/>
            <w:tcBorders>
              <w:top w:val="nil"/>
              <w:left w:val="nil"/>
              <w:bottom w:val="single" w:color="auto" w:sz="4" w:space="0"/>
              <w:right w:val="single" w:color="auto" w:sz="4" w:space="0"/>
            </w:tcBorders>
            <w:shd w:val="clear" w:color="auto" w:fill="auto"/>
            <w:vAlign w:val="center"/>
          </w:tcPr>
          <w:p w14:paraId="3EC3D273">
            <w:pPr>
              <w:widowControl/>
              <w:jc w:val="center"/>
              <w:rPr>
                <w:rFonts w:hint="eastAsia" w:ascii="宋体" w:hAnsi="宋体" w:cs="宋体"/>
                <w:kern w:val="0"/>
                <w:sz w:val="20"/>
                <w:szCs w:val="20"/>
              </w:rPr>
            </w:pPr>
            <w:r>
              <w:rPr>
                <w:rFonts w:hint="eastAsia" w:ascii="宋体" w:hAnsi="宋体" w:cs="宋体"/>
                <w:kern w:val="0"/>
                <w:sz w:val="20"/>
                <w:szCs w:val="20"/>
              </w:rPr>
              <w:t>4</w:t>
            </w:r>
          </w:p>
        </w:tc>
      </w:tr>
      <w:tr w14:paraId="0DC37C99">
        <w:tblPrEx>
          <w:tblCellMar>
            <w:top w:w="0" w:type="dxa"/>
            <w:left w:w="108" w:type="dxa"/>
            <w:bottom w:w="0" w:type="dxa"/>
            <w:right w:w="108" w:type="dxa"/>
          </w:tblCellMar>
        </w:tblPrEx>
        <w:trPr>
          <w:trHeight w:val="28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19932710">
            <w:pPr>
              <w:widowControl/>
              <w:jc w:val="center"/>
              <w:rPr>
                <w:rFonts w:hint="eastAsia" w:ascii="宋体" w:hAnsi="宋体" w:cs="宋体"/>
                <w:kern w:val="0"/>
                <w:sz w:val="20"/>
                <w:szCs w:val="20"/>
              </w:rPr>
            </w:pPr>
            <w:r>
              <w:rPr>
                <w:rFonts w:hint="eastAsia" w:ascii="宋体" w:hAnsi="宋体" w:cs="宋体"/>
                <w:kern w:val="0"/>
                <w:sz w:val="20"/>
                <w:szCs w:val="20"/>
              </w:rPr>
              <w:t>80</w:t>
            </w:r>
          </w:p>
        </w:tc>
        <w:tc>
          <w:tcPr>
            <w:tcW w:w="1325" w:type="dxa"/>
            <w:tcBorders>
              <w:top w:val="nil"/>
              <w:left w:val="nil"/>
              <w:bottom w:val="single" w:color="auto" w:sz="4" w:space="0"/>
              <w:right w:val="single" w:color="auto" w:sz="4" w:space="0"/>
            </w:tcBorders>
            <w:shd w:val="clear" w:color="auto" w:fill="auto"/>
            <w:vAlign w:val="center"/>
          </w:tcPr>
          <w:p w14:paraId="51D1E1D2">
            <w:pPr>
              <w:widowControl/>
              <w:jc w:val="left"/>
              <w:rPr>
                <w:rFonts w:hint="eastAsia" w:ascii="宋体" w:hAnsi="宋体" w:cs="宋体"/>
                <w:kern w:val="0"/>
                <w:sz w:val="20"/>
                <w:szCs w:val="20"/>
              </w:rPr>
            </w:pPr>
            <w:r>
              <w:rPr>
                <w:rFonts w:hint="eastAsia" w:ascii="宋体" w:hAnsi="宋体" w:cs="宋体"/>
                <w:kern w:val="0"/>
                <w:sz w:val="20"/>
                <w:szCs w:val="20"/>
              </w:rPr>
              <w:t>音频连接线</w:t>
            </w:r>
          </w:p>
        </w:tc>
        <w:tc>
          <w:tcPr>
            <w:tcW w:w="3515" w:type="dxa"/>
            <w:tcBorders>
              <w:top w:val="nil"/>
              <w:left w:val="nil"/>
              <w:bottom w:val="single" w:color="auto" w:sz="4" w:space="0"/>
              <w:right w:val="single" w:color="auto" w:sz="4" w:space="0"/>
            </w:tcBorders>
            <w:shd w:val="clear" w:color="auto" w:fill="auto"/>
            <w:vAlign w:val="center"/>
          </w:tcPr>
          <w:p w14:paraId="57760CDA">
            <w:pPr>
              <w:widowControl/>
              <w:jc w:val="left"/>
              <w:rPr>
                <w:rFonts w:hint="eastAsia" w:ascii="宋体" w:hAnsi="宋体" w:cs="宋体"/>
                <w:kern w:val="0"/>
                <w:sz w:val="20"/>
                <w:szCs w:val="20"/>
              </w:rPr>
            </w:pPr>
            <w:r>
              <w:rPr>
                <w:rFonts w:hint="eastAsia" w:ascii="宋体" w:hAnsi="宋体" w:cs="宋体"/>
                <w:kern w:val="0"/>
                <w:sz w:val="20"/>
                <w:szCs w:val="20"/>
              </w:rPr>
              <w:t>3米音频连接线：卡侬头（母）-卡侬头（公）</w:t>
            </w:r>
          </w:p>
        </w:tc>
        <w:tc>
          <w:tcPr>
            <w:tcW w:w="981" w:type="dxa"/>
            <w:tcBorders>
              <w:top w:val="nil"/>
              <w:left w:val="nil"/>
              <w:bottom w:val="single" w:color="auto" w:sz="4" w:space="0"/>
              <w:right w:val="single" w:color="auto" w:sz="4" w:space="0"/>
            </w:tcBorders>
            <w:shd w:val="clear" w:color="auto" w:fill="auto"/>
            <w:vAlign w:val="center"/>
          </w:tcPr>
          <w:p w14:paraId="2175A3F5">
            <w:pPr>
              <w:widowControl/>
              <w:jc w:val="center"/>
              <w:rPr>
                <w:rFonts w:hint="eastAsia" w:ascii="宋体" w:hAnsi="宋体" w:cs="宋体"/>
                <w:kern w:val="0"/>
                <w:sz w:val="20"/>
                <w:szCs w:val="20"/>
              </w:rPr>
            </w:pPr>
            <w:r>
              <w:rPr>
                <w:rFonts w:hint="eastAsia" w:ascii="宋体" w:hAnsi="宋体" w:cs="宋体"/>
                <w:kern w:val="0"/>
                <w:sz w:val="20"/>
                <w:szCs w:val="20"/>
              </w:rPr>
              <w:t>根</w:t>
            </w:r>
          </w:p>
        </w:tc>
        <w:tc>
          <w:tcPr>
            <w:tcW w:w="1177" w:type="dxa"/>
            <w:tcBorders>
              <w:top w:val="nil"/>
              <w:left w:val="nil"/>
              <w:bottom w:val="single" w:color="auto" w:sz="4" w:space="0"/>
              <w:right w:val="single" w:color="auto" w:sz="4" w:space="0"/>
            </w:tcBorders>
            <w:shd w:val="clear" w:color="auto" w:fill="auto"/>
            <w:vAlign w:val="center"/>
          </w:tcPr>
          <w:p w14:paraId="7385FB8B">
            <w:pPr>
              <w:widowControl/>
              <w:jc w:val="center"/>
              <w:rPr>
                <w:rFonts w:hint="eastAsia" w:ascii="宋体" w:hAnsi="宋体" w:cs="宋体"/>
                <w:kern w:val="0"/>
                <w:sz w:val="20"/>
                <w:szCs w:val="20"/>
              </w:rPr>
            </w:pPr>
            <w:r>
              <w:rPr>
                <w:rFonts w:hint="eastAsia" w:ascii="宋体" w:hAnsi="宋体" w:cs="宋体"/>
                <w:kern w:val="0"/>
                <w:sz w:val="20"/>
                <w:szCs w:val="20"/>
              </w:rPr>
              <w:t>18</w:t>
            </w:r>
          </w:p>
        </w:tc>
      </w:tr>
      <w:tr w14:paraId="0CCB2E90">
        <w:tblPrEx>
          <w:tblCellMar>
            <w:top w:w="0" w:type="dxa"/>
            <w:left w:w="108" w:type="dxa"/>
            <w:bottom w:w="0" w:type="dxa"/>
            <w:right w:w="108" w:type="dxa"/>
          </w:tblCellMar>
        </w:tblPrEx>
        <w:trPr>
          <w:trHeight w:val="28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4E57316D">
            <w:pPr>
              <w:widowControl/>
              <w:jc w:val="center"/>
              <w:rPr>
                <w:rFonts w:hint="eastAsia" w:ascii="宋体" w:hAnsi="宋体" w:cs="宋体"/>
                <w:kern w:val="0"/>
                <w:sz w:val="20"/>
                <w:szCs w:val="20"/>
              </w:rPr>
            </w:pPr>
            <w:r>
              <w:rPr>
                <w:rFonts w:hint="eastAsia" w:ascii="宋体" w:hAnsi="宋体" w:cs="宋体"/>
                <w:kern w:val="0"/>
                <w:sz w:val="20"/>
                <w:szCs w:val="20"/>
              </w:rPr>
              <w:t>81</w:t>
            </w:r>
          </w:p>
        </w:tc>
        <w:tc>
          <w:tcPr>
            <w:tcW w:w="1325" w:type="dxa"/>
            <w:tcBorders>
              <w:top w:val="nil"/>
              <w:left w:val="nil"/>
              <w:bottom w:val="single" w:color="auto" w:sz="4" w:space="0"/>
              <w:right w:val="single" w:color="auto" w:sz="4" w:space="0"/>
            </w:tcBorders>
            <w:shd w:val="clear" w:color="auto" w:fill="auto"/>
            <w:vAlign w:val="center"/>
          </w:tcPr>
          <w:p w14:paraId="1F73B40D">
            <w:pPr>
              <w:widowControl/>
              <w:jc w:val="left"/>
              <w:rPr>
                <w:rFonts w:hint="eastAsia" w:ascii="宋体" w:hAnsi="宋体" w:cs="宋体"/>
                <w:kern w:val="0"/>
                <w:sz w:val="20"/>
                <w:szCs w:val="20"/>
              </w:rPr>
            </w:pPr>
            <w:r>
              <w:rPr>
                <w:rFonts w:hint="eastAsia" w:ascii="宋体" w:hAnsi="宋体" w:cs="宋体"/>
                <w:kern w:val="0"/>
                <w:sz w:val="20"/>
                <w:szCs w:val="20"/>
              </w:rPr>
              <w:t>音频连接线</w:t>
            </w:r>
          </w:p>
        </w:tc>
        <w:tc>
          <w:tcPr>
            <w:tcW w:w="3515" w:type="dxa"/>
            <w:tcBorders>
              <w:top w:val="nil"/>
              <w:left w:val="nil"/>
              <w:bottom w:val="single" w:color="auto" w:sz="4" w:space="0"/>
              <w:right w:val="single" w:color="auto" w:sz="4" w:space="0"/>
            </w:tcBorders>
            <w:shd w:val="clear" w:color="auto" w:fill="auto"/>
            <w:vAlign w:val="center"/>
          </w:tcPr>
          <w:p w14:paraId="1CD9FD0A">
            <w:pPr>
              <w:widowControl/>
              <w:jc w:val="left"/>
              <w:rPr>
                <w:rFonts w:hint="eastAsia" w:ascii="宋体" w:hAnsi="宋体" w:cs="宋体"/>
                <w:kern w:val="0"/>
                <w:sz w:val="20"/>
                <w:szCs w:val="20"/>
              </w:rPr>
            </w:pPr>
            <w:r>
              <w:rPr>
                <w:rFonts w:hint="eastAsia" w:ascii="宋体" w:hAnsi="宋体" w:cs="宋体"/>
                <w:kern w:val="0"/>
                <w:sz w:val="20"/>
                <w:szCs w:val="20"/>
              </w:rPr>
              <w:t>1.8米音频连接线：莲花（RCA）-6.35话筒插头</w:t>
            </w:r>
          </w:p>
        </w:tc>
        <w:tc>
          <w:tcPr>
            <w:tcW w:w="981" w:type="dxa"/>
            <w:tcBorders>
              <w:top w:val="nil"/>
              <w:left w:val="nil"/>
              <w:bottom w:val="single" w:color="auto" w:sz="4" w:space="0"/>
              <w:right w:val="single" w:color="auto" w:sz="4" w:space="0"/>
            </w:tcBorders>
            <w:shd w:val="clear" w:color="auto" w:fill="auto"/>
            <w:vAlign w:val="center"/>
          </w:tcPr>
          <w:p w14:paraId="24E734DA">
            <w:pPr>
              <w:widowControl/>
              <w:jc w:val="center"/>
              <w:rPr>
                <w:rFonts w:hint="eastAsia" w:ascii="宋体" w:hAnsi="宋体" w:cs="宋体"/>
                <w:kern w:val="0"/>
                <w:sz w:val="20"/>
                <w:szCs w:val="20"/>
              </w:rPr>
            </w:pPr>
            <w:r>
              <w:rPr>
                <w:rFonts w:hint="eastAsia" w:ascii="宋体" w:hAnsi="宋体" w:cs="宋体"/>
                <w:kern w:val="0"/>
                <w:sz w:val="20"/>
                <w:szCs w:val="20"/>
              </w:rPr>
              <w:t>根</w:t>
            </w:r>
          </w:p>
        </w:tc>
        <w:tc>
          <w:tcPr>
            <w:tcW w:w="1177" w:type="dxa"/>
            <w:tcBorders>
              <w:top w:val="nil"/>
              <w:left w:val="nil"/>
              <w:bottom w:val="single" w:color="auto" w:sz="4" w:space="0"/>
              <w:right w:val="single" w:color="auto" w:sz="4" w:space="0"/>
            </w:tcBorders>
            <w:shd w:val="clear" w:color="auto" w:fill="auto"/>
            <w:vAlign w:val="center"/>
          </w:tcPr>
          <w:p w14:paraId="79EF3EA5">
            <w:pPr>
              <w:widowControl/>
              <w:jc w:val="center"/>
              <w:rPr>
                <w:rFonts w:hint="eastAsia" w:ascii="宋体" w:hAnsi="宋体" w:cs="宋体"/>
                <w:kern w:val="0"/>
                <w:sz w:val="20"/>
                <w:szCs w:val="20"/>
              </w:rPr>
            </w:pPr>
            <w:r>
              <w:rPr>
                <w:rFonts w:hint="eastAsia" w:ascii="宋体" w:hAnsi="宋体" w:cs="宋体"/>
                <w:kern w:val="0"/>
                <w:sz w:val="20"/>
                <w:szCs w:val="20"/>
              </w:rPr>
              <w:t>2</w:t>
            </w:r>
          </w:p>
        </w:tc>
      </w:tr>
      <w:tr w14:paraId="03A89C67">
        <w:tblPrEx>
          <w:tblCellMar>
            <w:top w:w="0" w:type="dxa"/>
            <w:left w:w="108" w:type="dxa"/>
            <w:bottom w:w="0" w:type="dxa"/>
            <w:right w:w="108" w:type="dxa"/>
          </w:tblCellMar>
        </w:tblPrEx>
        <w:trPr>
          <w:trHeight w:val="28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25B40875">
            <w:pPr>
              <w:widowControl/>
              <w:jc w:val="center"/>
              <w:rPr>
                <w:rFonts w:hint="eastAsia" w:ascii="宋体" w:hAnsi="宋体" w:cs="宋体"/>
                <w:kern w:val="0"/>
                <w:sz w:val="20"/>
                <w:szCs w:val="20"/>
              </w:rPr>
            </w:pPr>
            <w:r>
              <w:rPr>
                <w:rFonts w:hint="eastAsia" w:ascii="宋体" w:hAnsi="宋体" w:cs="宋体"/>
                <w:kern w:val="0"/>
                <w:sz w:val="20"/>
                <w:szCs w:val="20"/>
              </w:rPr>
              <w:t>82</w:t>
            </w:r>
          </w:p>
        </w:tc>
        <w:tc>
          <w:tcPr>
            <w:tcW w:w="1325" w:type="dxa"/>
            <w:tcBorders>
              <w:top w:val="nil"/>
              <w:left w:val="nil"/>
              <w:bottom w:val="single" w:color="auto" w:sz="4" w:space="0"/>
              <w:right w:val="single" w:color="auto" w:sz="4" w:space="0"/>
            </w:tcBorders>
            <w:shd w:val="clear" w:color="auto" w:fill="auto"/>
            <w:vAlign w:val="center"/>
          </w:tcPr>
          <w:p w14:paraId="79974156">
            <w:pPr>
              <w:widowControl/>
              <w:jc w:val="left"/>
              <w:rPr>
                <w:rFonts w:hint="eastAsia" w:ascii="宋体" w:hAnsi="宋体" w:cs="宋体"/>
                <w:kern w:val="0"/>
                <w:sz w:val="20"/>
                <w:szCs w:val="20"/>
              </w:rPr>
            </w:pPr>
            <w:r>
              <w:rPr>
                <w:rFonts w:hint="eastAsia" w:ascii="宋体" w:hAnsi="宋体" w:cs="宋体"/>
                <w:kern w:val="0"/>
                <w:sz w:val="20"/>
                <w:szCs w:val="20"/>
              </w:rPr>
              <w:t>音频连接线</w:t>
            </w:r>
          </w:p>
        </w:tc>
        <w:tc>
          <w:tcPr>
            <w:tcW w:w="3515" w:type="dxa"/>
            <w:tcBorders>
              <w:top w:val="nil"/>
              <w:left w:val="nil"/>
              <w:bottom w:val="single" w:color="auto" w:sz="4" w:space="0"/>
              <w:right w:val="single" w:color="auto" w:sz="4" w:space="0"/>
            </w:tcBorders>
            <w:shd w:val="clear" w:color="auto" w:fill="auto"/>
            <w:vAlign w:val="center"/>
          </w:tcPr>
          <w:p w14:paraId="096EA8AB">
            <w:pPr>
              <w:widowControl/>
              <w:jc w:val="left"/>
              <w:rPr>
                <w:rFonts w:hint="eastAsia" w:ascii="宋体" w:hAnsi="宋体" w:cs="宋体"/>
                <w:kern w:val="0"/>
                <w:sz w:val="20"/>
                <w:szCs w:val="20"/>
              </w:rPr>
            </w:pPr>
            <w:r>
              <w:rPr>
                <w:rFonts w:hint="eastAsia" w:ascii="宋体" w:hAnsi="宋体" w:cs="宋体"/>
                <w:kern w:val="0"/>
                <w:sz w:val="20"/>
                <w:szCs w:val="20"/>
              </w:rPr>
              <w:t>5米音频连接线：卡侬头（母）-卡侬头（公）</w:t>
            </w:r>
          </w:p>
        </w:tc>
        <w:tc>
          <w:tcPr>
            <w:tcW w:w="981" w:type="dxa"/>
            <w:tcBorders>
              <w:top w:val="nil"/>
              <w:left w:val="nil"/>
              <w:bottom w:val="single" w:color="auto" w:sz="4" w:space="0"/>
              <w:right w:val="single" w:color="auto" w:sz="4" w:space="0"/>
            </w:tcBorders>
            <w:shd w:val="clear" w:color="auto" w:fill="auto"/>
            <w:vAlign w:val="center"/>
          </w:tcPr>
          <w:p w14:paraId="0881039E">
            <w:pPr>
              <w:widowControl/>
              <w:jc w:val="center"/>
              <w:rPr>
                <w:rFonts w:hint="eastAsia" w:ascii="宋体" w:hAnsi="宋体" w:cs="宋体"/>
                <w:kern w:val="0"/>
                <w:sz w:val="20"/>
                <w:szCs w:val="20"/>
              </w:rPr>
            </w:pPr>
            <w:r>
              <w:rPr>
                <w:rFonts w:hint="eastAsia" w:ascii="宋体" w:hAnsi="宋体" w:cs="宋体"/>
                <w:kern w:val="0"/>
                <w:sz w:val="20"/>
                <w:szCs w:val="20"/>
              </w:rPr>
              <w:t>根</w:t>
            </w:r>
          </w:p>
        </w:tc>
        <w:tc>
          <w:tcPr>
            <w:tcW w:w="1177" w:type="dxa"/>
            <w:tcBorders>
              <w:top w:val="nil"/>
              <w:left w:val="nil"/>
              <w:bottom w:val="single" w:color="auto" w:sz="4" w:space="0"/>
              <w:right w:val="single" w:color="auto" w:sz="4" w:space="0"/>
            </w:tcBorders>
            <w:shd w:val="clear" w:color="auto" w:fill="auto"/>
            <w:vAlign w:val="center"/>
          </w:tcPr>
          <w:p w14:paraId="6F5EDA39">
            <w:pPr>
              <w:widowControl/>
              <w:jc w:val="center"/>
              <w:rPr>
                <w:rFonts w:hint="eastAsia" w:ascii="宋体" w:hAnsi="宋体" w:cs="宋体"/>
                <w:kern w:val="0"/>
                <w:sz w:val="20"/>
                <w:szCs w:val="20"/>
              </w:rPr>
            </w:pPr>
            <w:r>
              <w:rPr>
                <w:rFonts w:hint="eastAsia" w:ascii="宋体" w:hAnsi="宋体" w:cs="宋体"/>
                <w:kern w:val="0"/>
                <w:sz w:val="20"/>
                <w:szCs w:val="20"/>
              </w:rPr>
              <w:t>16</w:t>
            </w:r>
          </w:p>
        </w:tc>
      </w:tr>
      <w:tr w14:paraId="4478A75C">
        <w:tblPrEx>
          <w:tblCellMar>
            <w:top w:w="0" w:type="dxa"/>
            <w:left w:w="108" w:type="dxa"/>
            <w:bottom w:w="0" w:type="dxa"/>
            <w:right w:w="108" w:type="dxa"/>
          </w:tblCellMar>
        </w:tblPrEx>
        <w:trPr>
          <w:trHeight w:val="28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0EF1F251">
            <w:pPr>
              <w:widowControl/>
              <w:jc w:val="center"/>
              <w:rPr>
                <w:rFonts w:hint="eastAsia" w:ascii="宋体" w:hAnsi="宋体" w:cs="宋体"/>
                <w:kern w:val="0"/>
                <w:sz w:val="20"/>
                <w:szCs w:val="20"/>
              </w:rPr>
            </w:pPr>
            <w:r>
              <w:rPr>
                <w:rFonts w:hint="eastAsia" w:ascii="宋体" w:hAnsi="宋体" w:cs="宋体"/>
                <w:kern w:val="0"/>
                <w:sz w:val="20"/>
                <w:szCs w:val="20"/>
              </w:rPr>
              <w:t>83</w:t>
            </w:r>
          </w:p>
        </w:tc>
        <w:tc>
          <w:tcPr>
            <w:tcW w:w="1325" w:type="dxa"/>
            <w:tcBorders>
              <w:top w:val="nil"/>
              <w:left w:val="nil"/>
              <w:bottom w:val="single" w:color="auto" w:sz="4" w:space="0"/>
              <w:right w:val="single" w:color="auto" w:sz="4" w:space="0"/>
            </w:tcBorders>
            <w:shd w:val="clear" w:color="auto" w:fill="auto"/>
            <w:vAlign w:val="center"/>
          </w:tcPr>
          <w:p w14:paraId="706FEF07">
            <w:pPr>
              <w:widowControl/>
              <w:jc w:val="left"/>
              <w:rPr>
                <w:rFonts w:hint="eastAsia" w:ascii="宋体" w:hAnsi="宋体" w:cs="宋体"/>
                <w:kern w:val="0"/>
                <w:sz w:val="20"/>
                <w:szCs w:val="20"/>
              </w:rPr>
            </w:pPr>
            <w:r>
              <w:rPr>
                <w:rFonts w:hint="eastAsia" w:ascii="宋体" w:hAnsi="宋体" w:cs="宋体"/>
                <w:kern w:val="0"/>
                <w:sz w:val="20"/>
                <w:szCs w:val="20"/>
              </w:rPr>
              <w:t>音频连接线</w:t>
            </w:r>
          </w:p>
        </w:tc>
        <w:tc>
          <w:tcPr>
            <w:tcW w:w="3515" w:type="dxa"/>
            <w:tcBorders>
              <w:top w:val="nil"/>
              <w:left w:val="nil"/>
              <w:bottom w:val="single" w:color="auto" w:sz="4" w:space="0"/>
              <w:right w:val="single" w:color="auto" w:sz="4" w:space="0"/>
            </w:tcBorders>
            <w:shd w:val="clear" w:color="auto" w:fill="auto"/>
            <w:vAlign w:val="center"/>
          </w:tcPr>
          <w:p w14:paraId="3DDEF082">
            <w:pPr>
              <w:widowControl/>
              <w:jc w:val="left"/>
              <w:rPr>
                <w:rFonts w:hint="eastAsia" w:ascii="宋体" w:hAnsi="宋体" w:cs="宋体"/>
                <w:kern w:val="0"/>
                <w:sz w:val="20"/>
                <w:szCs w:val="20"/>
              </w:rPr>
            </w:pPr>
            <w:r>
              <w:rPr>
                <w:rFonts w:hint="eastAsia" w:ascii="宋体" w:hAnsi="宋体" w:cs="宋体"/>
                <w:kern w:val="0"/>
                <w:sz w:val="20"/>
                <w:szCs w:val="20"/>
              </w:rPr>
              <w:t>5米音频连接线：3.5（耳机插头）-双6.35话筒插头</w:t>
            </w:r>
          </w:p>
        </w:tc>
        <w:tc>
          <w:tcPr>
            <w:tcW w:w="981" w:type="dxa"/>
            <w:tcBorders>
              <w:top w:val="nil"/>
              <w:left w:val="nil"/>
              <w:bottom w:val="single" w:color="auto" w:sz="4" w:space="0"/>
              <w:right w:val="single" w:color="auto" w:sz="4" w:space="0"/>
            </w:tcBorders>
            <w:shd w:val="clear" w:color="auto" w:fill="auto"/>
            <w:vAlign w:val="center"/>
          </w:tcPr>
          <w:p w14:paraId="1DB70CCB">
            <w:pPr>
              <w:widowControl/>
              <w:jc w:val="center"/>
              <w:rPr>
                <w:rFonts w:hint="eastAsia" w:ascii="宋体" w:hAnsi="宋体" w:cs="宋体"/>
                <w:kern w:val="0"/>
                <w:sz w:val="20"/>
                <w:szCs w:val="20"/>
              </w:rPr>
            </w:pPr>
            <w:r>
              <w:rPr>
                <w:rFonts w:hint="eastAsia" w:ascii="宋体" w:hAnsi="宋体" w:cs="宋体"/>
                <w:kern w:val="0"/>
                <w:sz w:val="20"/>
                <w:szCs w:val="20"/>
              </w:rPr>
              <w:t>根</w:t>
            </w:r>
          </w:p>
        </w:tc>
        <w:tc>
          <w:tcPr>
            <w:tcW w:w="1177" w:type="dxa"/>
            <w:tcBorders>
              <w:top w:val="nil"/>
              <w:left w:val="nil"/>
              <w:bottom w:val="single" w:color="auto" w:sz="4" w:space="0"/>
              <w:right w:val="single" w:color="auto" w:sz="4" w:space="0"/>
            </w:tcBorders>
            <w:shd w:val="clear" w:color="auto" w:fill="auto"/>
            <w:vAlign w:val="center"/>
          </w:tcPr>
          <w:p w14:paraId="474C0233">
            <w:pPr>
              <w:widowControl/>
              <w:jc w:val="center"/>
              <w:rPr>
                <w:rFonts w:hint="eastAsia" w:ascii="宋体" w:hAnsi="宋体" w:cs="宋体"/>
                <w:kern w:val="0"/>
                <w:sz w:val="20"/>
                <w:szCs w:val="20"/>
              </w:rPr>
            </w:pPr>
            <w:r>
              <w:rPr>
                <w:rFonts w:hint="eastAsia" w:ascii="宋体" w:hAnsi="宋体" w:cs="宋体"/>
                <w:kern w:val="0"/>
                <w:sz w:val="20"/>
                <w:szCs w:val="20"/>
              </w:rPr>
              <w:t>3</w:t>
            </w:r>
          </w:p>
        </w:tc>
      </w:tr>
      <w:tr w14:paraId="41561CBC">
        <w:tblPrEx>
          <w:tblCellMar>
            <w:top w:w="0" w:type="dxa"/>
            <w:left w:w="108" w:type="dxa"/>
            <w:bottom w:w="0" w:type="dxa"/>
            <w:right w:w="108" w:type="dxa"/>
          </w:tblCellMar>
        </w:tblPrEx>
        <w:trPr>
          <w:trHeight w:val="182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45C09D7E">
            <w:pPr>
              <w:widowControl/>
              <w:jc w:val="center"/>
              <w:rPr>
                <w:rFonts w:hint="eastAsia" w:ascii="宋体" w:hAnsi="宋体" w:cs="宋体"/>
                <w:kern w:val="0"/>
                <w:sz w:val="20"/>
                <w:szCs w:val="20"/>
              </w:rPr>
            </w:pPr>
            <w:r>
              <w:rPr>
                <w:rFonts w:hint="eastAsia" w:ascii="宋体" w:hAnsi="宋体" w:cs="宋体"/>
                <w:kern w:val="0"/>
                <w:sz w:val="20"/>
                <w:szCs w:val="20"/>
              </w:rPr>
              <w:t>84</w:t>
            </w:r>
          </w:p>
        </w:tc>
        <w:tc>
          <w:tcPr>
            <w:tcW w:w="1325" w:type="dxa"/>
            <w:tcBorders>
              <w:top w:val="nil"/>
              <w:left w:val="nil"/>
              <w:bottom w:val="single" w:color="auto" w:sz="4" w:space="0"/>
              <w:right w:val="single" w:color="auto" w:sz="4" w:space="0"/>
            </w:tcBorders>
            <w:shd w:val="clear" w:color="auto" w:fill="auto"/>
            <w:vAlign w:val="center"/>
          </w:tcPr>
          <w:p w14:paraId="3A81BD58">
            <w:pPr>
              <w:widowControl/>
              <w:jc w:val="left"/>
              <w:rPr>
                <w:rFonts w:hint="eastAsia" w:ascii="宋体" w:hAnsi="宋体" w:cs="宋体"/>
                <w:kern w:val="0"/>
                <w:sz w:val="20"/>
                <w:szCs w:val="20"/>
              </w:rPr>
            </w:pPr>
            <w:r>
              <w:rPr>
                <w:rFonts w:hint="eastAsia" w:ascii="宋体" w:hAnsi="宋体" w:cs="宋体"/>
                <w:kern w:val="0"/>
                <w:sz w:val="20"/>
                <w:szCs w:val="20"/>
              </w:rPr>
              <w:t>线材</w:t>
            </w:r>
          </w:p>
        </w:tc>
        <w:tc>
          <w:tcPr>
            <w:tcW w:w="3515" w:type="dxa"/>
            <w:tcBorders>
              <w:top w:val="nil"/>
              <w:left w:val="nil"/>
              <w:bottom w:val="single" w:color="auto" w:sz="4" w:space="0"/>
              <w:right w:val="single" w:color="auto" w:sz="4" w:space="0"/>
            </w:tcBorders>
            <w:shd w:val="clear" w:color="auto" w:fill="auto"/>
            <w:vAlign w:val="center"/>
          </w:tcPr>
          <w:p w14:paraId="4D454B06">
            <w:pPr>
              <w:widowControl/>
              <w:jc w:val="left"/>
              <w:rPr>
                <w:rFonts w:hint="eastAsia" w:ascii="宋体" w:hAnsi="宋体" w:cs="宋体"/>
                <w:kern w:val="0"/>
                <w:sz w:val="20"/>
                <w:szCs w:val="20"/>
              </w:rPr>
            </w:pPr>
            <w:r>
              <w:rPr>
                <w:rFonts w:hint="eastAsia" w:ascii="宋体" w:hAnsi="宋体" w:cs="宋体"/>
                <w:kern w:val="0"/>
                <w:sz w:val="20"/>
                <w:szCs w:val="20"/>
              </w:rPr>
              <w:t>1.分辨率:3840*2160，60Hz</w:t>
            </w:r>
            <w:r>
              <w:rPr>
                <w:rFonts w:hint="eastAsia" w:ascii="宋体" w:hAnsi="宋体" w:cs="宋体"/>
                <w:kern w:val="0"/>
                <w:sz w:val="20"/>
                <w:szCs w:val="20"/>
              </w:rPr>
              <w:br w:type="textWrapping"/>
            </w:r>
            <w:r>
              <w:rPr>
                <w:rFonts w:hint="eastAsia" w:ascii="宋体" w:hAnsi="宋体" w:cs="宋体"/>
                <w:kern w:val="0"/>
                <w:sz w:val="20"/>
                <w:szCs w:val="20"/>
              </w:rPr>
              <w:t xml:space="preserve">2.屏蔽:铝箔+编织+地线 </w:t>
            </w:r>
            <w:r>
              <w:rPr>
                <w:rFonts w:hint="eastAsia" w:ascii="宋体" w:hAnsi="宋体" w:cs="宋体"/>
                <w:kern w:val="0"/>
                <w:sz w:val="20"/>
                <w:szCs w:val="20"/>
              </w:rPr>
              <w:br w:type="textWrapping"/>
            </w:r>
            <w:r>
              <w:rPr>
                <w:rFonts w:hint="eastAsia" w:ascii="宋体" w:hAnsi="宋体" w:cs="宋体"/>
                <w:kern w:val="0"/>
                <w:sz w:val="20"/>
                <w:szCs w:val="20"/>
              </w:rPr>
              <w:t xml:space="preserve">3.外被: PVC </w:t>
            </w:r>
            <w:r>
              <w:rPr>
                <w:rFonts w:hint="eastAsia" w:ascii="宋体" w:hAnsi="宋体" w:cs="宋体"/>
                <w:kern w:val="0"/>
                <w:sz w:val="20"/>
                <w:szCs w:val="20"/>
              </w:rPr>
              <w:br w:type="textWrapping"/>
            </w:r>
            <w:r>
              <w:rPr>
                <w:rFonts w:hint="eastAsia" w:ascii="宋体" w:hAnsi="宋体" w:cs="宋体"/>
                <w:kern w:val="0"/>
                <w:sz w:val="20"/>
                <w:szCs w:val="20"/>
              </w:rPr>
              <w:t>4.线芯: 镀锡铜</w:t>
            </w:r>
            <w:r>
              <w:rPr>
                <w:rFonts w:hint="eastAsia" w:ascii="宋体" w:hAnsi="宋体" w:cs="宋体"/>
                <w:kern w:val="0"/>
                <w:sz w:val="20"/>
                <w:szCs w:val="20"/>
              </w:rPr>
              <w:br w:type="textWrapping"/>
            </w:r>
            <w:r>
              <w:rPr>
                <w:rFonts w:hint="eastAsia" w:ascii="宋体" w:hAnsi="宋体" w:cs="宋体"/>
                <w:kern w:val="0"/>
                <w:sz w:val="20"/>
                <w:szCs w:val="20"/>
              </w:rPr>
              <w:t>5.支持HDMI 2.0版本</w:t>
            </w:r>
            <w:r>
              <w:rPr>
                <w:rFonts w:hint="eastAsia" w:ascii="宋体" w:hAnsi="宋体" w:cs="宋体"/>
                <w:kern w:val="0"/>
                <w:sz w:val="20"/>
                <w:szCs w:val="20"/>
              </w:rPr>
              <w:br w:type="textWrapping"/>
            </w:r>
            <w:r>
              <w:rPr>
                <w:rFonts w:hint="eastAsia" w:ascii="宋体" w:hAnsi="宋体" w:cs="宋体"/>
                <w:kern w:val="0"/>
                <w:sz w:val="20"/>
                <w:szCs w:val="20"/>
              </w:rPr>
              <w:t>6.规格：长度2米</w:t>
            </w:r>
            <w:r>
              <w:rPr>
                <w:rFonts w:hint="eastAsia" w:ascii="宋体" w:hAnsi="宋体" w:cs="宋体"/>
                <w:kern w:val="0"/>
                <w:sz w:val="20"/>
                <w:szCs w:val="20"/>
              </w:rPr>
              <w:br w:type="textWrapping"/>
            </w:r>
            <w:r>
              <w:rPr>
                <w:rFonts w:hint="eastAsia" w:ascii="宋体" w:hAnsi="宋体" w:cs="宋体"/>
                <w:kern w:val="0"/>
                <w:sz w:val="20"/>
                <w:szCs w:val="20"/>
              </w:rPr>
              <w:t>7.HDMI头大小：20*26*10.5mm，线径：7.3mm</w:t>
            </w:r>
          </w:p>
        </w:tc>
        <w:tc>
          <w:tcPr>
            <w:tcW w:w="981" w:type="dxa"/>
            <w:tcBorders>
              <w:top w:val="nil"/>
              <w:left w:val="nil"/>
              <w:bottom w:val="single" w:color="auto" w:sz="4" w:space="0"/>
              <w:right w:val="single" w:color="auto" w:sz="4" w:space="0"/>
            </w:tcBorders>
            <w:shd w:val="clear" w:color="auto" w:fill="auto"/>
            <w:vAlign w:val="center"/>
          </w:tcPr>
          <w:p w14:paraId="2E39E594">
            <w:pPr>
              <w:widowControl/>
              <w:jc w:val="center"/>
              <w:rPr>
                <w:rFonts w:hint="eastAsia" w:ascii="宋体" w:hAnsi="宋体" w:cs="宋体"/>
                <w:kern w:val="0"/>
                <w:sz w:val="20"/>
                <w:szCs w:val="20"/>
              </w:rPr>
            </w:pPr>
            <w:r>
              <w:rPr>
                <w:rFonts w:hint="eastAsia" w:ascii="宋体" w:hAnsi="宋体" w:cs="宋体"/>
                <w:kern w:val="0"/>
                <w:sz w:val="20"/>
                <w:szCs w:val="20"/>
              </w:rPr>
              <w:t>条</w:t>
            </w:r>
          </w:p>
        </w:tc>
        <w:tc>
          <w:tcPr>
            <w:tcW w:w="1177" w:type="dxa"/>
            <w:tcBorders>
              <w:top w:val="nil"/>
              <w:left w:val="nil"/>
              <w:bottom w:val="single" w:color="auto" w:sz="4" w:space="0"/>
              <w:right w:val="single" w:color="auto" w:sz="4" w:space="0"/>
            </w:tcBorders>
            <w:shd w:val="clear" w:color="auto" w:fill="auto"/>
            <w:noWrap/>
            <w:vAlign w:val="center"/>
          </w:tcPr>
          <w:p w14:paraId="66D76839">
            <w:pPr>
              <w:widowControl/>
              <w:jc w:val="center"/>
              <w:rPr>
                <w:rFonts w:hint="eastAsia" w:ascii="宋体" w:hAnsi="宋体" w:cs="宋体"/>
                <w:kern w:val="0"/>
                <w:sz w:val="20"/>
                <w:szCs w:val="20"/>
              </w:rPr>
            </w:pPr>
            <w:r>
              <w:rPr>
                <w:rFonts w:hint="eastAsia" w:ascii="宋体" w:hAnsi="宋体" w:cs="宋体"/>
                <w:kern w:val="0"/>
                <w:sz w:val="20"/>
                <w:szCs w:val="20"/>
              </w:rPr>
              <w:t>10</w:t>
            </w:r>
          </w:p>
        </w:tc>
      </w:tr>
      <w:tr w14:paraId="1AF58592">
        <w:tblPrEx>
          <w:tblCellMar>
            <w:top w:w="0" w:type="dxa"/>
            <w:left w:w="108" w:type="dxa"/>
            <w:bottom w:w="0" w:type="dxa"/>
            <w:right w:w="108" w:type="dxa"/>
          </w:tblCellMar>
        </w:tblPrEx>
        <w:trPr>
          <w:trHeight w:val="78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7BBD2321">
            <w:pPr>
              <w:widowControl/>
              <w:jc w:val="center"/>
              <w:rPr>
                <w:rFonts w:hint="eastAsia" w:ascii="宋体" w:hAnsi="宋体" w:cs="宋体"/>
                <w:kern w:val="0"/>
                <w:sz w:val="20"/>
                <w:szCs w:val="20"/>
              </w:rPr>
            </w:pPr>
            <w:r>
              <w:rPr>
                <w:rFonts w:hint="eastAsia" w:ascii="宋体" w:hAnsi="宋体" w:cs="宋体"/>
                <w:kern w:val="0"/>
                <w:sz w:val="20"/>
                <w:szCs w:val="20"/>
              </w:rPr>
              <w:t>85</w:t>
            </w:r>
          </w:p>
        </w:tc>
        <w:tc>
          <w:tcPr>
            <w:tcW w:w="1325" w:type="dxa"/>
            <w:tcBorders>
              <w:top w:val="nil"/>
              <w:left w:val="nil"/>
              <w:bottom w:val="single" w:color="auto" w:sz="4" w:space="0"/>
              <w:right w:val="single" w:color="auto" w:sz="4" w:space="0"/>
            </w:tcBorders>
            <w:shd w:val="clear" w:color="auto" w:fill="auto"/>
            <w:vAlign w:val="center"/>
          </w:tcPr>
          <w:p w14:paraId="2485E4C2">
            <w:pPr>
              <w:widowControl/>
              <w:jc w:val="left"/>
              <w:rPr>
                <w:rFonts w:hint="eastAsia" w:ascii="宋体" w:hAnsi="宋体" w:cs="宋体"/>
                <w:kern w:val="0"/>
                <w:sz w:val="20"/>
                <w:szCs w:val="20"/>
              </w:rPr>
            </w:pPr>
            <w:r>
              <w:rPr>
                <w:rFonts w:hint="eastAsia" w:ascii="宋体" w:hAnsi="宋体" w:cs="宋体"/>
                <w:kern w:val="0"/>
                <w:sz w:val="20"/>
                <w:szCs w:val="20"/>
              </w:rPr>
              <w:t>线材</w:t>
            </w:r>
          </w:p>
        </w:tc>
        <w:tc>
          <w:tcPr>
            <w:tcW w:w="3515" w:type="dxa"/>
            <w:tcBorders>
              <w:top w:val="nil"/>
              <w:left w:val="nil"/>
              <w:bottom w:val="single" w:color="auto" w:sz="4" w:space="0"/>
              <w:right w:val="single" w:color="auto" w:sz="4" w:space="0"/>
            </w:tcBorders>
            <w:shd w:val="clear" w:color="auto" w:fill="auto"/>
            <w:vAlign w:val="center"/>
          </w:tcPr>
          <w:p w14:paraId="56A69A17">
            <w:pPr>
              <w:widowControl/>
              <w:jc w:val="left"/>
              <w:rPr>
                <w:rFonts w:hint="eastAsia" w:ascii="宋体" w:hAnsi="宋体" w:cs="宋体"/>
                <w:kern w:val="0"/>
                <w:sz w:val="20"/>
                <w:szCs w:val="20"/>
              </w:rPr>
            </w:pPr>
            <w:r>
              <w:rPr>
                <w:rFonts w:hint="eastAsia" w:ascii="宋体" w:hAnsi="宋体" w:cs="宋体"/>
                <w:kern w:val="0"/>
                <w:sz w:val="20"/>
                <w:szCs w:val="20"/>
              </w:rPr>
              <w:t>1.分辨率：4k/60hz、2k/144hz、1080p/240hz</w:t>
            </w:r>
            <w:r>
              <w:rPr>
                <w:rFonts w:hint="eastAsia" w:ascii="宋体" w:hAnsi="宋体" w:cs="宋体"/>
                <w:kern w:val="0"/>
                <w:sz w:val="20"/>
                <w:szCs w:val="20"/>
              </w:rPr>
              <w:br w:type="textWrapping"/>
            </w:r>
            <w:r>
              <w:rPr>
                <w:rFonts w:hint="eastAsia" w:ascii="宋体" w:hAnsi="宋体" w:cs="宋体"/>
                <w:kern w:val="0"/>
                <w:sz w:val="20"/>
                <w:szCs w:val="20"/>
              </w:rPr>
              <w:t>2.色彩空间：4:4:4、4:2:2、4:2:0</w:t>
            </w:r>
            <w:r>
              <w:rPr>
                <w:rFonts w:hint="eastAsia" w:ascii="宋体" w:hAnsi="宋体" w:cs="宋体"/>
                <w:kern w:val="0"/>
                <w:sz w:val="20"/>
                <w:szCs w:val="20"/>
              </w:rPr>
              <w:br w:type="textWrapping"/>
            </w:r>
            <w:r>
              <w:rPr>
                <w:rFonts w:hint="eastAsia" w:ascii="宋体" w:hAnsi="宋体" w:cs="宋体"/>
                <w:kern w:val="0"/>
                <w:sz w:val="20"/>
                <w:szCs w:val="20"/>
              </w:rPr>
              <w:t>3.接口版本：HDMI 2.0</w:t>
            </w:r>
          </w:p>
        </w:tc>
        <w:tc>
          <w:tcPr>
            <w:tcW w:w="981" w:type="dxa"/>
            <w:tcBorders>
              <w:top w:val="nil"/>
              <w:left w:val="nil"/>
              <w:bottom w:val="single" w:color="auto" w:sz="4" w:space="0"/>
              <w:right w:val="single" w:color="auto" w:sz="4" w:space="0"/>
            </w:tcBorders>
            <w:shd w:val="clear" w:color="auto" w:fill="auto"/>
            <w:vAlign w:val="center"/>
          </w:tcPr>
          <w:p w14:paraId="4357967E">
            <w:pPr>
              <w:widowControl/>
              <w:jc w:val="center"/>
              <w:rPr>
                <w:rFonts w:hint="eastAsia" w:ascii="宋体" w:hAnsi="宋体" w:cs="宋体"/>
                <w:kern w:val="0"/>
                <w:sz w:val="20"/>
                <w:szCs w:val="20"/>
              </w:rPr>
            </w:pPr>
            <w:r>
              <w:rPr>
                <w:rFonts w:hint="eastAsia" w:ascii="宋体" w:hAnsi="宋体" w:cs="宋体"/>
                <w:kern w:val="0"/>
                <w:sz w:val="20"/>
                <w:szCs w:val="20"/>
              </w:rPr>
              <w:t>条</w:t>
            </w:r>
          </w:p>
        </w:tc>
        <w:tc>
          <w:tcPr>
            <w:tcW w:w="1177" w:type="dxa"/>
            <w:tcBorders>
              <w:top w:val="nil"/>
              <w:left w:val="nil"/>
              <w:bottom w:val="single" w:color="auto" w:sz="4" w:space="0"/>
              <w:right w:val="single" w:color="auto" w:sz="4" w:space="0"/>
            </w:tcBorders>
            <w:shd w:val="clear" w:color="auto" w:fill="auto"/>
            <w:noWrap/>
            <w:vAlign w:val="center"/>
          </w:tcPr>
          <w:p w14:paraId="5F07D9AF">
            <w:pPr>
              <w:widowControl/>
              <w:jc w:val="center"/>
              <w:rPr>
                <w:rFonts w:hint="eastAsia" w:ascii="宋体" w:hAnsi="宋体" w:cs="宋体"/>
                <w:kern w:val="0"/>
                <w:sz w:val="20"/>
                <w:szCs w:val="20"/>
              </w:rPr>
            </w:pPr>
            <w:r>
              <w:rPr>
                <w:rFonts w:hint="eastAsia" w:ascii="宋体" w:hAnsi="宋体" w:cs="宋体"/>
                <w:kern w:val="0"/>
                <w:sz w:val="20"/>
                <w:szCs w:val="20"/>
              </w:rPr>
              <w:t>4</w:t>
            </w:r>
          </w:p>
        </w:tc>
      </w:tr>
      <w:tr w14:paraId="76AADC10">
        <w:tblPrEx>
          <w:tblCellMar>
            <w:top w:w="0" w:type="dxa"/>
            <w:left w:w="108" w:type="dxa"/>
            <w:bottom w:w="0" w:type="dxa"/>
            <w:right w:w="108" w:type="dxa"/>
          </w:tblCellMar>
        </w:tblPrEx>
        <w:trPr>
          <w:trHeight w:val="28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7AAD157A">
            <w:pPr>
              <w:widowControl/>
              <w:jc w:val="center"/>
              <w:rPr>
                <w:rFonts w:hint="eastAsia" w:ascii="宋体" w:hAnsi="宋体" w:cs="宋体"/>
                <w:kern w:val="0"/>
                <w:sz w:val="20"/>
                <w:szCs w:val="20"/>
              </w:rPr>
            </w:pPr>
            <w:r>
              <w:rPr>
                <w:rFonts w:hint="eastAsia" w:ascii="宋体" w:hAnsi="宋体" w:cs="宋体"/>
                <w:kern w:val="0"/>
                <w:sz w:val="20"/>
                <w:szCs w:val="20"/>
              </w:rPr>
              <w:t>86</w:t>
            </w:r>
          </w:p>
        </w:tc>
        <w:tc>
          <w:tcPr>
            <w:tcW w:w="1325" w:type="dxa"/>
            <w:tcBorders>
              <w:top w:val="nil"/>
              <w:left w:val="nil"/>
              <w:bottom w:val="single" w:color="auto" w:sz="4" w:space="0"/>
              <w:right w:val="single" w:color="auto" w:sz="4" w:space="0"/>
            </w:tcBorders>
            <w:shd w:val="clear" w:color="auto" w:fill="auto"/>
            <w:vAlign w:val="center"/>
          </w:tcPr>
          <w:p w14:paraId="33266F50">
            <w:pPr>
              <w:widowControl/>
              <w:jc w:val="left"/>
              <w:rPr>
                <w:rFonts w:hint="eastAsia" w:ascii="宋体" w:hAnsi="宋体" w:cs="宋体"/>
                <w:kern w:val="0"/>
                <w:sz w:val="20"/>
                <w:szCs w:val="20"/>
              </w:rPr>
            </w:pPr>
            <w:r>
              <w:rPr>
                <w:rFonts w:hint="eastAsia" w:ascii="宋体" w:hAnsi="宋体" w:cs="宋体"/>
                <w:kern w:val="0"/>
                <w:sz w:val="20"/>
                <w:szCs w:val="20"/>
              </w:rPr>
              <w:t>线材</w:t>
            </w:r>
          </w:p>
        </w:tc>
        <w:tc>
          <w:tcPr>
            <w:tcW w:w="3515" w:type="dxa"/>
            <w:tcBorders>
              <w:top w:val="nil"/>
              <w:left w:val="nil"/>
              <w:bottom w:val="single" w:color="auto" w:sz="4" w:space="0"/>
              <w:right w:val="single" w:color="auto" w:sz="4" w:space="0"/>
            </w:tcBorders>
            <w:shd w:val="clear" w:color="auto" w:fill="auto"/>
            <w:vAlign w:val="center"/>
          </w:tcPr>
          <w:p w14:paraId="1C71745B">
            <w:pPr>
              <w:widowControl/>
              <w:jc w:val="left"/>
              <w:rPr>
                <w:rFonts w:hint="eastAsia" w:ascii="宋体" w:hAnsi="宋体" w:cs="宋体"/>
                <w:kern w:val="0"/>
                <w:sz w:val="20"/>
                <w:szCs w:val="20"/>
              </w:rPr>
            </w:pPr>
            <w:r>
              <w:rPr>
                <w:rFonts w:hint="eastAsia" w:ascii="宋体" w:hAnsi="宋体" w:cs="宋体"/>
                <w:kern w:val="0"/>
                <w:sz w:val="20"/>
                <w:szCs w:val="20"/>
              </w:rPr>
              <w:t>双芯咪线RVPE2*0.5，100米/卷</w:t>
            </w:r>
          </w:p>
        </w:tc>
        <w:tc>
          <w:tcPr>
            <w:tcW w:w="981" w:type="dxa"/>
            <w:tcBorders>
              <w:top w:val="nil"/>
              <w:left w:val="nil"/>
              <w:bottom w:val="single" w:color="auto" w:sz="4" w:space="0"/>
              <w:right w:val="single" w:color="auto" w:sz="4" w:space="0"/>
            </w:tcBorders>
            <w:shd w:val="clear" w:color="auto" w:fill="auto"/>
            <w:vAlign w:val="center"/>
          </w:tcPr>
          <w:p w14:paraId="1B83D81D">
            <w:pPr>
              <w:widowControl/>
              <w:jc w:val="center"/>
              <w:rPr>
                <w:rFonts w:hint="eastAsia" w:ascii="宋体" w:hAnsi="宋体" w:cs="宋体"/>
                <w:kern w:val="0"/>
                <w:sz w:val="20"/>
                <w:szCs w:val="20"/>
              </w:rPr>
            </w:pPr>
            <w:r>
              <w:rPr>
                <w:rFonts w:hint="eastAsia" w:ascii="宋体" w:hAnsi="宋体" w:cs="宋体"/>
                <w:kern w:val="0"/>
                <w:sz w:val="20"/>
                <w:szCs w:val="20"/>
              </w:rPr>
              <w:t>卷</w:t>
            </w:r>
          </w:p>
        </w:tc>
        <w:tc>
          <w:tcPr>
            <w:tcW w:w="1177" w:type="dxa"/>
            <w:tcBorders>
              <w:top w:val="nil"/>
              <w:left w:val="nil"/>
              <w:bottom w:val="single" w:color="auto" w:sz="4" w:space="0"/>
              <w:right w:val="single" w:color="auto" w:sz="4" w:space="0"/>
            </w:tcBorders>
            <w:shd w:val="clear" w:color="auto" w:fill="auto"/>
            <w:noWrap/>
            <w:vAlign w:val="center"/>
          </w:tcPr>
          <w:p w14:paraId="0027B36C">
            <w:pPr>
              <w:widowControl/>
              <w:jc w:val="center"/>
              <w:rPr>
                <w:rFonts w:hint="eastAsia" w:ascii="宋体" w:hAnsi="宋体" w:cs="宋体"/>
                <w:kern w:val="0"/>
                <w:sz w:val="20"/>
                <w:szCs w:val="20"/>
              </w:rPr>
            </w:pPr>
            <w:r>
              <w:rPr>
                <w:rFonts w:hint="eastAsia" w:ascii="宋体" w:hAnsi="宋体" w:cs="宋体"/>
                <w:kern w:val="0"/>
                <w:sz w:val="20"/>
                <w:szCs w:val="20"/>
              </w:rPr>
              <w:t>2</w:t>
            </w:r>
          </w:p>
        </w:tc>
      </w:tr>
      <w:tr w14:paraId="05C78E3E">
        <w:tblPrEx>
          <w:tblCellMar>
            <w:top w:w="0" w:type="dxa"/>
            <w:left w:w="108" w:type="dxa"/>
            <w:bottom w:w="0" w:type="dxa"/>
            <w:right w:w="108" w:type="dxa"/>
          </w:tblCellMar>
        </w:tblPrEx>
        <w:trPr>
          <w:trHeight w:val="234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13CC7D53">
            <w:pPr>
              <w:widowControl/>
              <w:jc w:val="center"/>
              <w:rPr>
                <w:rFonts w:hint="eastAsia" w:ascii="宋体" w:hAnsi="宋体" w:cs="宋体"/>
                <w:kern w:val="0"/>
                <w:sz w:val="20"/>
                <w:szCs w:val="20"/>
              </w:rPr>
            </w:pPr>
            <w:r>
              <w:rPr>
                <w:rFonts w:hint="eastAsia" w:ascii="宋体" w:hAnsi="宋体" w:cs="宋体"/>
                <w:kern w:val="0"/>
                <w:sz w:val="20"/>
                <w:szCs w:val="20"/>
              </w:rPr>
              <w:t>87</w:t>
            </w:r>
          </w:p>
        </w:tc>
        <w:tc>
          <w:tcPr>
            <w:tcW w:w="1325" w:type="dxa"/>
            <w:tcBorders>
              <w:top w:val="nil"/>
              <w:left w:val="nil"/>
              <w:bottom w:val="single" w:color="auto" w:sz="4" w:space="0"/>
              <w:right w:val="single" w:color="auto" w:sz="4" w:space="0"/>
            </w:tcBorders>
            <w:shd w:val="clear" w:color="auto" w:fill="auto"/>
            <w:vAlign w:val="center"/>
          </w:tcPr>
          <w:p w14:paraId="4DAEF890">
            <w:pPr>
              <w:widowControl/>
              <w:jc w:val="left"/>
              <w:rPr>
                <w:rFonts w:hint="eastAsia" w:ascii="宋体" w:hAnsi="宋体" w:cs="宋体"/>
                <w:kern w:val="0"/>
                <w:sz w:val="20"/>
                <w:szCs w:val="20"/>
              </w:rPr>
            </w:pPr>
            <w:r>
              <w:rPr>
                <w:rFonts w:hint="eastAsia" w:ascii="宋体" w:hAnsi="宋体" w:cs="宋体"/>
                <w:kern w:val="0"/>
                <w:sz w:val="20"/>
                <w:szCs w:val="20"/>
              </w:rPr>
              <w:t>线材</w:t>
            </w:r>
          </w:p>
        </w:tc>
        <w:tc>
          <w:tcPr>
            <w:tcW w:w="3515" w:type="dxa"/>
            <w:tcBorders>
              <w:top w:val="nil"/>
              <w:left w:val="nil"/>
              <w:bottom w:val="single" w:color="auto" w:sz="4" w:space="0"/>
              <w:right w:val="single" w:color="auto" w:sz="4" w:space="0"/>
            </w:tcBorders>
            <w:shd w:val="clear" w:color="auto" w:fill="auto"/>
            <w:vAlign w:val="center"/>
          </w:tcPr>
          <w:p w14:paraId="7FA13792">
            <w:pPr>
              <w:widowControl/>
              <w:jc w:val="left"/>
              <w:rPr>
                <w:rFonts w:hint="eastAsia" w:ascii="宋体" w:hAnsi="宋体" w:cs="宋体"/>
                <w:kern w:val="0"/>
                <w:sz w:val="20"/>
                <w:szCs w:val="20"/>
              </w:rPr>
            </w:pPr>
            <w:r>
              <w:rPr>
                <w:rFonts w:hint="eastAsia" w:ascii="宋体" w:hAnsi="宋体" w:cs="宋体"/>
                <w:kern w:val="0"/>
                <w:sz w:val="20"/>
                <w:szCs w:val="20"/>
              </w:rPr>
              <w:t>1.音响线</w:t>
            </w:r>
            <w:r>
              <w:rPr>
                <w:rFonts w:hint="eastAsia" w:ascii="宋体" w:hAnsi="宋体" w:cs="宋体"/>
                <w:kern w:val="0"/>
                <w:sz w:val="20"/>
                <w:szCs w:val="20"/>
              </w:rPr>
              <w:br w:type="textWrapping"/>
            </w:r>
            <w:r>
              <w:rPr>
                <w:rFonts w:hint="eastAsia" w:ascii="宋体" w:hAnsi="宋体" w:cs="宋体"/>
                <w:kern w:val="0"/>
                <w:sz w:val="20"/>
                <w:szCs w:val="20"/>
              </w:rPr>
              <w:t>2.线径：10.0mm</w:t>
            </w:r>
            <w:r>
              <w:rPr>
                <w:rFonts w:hint="eastAsia" w:ascii="宋体" w:hAnsi="宋体" w:cs="宋体"/>
                <w:kern w:val="0"/>
                <w:sz w:val="20"/>
                <w:szCs w:val="20"/>
              </w:rPr>
              <w:br w:type="textWrapping"/>
            </w:r>
            <w:r>
              <w:rPr>
                <w:rFonts w:hint="eastAsia" w:ascii="宋体" w:hAnsi="宋体" w:cs="宋体"/>
                <w:kern w:val="0"/>
                <w:sz w:val="20"/>
                <w:szCs w:val="20"/>
              </w:rPr>
              <w:t>3.芯数：2*307铜芯</w:t>
            </w:r>
            <w:r>
              <w:rPr>
                <w:rFonts w:hint="eastAsia" w:ascii="宋体" w:hAnsi="宋体" w:cs="宋体"/>
                <w:kern w:val="0"/>
                <w:sz w:val="20"/>
                <w:szCs w:val="20"/>
              </w:rPr>
              <w:br w:type="textWrapping"/>
            </w:r>
            <w:r>
              <w:rPr>
                <w:rFonts w:hint="eastAsia" w:ascii="宋体" w:hAnsi="宋体" w:cs="宋体"/>
                <w:kern w:val="0"/>
                <w:sz w:val="20"/>
                <w:szCs w:val="20"/>
              </w:rPr>
              <w:t>4.平方数：2*2.5</w:t>
            </w:r>
            <w:r>
              <w:rPr>
                <w:rFonts w:hint="eastAsia" w:ascii="宋体" w:hAnsi="宋体" w:cs="宋体"/>
                <w:kern w:val="0"/>
                <w:sz w:val="20"/>
                <w:szCs w:val="20"/>
              </w:rPr>
              <w:br w:type="textWrapping"/>
            </w:r>
            <w:r>
              <w:rPr>
                <w:rFonts w:hint="eastAsia" w:ascii="宋体" w:hAnsi="宋体" w:cs="宋体"/>
                <w:kern w:val="0"/>
                <w:sz w:val="20"/>
                <w:szCs w:val="20"/>
              </w:rPr>
              <w:t xml:space="preserve">5.绝缘层:PVC </w:t>
            </w:r>
            <w:r>
              <w:rPr>
                <w:rFonts w:hint="eastAsia" w:ascii="宋体" w:hAnsi="宋体" w:cs="宋体"/>
                <w:kern w:val="0"/>
                <w:sz w:val="20"/>
                <w:szCs w:val="20"/>
              </w:rPr>
              <w:br w:type="textWrapping"/>
            </w:r>
            <w:r>
              <w:rPr>
                <w:rFonts w:hint="eastAsia" w:ascii="宋体" w:hAnsi="宋体" w:cs="宋体"/>
                <w:kern w:val="0"/>
                <w:sz w:val="20"/>
                <w:szCs w:val="20"/>
              </w:rPr>
              <w:t xml:space="preserve">6.外被:耐磨 PVC </w:t>
            </w:r>
            <w:r>
              <w:rPr>
                <w:rFonts w:hint="eastAsia" w:ascii="宋体" w:hAnsi="宋体" w:cs="宋体"/>
                <w:kern w:val="0"/>
                <w:sz w:val="20"/>
                <w:szCs w:val="20"/>
              </w:rPr>
              <w:br w:type="textWrapping"/>
            </w:r>
            <w:r>
              <w:rPr>
                <w:rFonts w:hint="eastAsia" w:ascii="宋体" w:hAnsi="宋体" w:cs="宋体"/>
                <w:kern w:val="0"/>
                <w:sz w:val="20"/>
                <w:szCs w:val="20"/>
              </w:rPr>
              <w:t>7.导体: 精选铜</w:t>
            </w:r>
            <w:r>
              <w:rPr>
                <w:rFonts w:hint="eastAsia" w:ascii="宋体" w:hAnsi="宋体" w:cs="宋体"/>
                <w:kern w:val="0"/>
                <w:sz w:val="20"/>
                <w:szCs w:val="20"/>
              </w:rPr>
              <w:br w:type="textWrapping"/>
            </w:r>
            <w:r>
              <w:rPr>
                <w:rFonts w:hint="eastAsia" w:ascii="宋体" w:hAnsi="宋体" w:cs="宋体"/>
                <w:kern w:val="0"/>
                <w:sz w:val="20"/>
                <w:szCs w:val="20"/>
              </w:rPr>
              <w:t>8.颜色：黑色</w:t>
            </w:r>
            <w:r>
              <w:rPr>
                <w:rFonts w:hint="eastAsia" w:ascii="宋体" w:hAnsi="宋体" w:cs="宋体"/>
                <w:kern w:val="0"/>
                <w:sz w:val="20"/>
                <w:szCs w:val="20"/>
              </w:rPr>
              <w:br w:type="textWrapping"/>
            </w:r>
            <w:r>
              <w:rPr>
                <w:rFonts w:hint="eastAsia" w:ascii="宋体" w:hAnsi="宋体" w:cs="宋体"/>
                <w:kern w:val="0"/>
                <w:sz w:val="20"/>
                <w:szCs w:val="20"/>
              </w:rPr>
              <w:t>9.100米/卷</w:t>
            </w:r>
          </w:p>
        </w:tc>
        <w:tc>
          <w:tcPr>
            <w:tcW w:w="981" w:type="dxa"/>
            <w:tcBorders>
              <w:top w:val="nil"/>
              <w:left w:val="nil"/>
              <w:bottom w:val="single" w:color="auto" w:sz="4" w:space="0"/>
              <w:right w:val="single" w:color="auto" w:sz="4" w:space="0"/>
            </w:tcBorders>
            <w:shd w:val="clear" w:color="auto" w:fill="auto"/>
            <w:vAlign w:val="center"/>
          </w:tcPr>
          <w:p w14:paraId="44D241C7">
            <w:pPr>
              <w:widowControl/>
              <w:jc w:val="center"/>
              <w:rPr>
                <w:rFonts w:hint="eastAsia" w:ascii="宋体" w:hAnsi="宋体" w:cs="宋体"/>
                <w:kern w:val="0"/>
                <w:sz w:val="20"/>
                <w:szCs w:val="20"/>
              </w:rPr>
            </w:pPr>
            <w:r>
              <w:rPr>
                <w:rFonts w:hint="eastAsia" w:ascii="宋体" w:hAnsi="宋体" w:cs="宋体"/>
                <w:kern w:val="0"/>
                <w:sz w:val="20"/>
                <w:szCs w:val="20"/>
              </w:rPr>
              <w:t>卷</w:t>
            </w:r>
          </w:p>
        </w:tc>
        <w:tc>
          <w:tcPr>
            <w:tcW w:w="1177" w:type="dxa"/>
            <w:tcBorders>
              <w:top w:val="nil"/>
              <w:left w:val="nil"/>
              <w:bottom w:val="single" w:color="auto" w:sz="4" w:space="0"/>
              <w:right w:val="single" w:color="auto" w:sz="4" w:space="0"/>
            </w:tcBorders>
            <w:shd w:val="clear" w:color="auto" w:fill="auto"/>
            <w:noWrap/>
            <w:vAlign w:val="center"/>
          </w:tcPr>
          <w:p w14:paraId="36707025">
            <w:pPr>
              <w:widowControl/>
              <w:jc w:val="center"/>
              <w:rPr>
                <w:rFonts w:hint="eastAsia" w:ascii="宋体" w:hAnsi="宋体" w:cs="宋体"/>
                <w:kern w:val="0"/>
                <w:sz w:val="20"/>
                <w:szCs w:val="20"/>
              </w:rPr>
            </w:pPr>
            <w:r>
              <w:rPr>
                <w:rFonts w:hint="eastAsia" w:ascii="宋体" w:hAnsi="宋体" w:cs="宋体"/>
                <w:kern w:val="0"/>
                <w:sz w:val="20"/>
                <w:szCs w:val="20"/>
              </w:rPr>
              <w:t>6</w:t>
            </w:r>
          </w:p>
        </w:tc>
      </w:tr>
      <w:tr w14:paraId="40C239DE">
        <w:tblPrEx>
          <w:tblCellMar>
            <w:top w:w="0" w:type="dxa"/>
            <w:left w:w="108" w:type="dxa"/>
            <w:bottom w:w="0" w:type="dxa"/>
            <w:right w:w="108" w:type="dxa"/>
          </w:tblCellMar>
        </w:tblPrEx>
        <w:trPr>
          <w:trHeight w:val="28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1E6573B3">
            <w:pPr>
              <w:widowControl/>
              <w:jc w:val="center"/>
              <w:rPr>
                <w:rFonts w:hint="eastAsia" w:ascii="宋体" w:hAnsi="宋体" w:cs="宋体"/>
                <w:kern w:val="0"/>
                <w:sz w:val="20"/>
                <w:szCs w:val="20"/>
              </w:rPr>
            </w:pPr>
            <w:r>
              <w:rPr>
                <w:rFonts w:hint="eastAsia" w:ascii="宋体" w:hAnsi="宋体" w:cs="宋体"/>
                <w:kern w:val="0"/>
                <w:sz w:val="20"/>
                <w:szCs w:val="20"/>
              </w:rPr>
              <w:t>88</w:t>
            </w:r>
          </w:p>
        </w:tc>
        <w:tc>
          <w:tcPr>
            <w:tcW w:w="1325" w:type="dxa"/>
            <w:tcBorders>
              <w:top w:val="nil"/>
              <w:left w:val="nil"/>
              <w:bottom w:val="single" w:color="auto" w:sz="4" w:space="0"/>
              <w:right w:val="single" w:color="auto" w:sz="4" w:space="0"/>
            </w:tcBorders>
            <w:shd w:val="clear" w:color="auto" w:fill="auto"/>
            <w:vAlign w:val="center"/>
          </w:tcPr>
          <w:p w14:paraId="69BBB48B">
            <w:pPr>
              <w:widowControl/>
              <w:jc w:val="left"/>
              <w:rPr>
                <w:rFonts w:hint="eastAsia" w:ascii="宋体" w:hAnsi="宋体" w:cs="宋体"/>
                <w:kern w:val="0"/>
                <w:sz w:val="20"/>
                <w:szCs w:val="20"/>
              </w:rPr>
            </w:pPr>
            <w:r>
              <w:rPr>
                <w:rFonts w:hint="eastAsia" w:ascii="宋体" w:hAnsi="宋体" w:cs="宋体"/>
                <w:kern w:val="0"/>
                <w:sz w:val="20"/>
                <w:szCs w:val="20"/>
              </w:rPr>
              <w:t>线材</w:t>
            </w:r>
          </w:p>
        </w:tc>
        <w:tc>
          <w:tcPr>
            <w:tcW w:w="3515" w:type="dxa"/>
            <w:tcBorders>
              <w:top w:val="nil"/>
              <w:left w:val="nil"/>
              <w:bottom w:val="single" w:color="auto" w:sz="4" w:space="0"/>
              <w:right w:val="single" w:color="auto" w:sz="4" w:space="0"/>
            </w:tcBorders>
            <w:shd w:val="clear" w:color="auto" w:fill="auto"/>
            <w:vAlign w:val="center"/>
          </w:tcPr>
          <w:p w14:paraId="68FB48A1">
            <w:pPr>
              <w:widowControl/>
              <w:jc w:val="left"/>
              <w:rPr>
                <w:rFonts w:hint="eastAsia" w:ascii="宋体" w:hAnsi="宋体" w:cs="宋体"/>
                <w:kern w:val="0"/>
                <w:sz w:val="20"/>
                <w:szCs w:val="20"/>
              </w:rPr>
            </w:pPr>
            <w:r>
              <w:rPr>
                <w:rFonts w:hint="eastAsia" w:ascii="宋体" w:hAnsi="宋体" w:cs="宋体"/>
                <w:kern w:val="0"/>
                <w:sz w:val="20"/>
                <w:szCs w:val="20"/>
              </w:rPr>
              <w:t>铜芯护套线RVV3*2.5，200米/卷</w:t>
            </w:r>
          </w:p>
        </w:tc>
        <w:tc>
          <w:tcPr>
            <w:tcW w:w="981" w:type="dxa"/>
            <w:tcBorders>
              <w:top w:val="nil"/>
              <w:left w:val="nil"/>
              <w:bottom w:val="single" w:color="auto" w:sz="4" w:space="0"/>
              <w:right w:val="single" w:color="auto" w:sz="4" w:space="0"/>
            </w:tcBorders>
            <w:shd w:val="clear" w:color="auto" w:fill="auto"/>
            <w:vAlign w:val="center"/>
          </w:tcPr>
          <w:p w14:paraId="0261DE11">
            <w:pPr>
              <w:widowControl/>
              <w:jc w:val="center"/>
              <w:rPr>
                <w:rFonts w:hint="eastAsia" w:ascii="宋体" w:hAnsi="宋体" w:cs="宋体"/>
                <w:kern w:val="0"/>
                <w:sz w:val="20"/>
                <w:szCs w:val="20"/>
              </w:rPr>
            </w:pPr>
            <w:r>
              <w:rPr>
                <w:rFonts w:hint="eastAsia" w:ascii="宋体" w:hAnsi="宋体" w:cs="宋体"/>
                <w:kern w:val="0"/>
                <w:sz w:val="20"/>
                <w:szCs w:val="20"/>
              </w:rPr>
              <w:t>卷</w:t>
            </w:r>
          </w:p>
        </w:tc>
        <w:tc>
          <w:tcPr>
            <w:tcW w:w="1177" w:type="dxa"/>
            <w:tcBorders>
              <w:top w:val="nil"/>
              <w:left w:val="nil"/>
              <w:bottom w:val="single" w:color="auto" w:sz="4" w:space="0"/>
              <w:right w:val="single" w:color="auto" w:sz="4" w:space="0"/>
            </w:tcBorders>
            <w:shd w:val="clear" w:color="auto" w:fill="auto"/>
            <w:vAlign w:val="center"/>
          </w:tcPr>
          <w:p w14:paraId="2A13AE88">
            <w:pPr>
              <w:widowControl/>
              <w:jc w:val="center"/>
              <w:rPr>
                <w:rFonts w:hint="eastAsia" w:ascii="宋体" w:hAnsi="宋体" w:cs="宋体"/>
                <w:kern w:val="0"/>
                <w:sz w:val="20"/>
                <w:szCs w:val="20"/>
              </w:rPr>
            </w:pPr>
            <w:r>
              <w:rPr>
                <w:rFonts w:hint="eastAsia" w:ascii="宋体" w:hAnsi="宋体" w:cs="宋体"/>
                <w:kern w:val="0"/>
                <w:sz w:val="20"/>
                <w:szCs w:val="20"/>
              </w:rPr>
              <w:t>4</w:t>
            </w:r>
          </w:p>
        </w:tc>
      </w:tr>
      <w:tr w14:paraId="1430AB99">
        <w:tblPrEx>
          <w:tblCellMar>
            <w:top w:w="0" w:type="dxa"/>
            <w:left w:w="108" w:type="dxa"/>
            <w:bottom w:w="0" w:type="dxa"/>
            <w:right w:w="108" w:type="dxa"/>
          </w:tblCellMar>
        </w:tblPrEx>
        <w:trPr>
          <w:trHeight w:val="28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7C8A5449">
            <w:pPr>
              <w:widowControl/>
              <w:jc w:val="center"/>
              <w:rPr>
                <w:rFonts w:hint="eastAsia" w:ascii="宋体" w:hAnsi="宋体" w:cs="宋体"/>
                <w:kern w:val="0"/>
                <w:sz w:val="20"/>
                <w:szCs w:val="20"/>
              </w:rPr>
            </w:pPr>
            <w:r>
              <w:rPr>
                <w:rFonts w:hint="eastAsia" w:ascii="宋体" w:hAnsi="宋体" w:cs="宋体"/>
                <w:kern w:val="0"/>
                <w:sz w:val="20"/>
                <w:szCs w:val="20"/>
              </w:rPr>
              <w:t>89</w:t>
            </w:r>
          </w:p>
        </w:tc>
        <w:tc>
          <w:tcPr>
            <w:tcW w:w="1325" w:type="dxa"/>
            <w:tcBorders>
              <w:top w:val="nil"/>
              <w:left w:val="nil"/>
              <w:bottom w:val="single" w:color="auto" w:sz="4" w:space="0"/>
              <w:right w:val="single" w:color="auto" w:sz="4" w:space="0"/>
            </w:tcBorders>
            <w:shd w:val="clear" w:color="auto" w:fill="auto"/>
            <w:vAlign w:val="center"/>
          </w:tcPr>
          <w:p w14:paraId="72C6C2F0">
            <w:pPr>
              <w:widowControl/>
              <w:jc w:val="left"/>
              <w:rPr>
                <w:rFonts w:hint="eastAsia" w:ascii="宋体" w:hAnsi="宋体" w:cs="宋体"/>
                <w:kern w:val="0"/>
                <w:sz w:val="20"/>
                <w:szCs w:val="20"/>
              </w:rPr>
            </w:pPr>
            <w:r>
              <w:rPr>
                <w:rFonts w:hint="eastAsia" w:ascii="宋体" w:hAnsi="宋体" w:cs="宋体"/>
                <w:kern w:val="0"/>
                <w:sz w:val="20"/>
                <w:szCs w:val="20"/>
              </w:rPr>
              <w:t>线材</w:t>
            </w:r>
          </w:p>
        </w:tc>
        <w:tc>
          <w:tcPr>
            <w:tcW w:w="3515" w:type="dxa"/>
            <w:tcBorders>
              <w:top w:val="nil"/>
              <w:left w:val="nil"/>
              <w:bottom w:val="single" w:color="auto" w:sz="4" w:space="0"/>
              <w:right w:val="single" w:color="auto" w:sz="4" w:space="0"/>
            </w:tcBorders>
            <w:shd w:val="clear" w:color="auto" w:fill="auto"/>
            <w:vAlign w:val="center"/>
          </w:tcPr>
          <w:p w14:paraId="3309712D">
            <w:pPr>
              <w:widowControl/>
              <w:jc w:val="left"/>
              <w:rPr>
                <w:rFonts w:hint="eastAsia" w:ascii="宋体" w:hAnsi="宋体" w:cs="宋体"/>
                <w:kern w:val="0"/>
                <w:sz w:val="20"/>
                <w:szCs w:val="20"/>
              </w:rPr>
            </w:pPr>
            <w:r>
              <w:rPr>
                <w:rFonts w:hint="eastAsia" w:ascii="宋体" w:hAnsi="宋体" w:cs="宋体"/>
                <w:kern w:val="0"/>
                <w:sz w:val="20"/>
                <w:szCs w:val="20"/>
              </w:rPr>
              <w:t>直径7.2mm，馈线50-5-1，200/卷</w:t>
            </w:r>
          </w:p>
        </w:tc>
        <w:tc>
          <w:tcPr>
            <w:tcW w:w="981" w:type="dxa"/>
            <w:tcBorders>
              <w:top w:val="nil"/>
              <w:left w:val="nil"/>
              <w:bottom w:val="single" w:color="auto" w:sz="4" w:space="0"/>
              <w:right w:val="single" w:color="auto" w:sz="4" w:space="0"/>
            </w:tcBorders>
            <w:shd w:val="clear" w:color="auto" w:fill="auto"/>
            <w:vAlign w:val="center"/>
          </w:tcPr>
          <w:p w14:paraId="36E1AE76">
            <w:pPr>
              <w:widowControl/>
              <w:jc w:val="center"/>
              <w:rPr>
                <w:rFonts w:hint="eastAsia" w:ascii="宋体" w:hAnsi="宋体" w:cs="宋体"/>
                <w:kern w:val="0"/>
                <w:sz w:val="20"/>
                <w:szCs w:val="20"/>
              </w:rPr>
            </w:pPr>
            <w:r>
              <w:rPr>
                <w:rFonts w:hint="eastAsia" w:ascii="宋体" w:hAnsi="宋体" w:cs="宋体"/>
                <w:kern w:val="0"/>
                <w:sz w:val="20"/>
                <w:szCs w:val="20"/>
              </w:rPr>
              <w:t>卷</w:t>
            </w:r>
          </w:p>
        </w:tc>
        <w:tc>
          <w:tcPr>
            <w:tcW w:w="1177" w:type="dxa"/>
            <w:tcBorders>
              <w:top w:val="nil"/>
              <w:left w:val="nil"/>
              <w:bottom w:val="single" w:color="auto" w:sz="4" w:space="0"/>
              <w:right w:val="single" w:color="auto" w:sz="4" w:space="0"/>
            </w:tcBorders>
            <w:shd w:val="clear" w:color="auto" w:fill="auto"/>
            <w:vAlign w:val="center"/>
          </w:tcPr>
          <w:p w14:paraId="574DAA94">
            <w:pPr>
              <w:widowControl/>
              <w:jc w:val="center"/>
              <w:rPr>
                <w:rFonts w:hint="eastAsia" w:ascii="宋体" w:hAnsi="宋体" w:cs="宋体"/>
                <w:kern w:val="0"/>
                <w:sz w:val="20"/>
                <w:szCs w:val="20"/>
              </w:rPr>
            </w:pPr>
            <w:r>
              <w:rPr>
                <w:rFonts w:hint="eastAsia" w:ascii="宋体" w:hAnsi="宋体" w:cs="宋体"/>
                <w:kern w:val="0"/>
                <w:sz w:val="20"/>
                <w:szCs w:val="20"/>
              </w:rPr>
              <w:t>2</w:t>
            </w:r>
          </w:p>
        </w:tc>
      </w:tr>
      <w:tr w14:paraId="36D50444">
        <w:tblPrEx>
          <w:tblCellMar>
            <w:top w:w="0" w:type="dxa"/>
            <w:left w:w="108" w:type="dxa"/>
            <w:bottom w:w="0" w:type="dxa"/>
            <w:right w:w="108" w:type="dxa"/>
          </w:tblCellMar>
        </w:tblPrEx>
        <w:trPr>
          <w:trHeight w:val="28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001A3D9E">
            <w:pPr>
              <w:widowControl/>
              <w:jc w:val="center"/>
              <w:rPr>
                <w:rFonts w:hint="eastAsia" w:ascii="宋体" w:hAnsi="宋体" w:cs="宋体"/>
                <w:kern w:val="0"/>
                <w:sz w:val="20"/>
                <w:szCs w:val="20"/>
              </w:rPr>
            </w:pPr>
            <w:r>
              <w:rPr>
                <w:rFonts w:hint="eastAsia" w:ascii="宋体" w:hAnsi="宋体" w:cs="宋体"/>
                <w:kern w:val="0"/>
                <w:sz w:val="20"/>
                <w:szCs w:val="20"/>
              </w:rPr>
              <w:t>90</w:t>
            </w:r>
          </w:p>
        </w:tc>
        <w:tc>
          <w:tcPr>
            <w:tcW w:w="1325" w:type="dxa"/>
            <w:tcBorders>
              <w:top w:val="nil"/>
              <w:left w:val="nil"/>
              <w:bottom w:val="single" w:color="auto" w:sz="4" w:space="0"/>
              <w:right w:val="single" w:color="auto" w:sz="4" w:space="0"/>
            </w:tcBorders>
            <w:shd w:val="clear" w:color="auto" w:fill="auto"/>
            <w:vAlign w:val="center"/>
          </w:tcPr>
          <w:p w14:paraId="32E184DD">
            <w:pPr>
              <w:widowControl/>
              <w:jc w:val="left"/>
              <w:rPr>
                <w:rFonts w:hint="eastAsia" w:ascii="宋体" w:hAnsi="宋体" w:cs="宋体"/>
                <w:kern w:val="0"/>
                <w:sz w:val="20"/>
                <w:szCs w:val="20"/>
              </w:rPr>
            </w:pPr>
            <w:r>
              <w:rPr>
                <w:rFonts w:hint="eastAsia" w:ascii="宋体" w:hAnsi="宋体" w:cs="宋体"/>
                <w:kern w:val="0"/>
                <w:sz w:val="20"/>
                <w:szCs w:val="20"/>
              </w:rPr>
              <w:t>线材</w:t>
            </w:r>
          </w:p>
        </w:tc>
        <w:tc>
          <w:tcPr>
            <w:tcW w:w="3515" w:type="dxa"/>
            <w:tcBorders>
              <w:top w:val="nil"/>
              <w:left w:val="nil"/>
              <w:bottom w:val="single" w:color="auto" w:sz="4" w:space="0"/>
              <w:right w:val="single" w:color="auto" w:sz="4" w:space="0"/>
            </w:tcBorders>
            <w:shd w:val="clear" w:color="auto" w:fill="auto"/>
            <w:vAlign w:val="center"/>
          </w:tcPr>
          <w:p w14:paraId="58F54C27">
            <w:pPr>
              <w:widowControl/>
              <w:jc w:val="left"/>
              <w:rPr>
                <w:rFonts w:hint="eastAsia" w:ascii="宋体" w:hAnsi="宋体" w:cs="宋体"/>
                <w:kern w:val="0"/>
                <w:sz w:val="20"/>
                <w:szCs w:val="20"/>
              </w:rPr>
            </w:pPr>
            <w:r>
              <w:rPr>
                <w:rFonts w:hint="eastAsia" w:ascii="宋体" w:hAnsi="宋体" w:cs="宋体"/>
                <w:kern w:val="0"/>
                <w:sz w:val="20"/>
                <w:szCs w:val="20"/>
              </w:rPr>
              <w:t>六类屏蔽网线，300米/卷</w:t>
            </w:r>
          </w:p>
        </w:tc>
        <w:tc>
          <w:tcPr>
            <w:tcW w:w="981" w:type="dxa"/>
            <w:tcBorders>
              <w:top w:val="nil"/>
              <w:left w:val="nil"/>
              <w:bottom w:val="single" w:color="auto" w:sz="4" w:space="0"/>
              <w:right w:val="single" w:color="auto" w:sz="4" w:space="0"/>
            </w:tcBorders>
            <w:shd w:val="clear" w:color="auto" w:fill="auto"/>
            <w:vAlign w:val="center"/>
          </w:tcPr>
          <w:p w14:paraId="0B380B33">
            <w:pPr>
              <w:widowControl/>
              <w:jc w:val="center"/>
              <w:rPr>
                <w:rFonts w:hint="eastAsia" w:ascii="宋体" w:hAnsi="宋体" w:cs="宋体"/>
                <w:kern w:val="0"/>
                <w:sz w:val="20"/>
                <w:szCs w:val="20"/>
              </w:rPr>
            </w:pPr>
            <w:r>
              <w:rPr>
                <w:rFonts w:hint="eastAsia" w:ascii="宋体" w:hAnsi="宋体" w:cs="宋体"/>
                <w:kern w:val="0"/>
                <w:sz w:val="20"/>
                <w:szCs w:val="20"/>
              </w:rPr>
              <w:t>卷</w:t>
            </w:r>
          </w:p>
        </w:tc>
        <w:tc>
          <w:tcPr>
            <w:tcW w:w="1177" w:type="dxa"/>
            <w:tcBorders>
              <w:top w:val="nil"/>
              <w:left w:val="nil"/>
              <w:bottom w:val="single" w:color="auto" w:sz="4" w:space="0"/>
              <w:right w:val="single" w:color="auto" w:sz="4" w:space="0"/>
            </w:tcBorders>
            <w:shd w:val="clear" w:color="auto" w:fill="auto"/>
            <w:vAlign w:val="center"/>
          </w:tcPr>
          <w:p w14:paraId="4D34EB0E">
            <w:pPr>
              <w:widowControl/>
              <w:jc w:val="center"/>
              <w:rPr>
                <w:rFonts w:hint="eastAsia" w:ascii="宋体" w:hAnsi="宋体" w:cs="宋体"/>
                <w:kern w:val="0"/>
                <w:sz w:val="20"/>
                <w:szCs w:val="20"/>
              </w:rPr>
            </w:pPr>
            <w:r>
              <w:rPr>
                <w:rFonts w:hint="eastAsia" w:ascii="宋体" w:hAnsi="宋体" w:cs="宋体"/>
                <w:kern w:val="0"/>
                <w:sz w:val="20"/>
                <w:szCs w:val="20"/>
              </w:rPr>
              <w:t>5</w:t>
            </w:r>
          </w:p>
        </w:tc>
      </w:tr>
      <w:tr w14:paraId="4A404661">
        <w:tblPrEx>
          <w:tblCellMar>
            <w:top w:w="0" w:type="dxa"/>
            <w:left w:w="108" w:type="dxa"/>
            <w:bottom w:w="0" w:type="dxa"/>
            <w:right w:w="108" w:type="dxa"/>
          </w:tblCellMar>
        </w:tblPrEx>
        <w:trPr>
          <w:trHeight w:val="28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6C9219DB">
            <w:pPr>
              <w:widowControl/>
              <w:jc w:val="center"/>
              <w:rPr>
                <w:rFonts w:hint="eastAsia" w:ascii="宋体" w:hAnsi="宋体" w:cs="宋体"/>
                <w:kern w:val="0"/>
                <w:sz w:val="20"/>
                <w:szCs w:val="20"/>
              </w:rPr>
            </w:pPr>
            <w:r>
              <w:rPr>
                <w:rFonts w:hint="eastAsia" w:ascii="宋体" w:hAnsi="宋体" w:cs="宋体"/>
                <w:kern w:val="0"/>
                <w:sz w:val="20"/>
                <w:szCs w:val="20"/>
              </w:rPr>
              <w:t>91</w:t>
            </w:r>
          </w:p>
        </w:tc>
        <w:tc>
          <w:tcPr>
            <w:tcW w:w="1325" w:type="dxa"/>
            <w:tcBorders>
              <w:top w:val="nil"/>
              <w:left w:val="nil"/>
              <w:bottom w:val="single" w:color="auto" w:sz="4" w:space="0"/>
              <w:right w:val="single" w:color="auto" w:sz="4" w:space="0"/>
            </w:tcBorders>
            <w:shd w:val="clear" w:color="auto" w:fill="auto"/>
            <w:vAlign w:val="center"/>
          </w:tcPr>
          <w:p w14:paraId="15253964">
            <w:pPr>
              <w:widowControl/>
              <w:jc w:val="left"/>
              <w:rPr>
                <w:rFonts w:hint="eastAsia" w:ascii="宋体" w:hAnsi="宋体" w:cs="宋体"/>
                <w:kern w:val="0"/>
                <w:sz w:val="20"/>
                <w:szCs w:val="20"/>
              </w:rPr>
            </w:pPr>
            <w:r>
              <w:rPr>
                <w:rFonts w:hint="eastAsia" w:ascii="宋体" w:hAnsi="宋体" w:cs="宋体"/>
                <w:kern w:val="0"/>
                <w:sz w:val="20"/>
                <w:szCs w:val="20"/>
              </w:rPr>
              <w:t>水晶头</w:t>
            </w:r>
          </w:p>
        </w:tc>
        <w:tc>
          <w:tcPr>
            <w:tcW w:w="3515" w:type="dxa"/>
            <w:tcBorders>
              <w:top w:val="nil"/>
              <w:left w:val="nil"/>
              <w:bottom w:val="single" w:color="auto" w:sz="4" w:space="0"/>
              <w:right w:val="single" w:color="auto" w:sz="4" w:space="0"/>
            </w:tcBorders>
            <w:shd w:val="clear" w:color="auto" w:fill="auto"/>
            <w:vAlign w:val="center"/>
          </w:tcPr>
          <w:p w14:paraId="3B371333">
            <w:pPr>
              <w:widowControl/>
              <w:jc w:val="left"/>
              <w:rPr>
                <w:rFonts w:hint="eastAsia" w:ascii="宋体" w:hAnsi="宋体" w:cs="宋体"/>
                <w:kern w:val="0"/>
                <w:sz w:val="20"/>
                <w:szCs w:val="20"/>
              </w:rPr>
            </w:pPr>
            <w:r>
              <w:rPr>
                <w:rFonts w:hint="eastAsia" w:ascii="宋体" w:hAnsi="宋体" w:cs="宋体"/>
                <w:kern w:val="0"/>
                <w:sz w:val="20"/>
                <w:szCs w:val="20"/>
              </w:rPr>
              <w:t>六类水晶头，100个一盒</w:t>
            </w:r>
          </w:p>
        </w:tc>
        <w:tc>
          <w:tcPr>
            <w:tcW w:w="981" w:type="dxa"/>
            <w:tcBorders>
              <w:top w:val="nil"/>
              <w:left w:val="nil"/>
              <w:bottom w:val="single" w:color="auto" w:sz="4" w:space="0"/>
              <w:right w:val="single" w:color="auto" w:sz="4" w:space="0"/>
            </w:tcBorders>
            <w:shd w:val="clear" w:color="auto" w:fill="auto"/>
            <w:noWrap/>
            <w:vAlign w:val="center"/>
          </w:tcPr>
          <w:p w14:paraId="19FD41E7">
            <w:pPr>
              <w:widowControl/>
              <w:jc w:val="center"/>
              <w:rPr>
                <w:rFonts w:hint="eastAsia" w:ascii="宋体" w:hAnsi="宋体" w:cs="宋体"/>
                <w:kern w:val="0"/>
                <w:sz w:val="20"/>
                <w:szCs w:val="20"/>
              </w:rPr>
            </w:pPr>
            <w:r>
              <w:rPr>
                <w:rFonts w:hint="eastAsia" w:ascii="宋体" w:hAnsi="宋体" w:cs="宋体"/>
                <w:kern w:val="0"/>
                <w:sz w:val="20"/>
                <w:szCs w:val="20"/>
              </w:rPr>
              <w:t>盒</w:t>
            </w:r>
          </w:p>
        </w:tc>
        <w:tc>
          <w:tcPr>
            <w:tcW w:w="1177" w:type="dxa"/>
            <w:tcBorders>
              <w:top w:val="nil"/>
              <w:left w:val="nil"/>
              <w:bottom w:val="single" w:color="auto" w:sz="4" w:space="0"/>
              <w:right w:val="single" w:color="auto" w:sz="4" w:space="0"/>
            </w:tcBorders>
            <w:shd w:val="clear" w:color="auto" w:fill="auto"/>
            <w:vAlign w:val="center"/>
          </w:tcPr>
          <w:p w14:paraId="048F635A">
            <w:pPr>
              <w:widowControl/>
              <w:jc w:val="center"/>
              <w:rPr>
                <w:rFonts w:hint="eastAsia" w:ascii="宋体" w:hAnsi="宋体" w:cs="宋体"/>
                <w:kern w:val="0"/>
                <w:sz w:val="20"/>
                <w:szCs w:val="20"/>
              </w:rPr>
            </w:pPr>
            <w:r>
              <w:rPr>
                <w:rFonts w:hint="eastAsia" w:ascii="宋体" w:hAnsi="宋体" w:cs="宋体"/>
                <w:kern w:val="0"/>
                <w:sz w:val="20"/>
                <w:szCs w:val="20"/>
              </w:rPr>
              <w:t>2</w:t>
            </w:r>
          </w:p>
        </w:tc>
      </w:tr>
      <w:tr w14:paraId="055CD02C">
        <w:tblPrEx>
          <w:tblCellMar>
            <w:top w:w="0" w:type="dxa"/>
            <w:left w:w="108" w:type="dxa"/>
            <w:bottom w:w="0" w:type="dxa"/>
            <w:right w:w="108" w:type="dxa"/>
          </w:tblCellMar>
        </w:tblPrEx>
        <w:trPr>
          <w:trHeight w:val="28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0BF1427B">
            <w:pPr>
              <w:widowControl/>
              <w:jc w:val="center"/>
              <w:rPr>
                <w:rFonts w:hint="eastAsia" w:ascii="宋体" w:hAnsi="宋体" w:cs="宋体"/>
                <w:kern w:val="0"/>
                <w:sz w:val="20"/>
                <w:szCs w:val="20"/>
              </w:rPr>
            </w:pPr>
            <w:r>
              <w:rPr>
                <w:rFonts w:hint="eastAsia" w:ascii="宋体" w:hAnsi="宋体" w:cs="宋体"/>
                <w:kern w:val="0"/>
                <w:sz w:val="20"/>
                <w:szCs w:val="20"/>
              </w:rPr>
              <w:t>92</w:t>
            </w:r>
          </w:p>
        </w:tc>
        <w:tc>
          <w:tcPr>
            <w:tcW w:w="1325" w:type="dxa"/>
            <w:tcBorders>
              <w:top w:val="nil"/>
              <w:left w:val="nil"/>
              <w:bottom w:val="single" w:color="auto" w:sz="4" w:space="0"/>
              <w:right w:val="single" w:color="auto" w:sz="4" w:space="0"/>
            </w:tcBorders>
            <w:shd w:val="clear" w:color="auto" w:fill="auto"/>
            <w:vAlign w:val="center"/>
          </w:tcPr>
          <w:p w14:paraId="7ACF72D4">
            <w:pPr>
              <w:widowControl/>
              <w:jc w:val="left"/>
              <w:rPr>
                <w:rFonts w:hint="eastAsia" w:ascii="宋体" w:hAnsi="宋体" w:cs="宋体"/>
                <w:kern w:val="0"/>
                <w:sz w:val="20"/>
                <w:szCs w:val="20"/>
              </w:rPr>
            </w:pPr>
            <w:r>
              <w:rPr>
                <w:rFonts w:hint="eastAsia" w:ascii="宋体" w:hAnsi="宋体" w:cs="宋体"/>
                <w:kern w:val="0"/>
                <w:sz w:val="20"/>
                <w:szCs w:val="20"/>
              </w:rPr>
              <w:t>镀锌钢管</w:t>
            </w:r>
          </w:p>
        </w:tc>
        <w:tc>
          <w:tcPr>
            <w:tcW w:w="3515" w:type="dxa"/>
            <w:tcBorders>
              <w:top w:val="nil"/>
              <w:left w:val="nil"/>
              <w:bottom w:val="single" w:color="auto" w:sz="4" w:space="0"/>
              <w:right w:val="single" w:color="auto" w:sz="4" w:space="0"/>
            </w:tcBorders>
            <w:shd w:val="clear" w:color="auto" w:fill="auto"/>
            <w:vAlign w:val="center"/>
          </w:tcPr>
          <w:p w14:paraId="2533827F">
            <w:pPr>
              <w:widowControl/>
              <w:jc w:val="left"/>
              <w:rPr>
                <w:rFonts w:hint="eastAsia" w:ascii="宋体" w:hAnsi="宋体" w:cs="宋体"/>
                <w:kern w:val="0"/>
                <w:sz w:val="20"/>
                <w:szCs w:val="20"/>
              </w:rPr>
            </w:pPr>
            <w:r>
              <w:rPr>
                <w:rFonts w:hint="eastAsia" w:ascii="宋体" w:hAnsi="宋体" w:cs="宋体"/>
                <w:kern w:val="0"/>
                <w:sz w:val="20"/>
                <w:szCs w:val="20"/>
              </w:rPr>
              <w:t>DN=32mm，厚度：2.5mm，每支钢管通常定尺长度为6000mm</w:t>
            </w:r>
          </w:p>
        </w:tc>
        <w:tc>
          <w:tcPr>
            <w:tcW w:w="981" w:type="dxa"/>
            <w:tcBorders>
              <w:top w:val="nil"/>
              <w:left w:val="nil"/>
              <w:bottom w:val="single" w:color="auto" w:sz="4" w:space="0"/>
              <w:right w:val="single" w:color="auto" w:sz="4" w:space="0"/>
            </w:tcBorders>
            <w:shd w:val="clear" w:color="auto" w:fill="auto"/>
            <w:vAlign w:val="center"/>
          </w:tcPr>
          <w:p w14:paraId="3CAAED9E">
            <w:pPr>
              <w:widowControl/>
              <w:jc w:val="center"/>
              <w:rPr>
                <w:rFonts w:hint="eastAsia" w:ascii="宋体" w:hAnsi="宋体" w:cs="宋体"/>
                <w:kern w:val="0"/>
                <w:sz w:val="20"/>
                <w:szCs w:val="20"/>
              </w:rPr>
            </w:pPr>
            <w:r>
              <w:rPr>
                <w:rFonts w:hint="eastAsia" w:ascii="宋体" w:hAnsi="宋体" w:cs="宋体"/>
                <w:kern w:val="0"/>
                <w:sz w:val="20"/>
                <w:szCs w:val="20"/>
              </w:rPr>
              <w:t>根</w:t>
            </w:r>
          </w:p>
        </w:tc>
        <w:tc>
          <w:tcPr>
            <w:tcW w:w="1177" w:type="dxa"/>
            <w:tcBorders>
              <w:top w:val="nil"/>
              <w:left w:val="nil"/>
              <w:bottom w:val="single" w:color="auto" w:sz="4" w:space="0"/>
              <w:right w:val="single" w:color="auto" w:sz="4" w:space="0"/>
            </w:tcBorders>
            <w:shd w:val="clear" w:color="auto" w:fill="auto"/>
            <w:vAlign w:val="center"/>
          </w:tcPr>
          <w:p w14:paraId="50794E21">
            <w:pPr>
              <w:widowControl/>
              <w:jc w:val="center"/>
              <w:rPr>
                <w:rFonts w:hint="eastAsia" w:ascii="宋体" w:hAnsi="宋体" w:cs="宋体"/>
                <w:kern w:val="0"/>
                <w:sz w:val="20"/>
                <w:szCs w:val="20"/>
              </w:rPr>
            </w:pPr>
            <w:r>
              <w:rPr>
                <w:rFonts w:hint="eastAsia" w:ascii="宋体" w:hAnsi="宋体" w:cs="宋体"/>
                <w:kern w:val="0"/>
                <w:sz w:val="20"/>
                <w:szCs w:val="20"/>
              </w:rPr>
              <w:t>100</w:t>
            </w:r>
          </w:p>
        </w:tc>
      </w:tr>
      <w:tr w14:paraId="04556A93">
        <w:tblPrEx>
          <w:tblCellMar>
            <w:top w:w="0" w:type="dxa"/>
            <w:left w:w="108" w:type="dxa"/>
            <w:bottom w:w="0" w:type="dxa"/>
            <w:right w:w="108" w:type="dxa"/>
          </w:tblCellMar>
        </w:tblPrEx>
        <w:trPr>
          <w:trHeight w:val="104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1898CD1E">
            <w:pPr>
              <w:widowControl/>
              <w:jc w:val="center"/>
              <w:rPr>
                <w:rFonts w:hint="eastAsia" w:ascii="宋体" w:hAnsi="宋体" w:cs="宋体"/>
                <w:kern w:val="0"/>
                <w:sz w:val="20"/>
                <w:szCs w:val="20"/>
              </w:rPr>
            </w:pPr>
            <w:r>
              <w:rPr>
                <w:rFonts w:hint="eastAsia" w:ascii="宋体" w:hAnsi="宋体" w:cs="宋体"/>
                <w:kern w:val="0"/>
                <w:sz w:val="20"/>
                <w:szCs w:val="20"/>
              </w:rPr>
              <w:t>93</w:t>
            </w:r>
          </w:p>
        </w:tc>
        <w:tc>
          <w:tcPr>
            <w:tcW w:w="1325" w:type="dxa"/>
            <w:tcBorders>
              <w:top w:val="nil"/>
              <w:left w:val="nil"/>
              <w:bottom w:val="single" w:color="auto" w:sz="4" w:space="0"/>
              <w:right w:val="single" w:color="auto" w:sz="4" w:space="0"/>
            </w:tcBorders>
            <w:shd w:val="clear" w:color="auto" w:fill="auto"/>
            <w:vAlign w:val="center"/>
          </w:tcPr>
          <w:p w14:paraId="5981AD16">
            <w:pPr>
              <w:widowControl/>
              <w:jc w:val="left"/>
              <w:rPr>
                <w:rFonts w:hint="eastAsia" w:ascii="宋体" w:hAnsi="宋体" w:cs="宋体"/>
                <w:kern w:val="0"/>
                <w:sz w:val="20"/>
                <w:szCs w:val="20"/>
              </w:rPr>
            </w:pPr>
            <w:r>
              <w:rPr>
                <w:rFonts w:hint="eastAsia" w:ascii="宋体" w:hAnsi="宋体" w:cs="宋体"/>
                <w:kern w:val="0"/>
                <w:sz w:val="20"/>
                <w:szCs w:val="20"/>
              </w:rPr>
              <w:t>线阵安装钢丝绳</w:t>
            </w:r>
          </w:p>
        </w:tc>
        <w:tc>
          <w:tcPr>
            <w:tcW w:w="3515" w:type="dxa"/>
            <w:tcBorders>
              <w:top w:val="nil"/>
              <w:left w:val="nil"/>
              <w:bottom w:val="single" w:color="auto" w:sz="4" w:space="0"/>
              <w:right w:val="single" w:color="auto" w:sz="4" w:space="0"/>
            </w:tcBorders>
            <w:shd w:val="clear" w:color="auto" w:fill="auto"/>
            <w:vAlign w:val="center"/>
          </w:tcPr>
          <w:p w14:paraId="6308600D">
            <w:pPr>
              <w:widowControl/>
              <w:jc w:val="left"/>
              <w:rPr>
                <w:rFonts w:hint="eastAsia" w:ascii="宋体" w:hAnsi="宋体" w:cs="宋体"/>
                <w:kern w:val="0"/>
                <w:sz w:val="20"/>
                <w:szCs w:val="20"/>
              </w:rPr>
            </w:pPr>
            <w:r>
              <w:rPr>
                <w:rFonts w:hint="eastAsia" w:ascii="宋体" w:hAnsi="宋体" w:cs="宋体"/>
                <w:kern w:val="0"/>
                <w:sz w:val="20"/>
                <w:szCs w:val="20"/>
              </w:rPr>
              <w:t>钢丝绳，Φ10mm*1米（7*19）</w:t>
            </w:r>
            <w:r>
              <w:rPr>
                <w:rFonts w:hint="eastAsia" w:ascii="宋体" w:hAnsi="宋体" w:cs="宋体"/>
                <w:kern w:val="0"/>
                <w:sz w:val="20"/>
                <w:szCs w:val="20"/>
              </w:rPr>
              <w:br w:type="textWrapping"/>
            </w:r>
            <w:r>
              <w:rPr>
                <w:rFonts w:hint="eastAsia" w:ascii="宋体" w:hAnsi="宋体" w:cs="宋体"/>
                <w:kern w:val="0"/>
                <w:sz w:val="20"/>
                <w:szCs w:val="20"/>
              </w:rPr>
              <w:t>参考重量：100米/Kg=40</w:t>
            </w:r>
            <w:r>
              <w:rPr>
                <w:rFonts w:hint="eastAsia" w:ascii="宋体" w:hAnsi="宋体" w:cs="宋体"/>
                <w:kern w:val="0"/>
                <w:sz w:val="20"/>
                <w:szCs w:val="20"/>
              </w:rPr>
              <w:br w:type="textWrapping"/>
            </w:r>
            <w:r>
              <w:rPr>
                <w:rFonts w:hint="eastAsia" w:ascii="宋体" w:hAnsi="宋体" w:cs="宋体"/>
                <w:kern w:val="0"/>
                <w:sz w:val="20"/>
                <w:szCs w:val="20"/>
              </w:rPr>
              <w:t>最小破断拉力：52.12KN</w:t>
            </w:r>
            <w:r>
              <w:rPr>
                <w:rFonts w:hint="eastAsia" w:ascii="宋体" w:hAnsi="宋体" w:cs="宋体"/>
                <w:kern w:val="0"/>
                <w:sz w:val="20"/>
                <w:szCs w:val="20"/>
              </w:rPr>
              <w:br w:type="textWrapping"/>
            </w:r>
            <w:r>
              <w:rPr>
                <w:rFonts w:hint="eastAsia" w:ascii="宋体" w:hAnsi="宋体" w:cs="宋体"/>
                <w:kern w:val="0"/>
                <w:sz w:val="20"/>
                <w:szCs w:val="20"/>
              </w:rPr>
              <w:t>最大承重：5318Kg</w:t>
            </w:r>
          </w:p>
        </w:tc>
        <w:tc>
          <w:tcPr>
            <w:tcW w:w="981" w:type="dxa"/>
            <w:tcBorders>
              <w:top w:val="nil"/>
              <w:left w:val="nil"/>
              <w:bottom w:val="single" w:color="auto" w:sz="4" w:space="0"/>
              <w:right w:val="single" w:color="auto" w:sz="4" w:space="0"/>
            </w:tcBorders>
            <w:shd w:val="clear" w:color="auto" w:fill="auto"/>
            <w:vAlign w:val="center"/>
          </w:tcPr>
          <w:p w14:paraId="3A36FFCC">
            <w:pPr>
              <w:widowControl/>
              <w:jc w:val="center"/>
              <w:rPr>
                <w:rFonts w:hint="eastAsia" w:ascii="宋体" w:hAnsi="宋体" w:cs="宋体"/>
                <w:kern w:val="0"/>
                <w:sz w:val="20"/>
                <w:szCs w:val="20"/>
              </w:rPr>
            </w:pPr>
            <w:r>
              <w:rPr>
                <w:rFonts w:hint="eastAsia" w:ascii="宋体" w:hAnsi="宋体" w:cs="宋体"/>
                <w:kern w:val="0"/>
                <w:sz w:val="20"/>
                <w:szCs w:val="20"/>
              </w:rPr>
              <w:t>米</w:t>
            </w:r>
          </w:p>
        </w:tc>
        <w:tc>
          <w:tcPr>
            <w:tcW w:w="1177" w:type="dxa"/>
            <w:tcBorders>
              <w:top w:val="nil"/>
              <w:left w:val="nil"/>
              <w:bottom w:val="single" w:color="auto" w:sz="4" w:space="0"/>
              <w:right w:val="single" w:color="auto" w:sz="4" w:space="0"/>
            </w:tcBorders>
            <w:shd w:val="clear" w:color="auto" w:fill="auto"/>
            <w:vAlign w:val="center"/>
          </w:tcPr>
          <w:p w14:paraId="1BB3D6BB">
            <w:pPr>
              <w:widowControl/>
              <w:jc w:val="center"/>
              <w:rPr>
                <w:rFonts w:hint="eastAsia" w:ascii="宋体" w:hAnsi="宋体" w:cs="宋体"/>
                <w:kern w:val="0"/>
                <w:sz w:val="20"/>
                <w:szCs w:val="20"/>
              </w:rPr>
            </w:pPr>
            <w:r>
              <w:rPr>
                <w:rFonts w:hint="eastAsia" w:ascii="宋体" w:hAnsi="宋体" w:cs="宋体"/>
                <w:kern w:val="0"/>
                <w:sz w:val="20"/>
                <w:szCs w:val="20"/>
              </w:rPr>
              <w:t>50</w:t>
            </w:r>
          </w:p>
        </w:tc>
      </w:tr>
      <w:tr w14:paraId="34A45896">
        <w:tblPrEx>
          <w:tblCellMar>
            <w:top w:w="0" w:type="dxa"/>
            <w:left w:w="108" w:type="dxa"/>
            <w:bottom w:w="0" w:type="dxa"/>
            <w:right w:w="108" w:type="dxa"/>
          </w:tblCellMar>
        </w:tblPrEx>
        <w:trPr>
          <w:trHeight w:val="28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21B86BB3">
            <w:pPr>
              <w:widowControl/>
              <w:jc w:val="center"/>
              <w:rPr>
                <w:rFonts w:hint="eastAsia" w:ascii="宋体" w:hAnsi="宋体" w:cs="宋体"/>
                <w:kern w:val="0"/>
                <w:sz w:val="20"/>
                <w:szCs w:val="20"/>
              </w:rPr>
            </w:pPr>
            <w:r>
              <w:rPr>
                <w:rFonts w:hint="eastAsia" w:ascii="宋体" w:hAnsi="宋体" w:cs="宋体"/>
                <w:kern w:val="0"/>
                <w:sz w:val="20"/>
                <w:szCs w:val="20"/>
              </w:rPr>
              <w:t>94</w:t>
            </w:r>
          </w:p>
        </w:tc>
        <w:tc>
          <w:tcPr>
            <w:tcW w:w="1325" w:type="dxa"/>
            <w:tcBorders>
              <w:top w:val="nil"/>
              <w:left w:val="nil"/>
              <w:bottom w:val="single" w:color="auto" w:sz="4" w:space="0"/>
              <w:right w:val="single" w:color="auto" w:sz="4" w:space="0"/>
            </w:tcBorders>
            <w:shd w:val="clear" w:color="auto" w:fill="auto"/>
            <w:vAlign w:val="center"/>
          </w:tcPr>
          <w:p w14:paraId="615CDCD8">
            <w:pPr>
              <w:widowControl/>
              <w:jc w:val="left"/>
              <w:rPr>
                <w:rFonts w:hint="eastAsia" w:ascii="宋体" w:hAnsi="宋体" w:cs="宋体"/>
                <w:kern w:val="0"/>
                <w:sz w:val="20"/>
                <w:szCs w:val="20"/>
              </w:rPr>
            </w:pPr>
            <w:r>
              <w:rPr>
                <w:rFonts w:hint="eastAsia" w:ascii="宋体" w:hAnsi="宋体" w:cs="宋体"/>
                <w:kern w:val="0"/>
                <w:sz w:val="20"/>
                <w:szCs w:val="20"/>
              </w:rPr>
              <w:t>钢丝绳锁扣</w:t>
            </w:r>
          </w:p>
        </w:tc>
        <w:tc>
          <w:tcPr>
            <w:tcW w:w="3515" w:type="dxa"/>
            <w:tcBorders>
              <w:top w:val="nil"/>
              <w:left w:val="nil"/>
              <w:bottom w:val="single" w:color="auto" w:sz="4" w:space="0"/>
              <w:right w:val="single" w:color="auto" w:sz="4" w:space="0"/>
            </w:tcBorders>
            <w:shd w:val="clear" w:color="auto" w:fill="auto"/>
            <w:vAlign w:val="center"/>
          </w:tcPr>
          <w:p w14:paraId="0B8A6C81">
            <w:pPr>
              <w:widowControl/>
              <w:jc w:val="left"/>
              <w:rPr>
                <w:rFonts w:hint="eastAsia" w:ascii="宋体" w:hAnsi="宋体" w:cs="宋体"/>
                <w:kern w:val="0"/>
                <w:sz w:val="20"/>
                <w:szCs w:val="20"/>
              </w:rPr>
            </w:pPr>
            <w:r>
              <w:rPr>
                <w:rFonts w:hint="eastAsia" w:ascii="宋体" w:hAnsi="宋体" w:cs="宋体"/>
                <w:kern w:val="0"/>
                <w:sz w:val="20"/>
                <w:szCs w:val="20"/>
              </w:rPr>
              <w:t>304不锈钢741夹头、卡头</w:t>
            </w:r>
          </w:p>
        </w:tc>
        <w:tc>
          <w:tcPr>
            <w:tcW w:w="981" w:type="dxa"/>
            <w:tcBorders>
              <w:top w:val="nil"/>
              <w:left w:val="nil"/>
              <w:bottom w:val="single" w:color="auto" w:sz="4" w:space="0"/>
              <w:right w:val="single" w:color="auto" w:sz="4" w:space="0"/>
            </w:tcBorders>
            <w:shd w:val="clear" w:color="auto" w:fill="auto"/>
            <w:vAlign w:val="center"/>
          </w:tcPr>
          <w:p w14:paraId="5017E4DB">
            <w:pPr>
              <w:widowControl/>
              <w:jc w:val="center"/>
              <w:rPr>
                <w:rFonts w:hint="eastAsia" w:ascii="宋体" w:hAnsi="宋体" w:cs="宋体"/>
                <w:kern w:val="0"/>
                <w:sz w:val="20"/>
                <w:szCs w:val="20"/>
              </w:rPr>
            </w:pPr>
            <w:r>
              <w:rPr>
                <w:rFonts w:hint="eastAsia" w:ascii="宋体" w:hAnsi="宋体" w:cs="宋体"/>
                <w:kern w:val="0"/>
                <w:sz w:val="20"/>
                <w:szCs w:val="20"/>
              </w:rPr>
              <w:t>个</w:t>
            </w:r>
          </w:p>
        </w:tc>
        <w:tc>
          <w:tcPr>
            <w:tcW w:w="1177" w:type="dxa"/>
            <w:tcBorders>
              <w:top w:val="nil"/>
              <w:left w:val="nil"/>
              <w:bottom w:val="single" w:color="auto" w:sz="4" w:space="0"/>
              <w:right w:val="single" w:color="auto" w:sz="4" w:space="0"/>
            </w:tcBorders>
            <w:shd w:val="clear" w:color="auto" w:fill="auto"/>
            <w:vAlign w:val="center"/>
          </w:tcPr>
          <w:p w14:paraId="3D6EA0BE">
            <w:pPr>
              <w:widowControl/>
              <w:jc w:val="center"/>
              <w:rPr>
                <w:rFonts w:hint="eastAsia" w:ascii="宋体" w:hAnsi="宋体" w:cs="宋体"/>
                <w:kern w:val="0"/>
                <w:sz w:val="20"/>
                <w:szCs w:val="20"/>
              </w:rPr>
            </w:pPr>
            <w:r>
              <w:rPr>
                <w:rFonts w:hint="eastAsia" w:ascii="宋体" w:hAnsi="宋体" w:cs="宋体"/>
                <w:kern w:val="0"/>
                <w:sz w:val="20"/>
                <w:szCs w:val="20"/>
              </w:rPr>
              <w:t>70</w:t>
            </w:r>
          </w:p>
        </w:tc>
      </w:tr>
      <w:tr w14:paraId="0FE5AFAB">
        <w:tblPrEx>
          <w:tblCellMar>
            <w:top w:w="0" w:type="dxa"/>
            <w:left w:w="108" w:type="dxa"/>
            <w:bottom w:w="0" w:type="dxa"/>
            <w:right w:w="108" w:type="dxa"/>
          </w:tblCellMar>
        </w:tblPrEx>
        <w:trPr>
          <w:trHeight w:val="28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66591F09">
            <w:pPr>
              <w:widowControl/>
              <w:jc w:val="center"/>
              <w:rPr>
                <w:rFonts w:hint="eastAsia" w:ascii="宋体" w:hAnsi="宋体" w:cs="宋体"/>
                <w:kern w:val="0"/>
                <w:sz w:val="20"/>
                <w:szCs w:val="20"/>
              </w:rPr>
            </w:pPr>
            <w:r>
              <w:rPr>
                <w:rFonts w:hint="eastAsia" w:ascii="宋体" w:hAnsi="宋体" w:cs="宋体"/>
                <w:kern w:val="0"/>
                <w:sz w:val="20"/>
                <w:szCs w:val="20"/>
              </w:rPr>
              <w:t>95</w:t>
            </w:r>
          </w:p>
        </w:tc>
        <w:tc>
          <w:tcPr>
            <w:tcW w:w="1325" w:type="dxa"/>
            <w:tcBorders>
              <w:top w:val="nil"/>
              <w:left w:val="nil"/>
              <w:bottom w:val="single" w:color="auto" w:sz="4" w:space="0"/>
              <w:right w:val="single" w:color="auto" w:sz="4" w:space="0"/>
            </w:tcBorders>
            <w:shd w:val="clear" w:color="auto" w:fill="auto"/>
            <w:vAlign w:val="center"/>
          </w:tcPr>
          <w:p w14:paraId="77EADBD9">
            <w:pPr>
              <w:widowControl/>
              <w:jc w:val="left"/>
              <w:rPr>
                <w:rFonts w:hint="eastAsia" w:ascii="宋体" w:hAnsi="宋体" w:cs="宋体"/>
                <w:kern w:val="0"/>
                <w:sz w:val="20"/>
                <w:szCs w:val="20"/>
              </w:rPr>
            </w:pPr>
            <w:r>
              <w:rPr>
                <w:rFonts w:hint="eastAsia" w:ascii="宋体" w:hAnsi="宋体" w:cs="宋体"/>
                <w:kern w:val="0"/>
                <w:sz w:val="20"/>
                <w:szCs w:val="20"/>
              </w:rPr>
              <w:t>安装集成调试</w:t>
            </w:r>
          </w:p>
        </w:tc>
        <w:tc>
          <w:tcPr>
            <w:tcW w:w="3515" w:type="dxa"/>
            <w:tcBorders>
              <w:top w:val="nil"/>
              <w:left w:val="nil"/>
              <w:bottom w:val="single" w:color="auto" w:sz="4" w:space="0"/>
              <w:right w:val="single" w:color="auto" w:sz="4" w:space="0"/>
            </w:tcBorders>
            <w:shd w:val="clear" w:color="auto" w:fill="auto"/>
            <w:vAlign w:val="center"/>
          </w:tcPr>
          <w:p w14:paraId="7B65C6BE">
            <w:pPr>
              <w:widowControl/>
              <w:jc w:val="left"/>
              <w:rPr>
                <w:rFonts w:hint="eastAsia" w:ascii="宋体" w:hAnsi="宋体" w:cs="宋体"/>
                <w:kern w:val="0"/>
                <w:sz w:val="20"/>
                <w:szCs w:val="20"/>
              </w:rPr>
            </w:pPr>
            <w:r>
              <w:rPr>
                <w:rFonts w:hint="eastAsia" w:ascii="宋体" w:hAnsi="宋体" w:cs="宋体"/>
                <w:kern w:val="0"/>
                <w:sz w:val="20"/>
                <w:szCs w:val="20"/>
              </w:rPr>
              <w:t>定制</w:t>
            </w:r>
          </w:p>
        </w:tc>
        <w:tc>
          <w:tcPr>
            <w:tcW w:w="981" w:type="dxa"/>
            <w:tcBorders>
              <w:top w:val="nil"/>
              <w:left w:val="nil"/>
              <w:bottom w:val="single" w:color="auto" w:sz="4" w:space="0"/>
              <w:right w:val="single" w:color="auto" w:sz="4" w:space="0"/>
            </w:tcBorders>
            <w:shd w:val="clear" w:color="auto" w:fill="auto"/>
            <w:vAlign w:val="center"/>
          </w:tcPr>
          <w:p w14:paraId="66640212">
            <w:pPr>
              <w:widowControl/>
              <w:jc w:val="center"/>
              <w:rPr>
                <w:rFonts w:hint="eastAsia" w:ascii="宋体" w:hAnsi="宋体" w:cs="宋体"/>
                <w:kern w:val="0"/>
                <w:sz w:val="20"/>
                <w:szCs w:val="20"/>
              </w:rPr>
            </w:pPr>
            <w:r>
              <w:rPr>
                <w:rFonts w:hint="eastAsia" w:ascii="宋体" w:hAnsi="宋体" w:cs="宋体"/>
                <w:kern w:val="0"/>
                <w:sz w:val="20"/>
                <w:szCs w:val="20"/>
              </w:rPr>
              <w:t>项</w:t>
            </w:r>
          </w:p>
        </w:tc>
        <w:tc>
          <w:tcPr>
            <w:tcW w:w="1177" w:type="dxa"/>
            <w:tcBorders>
              <w:top w:val="nil"/>
              <w:left w:val="nil"/>
              <w:bottom w:val="single" w:color="auto" w:sz="4" w:space="0"/>
              <w:right w:val="single" w:color="auto" w:sz="4" w:space="0"/>
            </w:tcBorders>
            <w:shd w:val="clear" w:color="auto" w:fill="auto"/>
            <w:vAlign w:val="center"/>
          </w:tcPr>
          <w:p w14:paraId="069178D5">
            <w:pPr>
              <w:widowControl/>
              <w:jc w:val="center"/>
              <w:rPr>
                <w:rFonts w:hint="eastAsia" w:ascii="宋体" w:hAnsi="宋体" w:cs="宋体"/>
                <w:kern w:val="0"/>
                <w:sz w:val="20"/>
                <w:szCs w:val="20"/>
              </w:rPr>
            </w:pPr>
            <w:r>
              <w:rPr>
                <w:rFonts w:hint="eastAsia" w:ascii="宋体" w:hAnsi="宋体" w:cs="宋体"/>
                <w:kern w:val="0"/>
                <w:sz w:val="20"/>
                <w:szCs w:val="20"/>
              </w:rPr>
              <w:t>1</w:t>
            </w:r>
          </w:p>
        </w:tc>
      </w:tr>
    </w:tbl>
    <w:p w14:paraId="41002893">
      <w:r>
        <w:rPr>
          <w:rFonts w:hint="eastAsia"/>
        </w:rPr>
        <w:t>特别提醒：</w:t>
      </w:r>
    </w:p>
    <w:p w14:paraId="0A0594A9">
      <w:r>
        <w:rPr>
          <w:rFonts w:hint="eastAsia"/>
        </w:rPr>
        <w:t>1、投标人不得对系统配置删减。为保证系统的安全运行，清单中技术参数及设备性能只能提高，不可降低。甲方有权对中标人所投不符合性能产品进行更换。</w:t>
      </w:r>
    </w:p>
    <w:p w14:paraId="48D28FB3">
      <w:r>
        <w:rPr>
          <w:rFonts w:hint="eastAsia"/>
        </w:rPr>
        <w:t>2、本项目资金来源为省级专项债券，因政府资金拨付延迟，中标人不得以任何理由延迟供货。</w:t>
      </w:r>
    </w:p>
    <w:p w14:paraId="30653E26">
      <w:r>
        <w:rPr>
          <w:rFonts w:hint="eastAsia"/>
        </w:rPr>
        <w:t>3、本项目为系统集成项目，包含部分施工内容，中标人应遵守施工现场总承包、监理、甲方管理，任何违规行为都将接受相应的处罚。</w:t>
      </w:r>
    </w:p>
    <w:p w14:paraId="1C531F42">
      <w:pPr>
        <w:spacing w:line="360" w:lineRule="auto"/>
        <w:jc w:val="left"/>
        <w:rPr>
          <w:rFonts w:hint="eastAsia" w:ascii="宋体" w:hAnsi="宋体" w:cs="宋体"/>
          <w:b/>
          <w:bCs/>
          <w:sz w:val="22"/>
          <w:lang w:val="zh-CN"/>
        </w:rPr>
      </w:pPr>
      <w:r>
        <w:rPr>
          <w:rFonts w:hint="eastAsia" w:ascii="宋体" w:hAnsi="宋体" w:cs="宋体"/>
          <w:b/>
          <w:bCs/>
          <w:sz w:val="28"/>
          <w:szCs w:val="28"/>
        </w:rPr>
        <w:t>二、商务要求</w:t>
      </w:r>
    </w:p>
    <w:tbl>
      <w:tblPr>
        <w:tblStyle w:val="1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2"/>
        <w:gridCol w:w="1503"/>
        <w:gridCol w:w="6292"/>
      </w:tblGrid>
      <w:tr w14:paraId="4E6D41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 w:hRule="atLeast"/>
        </w:trPr>
        <w:tc>
          <w:tcPr>
            <w:tcW w:w="423" w:type="pct"/>
            <w:vAlign w:val="center"/>
          </w:tcPr>
          <w:p w14:paraId="55432546">
            <w:pPr>
              <w:spacing w:before="156" w:beforeLines="50" w:after="156" w:afterLines="50" w:line="360" w:lineRule="auto"/>
              <w:jc w:val="center"/>
              <w:rPr>
                <w:rFonts w:hint="eastAsia" w:asciiTheme="majorEastAsia" w:hAnsiTheme="majorEastAsia" w:eastAsiaTheme="majorEastAsia" w:cstheme="majorEastAsia"/>
                <w:b/>
                <w:szCs w:val="21"/>
              </w:rPr>
            </w:pPr>
            <w:r>
              <w:rPr>
                <w:rFonts w:hint="eastAsia" w:asciiTheme="majorEastAsia" w:hAnsiTheme="majorEastAsia" w:eastAsiaTheme="majorEastAsia" w:cstheme="majorEastAsia"/>
                <w:b/>
                <w:szCs w:val="21"/>
              </w:rPr>
              <w:t>序号</w:t>
            </w:r>
          </w:p>
        </w:tc>
        <w:tc>
          <w:tcPr>
            <w:tcW w:w="882" w:type="pct"/>
            <w:vAlign w:val="center"/>
          </w:tcPr>
          <w:p w14:paraId="16293336">
            <w:pPr>
              <w:spacing w:before="156" w:beforeLines="50" w:after="156" w:afterLines="50" w:line="360" w:lineRule="auto"/>
              <w:jc w:val="center"/>
              <w:rPr>
                <w:rFonts w:hint="eastAsia" w:asciiTheme="majorEastAsia" w:hAnsiTheme="majorEastAsia" w:eastAsiaTheme="majorEastAsia" w:cstheme="majorEastAsia"/>
                <w:b/>
                <w:szCs w:val="21"/>
              </w:rPr>
            </w:pPr>
            <w:r>
              <w:rPr>
                <w:rFonts w:hint="eastAsia" w:asciiTheme="majorEastAsia" w:hAnsiTheme="majorEastAsia" w:eastAsiaTheme="majorEastAsia" w:cstheme="majorEastAsia"/>
                <w:b/>
                <w:szCs w:val="21"/>
              </w:rPr>
              <w:t>商务条款</w:t>
            </w:r>
          </w:p>
        </w:tc>
        <w:tc>
          <w:tcPr>
            <w:tcW w:w="3693" w:type="pct"/>
            <w:vAlign w:val="center"/>
          </w:tcPr>
          <w:p w14:paraId="13C4CF6A">
            <w:pPr>
              <w:spacing w:before="156" w:beforeLines="50" w:after="156" w:afterLines="50" w:line="360" w:lineRule="auto"/>
              <w:jc w:val="center"/>
              <w:rPr>
                <w:rFonts w:hint="eastAsia" w:asciiTheme="majorEastAsia" w:hAnsiTheme="majorEastAsia" w:eastAsiaTheme="majorEastAsia" w:cstheme="majorEastAsia"/>
                <w:b/>
                <w:szCs w:val="21"/>
              </w:rPr>
            </w:pPr>
            <w:r>
              <w:rPr>
                <w:rFonts w:hint="eastAsia" w:asciiTheme="majorEastAsia" w:hAnsiTheme="majorEastAsia" w:eastAsiaTheme="majorEastAsia" w:cstheme="majorEastAsia"/>
                <w:b/>
                <w:szCs w:val="21"/>
              </w:rPr>
              <w:t>商务要求说明</w:t>
            </w:r>
          </w:p>
        </w:tc>
      </w:tr>
      <w:tr w14:paraId="21EE8B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423" w:type="pct"/>
            <w:noWrap/>
            <w:vAlign w:val="center"/>
          </w:tcPr>
          <w:p w14:paraId="53DDA3E4">
            <w:pPr>
              <w:spacing w:before="156" w:beforeLines="50" w:after="156" w:afterLines="50" w:line="360" w:lineRule="auto"/>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1</w:t>
            </w:r>
          </w:p>
        </w:tc>
        <w:tc>
          <w:tcPr>
            <w:tcW w:w="882" w:type="pct"/>
            <w:vAlign w:val="center"/>
          </w:tcPr>
          <w:p w14:paraId="4B3FDAE6">
            <w:pPr>
              <w:spacing w:before="156" w:beforeLines="50" w:after="156" w:afterLines="50" w:line="360" w:lineRule="auto"/>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交货地点</w:t>
            </w:r>
          </w:p>
        </w:tc>
        <w:tc>
          <w:tcPr>
            <w:tcW w:w="3693" w:type="pct"/>
            <w:vAlign w:val="center"/>
          </w:tcPr>
          <w:p w14:paraId="345BB2B9">
            <w:pPr>
              <w:spacing w:before="156" w:beforeLines="50" w:after="156" w:afterLines="50" w:line="360" w:lineRule="auto"/>
              <w:rPr>
                <w:rFonts w:hint="eastAsia" w:asciiTheme="majorEastAsia" w:hAnsiTheme="majorEastAsia" w:eastAsiaTheme="majorEastAsia" w:cstheme="majorEastAsia"/>
                <w:szCs w:val="21"/>
              </w:rPr>
            </w:pPr>
            <w:bookmarkStart w:id="27" w:name="RANGE!C2"/>
            <w:r>
              <w:rPr>
                <w:rFonts w:hint="eastAsia" w:asciiTheme="majorEastAsia" w:hAnsiTheme="majorEastAsia" w:eastAsiaTheme="majorEastAsia" w:cstheme="majorEastAsia"/>
                <w:szCs w:val="21"/>
              </w:rPr>
              <w:t>采购方指定地点</w:t>
            </w:r>
            <w:bookmarkEnd w:id="27"/>
            <w:r>
              <w:rPr>
                <w:rFonts w:hint="eastAsia" w:asciiTheme="majorEastAsia" w:hAnsiTheme="majorEastAsia" w:eastAsiaTheme="majorEastAsia" w:cstheme="majorEastAsia"/>
                <w:szCs w:val="21"/>
                <w:lang w:eastAsia="zh-CN"/>
              </w:rPr>
              <w:t>，</w:t>
            </w:r>
            <w:r>
              <w:rPr>
                <w:rFonts w:hint="eastAsia" w:asciiTheme="majorEastAsia" w:hAnsiTheme="majorEastAsia" w:eastAsiaTheme="majorEastAsia" w:cstheme="majorEastAsia"/>
                <w:szCs w:val="21"/>
              </w:rPr>
              <w:t>集安市医院新址</w:t>
            </w:r>
          </w:p>
        </w:tc>
      </w:tr>
      <w:tr w14:paraId="729DF5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8" w:hRule="atLeast"/>
        </w:trPr>
        <w:tc>
          <w:tcPr>
            <w:tcW w:w="423" w:type="pct"/>
            <w:noWrap/>
            <w:vAlign w:val="center"/>
          </w:tcPr>
          <w:p w14:paraId="1518B63D">
            <w:pPr>
              <w:spacing w:before="156" w:beforeLines="50" w:after="156" w:afterLines="50" w:line="360" w:lineRule="auto"/>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2</w:t>
            </w:r>
          </w:p>
        </w:tc>
        <w:tc>
          <w:tcPr>
            <w:tcW w:w="882" w:type="pct"/>
            <w:vAlign w:val="center"/>
          </w:tcPr>
          <w:p w14:paraId="227ABEDF">
            <w:pPr>
              <w:spacing w:before="156" w:beforeLines="50" w:after="156" w:afterLines="50" w:line="360" w:lineRule="auto"/>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投标报价</w:t>
            </w:r>
          </w:p>
        </w:tc>
        <w:tc>
          <w:tcPr>
            <w:tcW w:w="3693" w:type="pct"/>
            <w:vAlign w:val="center"/>
          </w:tcPr>
          <w:p w14:paraId="351195D3">
            <w:pPr>
              <w:spacing w:before="156" w:beforeLines="50" w:after="156" w:afterLines="50" w:line="360" w:lineRule="auto"/>
              <w:rPr>
                <w:rFonts w:hint="eastAsia" w:asciiTheme="majorEastAsia" w:hAnsiTheme="majorEastAsia" w:eastAsiaTheme="majorEastAsia" w:cstheme="majorEastAsia"/>
                <w:szCs w:val="21"/>
              </w:rPr>
            </w:pPr>
            <w:bookmarkStart w:id="28" w:name="RANGE!C5"/>
            <w:r>
              <w:rPr>
                <w:rFonts w:hint="eastAsia" w:asciiTheme="majorEastAsia" w:hAnsiTheme="majorEastAsia" w:eastAsiaTheme="majorEastAsia" w:cstheme="majorEastAsia"/>
                <w:bCs/>
                <w:kern w:val="0"/>
                <w:szCs w:val="21"/>
              </w:rPr>
              <w:t>投标报价必须包括</w:t>
            </w:r>
            <w:r>
              <w:rPr>
                <w:rFonts w:hint="eastAsia" w:asciiTheme="majorEastAsia" w:hAnsiTheme="majorEastAsia" w:eastAsiaTheme="majorEastAsia" w:cstheme="majorEastAsia"/>
                <w:szCs w:val="21"/>
              </w:rPr>
              <w:t>有关本项目实施所需的方案设计费、设备购置费、运输费、安装调试费、工程配合费、培训费、售后服务及维护费、税金等所涉及的一切费用均计入报价。</w:t>
            </w:r>
            <w:bookmarkEnd w:id="28"/>
          </w:p>
        </w:tc>
      </w:tr>
      <w:tr w14:paraId="4C5E0E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atLeast"/>
        </w:trPr>
        <w:tc>
          <w:tcPr>
            <w:tcW w:w="423" w:type="pct"/>
            <w:noWrap/>
            <w:vAlign w:val="center"/>
          </w:tcPr>
          <w:p w14:paraId="48FBF349">
            <w:pPr>
              <w:spacing w:before="156" w:beforeLines="50" w:after="156" w:afterLines="50" w:line="360" w:lineRule="auto"/>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3</w:t>
            </w:r>
          </w:p>
        </w:tc>
        <w:tc>
          <w:tcPr>
            <w:tcW w:w="882" w:type="pct"/>
            <w:vAlign w:val="center"/>
          </w:tcPr>
          <w:p w14:paraId="12EAB4FF">
            <w:pPr>
              <w:spacing w:before="156" w:beforeLines="50" w:after="156" w:afterLines="50" w:line="360" w:lineRule="auto"/>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货物要求</w:t>
            </w:r>
          </w:p>
        </w:tc>
        <w:tc>
          <w:tcPr>
            <w:tcW w:w="3693" w:type="pct"/>
            <w:vAlign w:val="center"/>
          </w:tcPr>
          <w:p w14:paraId="66DA9A88">
            <w:pPr>
              <w:spacing w:before="156" w:beforeLines="50" w:after="156" w:afterLines="50" w:line="360" w:lineRule="auto"/>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投标产品须是按厂家出厂标准配置提供的整套全新，具备正规合法经销渠道，符合国际相关标准和我国相关检测标准要求的全新合格产品。相关产品、部件、服务及安装须满足本项目采购需求。若产品在运输及安装过程中损坏须无偿调换同样产品。</w:t>
            </w:r>
          </w:p>
        </w:tc>
      </w:tr>
      <w:tr w14:paraId="4C8310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atLeast"/>
        </w:trPr>
        <w:tc>
          <w:tcPr>
            <w:tcW w:w="423" w:type="pct"/>
            <w:noWrap/>
            <w:vAlign w:val="center"/>
          </w:tcPr>
          <w:p w14:paraId="303A88A8">
            <w:pPr>
              <w:spacing w:before="156" w:beforeLines="50" w:after="156" w:afterLines="50" w:line="360" w:lineRule="auto"/>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4</w:t>
            </w:r>
          </w:p>
        </w:tc>
        <w:tc>
          <w:tcPr>
            <w:tcW w:w="882" w:type="pct"/>
            <w:vAlign w:val="center"/>
          </w:tcPr>
          <w:p w14:paraId="6DD1088F">
            <w:pPr>
              <w:spacing w:before="156" w:beforeLines="50" w:after="156" w:afterLines="50" w:line="360" w:lineRule="auto"/>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验收要求</w:t>
            </w:r>
          </w:p>
        </w:tc>
        <w:tc>
          <w:tcPr>
            <w:tcW w:w="3693" w:type="pct"/>
            <w:vAlign w:val="center"/>
          </w:tcPr>
          <w:p w14:paraId="131A1A1A">
            <w:pPr>
              <w:pStyle w:val="13"/>
              <w:spacing w:line="276" w:lineRule="auto"/>
              <w:rPr>
                <w:rFonts w:hint="eastAsia" w:asciiTheme="majorEastAsia" w:hAnsiTheme="majorEastAsia" w:eastAsiaTheme="majorEastAsia" w:cstheme="majorEastAsia"/>
                <w:bCs/>
                <w:kern w:val="2"/>
                <w:sz w:val="21"/>
                <w:szCs w:val="21"/>
              </w:rPr>
            </w:pPr>
            <w:r>
              <w:rPr>
                <w:rFonts w:hint="eastAsia" w:asciiTheme="majorEastAsia" w:hAnsiTheme="majorEastAsia" w:eastAsiaTheme="majorEastAsia" w:cstheme="majorEastAsia"/>
                <w:bCs/>
                <w:kern w:val="2"/>
                <w:sz w:val="21"/>
                <w:szCs w:val="21"/>
              </w:rPr>
              <w:t>根据本项目合同约定条款，满足或优于采购软件技术参数要求，实现其相应功能，否则验收不合格。</w:t>
            </w:r>
          </w:p>
          <w:p w14:paraId="7FE8B4AF">
            <w:pPr>
              <w:pStyle w:val="13"/>
              <w:spacing w:line="276" w:lineRule="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bCs/>
                <w:kern w:val="2"/>
                <w:sz w:val="21"/>
                <w:szCs w:val="21"/>
              </w:rPr>
              <w:t>参与验收人员：本项目招标人有权邀请参与本项目的未中标投标人参与验收，并有权要求参与的投标人提出验收意见。</w:t>
            </w:r>
          </w:p>
        </w:tc>
      </w:tr>
      <w:tr w14:paraId="550E48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98" w:hRule="atLeast"/>
        </w:trPr>
        <w:tc>
          <w:tcPr>
            <w:tcW w:w="423" w:type="pct"/>
            <w:noWrap/>
            <w:vAlign w:val="center"/>
          </w:tcPr>
          <w:p w14:paraId="4E8C677F">
            <w:pPr>
              <w:spacing w:before="156" w:beforeLines="50" w:after="156" w:afterLines="50" w:line="360" w:lineRule="auto"/>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5</w:t>
            </w:r>
          </w:p>
        </w:tc>
        <w:tc>
          <w:tcPr>
            <w:tcW w:w="882" w:type="pct"/>
            <w:vAlign w:val="center"/>
          </w:tcPr>
          <w:p w14:paraId="3C484547">
            <w:pPr>
              <w:spacing w:before="156" w:beforeLines="50" w:after="156" w:afterLines="50" w:line="360" w:lineRule="auto"/>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bCs/>
                <w:szCs w:val="21"/>
              </w:rPr>
              <w:t>付款方式</w:t>
            </w:r>
          </w:p>
        </w:tc>
        <w:tc>
          <w:tcPr>
            <w:tcW w:w="3693" w:type="pct"/>
            <w:vAlign w:val="center"/>
          </w:tcPr>
          <w:p w14:paraId="171CC802">
            <w:pPr>
              <w:pStyle w:val="13"/>
              <w:spacing w:line="276" w:lineRule="auto"/>
              <w:rPr>
                <w:rFonts w:hint="eastAsia" w:asciiTheme="majorEastAsia" w:hAnsiTheme="majorEastAsia" w:eastAsiaTheme="majorEastAsia" w:cstheme="majorEastAsia"/>
                <w:bCs/>
                <w:kern w:val="2"/>
                <w:sz w:val="21"/>
                <w:szCs w:val="21"/>
              </w:rPr>
            </w:pPr>
            <w:r>
              <w:rPr>
                <w:rFonts w:hint="eastAsia" w:asciiTheme="majorEastAsia" w:hAnsiTheme="majorEastAsia" w:eastAsiaTheme="majorEastAsia" w:cstheme="majorEastAsia"/>
                <w:bCs/>
                <w:kern w:val="2"/>
                <w:sz w:val="21"/>
                <w:szCs w:val="21"/>
              </w:rPr>
              <w:t>1、合同签订后5个工作日内甲方支付第一笔合同款，为中标金额的30%，中标人同时提供中标金额10%的履约保函。</w:t>
            </w:r>
          </w:p>
          <w:p w14:paraId="08A66611">
            <w:pPr>
              <w:pStyle w:val="13"/>
              <w:spacing w:line="276" w:lineRule="auto"/>
              <w:rPr>
                <w:rFonts w:hint="eastAsia" w:asciiTheme="majorEastAsia" w:hAnsiTheme="majorEastAsia" w:eastAsiaTheme="majorEastAsia" w:cstheme="majorEastAsia"/>
                <w:bCs/>
                <w:kern w:val="2"/>
                <w:sz w:val="21"/>
                <w:szCs w:val="21"/>
              </w:rPr>
            </w:pPr>
            <w:r>
              <w:rPr>
                <w:rFonts w:hint="eastAsia" w:asciiTheme="majorEastAsia" w:hAnsiTheme="majorEastAsia" w:eastAsiaTheme="majorEastAsia" w:cstheme="majorEastAsia"/>
                <w:bCs/>
                <w:kern w:val="2"/>
                <w:sz w:val="21"/>
                <w:szCs w:val="21"/>
              </w:rPr>
              <w:t>2、</w:t>
            </w:r>
            <w:r>
              <w:rPr>
                <w:rFonts w:hint="eastAsia" w:ascii="宋体" w:hAnsi="宋体" w:cs="宋体"/>
                <w:sz w:val="22"/>
                <w:szCs w:val="22"/>
                <w:lang w:bidi="ar"/>
              </w:rPr>
              <w:t>乙方提供全部货物进场后5 个工作日内甲方支付第二笔合同款，为中标额的 30%。</w:t>
            </w:r>
          </w:p>
          <w:p w14:paraId="74B176DD">
            <w:pPr>
              <w:pStyle w:val="13"/>
              <w:spacing w:line="276" w:lineRule="auto"/>
              <w:rPr>
                <w:rFonts w:hint="eastAsia" w:asciiTheme="majorEastAsia" w:hAnsiTheme="majorEastAsia" w:eastAsiaTheme="majorEastAsia" w:cstheme="majorEastAsia"/>
                <w:sz w:val="21"/>
                <w:szCs w:val="21"/>
                <w:lang w:eastAsia="zh-CN"/>
              </w:rPr>
            </w:pPr>
            <w:r>
              <w:rPr>
                <w:rFonts w:hint="eastAsia" w:asciiTheme="majorEastAsia" w:hAnsiTheme="majorEastAsia" w:eastAsiaTheme="majorEastAsia" w:cstheme="majorEastAsia"/>
                <w:bCs/>
                <w:kern w:val="2"/>
                <w:sz w:val="21"/>
                <w:szCs w:val="21"/>
              </w:rPr>
              <w:t>3、本合同内所有内容均安装调试完毕并且产品满足甲方需求，稳定运行后甲方再支付第三笔合同款，为中标金额的40%。</w:t>
            </w:r>
          </w:p>
        </w:tc>
      </w:tr>
      <w:tr w14:paraId="5F2D41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atLeast"/>
        </w:trPr>
        <w:tc>
          <w:tcPr>
            <w:tcW w:w="423" w:type="pct"/>
            <w:noWrap/>
            <w:vAlign w:val="center"/>
          </w:tcPr>
          <w:p w14:paraId="14717DC3">
            <w:pPr>
              <w:spacing w:before="156" w:beforeLines="50" w:after="156" w:afterLines="50" w:line="360" w:lineRule="auto"/>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6</w:t>
            </w:r>
          </w:p>
        </w:tc>
        <w:tc>
          <w:tcPr>
            <w:tcW w:w="882" w:type="pct"/>
            <w:vAlign w:val="center"/>
          </w:tcPr>
          <w:p w14:paraId="7D983146">
            <w:pPr>
              <w:spacing w:before="156" w:beforeLines="50" w:after="156" w:afterLines="50" w:line="360" w:lineRule="auto"/>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bCs/>
                <w:szCs w:val="21"/>
              </w:rPr>
              <w:t>售后技术服务要求</w:t>
            </w:r>
          </w:p>
        </w:tc>
        <w:tc>
          <w:tcPr>
            <w:tcW w:w="3693" w:type="pct"/>
            <w:vAlign w:val="center"/>
          </w:tcPr>
          <w:p w14:paraId="7F84A0CA">
            <w:pPr>
              <w:pStyle w:val="13"/>
              <w:spacing w:line="276" w:lineRule="auto"/>
              <w:rPr>
                <w:rFonts w:hint="eastAsia" w:asciiTheme="majorEastAsia" w:hAnsiTheme="majorEastAsia" w:eastAsiaTheme="majorEastAsia" w:cstheme="majorEastAsia"/>
                <w:b/>
                <w:kern w:val="2"/>
                <w:sz w:val="21"/>
                <w:szCs w:val="21"/>
              </w:rPr>
            </w:pPr>
            <w:r>
              <w:rPr>
                <w:rFonts w:hint="eastAsia" w:asciiTheme="majorEastAsia" w:hAnsiTheme="majorEastAsia" w:eastAsiaTheme="majorEastAsia" w:cstheme="majorEastAsia"/>
                <w:b/>
                <w:kern w:val="2"/>
                <w:sz w:val="21"/>
                <w:szCs w:val="21"/>
              </w:rPr>
              <w:t>6.1质保期：</w:t>
            </w:r>
          </w:p>
          <w:p w14:paraId="5D659ED9">
            <w:pPr>
              <w:pStyle w:val="13"/>
              <w:spacing w:line="276" w:lineRule="auto"/>
              <w:rPr>
                <w:rFonts w:hint="eastAsia" w:asciiTheme="majorEastAsia" w:hAnsiTheme="majorEastAsia" w:eastAsiaTheme="majorEastAsia" w:cstheme="majorEastAsia"/>
                <w:bCs/>
                <w:kern w:val="2"/>
                <w:sz w:val="21"/>
                <w:szCs w:val="21"/>
              </w:rPr>
            </w:pPr>
            <w:r>
              <w:rPr>
                <w:rFonts w:hint="eastAsia" w:asciiTheme="majorEastAsia" w:hAnsiTheme="majorEastAsia" w:eastAsiaTheme="majorEastAsia" w:cstheme="majorEastAsia"/>
                <w:bCs/>
                <w:kern w:val="2"/>
                <w:sz w:val="21"/>
                <w:szCs w:val="21"/>
              </w:rPr>
              <w:t>1、免费售后服务3年。</w:t>
            </w:r>
          </w:p>
          <w:p w14:paraId="161E39E8">
            <w:pPr>
              <w:pStyle w:val="13"/>
              <w:spacing w:line="276" w:lineRule="auto"/>
              <w:rPr>
                <w:rFonts w:hint="eastAsia" w:asciiTheme="majorEastAsia" w:hAnsiTheme="majorEastAsia" w:eastAsiaTheme="majorEastAsia" w:cstheme="majorEastAsia"/>
                <w:bCs/>
                <w:kern w:val="2"/>
                <w:sz w:val="21"/>
                <w:szCs w:val="21"/>
              </w:rPr>
            </w:pPr>
            <w:r>
              <w:rPr>
                <w:rFonts w:hint="eastAsia" w:asciiTheme="majorEastAsia" w:hAnsiTheme="majorEastAsia" w:eastAsiaTheme="majorEastAsia" w:cstheme="majorEastAsia"/>
                <w:bCs/>
                <w:kern w:val="2"/>
                <w:sz w:val="21"/>
                <w:szCs w:val="21"/>
              </w:rPr>
              <w:t>2、质保免费维护期满后为有偿维护，每年维护费用维护期限双方协商确定，产品免费维护期后投标人对采购人进行终身维护。</w:t>
            </w:r>
          </w:p>
          <w:p w14:paraId="18FC45DB">
            <w:pPr>
              <w:pStyle w:val="13"/>
              <w:spacing w:line="276" w:lineRule="auto"/>
              <w:rPr>
                <w:rFonts w:hint="eastAsia" w:asciiTheme="majorEastAsia" w:hAnsiTheme="majorEastAsia" w:eastAsiaTheme="majorEastAsia" w:cstheme="majorEastAsia"/>
                <w:b/>
                <w:kern w:val="2"/>
                <w:sz w:val="21"/>
                <w:szCs w:val="21"/>
              </w:rPr>
            </w:pPr>
            <w:r>
              <w:rPr>
                <w:rFonts w:hint="eastAsia" w:asciiTheme="majorEastAsia" w:hAnsiTheme="majorEastAsia" w:eastAsiaTheme="majorEastAsia" w:cstheme="majorEastAsia"/>
                <w:b/>
                <w:kern w:val="2"/>
                <w:sz w:val="21"/>
                <w:szCs w:val="21"/>
              </w:rPr>
              <w:t>6.2故障响应：</w:t>
            </w:r>
          </w:p>
          <w:p w14:paraId="47A1F6AD">
            <w:pPr>
              <w:pStyle w:val="13"/>
              <w:spacing w:line="276" w:lineRule="auto"/>
              <w:rPr>
                <w:rFonts w:hint="eastAsia" w:asciiTheme="majorEastAsia" w:hAnsiTheme="majorEastAsia" w:eastAsiaTheme="majorEastAsia" w:cstheme="majorEastAsia"/>
                <w:bCs/>
                <w:kern w:val="2"/>
                <w:sz w:val="21"/>
                <w:szCs w:val="21"/>
              </w:rPr>
            </w:pPr>
            <w:r>
              <w:rPr>
                <w:rFonts w:hint="eastAsia" w:asciiTheme="majorEastAsia" w:hAnsiTheme="majorEastAsia" w:eastAsiaTheme="majorEastAsia" w:cstheme="majorEastAsia"/>
                <w:bCs/>
                <w:kern w:val="2"/>
                <w:sz w:val="21"/>
                <w:szCs w:val="21"/>
              </w:rPr>
              <w:t>1、在接到用户的服务要求通知后，10分钟内给予用户明确答复，售后服务人员将在2小时内进行在线和远程技术支持。</w:t>
            </w:r>
          </w:p>
          <w:p w14:paraId="39747A8A">
            <w:pPr>
              <w:pStyle w:val="13"/>
              <w:spacing w:line="276" w:lineRule="auto"/>
              <w:rPr>
                <w:rFonts w:hint="eastAsia" w:asciiTheme="majorEastAsia" w:hAnsiTheme="majorEastAsia" w:eastAsiaTheme="majorEastAsia" w:cstheme="majorEastAsia"/>
                <w:bCs/>
                <w:kern w:val="2"/>
                <w:sz w:val="21"/>
                <w:szCs w:val="21"/>
              </w:rPr>
            </w:pPr>
            <w:r>
              <w:rPr>
                <w:rFonts w:hint="eastAsia" w:asciiTheme="majorEastAsia" w:hAnsiTheme="majorEastAsia" w:eastAsiaTheme="majorEastAsia" w:cstheme="majorEastAsia"/>
                <w:bCs/>
                <w:kern w:val="2"/>
                <w:sz w:val="21"/>
                <w:szCs w:val="21"/>
              </w:rPr>
              <w:t>2、一般问题2小时内解决；较大问题在4小时以内解决；重大问题4小时内提出解决方案，并在24小时内解决。</w:t>
            </w:r>
          </w:p>
          <w:p w14:paraId="76B2D224">
            <w:pPr>
              <w:pStyle w:val="13"/>
              <w:spacing w:line="276" w:lineRule="auto"/>
              <w:rPr>
                <w:rFonts w:hint="eastAsia" w:asciiTheme="majorEastAsia" w:hAnsiTheme="majorEastAsia" w:eastAsiaTheme="majorEastAsia" w:cstheme="majorEastAsia"/>
                <w:bCs/>
                <w:kern w:val="2"/>
                <w:sz w:val="21"/>
                <w:szCs w:val="21"/>
              </w:rPr>
            </w:pPr>
            <w:r>
              <w:rPr>
                <w:rFonts w:hint="eastAsia" w:asciiTheme="majorEastAsia" w:hAnsiTheme="majorEastAsia" w:eastAsiaTheme="majorEastAsia" w:cstheme="majorEastAsia"/>
                <w:bCs/>
                <w:kern w:val="2"/>
                <w:sz w:val="21"/>
                <w:szCs w:val="21"/>
              </w:rPr>
              <w:t>3、如需现场服务的，需具有解决故障能力的工程师在接到报修通知次日到达现场。</w:t>
            </w:r>
          </w:p>
          <w:p w14:paraId="2E601EFA">
            <w:pPr>
              <w:pStyle w:val="13"/>
              <w:spacing w:line="276" w:lineRule="auto"/>
              <w:rPr>
                <w:rFonts w:hint="eastAsia" w:asciiTheme="majorEastAsia" w:hAnsiTheme="majorEastAsia" w:eastAsiaTheme="majorEastAsia" w:cstheme="majorEastAsia"/>
                <w:b/>
                <w:kern w:val="2"/>
                <w:sz w:val="21"/>
                <w:szCs w:val="21"/>
              </w:rPr>
            </w:pPr>
            <w:r>
              <w:rPr>
                <w:rFonts w:hint="eastAsia" w:asciiTheme="majorEastAsia" w:hAnsiTheme="majorEastAsia" w:eastAsiaTheme="majorEastAsia" w:cstheme="majorEastAsia"/>
                <w:b/>
                <w:kern w:val="2"/>
                <w:sz w:val="21"/>
                <w:szCs w:val="21"/>
              </w:rPr>
              <w:t>6.3售后支持：</w:t>
            </w:r>
          </w:p>
          <w:p w14:paraId="29F080A4">
            <w:pPr>
              <w:pStyle w:val="13"/>
              <w:spacing w:line="276" w:lineRule="auto"/>
              <w:rPr>
                <w:rFonts w:hint="eastAsia" w:asciiTheme="majorEastAsia" w:hAnsiTheme="majorEastAsia" w:eastAsiaTheme="majorEastAsia" w:cstheme="majorEastAsia"/>
                <w:bCs/>
                <w:kern w:val="2"/>
                <w:sz w:val="21"/>
                <w:szCs w:val="21"/>
              </w:rPr>
            </w:pPr>
            <w:r>
              <w:rPr>
                <w:rFonts w:hint="eastAsia" w:asciiTheme="majorEastAsia" w:hAnsiTheme="majorEastAsia" w:eastAsiaTheme="majorEastAsia" w:cstheme="majorEastAsia"/>
                <w:bCs/>
                <w:kern w:val="2"/>
                <w:sz w:val="21"/>
                <w:szCs w:val="21"/>
              </w:rPr>
              <w:t>免费提供每周7天，每天7小时不间断的电话支持服务，解答采购人在系统使用、维护过程中遇到的问题，并及时提出解决问题的建议和操作方法；定期回访、维护。</w:t>
            </w:r>
          </w:p>
          <w:p w14:paraId="224DD53B">
            <w:pPr>
              <w:pStyle w:val="13"/>
              <w:spacing w:line="276" w:lineRule="auto"/>
              <w:rPr>
                <w:rFonts w:hint="eastAsia" w:asciiTheme="majorEastAsia" w:hAnsiTheme="majorEastAsia" w:eastAsiaTheme="majorEastAsia" w:cstheme="majorEastAsia"/>
                <w:b/>
                <w:kern w:val="2"/>
                <w:sz w:val="21"/>
                <w:szCs w:val="21"/>
              </w:rPr>
            </w:pPr>
            <w:r>
              <w:rPr>
                <w:rFonts w:hint="eastAsia" w:asciiTheme="majorEastAsia" w:hAnsiTheme="majorEastAsia" w:eastAsiaTheme="majorEastAsia" w:cstheme="majorEastAsia"/>
                <w:b/>
                <w:kern w:val="2"/>
                <w:sz w:val="21"/>
                <w:szCs w:val="21"/>
              </w:rPr>
              <w:t>6.4技术培训：</w:t>
            </w:r>
          </w:p>
          <w:p w14:paraId="6F2632B7">
            <w:pPr>
              <w:pStyle w:val="13"/>
              <w:spacing w:line="276" w:lineRule="auto"/>
              <w:rPr>
                <w:rFonts w:hint="eastAsia" w:asciiTheme="majorEastAsia" w:hAnsiTheme="majorEastAsia" w:eastAsiaTheme="majorEastAsia" w:cstheme="majorEastAsia"/>
                <w:bCs/>
                <w:kern w:val="2"/>
                <w:sz w:val="21"/>
                <w:szCs w:val="21"/>
              </w:rPr>
            </w:pPr>
            <w:r>
              <w:rPr>
                <w:rFonts w:hint="eastAsia" w:asciiTheme="majorEastAsia" w:hAnsiTheme="majorEastAsia" w:eastAsiaTheme="majorEastAsia" w:cstheme="majorEastAsia"/>
                <w:bCs/>
                <w:kern w:val="2"/>
                <w:sz w:val="21"/>
                <w:szCs w:val="21"/>
              </w:rPr>
              <w:t>1、培训地点场所由采购人提供。</w:t>
            </w:r>
          </w:p>
          <w:p w14:paraId="567CDE1F">
            <w:pPr>
              <w:pStyle w:val="13"/>
              <w:spacing w:line="276" w:lineRule="auto"/>
              <w:rPr>
                <w:rFonts w:hint="eastAsia" w:asciiTheme="majorEastAsia" w:hAnsiTheme="majorEastAsia" w:eastAsiaTheme="majorEastAsia" w:cstheme="majorEastAsia"/>
                <w:bCs/>
                <w:kern w:val="2"/>
                <w:sz w:val="21"/>
                <w:szCs w:val="21"/>
              </w:rPr>
            </w:pPr>
            <w:r>
              <w:rPr>
                <w:rFonts w:hint="eastAsia" w:asciiTheme="majorEastAsia" w:hAnsiTheme="majorEastAsia" w:eastAsiaTheme="majorEastAsia" w:cstheme="majorEastAsia"/>
                <w:bCs/>
                <w:kern w:val="2"/>
                <w:sz w:val="21"/>
                <w:szCs w:val="21"/>
              </w:rPr>
              <w:t>2、免费提供人员的培训，结合采购人实际情况，拟定详细的系统实施计划，含客户化修改、测试、试运行、培训及上线计划。承诺保证在合同规定时间内上线及上线系统的基本平稳。</w:t>
            </w:r>
          </w:p>
          <w:p w14:paraId="07E4B94B">
            <w:pPr>
              <w:pStyle w:val="13"/>
              <w:spacing w:line="276" w:lineRule="auto"/>
              <w:rPr>
                <w:rFonts w:hint="eastAsia" w:asciiTheme="majorEastAsia" w:hAnsiTheme="majorEastAsia" w:eastAsiaTheme="majorEastAsia" w:cstheme="majorEastAsia"/>
                <w:bCs/>
                <w:kern w:val="2"/>
                <w:sz w:val="21"/>
                <w:szCs w:val="21"/>
              </w:rPr>
            </w:pPr>
            <w:r>
              <w:rPr>
                <w:rFonts w:hint="eastAsia" w:asciiTheme="majorEastAsia" w:hAnsiTheme="majorEastAsia" w:eastAsiaTheme="majorEastAsia" w:cstheme="majorEastAsia"/>
                <w:bCs/>
                <w:kern w:val="2"/>
                <w:sz w:val="21"/>
                <w:szCs w:val="21"/>
              </w:rPr>
              <w:t>2）培训：培训对象包括系统管理员、管理人员、操作员，系统管理人员培训内容为系统中涉及的相关技术内容；管理人员培训内容为系统流程和相关管理思想；操作员为系统的操作培训。</w:t>
            </w:r>
          </w:p>
          <w:p w14:paraId="19A86922">
            <w:pPr>
              <w:pStyle w:val="13"/>
              <w:spacing w:line="276" w:lineRule="auto"/>
              <w:rPr>
                <w:rFonts w:hint="eastAsia" w:asciiTheme="majorEastAsia" w:hAnsiTheme="majorEastAsia" w:eastAsiaTheme="majorEastAsia" w:cstheme="majorEastAsia"/>
                <w:b/>
                <w:kern w:val="2"/>
                <w:sz w:val="21"/>
                <w:szCs w:val="21"/>
              </w:rPr>
            </w:pPr>
            <w:r>
              <w:rPr>
                <w:rFonts w:hint="eastAsia" w:asciiTheme="majorEastAsia" w:hAnsiTheme="majorEastAsia" w:eastAsiaTheme="majorEastAsia" w:cstheme="majorEastAsia"/>
                <w:b/>
                <w:kern w:val="2"/>
                <w:sz w:val="21"/>
                <w:szCs w:val="21"/>
              </w:rPr>
              <w:t>6.5售后服务能力：</w:t>
            </w:r>
          </w:p>
          <w:p w14:paraId="7F59C512">
            <w:pPr>
              <w:pStyle w:val="13"/>
              <w:spacing w:line="276" w:lineRule="auto"/>
              <w:rPr>
                <w:rFonts w:hint="eastAsia" w:asciiTheme="majorEastAsia" w:hAnsiTheme="majorEastAsia" w:eastAsiaTheme="majorEastAsia" w:cstheme="majorEastAsia"/>
                <w:bCs/>
                <w:kern w:val="2"/>
                <w:sz w:val="21"/>
                <w:szCs w:val="21"/>
              </w:rPr>
            </w:pPr>
            <w:r>
              <w:rPr>
                <w:rFonts w:hint="eastAsia" w:asciiTheme="majorEastAsia" w:hAnsiTheme="majorEastAsia" w:eastAsiaTheme="majorEastAsia" w:cstheme="majorEastAsia"/>
                <w:bCs/>
                <w:kern w:val="2"/>
                <w:sz w:val="21"/>
                <w:szCs w:val="21"/>
              </w:rPr>
              <w:t>投标人提供现场安装服务、维护服务等，以保证对用户服务需求的快速响应。在系统稳定运行前，必须提供驻场服务。</w:t>
            </w:r>
          </w:p>
        </w:tc>
      </w:tr>
      <w:tr w14:paraId="24F566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atLeast"/>
        </w:trPr>
        <w:tc>
          <w:tcPr>
            <w:tcW w:w="423" w:type="pct"/>
            <w:noWrap/>
            <w:vAlign w:val="center"/>
          </w:tcPr>
          <w:p w14:paraId="3DA82E62">
            <w:pPr>
              <w:spacing w:before="156" w:beforeLines="50" w:after="156" w:afterLines="50" w:line="360" w:lineRule="auto"/>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7</w:t>
            </w:r>
          </w:p>
        </w:tc>
        <w:tc>
          <w:tcPr>
            <w:tcW w:w="882" w:type="pct"/>
            <w:vAlign w:val="center"/>
          </w:tcPr>
          <w:p w14:paraId="66E5E6D6">
            <w:pPr>
              <w:spacing w:before="156" w:beforeLines="50" w:after="156" w:afterLines="50" w:line="360" w:lineRule="auto"/>
              <w:jc w:val="center"/>
              <w:rPr>
                <w:rFonts w:hint="eastAsia" w:asciiTheme="majorEastAsia" w:hAnsiTheme="majorEastAsia" w:eastAsiaTheme="majorEastAsia" w:cstheme="majorEastAsia"/>
                <w:bCs/>
                <w:szCs w:val="21"/>
              </w:rPr>
            </w:pPr>
            <w:r>
              <w:rPr>
                <w:rFonts w:hint="eastAsia" w:asciiTheme="majorEastAsia" w:hAnsiTheme="majorEastAsia" w:eastAsiaTheme="majorEastAsia" w:cstheme="majorEastAsia"/>
                <w:bCs/>
                <w:szCs w:val="21"/>
              </w:rPr>
              <w:t>部署、安装调试要求</w:t>
            </w:r>
          </w:p>
        </w:tc>
        <w:tc>
          <w:tcPr>
            <w:tcW w:w="3693" w:type="pct"/>
            <w:vAlign w:val="center"/>
          </w:tcPr>
          <w:p w14:paraId="05BA0053">
            <w:pPr>
              <w:pStyle w:val="13"/>
              <w:spacing w:line="276" w:lineRule="auto"/>
              <w:rPr>
                <w:rFonts w:hint="eastAsia" w:asciiTheme="majorEastAsia" w:hAnsiTheme="majorEastAsia" w:eastAsiaTheme="majorEastAsia" w:cstheme="majorEastAsia"/>
                <w:bCs/>
                <w:kern w:val="2"/>
                <w:sz w:val="21"/>
                <w:szCs w:val="21"/>
              </w:rPr>
            </w:pPr>
            <w:r>
              <w:rPr>
                <w:rFonts w:hint="eastAsia" w:asciiTheme="majorEastAsia" w:hAnsiTheme="majorEastAsia" w:eastAsiaTheme="majorEastAsia" w:cstheme="majorEastAsia"/>
                <w:bCs/>
                <w:kern w:val="2"/>
                <w:sz w:val="21"/>
                <w:szCs w:val="21"/>
              </w:rPr>
              <w:t>1）投标人在响应文件中必须向采购人提供本项目采购的系统安装、部署和调试工作。若项目系统实施过程中出现不合理或不完整的问题时，投标人有责任和义务在响应文件中提出补充修改方案并征得采购人同意后付诸实施。</w:t>
            </w:r>
          </w:p>
          <w:p w14:paraId="35A5FA2E">
            <w:pPr>
              <w:pStyle w:val="13"/>
              <w:spacing w:line="276" w:lineRule="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bCs/>
                <w:kern w:val="2"/>
                <w:sz w:val="21"/>
                <w:szCs w:val="21"/>
              </w:rPr>
              <w:t>2）安装调试及搭建测试环境在项目单位指定的地点进行。投标人负责全部应用软件的安装、调试及正式运行前的测试。</w:t>
            </w:r>
          </w:p>
        </w:tc>
      </w:tr>
      <w:tr w14:paraId="2F5189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atLeast"/>
        </w:trPr>
        <w:tc>
          <w:tcPr>
            <w:tcW w:w="423" w:type="pct"/>
            <w:noWrap/>
            <w:vAlign w:val="center"/>
          </w:tcPr>
          <w:p w14:paraId="6C2F5E75">
            <w:pPr>
              <w:spacing w:before="156" w:beforeLines="50" w:after="156" w:afterLines="50" w:line="360" w:lineRule="auto"/>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8</w:t>
            </w:r>
          </w:p>
        </w:tc>
        <w:tc>
          <w:tcPr>
            <w:tcW w:w="882" w:type="pct"/>
            <w:vAlign w:val="center"/>
          </w:tcPr>
          <w:p w14:paraId="52F20854">
            <w:pPr>
              <w:spacing w:before="156" w:beforeLines="50" w:after="156" w:afterLines="50" w:line="360" w:lineRule="auto"/>
              <w:jc w:val="center"/>
              <w:rPr>
                <w:rFonts w:hint="eastAsia" w:asciiTheme="majorEastAsia" w:hAnsiTheme="majorEastAsia" w:eastAsiaTheme="majorEastAsia" w:cstheme="majorEastAsia"/>
                <w:bCs/>
                <w:szCs w:val="21"/>
              </w:rPr>
            </w:pPr>
            <w:r>
              <w:rPr>
                <w:rFonts w:hint="eastAsia" w:asciiTheme="majorEastAsia" w:hAnsiTheme="majorEastAsia" w:eastAsiaTheme="majorEastAsia" w:cstheme="majorEastAsia"/>
                <w:bCs/>
                <w:szCs w:val="21"/>
              </w:rPr>
              <w:t>安装界面</w:t>
            </w:r>
          </w:p>
        </w:tc>
        <w:tc>
          <w:tcPr>
            <w:tcW w:w="3693" w:type="pct"/>
            <w:vAlign w:val="center"/>
          </w:tcPr>
          <w:p w14:paraId="11409689">
            <w:pPr>
              <w:pStyle w:val="35"/>
              <w:numPr>
                <w:ilvl w:val="0"/>
                <w:numId w:val="17"/>
              </w:numPr>
              <w:ind w:firstLineChars="0"/>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总包按照所采购物安装条件配置机柜</w:t>
            </w:r>
          </w:p>
          <w:p w14:paraId="1B0AC73E">
            <w:pPr>
              <w:pStyle w:val="35"/>
              <w:numPr>
                <w:ilvl w:val="0"/>
                <w:numId w:val="17"/>
              </w:numPr>
              <w:ind w:firstLineChars="0"/>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中标人负责交换机安装，并依据总包提供的线标进行系统集成。</w:t>
            </w:r>
          </w:p>
          <w:p w14:paraId="79AAB775">
            <w:pP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3、叫号系统已完成综合布线，中标人定点安装、调试</w:t>
            </w:r>
          </w:p>
          <w:p w14:paraId="0B7E36B3">
            <w:pP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4、会议大屏需自行完成基础支架、系统接入。</w:t>
            </w:r>
          </w:p>
        </w:tc>
      </w:tr>
    </w:tbl>
    <w:p w14:paraId="6674373F">
      <w:pPr>
        <w:sectPr>
          <w:pgSz w:w="11907" w:h="16840"/>
          <w:pgMar w:top="1440" w:right="1803" w:bottom="1440" w:left="1803" w:header="851" w:footer="850" w:gutter="0"/>
          <w:cols w:space="720" w:num="1"/>
          <w:titlePg/>
          <w:docGrid w:type="linesAndChars" w:linePitch="312" w:charSpace="-3473"/>
        </w:sectPr>
      </w:pPr>
    </w:p>
    <w:p w14:paraId="451390E2">
      <w:pPr>
        <w:pStyle w:val="3"/>
        <w:spacing w:line="360" w:lineRule="auto"/>
        <w:ind w:firstLine="2530" w:firstLineChars="700"/>
        <w:rPr>
          <w:rStyle w:val="17"/>
          <w:rFonts w:hint="eastAsia" w:ascii="宋体" w:hAnsi="宋体" w:cs="宋体"/>
          <w:b/>
          <w:bCs/>
          <w:sz w:val="36"/>
          <w:szCs w:val="36"/>
        </w:rPr>
      </w:pPr>
      <w:r>
        <w:rPr>
          <w:rStyle w:val="17"/>
          <w:rFonts w:hint="eastAsia" w:ascii="宋体" w:hAnsi="宋体" w:cs="宋体"/>
          <w:b/>
          <w:bCs/>
          <w:sz w:val="36"/>
          <w:szCs w:val="36"/>
        </w:rPr>
        <w:t>第三章  资格审查方法与标准</w:t>
      </w:r>
    </w:p>
    <w:p w14:paraId="476ADB50">
      <w:pPr>
        <w:spacing w:before="225" w:line="218" w:lineRule="auto"/>
        <w:ind w:left="1320"/>
        <w:rPr>
          <w:rFonts w:hint="eastAsia" w:ascii="黑体" w:hAnsi="黑体" w:eastAsia="黑体" w:cs="黑体"/>
          <w:sz w:val="30"/>
          <w:szCs w:val="30"/>
        </w:rPr>
      </w:pPr>
      <w:r>
        <w:rPr>
          <w:rFonts w:ascii="黑体" w:hAnsi="黑体" w:eastAsia="黑体" w:cs="黑体"/>
          <w:spacing w:val="-20"/>
          <w:sz w:val="30"/>
          <w:szCs w:val="30"/>
        </w:rPr>
        <w:t>一</w:t>
      </w:r>
      <w:r>
        <w:rPr>
          <w:rFonts w:ascii="黑体" w:hAnsi="黑体" w:eastAsia="黑体" w:cs="黑体"/>
          <w:spacing w:val="-14"/>
          <w:sz w:val="30"/>
          <w:szCs w:val="30"/>
        </w:rPr>
        <w:t>、资格审查方法</w:t>
      </w:r>
    </w:p>
    <w:p w14:paraId="29E5FFB6">
      <w:pPr>
        <w:spacing w:before="221" w:line="366" w:lineRule="auto"/>
        <w:ind w:left="745" w:right="15" w:firstLine="447"/>
        <w:rPr>
          <w:rFonts w:hint="eastAsia" w:ascii="宋体" w:hAnsi="宋体" w:cs="宋体"/>
          <w:sz w:val="24"/>
        </w:rPr>
      </w:pPr>
      <w:r>
        <w:rPr>
          <w:rFonts w:ascii="宋体" w:hAnsi="宋体" w:cs="宋体"/>
          <w:spacing w:val="-28"/>
          <w:sz w:val="24"/>
        </w:rPr>
        <w:t>根</w:t>
      </w:r>
      <w:r>
        <w:rPr>
          <w:rFonts w:ascii="宋体" w:hAnsi="宋体" w:cs="宋体"/>
          <w:spacing w:val="-15"/>
          <w:sz w:val="24"/>
        </w:rPr>
        <w:t>据采购人与</w:t>
      </w:r>
      <w:r>
        <w:rPr>
          <w:rFonts w:hint="eastAsia" w:ascii="宋体" w:hAnsi="宋体" w:cs="宋体"/>
          <w:spacing w:val="-15"/>
          <w:sz w:val="24"/>
          <w:lang w:eastAsia="zh-CN"/>
        </w:rPr>
        <w:t>集中采购</w:t>
      </w:r>
      <w:r>
        <w:rPr>
          <w:rFonts w:ascii="宋体" w:hAnsi="宋体" w:cs="宋体"/>
          <w:spacing w:val="-15"/>
          <w:sz w:val="24"/>
        </w:rPr>
        <w:t>机构签订的《采购委托代理协议》有关约定，本项目</w:t>
      </w:r>
      <w:r>
        <w:rPr>
          <w:rFonts w:hint="eastAsia" w:ascii="宋体" w:hAnsi="宋体" w:cs="宋体"/>
          <w:spacing w:val="-15"/>
          <w:sz w:val="24"/>
        </w:rPr>
        <w:t>由采购人在开标时</w:t>
      </w:r>
      <w:r>
        <w:rPr>
          <w:rFonts w:ascii="宋体" w:hAnsi="宋体" w:cs="宋体"/>
          <w:spacing w:val="-16"/>
          <w:sz w:val="24"/>
        </w:rPr>
        <w:t>依法对投标人的资格进行审查</w:t>
      </w:r>
      <w:r>
        <w:rPr>
          <w:rFonts w:hint="eastAsia" w:ascii="宋体" w:hAnsi="宋体" w:cs="宋体"/>
          <w:spacing w:val="-16"/>
          <w:sz w:val="24"/>
          <w:lang w:eastAsia="zh-CN"/>
        </w:rPr>
        <w:t>，</w:t>
      </w:r>
      <w:r>
        <w:rPr>
          <w:rFonts w:ascii="宋体" w:hAnsi="宋体" w:cs="宋体"/>
          <w:spacing w:val="-16"/>
          <w:sz w:val="24"/>
          <w14:textOutline w14:w="4356" w14:cap="flat" w14:cmpd="sng" w14:algn="ctr">
            <w14:solidFill>
              <w14:srgbClr w14:val="000000"/>
            </w14:solidFill>
            <w14:prstDash w14:val="solid"/>
            <w14:miter w14:val="0"/>
          </w14:textOutline>
        </w:rPr>
        <w:t>资格审查不合格的投标人</w:t>
      </w:r>
      <w:r>
        <w:rPr>
          <w:rFonts w:ascii="宋体" w:hAnsi="宋体" w:cs="宋体"/>
          <w:spacing w:val="-16"/>
          <w:sz w:val="24"/>
        </w:rPr>
        <w:t>，</w:t>
      </w:r>
      <w:r>
        <w:rPr>
          <w:rFonts w:ascii="宋体" w:hAnsi="宋体" w:cs="宋体"/>
          <w:spacing w:val="-16"/>
          <w:sz w:val="24"/>
          <w14:textOutline w14:w="4356" w14:cap="flat" w14:cmpd="sng" w14:algn="ctr">
            <w14:solidFill>
              <w14:srgbClr w14:val="000000"/>
            </w14:solidFill>
            <w14:prstDash w14:val="solid"/>
            <w14:miter w14:val="0"/>
          </w14:textOutline>
        </w:rPr>
        <w:t>投标无效</w:t>
      </w:r>
      <w:r>
        <w:rPr>
          <w:rFonts w:ascii="宋体" w:hAnsi="宋体" w:cs="宋体"/>
          <w:spacing w:val="-16"/>
          <w:sz w:val="24"/>
        </w:rPr>
        <w:t>；</w:t>
      </w:r>
      <w:r>
        <w:rPr>
          <w:rFonts w:ascii="宋体" w:hAnsi="宋体" w:cs="宋体"/>
          <w:spacing w:val="-11"/>
          <w:sz w:val="24"/>
        </w:rPr>
        <w:t>资</w:t>
      </w:r>
      <w:r>
        <w:rPr>
          <w:rFonts w:ascii="宋体" w:hAnsi="宋体" w:cs="宋体"/>
          <w:spacing w:val="-28"/>
          <w:sz w:val="24"/>
        </w:rPr>
        <w:t>格</w:t>
      </w:r>
      <w:r>
        <w:rPr>
          <w:rFonts w:ascii="宋体" w:hAnsi="宋体" w:cs="宋体"/>
          <w:spacing w:val="-21"/>
          <w:sz w:val="24"/>
        </w:rPr>
        <w:t>审查合格投标人不足 3 家的，不得评标。</w:t>
      </w:r>
    </w:p>
    <w:p w14:paraId="23A6C8A1">
      <w:pPr>
        <w:spacing w:before="23" w:line="219" w:lineRule="auto"/>
        <w:ind w:left="1320"/>
        <w:rPr>
          <w:rFonts w:hint="eastAsia" w:ascii="黑体" w:hAnsi="黑体" w:eastAsia="黑体" w:cs="黑体"/>
          <w:sz w:val="30"/>
          <w:szCs w:val="30"/>
        </w:rPr>
      </w:pPr>
      <w:r>
        <w:rPr>
          <w:rFonts w:ascii="黑体" w:hAnsi="黑体" w:eastAsia="黑体" w:cs="黑体"/>
          <w:spacing w:val="-20"/>
          <w:sz w:val="30"/>
          <w:szCs w:val="30"/>
        </w:rPr>
        <w:t>二</w:t>
      </w:r>
      <w:r>
        <w:rPr>
          <w:rFonts w:ascii="黑体" w:hAnsi="黑体" w:eastAsia="黑体" w:cs="黑体"/>
          <w:spacing w:val="-14"/>
          <w:sz w:val="30"/>
          <w:szCs w:val="30"/>
        </w:rPr>
        <w:t>、资格审查标准</w:t>
      </w:r>
    </w:p>
    <w:p w14:paraId="1C003124"/>
    <w:p w14:paraId="0C72240F"/>
    <w:p w14:paraId="7A8FB593">
      <w:pPr>
        <w:spacing w:line="40" w:lineRule="exact"/>
      </w:pPr>
    </w:p>
    <w:tbl>
      <w:tblPr>
        <w:tblStyle w:val="37"/>
        <w:tblW w:w="906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08"/>
        <w:gridCol w:w="2041"/>
        <w:gridCol w:w="6317"/>
      </w:tblGrid>
      <w:tr w14:paraId="2B0167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708" w:type="dxa"/>
          </w:tcPr>
          <w:p w14:paraId="486A6C38">
            <w:pPr>
              <w:spacing w:before="148" w:line="221" w:lineRule="auto"/>
              <w:ind w:left="135"/>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pacing w:val="-7"/>
                <w:szCs w:val="21"/>
              </w:rPr>
              <w:t>序</w:t>
            </w:r>
            <w:r>
              <w:rPr>
                <w:rFonts w:hint="eastAsia" w:asciiTheme="majorEastAsia" w:hAnsiTheme="majorEastAsia" w:eastAsiaTheme="majorEastAsia" w:cstheme="majorEastAsia"/>
                <w:spacing w:val="-6"/>
                <w:szCs w:val="21"/>
              </w:rPr>
              <w:t>号</w:t>
            </w:r>
          </w:p>
        </w:tc>
        <w:tc>
          <w:tcPr>
            <w:tcW w:w="2041" w:type="dxa"/>
          </w:tcPr>
          <w:p w14:paraId="468599EB">
            <w:pPr>
              <w:spacing w:before="148" w:line="220" w:lineRule="auto"/>
              <w:ind w:left="592"/>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pacing w:val="-16"/>
                <w:szCs w:val="21"/>
              </w:rPr>
              <w:t>审</w:t>
            </w:r>
            <w:r>
              <w:rPr>
                <w:rFonts w:hint="eastAsia" w:asciiTheme="majorEastAsia" w:hAnsiTheme="majorEastAsia" w:eastAsiaTheme="majorEastAsia" w:cstheme="majorEastAsia"/>
                <w:spacing w:val="-13"/>
                <w:szCs w:val="21"/>
              </w:rPr>
              <w:t>查内容</w:t>
            </w:r>
          </w:p>
        </w:tc>
        <w:tc>
          <w:tcPr>
            <w:tcW w:w="6317" w:type="dxa"/>
          </w:tcPr>
          <w:p w14:paraId="665A28D0">
            <w:pPr>
              <w:spacing w:before="149" w:line="220" w:lineRule="auto"/>
              <w:ind w:left="2728"/>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pacing w:val="-15"/>
                <w:szCs w:val="21"/>
              </w:rPr>
              <w:t>审</w:t>
            </w:r>
            <w:r>
              <w:rPr>
                <w:rFonts w:hint="eastAsia" w:asciiTheme="majorEastAsia" w:hAnsiTheme="majorEastAsia" w:eastAsiaTheme="majorEastAsia" w:cstheme="majorEastAsia"/>
                <w:spacing w:val="-13"/>
                <w:szCs w:val="21"/>
              </w:rPr>
              <w:t>查要求</w:t>
            </w:r>
          </w:p>
        </w:tc>
      </w:tr>
      <w:tr w14:paraId="6CE481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4" w:hRule="atLeast"/>
        </w:trPr>
        <w:tc>
          <w:tcPr>
            <w:tcW w:w="9066" w:type="dxa"/>
            <w:gridSpan w:val="3"/>
          </w:tcPr>
          <w:p w14:paraId="23E8E12D">
            <w:pPr>
              <w:spacing w:before="129" w:line="219" w:lineRule="auto"/>
              <w:ind w:left="123"/>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pacing w:val="-1"/>
                <w:szCs w:val="21"/>
                <w14:textOutline w14:w="4356" w14:cap="flat" w14:cmpd="sng" w14:algn="ctr">
                  <w14:solidFill>
                    <w14:srgbClr w14:val="000000"/>
                  </w14:solidFill>
                  <w14:prstDash w14:val="solid"/>
                  <w14:miter w14:val="0"/>
                </w14:textOutline>
              </w:rPr>
              <w:t>(一)</w:t>
            </w:r>
            <w:r>
              <w:rPr>
                <w:rFonts w:hint="eastAsia" w:asciiTheme="majorEastAsia" w:hAnsiTheme="majorEastAsia" w:eastAsiaTheme="majorEastAsia" w:cstheme="majorEastAsia"/>
                <w:spacing w:val="-1"/>
                <w:szCs w:val="21"/>
              </w:rPr>
              <w:t xml:space="preserve"> </w:t>
            </w:r>
            <w:r>
              <w:rPr>
                <w:rFonts w:hint="eastAsia" w:asciiTheme="majorEastAsia" w:hAnsiTheme="majorEastAsia" w:eastAsiaTheme="majorEastAsia" w:cstheme="majorEastAsia"/>
                <w:spacing w:val="-1"/>
                <w:szCs w:val="21"/>
                <w14:textOutline w14:w="4356" w14:cap="flat" w14:cmpd="sng" w14:algn="ctr">
                  <w14:solidFill>
                    <w14:srgbClr w14:val="000000"/>
                  </w14:solidFill>
                  <w14:prstDash w14:val="solid"/>
                  <w14:miter w14:val="0"/>
                </w14:textOutline>
              </w:rPr>
              <w:t>基本资</w:t>
            </w:r>
            <w:r>
              <w:rPr>
                <w:rFonts w:hint="eastAsia" w:asciiTheme="majorEastAsia" w:hAnsiTheme="majorEastAsia" w:eastAsiaTheme="majorEastAsia" w:cstheme="majorEastAsia"/>
                <w:szCs w:val="21"/>
                <w14:textOutline w14:w="4356" w14:cap="flat" w14:cmpd="sng" w14:algn="ctr">
                  <w14:solidFill>
                    <w14:srgbClr w14:val="000000"/>
                  </w14:solidFill>
                  <w14:prstDash w14:val="solid"/>
                  <w14:miter w14:val="0"/>
                </w14:textOutline>
              </w:rPr>
              <w:t>格条件</w:t>
            </w:r>
          </w:p>
        </w:tc>
      </w:tr>
      <w:tr w14:paraId="17800B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32" w:hRule="atLeast"/>
        </w:trPr>
        <w:tc>
          <w:tcPr>
            <w:tcW w:w="708" w:type="dxa"/>
          </w:tcPr>
          <w:p w14:paraId="4DAFBCDF">
            <w:pPr>
              <w:spacing w:before="64" w:line="179" w:lineRule="auto"/>
              <w:ind w:left="320"/>
              <w:rPr>
                <w:rFonts w:hint="eastAsia" w:asciiTheme="majorEastAsia" w:hAnsiTheme="majorEastAsia" w:eastAsiaTheme="majorEastAsia" w:cstheme="majorEastAsia"/>
                <w:szCs w:val="21"/>
              </w:rPr>
            </w:pPr>
          </w:p>
          <w:p w14:paraId="1094CFE5">
            <w:pPr>
              <w:spacing w:before="64" w:line="179" w:lineRule="auto"/>
              <w:ind w:left="320"/>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1</w:t>
            </w:r>
          </w:p>
        </w:tc>
        <w:tc>
          <w:tcPr>
            <w:tcW w:w="2041" w:type="dxa"/>
          </w:tcPr>
          <w:p w14:paraId="18BC43DB">
            <w:pPr>
              <w:spacing w:before="112" w:line="320" w:lineRule="auto"/>
              <w:ind w:left="123" w:right="86" w:hanging="3"/>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pacing w:val="-14"/>
                <w:szCs w:val="21"/>
              </w:rPr>
              <w:t>具</w:t>
            </w:r>
            <w:r>
              <w:rPr>
                <w:rFonts w:hint="eastAsia" w:asciiTheme="majorEastAsia" w:hAnsiTheme="majorEastAsia" w:eastAsiaTheme="majorEastAsia" w:cstheme="majorEastAsia"/>
                <w:spacing w:val="-11"/>
                <w:szCs w:val="21"/>
              </w:rPr>
              <w:t>有独立承担民事</w:t>
            </w:r>
            <w:r>
              <w:rPr>
                <w:rFonts w:hint="eastAsia" w:asciiTheme="majorEastAsia" w:hAnsiTheme="majorEastAsia" w:eastAsiaTheme="majorEastAsia" w:cstheme="majorEastAsia"/>
                <w:spacing w:val="-16"/>
                <w:szCs w:val="21"/>
              </w:rPr>
              <w:t>责</w:t>
            </w:r>
            <w:r>
              <w:rPr>
                <w:rFonts w:hint="eastAsia" w:asciiTheme="majorEastAsia" w:hAnsiTheme="majorEastAsia" w:eastAsiaTheme="majorEastAsia" w:cstheme="majorEastAsia"/>
                <w:spacing w:val="-13"/>
                <w:szCs w:val="21"/>
              </w:rPr>
              <w:t>任的能力</w:t>
            </w:r>
          </w:p>
        </w:tc>
        <w:tc>
          <w:tcPr>
            <w:tcW w:w="6317" w:type="dxa"/>
          </w:tcPr>
          <w:p w14:paraId="570BCB47">
            <w:pPr>
              <w:spacing w:before="112" w:line="311" w:lineRule="auto"/>
              <w:ind w:left="113" w:right="89" w:firstLine="1"/>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pacing w:val="-14"/>
                <w:szCs w:val="21"/>
              </w:rPr>
              <w:t>提供法人营业执照或事业单位法人证书或民办非企业单位登</w:t>
            </w:r>
            <w:r>
              <w:rPr>
                <w:rFonts w:hint="eastAsia" w:asciiTheme="majorEastAsia" w:hAnsiTheme="majorEastAsia" w:eastAsiaTheme="majorEastAsia" w:cstheme="majorEastAsia"/>
                <w:spacing w:val="-9"/>
                <w:szCs w:val="21"/>
              </w:rPr>
              <w:t>记</w:t>
            </w:r>
            <w:r>
              <w:rPr>
                <w:rFonts w:hint="eastAsia" w:asciiTheme="majorEastAsia" w:hAnsiTheme="majorEastAsia" w:eastAsiaTheme="majorEastAsia" w:cstheme="majorEastAsia"/>
                <w:szCs w:val="21"/>
              </w:rPr>
              <w:t xml:space="preserve"> </w:t>
            </w:r>
            <w:r>
              <w:rPr>
                <w:rFonts w:hint="eastAsia" w:asciiTheme="majorEastAsia" w:hAnsiTheme="majorEastAsia" w:eastAsiaTheme="majorEastAsia" w:cstheme="majorEastAsia"/>
                <w:spacing w:val="-26"/>
                <w:szCs w:val="21"/>
              </w:rPr>
              <w:t>证</w:t>
            </w:r>
            <w:r>
              <w:rPr>
                <w:rFonts w:hint="eastAsia" w:asciiTheme="majorEastAsia" w:hAnsiTheme="majorEastAsia" w:eastAsiaTheme="majorEastAsia" w:cstheme="majorEastAsia"/>
                <w:spacing w:val="-20"/>
                <w:szCs w:val="21"/>
              </w:rPr>
              <w:t>书</w:t>
            </w:r>
            <w:r>
              <w:rPr>
                <w:rFonts w:hint="eastAsia" w:asciiTheme="majorEastAsia" w:hAnsiTheme="majorEastAsia" w:eastAsiaTheme="majorEastAsia" w:cstheme="majorEastAsia"/>
                <w:spacing w:val="-13"/>
                <w:szCs w:val="21"/>
              </w:rPr>
              <w:t>或个体工商户营业执照或其他组织的执业许可证副本扫描</w:t>
            </w:r>
            <w:r>
              <w:rPr>
                <w:rFonts w:hint="eastAsia" w:asciiTheme="majorEastAsia" w:hAnsiTheme="majorEastAsia" w:eastAsiaTheme="majorEastAsia" w:cstheme="majorEastAsia"/>
                <w:szCs w:val="21"/>
              </w:rPr>
              <w:t xml:space="preserve"> </w:t>
            </w:r>
            <w:r>
              <w:rPr>
                <w:rFonts w:hint="eastAsia" w:asciiTheme="majorEastAsia" w:hAnsiTheme="majorEastAsia" w:eastAsiaTheme="majorEastAsia" w:cstheme="majorEastAsia"/>
                <w:spacing w:val="-26"/>
                <w:szCs w:val="21"/>
              </w:rPr>
              <w:t>件</w:t>
            </w:r>
            <w:r>
              <w:rPr>
                <w:rFonts w:hint="eastAsia" w:asciiTheme="majorEastAsia" w:hAnsiTheme="majorEastAsia" w:eastAsiaTheme="majorEastAsia" w:cstheme="majorEastAsia"/>
                <w:spacing w:val="-20"/>
                <w:szCs w:val="21"/>
              </w:rPr>
              <w:t>；</w:t>
            </w:r>
            <w:r>
              <w:rPr>
                <w:rFonts w:hint="eastAsia" w:asciiTheme="majorEastAsia" w:hAnsiTheme="majorEastAsia" w:eastAsiaTheme="majorEastAsia" w:cstheme="majorEastAsia"/>
                <w:spacing w:val="-13"/>
                <w:szCs w:val="21"/>
              </w:rPr>
              <w:t>投标人为自然人的提供身份证明扫描件；采购标的属于银</w:t>
            </w:r>
            <w:r>
              <w:rPr>
                <w:rFonts w:hint="eastAsia" w:asciiTheme="majorEastAsia" w:hAnsiTheme="majorEastAsia" w:eastAsiaTheme="majorEastAsia" w:cstheme="majorEastAsia"/>
                <w:szCs w:val="21"/>
              </w:rPr>
              <w:t xml:space="preserve"> </w:t>
            </w:r>
            <w:r>
              <w:rPr>
                <w:rFonts w:hint="eastAsia" w:asciiTheme="majorEastAsia" w:hAnsiTheme="majorEastAsia" w:eastAsiaTheme="majorEastAsia" w:cstheme="majorEastAsia"/>
                <w:spacing w:val="-26"/>
                <w:szCs w:val="21"/>
              </w:rPr>
              <w:t>行</w:t>
            </w:r>
            <w:r>
              <w:rPr>
                <w:rFonts w:hint="eastAsia" w:asciiTheme="majorEastAsia" w:hAnsiTheme="majorEastAsia" w:eastAsiaTheme="majorEastAsia" w:cstheme="majorEastAsia"/>
                <w:spacing w:val="-20"/>
                <w:szCs w:val="21"/>
              </w:rPr>
              <w:t>、</w:t>
            </w:r>
            <w:r>
              <w:rPr>
                <w:rFonts w:hint="eastAsia" w:asciiTheme="majorEastAsia" w:hAnsiTheme="majorEastAsia" w:eastAsiaTheme="majorEastAsia" w:cstheme="majorEastAsia"/>
                <w:spacing w:val="-13"/>
                <w:szCs w:val="21"/>
              </w:rPr>
              <w:t>保险、石油石化、电力、电信等行业的，允许该行业法人</w:t>
            </w:r>
            <w:r>
              <w:rPr>
                <w:rFonts w:hint="eastAsia" w:asciiTheme="majorEastAsia" w:hAnsiTheme="majorEastAsia" w:eastAsiaTheme="majorEastAsia" w:cstheme="majorEastAsia"/>
                <w:szCs w:val="21"/>
              </w:rPr>
              <w:t xml:space="preserve"> </w:t>
            </w:r>
            <w:r>
              <w:rPr>
                <w:rFonts w:hint="eastAsia" w:asciiTheme="majorEastAsia" w:hAnsiTheme="majorEastAsia" w:eastAsiaTheme="majorEastAsia" w:cstheme="majorEastAsia"/>
                <w:spacing w:val="-18"/>
                <w:szCs w:val="21"/>
              </w:rPr>
              <w:t>的</w:t>
            </w:r>
            <w:r>
              <w:rPr>
                <w:rFonts w:hint="eastAsia" w:asciiTheme="majorEastAsia" w:hAnsiTheme="majorEastAsia" w:eastAsiaTheme="majorEastAsia" w:cstheme="majorEastAsia"/>
                <w:spacing w:val="-9"/>
                <w:szCs w:val="21"/>
              </w:rPr>
              <w:t>分支机构参加投标(报价) ，提供分支机构的《营业执照》</w:t>
            </w:r>
            <w:r>
              <w:rPr>
                <w:rFonts w:hint="eastAsia" w:asciiTheme="majorEastAsia" w:hAnsiTheme="majorEastAsia" w:eastAsiaTheme="majorEastAsia" w:cstheme="majorEastAsia"/>
                <w:szCs w:val="21"/>
              </w:rPr>
              <w:t xml:space="preserve"> </w:t>
            </w:r>
            <w:r>
              <w:rPr>
                <w:rFonts w:hint="eastAsia" w:asciiTheme="majorEastAsia" w:hAnsiTheme="majorEastAsia" w:eastAsiaTheme="majorEastAsia" w:cstheme="majorEastAsia"/>
                <w:spacing w:val="-17"/>
                <w:szCs w:val="21"/>
              </w:rPr>
              <w:t>副</w:t>
            </w:r>
            <w:r>
              <w:rPr>
                <w:rFonts w:hint="eastAsia" w:asciiTheme="majorEastAsia" w:hAnsiTheme="majorEastAsia" w:eastAsiaTheme="majorEastAsia" w:cstheme="majorEastAsia"/>
                <w:spacing w:val="-16"/>
                <w:szCs w:val="21"/>
              </w:rPr>
              <w:t>本扫描件。  (1.自然人投标的，证明材料须由本人签字；2.</w:t>
            </w:r>
            <w:r>
              <w:rPr>
                <w:rFonts w:hint="eastAsia" w:asciiTheme="majorEastAsia" w:hAnsiTheme="majorEastAsia" w:eastAsiaTheme="majorEastAsia" w:cstheme="majorEastAsia"/>
                <w:szCs w:val="21"/>
              </w:rPr>
              <w:t xml:space="preserve"> </w:t>
            </w:r>
            <w:r>
              <w:rPr>
                <w:rFonts w:hint="eastAsia" w:asciiTheme="majorEastAsia" w:hAnsiTheme="majorEastAsia" w:eastAsiaTheme="majorEastAsia" w:cstheme="majorEastAsia"/>
                <w:spacing w:val="-29"/>
                <w:szCs w:val="21"/>
              </w:rPr>
              <w:t>证</w:t>
            </w:r>
            <w:r>
              <w:rPr>
                <w:rFonts w:hint="eastAsia" w:asciiTheme="majorEastAsia" w:hAnsiTheme="majorEastAsia" w:eastAsiaTheme="majorEastAsia" w:cstheme="majorEastAsia"/>
                <w:spacing w:val="-16"/>
                <w:szCs w:val="21"/>
              </w:rPr>
              <w:t>明材料有效期应包含投标截止日。)</w:t>
            </w:r>
          </w:p>
        </w:tc>
      </w:tr>
      <w:tr w14:paraId="471C54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73" w:hRule="atLeast"/>
        </w:trPr>
        <w:tc>
          <w:tcPr>
            <w:tcW w:w="708" w:type="dxa"/>
          </w:tcPr>
          <w:p w14:paraId="7B4D46B2">
            <w:pPr>
              <w:spacing w:line="278" w:lineRule="auto"/>
              <w:rPr>
                <w:rFonts w:hint="eastAsia" w:asciiTheme="majorEastAsia" w:hAnsiTheme="majorEastAsia" w:eastAsiaTheme="majorEastAsia" w:cstheme="majorEastAsia"/>
                <w:szCs w:val="21"/>
              </w:rPr>
            </w:pPr>
          </w:p>
          <w:p w14:paraId="5623F57F">
            <w:pPr>
              <w:spacing w:line="278" w:lineRule="auto"/>
              <w:rPr>
                <w:rFonts w:hint="eastAsia" w:asciiTheme="majorEastAsia" w:hAnsiTheme="majorEastAsia" w:eastAsiaTheme="majorEastAsia" w:cstheme="majorEastAsia"/>
                <w:szCs w:val="21"/>
              </w:rPr>
            </w:pPr>
          </w:p>
          <w:p w14:paraId="50511580">
            <w:pPr>
              <w:spacing w:before="64" w:line="180" w:lineRule="auto"/>
              <w:ind w:left="314"/>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2</w:t>
            </w:r>
          </w:p>
        </w:tc>
        <w:tc>
          <w:tcPr>
            <w:tcW w:w="2041" w:type="dxa"/>
          </w:tcPr>
          <w:p w14:paraId="00C32C15">
            <w:pPr>
              <w:spacing w:before="116" w:line="307" w:lineRule="auto"/>
              <w:ind w:left="114" w:right="86" w:firstLine="5"/>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pacing w:val="-14"/>
                <w:szCs w:val="21"/>
              </w:rPr>
              <w:t>具</w:t>
            </w:r>
            <w:r>
              <w:rPr>
                <w:rFonts w:hint="eastAsia" w:asciiTheme="majorEastAsia" w:hAnsiTheme="majorEastAsia" w:eastAsiaTheme="majorEastAsia" w:cstheme="majorEastAsia"/>
                <w:spacing w:val="-11"/>
                <w:szCs w:val="21"/>
              </w:rPr>
              <w:t>有良好的商业信</w:t>
            </w:r>
            <w:r>
              <w:rPr>
                <w:rFonts w:hint="eastAsia" w:asciiTheme="majorEastAsia" w:hAnsiTheme="majorEastAsia" w:eastAsiaTheme="majorEastAsia" w:cstheme="majorEastAsia"/>
                <w:spacing w:val="-16"/>
                <w:szCs w:val="21"/>
              </w:rPr>
              <w:t>誉</w:t>
            </w:r>
            <w:r>
              <w:fldChar w:fldCharType="begin"/>
            </w:r>
            <w:r>
              <w:instrText xml:space="preserve"> HYPERLINK "https://baike.so.com/doc/388251-411081.html" </w:instrText>
            </w:r>
            <w:r>
              <w:fldChar w:fldCharType="separate"/>
            </w:r>
            <w:r>
              <w:rPr>
                <w:rFonts w:hint="eastAsia" w:asciiTheme="majorEastAsia" w:hAnsiTheme="majorEastAsia" w:eastAsiaTheme="majorEastAsia" w:cstheme="majorEastAsia"/>
                <w:spacing w:val="-10"/>
                <w:szCs w:val="21"/>
              </w:rPr>
              <w:t>和健全的财务会</w:t>
            </w:r>
            <w:r>
              <w:rPr>
                <w:rFonts w:hint="eastAsia" w:asciiTheme="majorEastAsia" w:hAnsiTheme="majorEastAsia" w:eastAsiaTheme="majorEastAsia" w:cstheme="majorEastAsia"/>
                <w:spacing w:val="-10"/>
                <w:szCs w:val="21"/>
              </w:rPr>
              <w:fldChar w:fldCharType="end"/>
            </w:r>
          </w:p>
          <w:p w14:paraId="47B0D20C">
            <w:pPr>
              <w:spacing w:line="220" w:lineRule="auto"/>
              <w:ind w:left="115"/>
              <w:rPr>
                <w:rFonts w:hint="eastAsia" w:asciiTheme="majorEastAsia" w:hAnsiTheme="majorEastAsia" w:eastAsiaTheme="majorEastAsia" w:cstheme="majorEastAsia"/>
                <w:szCs w:val="21"/>
              </w:rPr>
            </w:pPr>
            <w:r>
              <w:fldChar w:fldCharType="begin"/>
            </w:r>
            <w:r>
              <w:instrText xml:space="preserve"> HYPERLINK "https://baike.so.com/doc/388251-411081.html" </w:instrText>
            </w:r>
            <w:r>
              <w:fldChar w:fldCharType="separate"/>
            </w:r>
            <w:r>
              <w:rPr>
                <w:rFonts w:hint="eastAsia" w:asciiTheme="majorEastAsia" w:hAnsiTheme="majorEastAsia" w:eastAsiaTheme="majorEastAsia" w:cstheme="majorEastAsia"/>
                <w:spacing w:val="-11"/>
                <w:szCs w:val="21"/>
              </w:rPr>
              <w:t>计</w:t>
            </w:r>
            <w:r>
              <w:rPr>
                <w:rFonts w:hint="eastAsia" w:asciiTheme="majorEastAsia" w:hAnsiTheme="majorEastAsia" w:eastAsiaTheme="majorEastAsia" w:cstheme="majorEastAsia"/>
                <w:spacing w:val="-9"/>
                <w:szCs w:val="21"/>
              </w:rPr>
              <w:t>制度</w:t>
            </w:r>
            <w:r>
              <w:rPr>
                <w:rFonts w:hint="eastAsia" w:asciiTheme="majorEastAsia" w:hAnsiTheme="majorEastAsia" w:eastAsiaTheme="majorEastAsia" w:cstheme="majorEastAsia"/>
                <w:spacing w:val="-9"/>
                <w:szCs w:val="21"/>
              </w:rPr>
              <w:fldChar w:fldCharType="end"/>
            </w:r>
          </w:p>
        </w:tc>
        <w:tc>
          <w:tcPr>
            <w:tcW w:w="6317" w:type="dxa"/>
          </w:tcPr>
          <w:p w14:paraId="7D391F7E">
            <w:pPr>
              <w:spacing w:before="112" w:line="308" w:lineRule="auto"/>
              <w:ind w:left="114" w:right="88"/>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pacing w:val="-14"/>
                <w:szCs w:val="21"/>
              </w:rPr>
              <w:t>提供经第三方会计师事务所审计的完整有效的企业财务报告</w:t>
            </w:r>
            <w:r>
              <w:rPr>
                <w:rFonts w:hint="eastAsia" w:asciiTheme="majorEastAsia" w:hAnsiTheme="majorEastAsia" w:eastAsiaTheme="majorEastAsia" w:cstheme="majorEastAsia"/>
                <w:spacing w:val="-9"/>
                <w:szCs w:val="21"/>
              </w:rPr>
              <w:t>扫</w:t>
            </w:r>
            <w:r>
              <w:rPr>
                <w:rFonts w:hint="eastAsia" w:asciiTheme="majorEastAsia" w:hAnsiTheme="majorEastAsia" w:eastAsiaTheme="majorEastAsia" w:cstheme="majorEastAsia"/>
                <w:szCs w:val="21"/>
              </w:rPr>
              <w:t xml:space="preserve"> </w:t>
            </w:r>
            <w:r>
              <w:rPr>
                <w:rFonts w:hint="eastAsia" w:asciiTheme="majorEastAsia" w:hAnsiTheme="majorEastAsia" w:eastAsiaTheme="majorEastAsia" w:cstheme="majorEastAsia"/>
                <w:spacing w:val="-18"/>
                <w:szCs w:val="21"/>
              </w:rPr>
              <w:t>描</w:t>
            </w:r>
            <w:r>
              <w:rPr>
                <w:rFonts w:hint="eastAsia" w:asciiTheme="majorEastAsia" w:hAnsiTheme="majorEastAsia" w:eastAsiaTheme="majorEastAsia" w:cstheme="majorEastAsia"/>
                <w:spacing w:val="-9"/>
                <w:szCs w:val="21"/>
              </w:rPr>
              <w:t>件(投标截止日为上半年的，提供本年上两个年度任一年度</w:t>
            </w:r>
            <w:r>
              <w:rPr>
                <w:rFonts w:hint="eastAsia" w:asciiTheme="majorEastAsia" w:hAnsiTheme="majorEastAsia" w:eastAsiaTheme="majorEastAsia" w:cstheme="majorEastAsia"/>
                <w:szCs w:val="21"/>
              </w:rPr>
              <w:t xml:space="preserve"> </w:t>
            </w:r>
            <w:r>
              <w:rPr>
                <w:rFonts w:hint="eastAsia" w:asciiTheme="majorEastAsia" w:hAnsiTheme="majorEastAsia" w:eastAsiaTheme="majorEastAsia" w:cstheme="majorEastAsia"/>
                <w:spacing w:val="-26"/>
                <w:szCs w:val="21"/>
              </w:rPr>
              <w:t>的</w:t>
            </w:r>
            <w:r>
              <w:rPr>
                <w:rFonts w:hint="eastAsia" w:asciiTheme="majorEastAsia" w:hAnsiTheme="majorEastAsia" w:eastAsiaTheme="majorEastAsia" w:cstheme="majorEastAsia"/>
                <w:spacing w:val="-21"/>
                <w:szCs w:val="21"/>
              </w:rPr>
              <w:t>上</w:t>
            </w:r>
            <w:r>
              <w:rPr>
                <w:rFonts w:hint="eastAsia" w:asciiTheme="majorEastAsia" w:hAnsiTheme="majorEastAsia" w:eastAsiaTheme="majorEastAsia" w:cstheme="majorEastAsia"/>
                <w:spacing w:val="-13"/>
                <w:szCs w:val="21"/>
              </w:rPr>
              <w:t>述材料；投标截止日为下半年的，提供上一个年度的上述</w:t>
            </w:r>
            <w:r>
              <w:rPr>
                <w:rFonts w:hint="eastAsia" w:asciiTheme="majorEastAsia" w:hAnsiTheme="majorEastAsia" w:eastAsiaTheme="majorEastAsia" w:cstheme="majorEastAsia"/>
                <w:szCs w:val="21"/>
              </w:rPr>
              <w:t xml:space="preserve"> </w:t>
            </w:r>
            <w:r>
              <w:rPr>
                <w:rFonts w:hint="eastAsia" w:asciiTheme="majorEastAsia" w:hAnsiTheme="majorEastAsia" w:eastAsiaTheme="majorEastAsia" w:cstheme="majorEastAsia"/>
                <w:spacing w:val="-20"/>
                <w:szCs w:val="21"/>
              </w:rPr>
              <w:t>材</w:t>
            </w:r>
            <w:r>
              <w:rPr>
                <w:rFonts w:hint="eastAsia" w:asciiTheme="majorEastAsia" w:hAnsiTheme="majorEastAsia" w:eastAsiaTheme="majorEastAsia" w:cstheme="majorEastAsia"/>
                <w:spacing w:val="-13"/>
                <w:szCs w:val="21"/>
              </w:rPr>
              <w:t>料) 或提供其基本开户银行在投标截止日前六个月内出具的</w:t>
            </w:r>
            <w:r>
              <w:rPr>
                <w:rFonts w:hint="eastAsia" w:asciiTheme="majorEastAsia" w:hAnsiTheme="majorEastAsia" w:eastAsiaTheme="majorEastAsia" w:cstheme="majorEastAsia"/>
                <w:szCs w:val="21"/>
              </w:rPr>
              <w:t xml:space="preserve"> </w:t>
            </w:r>
            <w:r>
              <w:rPr>
                <w:rFonts w:hint="eastAsia" w:asciiTheme="majorEastAsia" w:hAnsiTheme="majorEastAsia" w:eastAsiaTheme="majorEastAsia" w:cstheme="majorEastAsia"/>
                <w:spacing w:val="-1"/>
                <w:szCs w:val="21"/>
              </w:rPr>
              <w:t>资信证明扫描件(银行出具的存</w:t>
            </w:r>
            <w:r>
              <w:rPr>
                <w:rFonts w:hint="eastAsia" w:asciiTheme="majorEastAsia" w:hAnsiTheme="majorEastAsia" w:eastAsiaTheme="majorEastAsia" w:cstheme="majorEastAsia"/>
                <w:szCs w:val="21"/>
              </w:rPr>
              <w:t>款证明不能替代银行资信证</w:t>
            </w:r>
            <w:r>
              <w:rPr>
                <w:rFonts w:hint="eastAsia" w:asciiTheme="majorEastAsia" w:hAnsiTheme="majorEastAsia" w:eastAsiaTheme="majorEastAsia" w:cstheme="majorEastAsia"/>
                <w:spacing w:val="8"/>
                <w:szCs w:val="21"/>
              </w:rPr>
              <w:t>明</w:t>
            </w:r>
            <w:r>
              <w:rPr>
                <w:rFonts w:hint="eastAsia" w:asciiTheme="majorEastAsia" w:hAnsiTheme="majorEastAsia" w:eastAsiaTheme="majorEastAsia" w:cstheme="majorEastAsia"/>
                <w:spacing w:val="6"/>
                <w:szCs w:val="21"/>
              </w:rPr>
              <w:t>)。</w:t>
            </w:r>
          </w:p>
        </w:tc>
      </w:tr>
      <w:tr w14:paraId="4781C0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4" w:hRule="atLeast"/>
        </w:trPr>
        <w:tc>
          <w:tcPr>
            <w:tcW w:w="708" w:type="dxa"/>
          </w:tcPr>
          <w:p w14:paraId="008064B7">
            <w:pPr>
              <w:spacing w:line="261" w:lineRule="auto"/>
              <w:rPr>
                <w:rFonts w:hint="eastAsia" w:asciiTheme="majorEastAsia" w:hAnsiTheme="majorEastAsia" w:eastAsiaTheme="majorEastAsia" w:cstheme="majorEastAsia"/>
                <w:szCs w:val="21"/>
              </w:rPr>
            </w:pPr>
          </w:p>
          <w:p w14:paraId="22DE50C8">
            <w:pPr>
              <w:spacing w:line="261" w:lineRule="auto"/>
              <w:rPr>
                <w:rFonts w:hint="eastAsia" w:asciiTheme="majorEastAsia" w:hAnsiTheme="majorEastAsia" w:eastAsiaTheme="majorEastAsia" w:cstheme="majorEastAsia"/>
                <w:szCs w:val="21"/>
              </w:rPr>
            </w:pPr>
          </w:p>
          <w:p w14:paraId="0D610E6B">
            <w:pPr>
              <w:spacing w:before="64" w:line="179" w:lineRule="auto"/>
              <w:ind w:left="313"/>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3</w:t>
            </w:r>
          </w:p>
        </w:tc>
        <w:tc>
          <w:tcPr>
            <w:tcW w:w="2041" w:type="dxa"/>
          </w:tcPr>
          <w:p w14:paraId="7D41B6DF">
            <w:pPr>
              <w:spacing w:before="118" w:line="278" w:lineRule="auto"/>
              <w:ind w:left="117" w:right="86" w:firstLine="2"/>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pacing w:val="-14"/>
                <w:szCs w:val="21"/>
              </w:rPr>
              <w:t>具</w:t>
            </w:r>
            <w:r>
              <w:rPr>
                <w:rFonts w:hint="eastAsia" w:asciiTheme="majorEastAsia" w:hAnsiTheme="majorEastAsia" w:eastAsiaTheme="majorEastAsia" w:cstheme="majorEastAsia"/>
                <w:spacing w:val="-11"/>
                <w:szCs w:val="21"/>
              </w:rPr>
              <w:t>有履行合同所必</w:t>
            </w:r>
            <w:r>
              <w:rPr>
                <w:rFonts w:hint="eastAsia" w:asciiTheme="majorEastAsia" w:hAnsiTheme="majorEastAsia" w:eastAsiaTheme="majorEastAsia" w:cstheme="majorEastAsia"/>
                <w:spacing w:val="-12"/>
                <w:szCs w:val="21"/>
              </w:rPr>
              <w:t>需</w:t>
            </w:r>
            <w:r>
              <w:rPr>
                <w:rFonts w:hint="eastAsia" w:asciiTheme="majorEastAsia" w:hAnsiTheme="majorEastAsia" w:eastAsiaTheme="majorEastAsia" w:cstheme="majorEastAsia"/>
                <w:spacing w:val="-11"/>
                <w:szCs w:val="21"/>
              </w:rPr>
              <w:t>的设备和专业技</w:t>
            </w:r>
            <w:r>
              <w:rPr>
                <w:rFonts w:hint="eastAsia" w:asciiTheme="majorEastAsia" w:hAnsiTheme="majorEastAsia" w:eastAsiaTheme="majorEastAsia" w:cstheme="majorEastAsia"/>
                <w:spacing w:val="-10"/>
                <w:szCs w:val="21"/>
              </w:rPr>
              <w:t>术能力</w:t>
            </w:r>
          </w:p>
        </w:tc>
        <w:tc>
          <w:tcPr>
            <w:tcW w:w="6317" w:type="dxa"/>
          </w:tcPr>
          <w:p w14:paraId="02A8275D">
            <w:pPr>
              <w:spacing w:line="437" w:lineRule="auto"/>
              <w:rPr>
                <w:rFonts w:hint="eastAsia" w:asciiTheme="majorEastAsia" w:hAnsiTheme="majorEastAsia" w:eastAsiaTheme="majorEastAsia" w:cstheme="majorEastAsia"/>
                <w:szCs w:val="21"/>
              </w:rPr>
            </w:pPr>
          </w:p>
          <w:p w14:paraId="2CD59D28">
            <w:pPr>
              <w:spacing w:before="78" w:line="219" w:lineRule="auto"/>
              <w:ind w:left="115"/>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pacing w:val="-22"/>
                <w:szCs w:val="21"/>
              </w:rPr>
              <w:t>提</w:t>
            </w:r>
            <w:r>
              <w:rPr>
                <w:rFonts w:hint="eastAsia" w:asciiTheme="majorEastAsia" w:hAnsiTheme="majorEastAsia" w:eastAsiaTheme="majorEastAsia" w:cstheme="majorEastAsia"/>
                <w:spacing w:val="-17"/>
                <w:szCs w:val="21"/>
              </w:rPr>
              <w:t>供《投标人有关资格条件声明函》。</w:t>
            </w:r>
          </w:p>
        </w:tc>
      </w:tr>
      <w:tr w14:paraId="10DE87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708" w:type="dxa"/>
          </w:tcPr>
          <w:p w14:paraId="6BE47075">
            <w:pPr>
              <w:spacing w:line="262" w:lineRule="auto"/>
              <w:rPr>
                <w:rFonts w:hint="eastAsia" w:asciiTheme="majorEastAsia" w:hAnsiTheme="majorEastAsia" w:eastAsiaTheme="majorEastAsia" w:cstheme="majorEastAsia"/>
                <w:szCs w:val="21"/>
              </w:rPr>
            </w:pPr>
          </w:p>
          <w:p w14:paraId="1D3E9D52">
            <w:pPr>
              <w:spacing w:before="64" w:line="178" w:lineRule="auto"/>
              <w:ind w:left="307"/>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4</w:t>
            </w:r>
          </w:p>
        </w:tc>
        <w:tc>
          <w:tcPr>
            <w:tcW w:w="2041" w:type="dxa"/>
          </w:tcPr>
          <w:p w14:paraId="08174DC4">
            <w:pPr>
              <w:spacing w:before="117" w:line="320" w:lineRule="auto"/>
              <w:ind w:left="115" w:right="86" w:firstLine="1"/>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pacing w:val="-12"/>
                <w:szCs w:val="21"/>
              </w:rPr>
              <w:t>依</w:t>
            </w:r>
            <w:r>
              <w:rPr>
                <w:rFonts w:hint="eastAsia" w:asciiTheme="majorEastAsia" w:hAnsiTheme="majorEastAsia" w:eastAsiaTheme="majorEastAsia" w:cstheme="majorEastAsia"/>
                <w:spacing w:val="-11"/>
                <w:szCs w:val="21"/>
              </w:rPr>
              <w:t>法缴纳税收的良</w:t>
            </w:r>
            <w:r>
              <w:rPr>
                <w:rFonts w:hint="eastAsia" w:asciiTheme="majorEastAsia" w:hAnsiTheme="majorEastAsia" w:eastAsiaTheme="majorEastAsia" w:cstheme="majorEastAsia"/>
                <w:szCs w:val="21"/>
              </w:rPr>
              <w:t xml:space="preserve"> </w:t>
            </w:r>
            <w:r>
              <w:rPr>
                <w:rFonts w:hint="eastAsia" w:asciiTheme="majorEastAsia" w:hAnsiTheme="majorEastAsia" w:eastAsiaTheme="majorEastAsia" w:cstheme="majorEastAsia"/>
                <w:spacing w:val="-11"/>
                <w:szCs w:val="21"/>
              </w:rPr>
              <w:t>好</w:t>
            </w:r>
            <w:r>
              <w:rPr>
                <w:rFonts w:hint="eastAsia" w:asciiTheme="majorEastAsia" w:hAnsiTheme="majorEastAsia" w:eastAsiaTheme="majorEastAsia" w:cstheme="majorEastAsia"/>
                <w:spacing w:val="-9"/>
                <w:szCs w:val="21"/>
              </w:rPr>
              <w:t>记录</w:t>
            </w:r>
          </w:p>
        </w:tc>
        <w:tc>
          <w:tcPr>
            <w:tcW w:w="6317" w:type="dxa"/>
          </w:tcPr>
          <w:p w14:paraId="59A483B8">
            <w:pPr>
              <w:spacing w:before="119" w:line="278" w:lineRule="auto"/>
              <w:ind w:left="116" w:right="89" w:hanging="1"/>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pacing w:val="-14"/>
                <w:szCs w:val="21"/>
              </w:rPr>
              <w:t>提供投标截止日前，一年内任一月份的缴税凭据或完税证明</w:t>
            </w:r>
            <w:r>
              <w:rPr>
                <w:rFonts w:hint="eastAsia" w:asciiTheme="majorEastAsia" w:hAnsiTheme="majorEastAsia" w:eastAsiaTheme="majorEastAsia" w:cstheme="majorEastAsia"/>
                <w:spacing w:val="-9"/>
                <w:szCs w:val="21"/>
              </w:rPr>
              <w:t>等</w:t>
            </w:r>
            <w:r>
              <w:rPr>
                <w:rFonts w:hint="eastAsia" w:asciiTheme="majorEastAsia" w:hAnsiTheme="majorEastAsia" w:eastAsiaTheme="majorEastAsia" w:cstheme="majorEastAsia"/>
                <w:szCs w:val="21"/>
              </w:rPr>
              <w:t xml:space="preserve"> </w:t>
            </w:r>
            <w:r>
              <w:rPr>
                <w:rFonts w:hint="eastAsia" w:asciiTheme="majorEastAsia" w:hAnsiTheme="majorEastAsia" w:eastAsiaTheme="majorEastAsia" w:cstheme="majorEastAsia"/>
                <w:spacing w:val="-12"/>
                <w:szCs w:val="21"/>
              </w:rPr>
              <w:t>扫</w:t>
            </w:r>
            <w:r>
              <w:rPr>
                <w:rFonts w:hint="eastAsia" w:asciiTheme="majorEastAsia" w:hAnsiTheme="majorEastAsia" w:eastAsiaTheme="majorEastAsia" w:cstheme="majorEastAsia"/>
                <w:spacing w:val="-9"/>
                <w:szCs w:val="21"/>
              </w:rPr>
              <w:t>描件；依法免税的，应提供相应文件(扫描件) 证明其依法</w:t>
            </w:r>
            <w:r>
              <w:rPr>
                <w:rFonts w:hint="eastAsia" w:asciiTheme="majorEastAsia" w:hAnsiTheme="majorEastAsia" w:eastAsiaTheme="majorEastAsia" w:cstheme="majorEastAsia"/>
                <w:szCs w:val="21"/>
              </w:rPr>
              <w:t xml:space="preserve"> </w:t>
            </w:r>
            <w:r>
              <w:rPr>
                <w:rFonts w:hint="eastAsia" w:asciiTheme="majorEastAsia" w:hAnsiTheme="majorEastAsia" w:eastAsiaTheme="majorEastAsia" w:cstheme="majorEastAsia"/>
                <w:spacing w:val="-18"/>
                <w:szCs w:val="21"/>
              </w:rPr>
              <w:t>免税。</w:t>
            </w:r>
          </w:p>
        </w:tc>
      </w:tr>
    </w:tbl>
    <w:p w14:paraId="13FE0A0F">
      <w:pPr>
        <w:rPr>
          <w:rFonts w:ascii="Arial"/>
        </w:rPr>
      </w:pPr>
    </w:p>
    <w:p w14:paraId="1443C4FE">
      <w:pPr>
        <w:sectPr>
          <w:footerReference r:id="rId8" w:type="default"/>
          <w:pgSz w:w="11907" w:h="16841"/>
          <w:pgMar w:top="1431" w:right="1769" w:bottom="1009" w:left="1065" w:header="0" w:footer="821" w:gutter="0"/>
          <w:cols w:space="720" w:num="1"/>
        </w:sectPr>
      </w:pPr>
    </w:p>
    <w:p w14:paraId="68C167D2">
      <w:pPr>
        <w:spacing w:line="89" w:lineRule="auto"/>
        <w:rPr>
          <w:rFonts w:ascii="Arial"/>
          <w:sz w:val="2"/>
        </w:rPr>
      </w:pPr>
    </w:p>
    <w:tbl>
      <w:tblPr>
        <w:tblStyle w:val="37"/>
        <w:tblW w:w="906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08"/>
        <w:gridCol w:w="2326"/>
        <w:gridCol w:w="6032"/>
      </w:tblGrid>
      <w:tr w14:paraId="527844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5" w:hRule="atLeast"/>
        </w:trPr>
        <w:tc>
          <w:tcPr>
            <w:tcW w:w="708" w:type="dxa"/>
            <w:vAlign w:val="center"/>
          </w:tcPr>
          <w:p w14:paraId="3791610F">
            <w:pPr>
              <w:spacing w:before="64" w:line="178" w:lineRule="auto"/>
              <w:ind w:left="313"/>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5</w:t>
            </w:r>
          </w:p>
        </w:tc>
        <w:tc>
          <w:tcPr>
            <w:tcW w:w="2326" w:type="dxa"/>
            <w:vAlign w:val="center"/>
          </w:tcPr>
          <w:p w14:paraId="39F5A1E6">
            <w:pPr>
              <w:spacing w:before="117" w:line="320" w:lineRule="auto"/>
              <w:ind w:left="125" w:right="87" w:hanging="8"/>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pacing w:val="-12"/>
                <w:szCs w:val="21"/>
              </w:rPr>
              <w:t>依</w:t>
            </w:r>
            <w:r>
              <w:rPr>
                <w:rFonts w:hint="eastAsia" w:asciiTheme="majorEastAsia" w:hAnsiTheme="majorEastAsia" w:eastAsiaTheme="majorEastAsia" w:cstheme="majorEastAsia"/>
                <w:spacing w:val="-11"/>
                <w:szCs w:val="21"/>
              </w:rPr>
              <w:t>法缴纳社会保障</w:t>
            </w:r>
            <w:r>
              <w:rPr>
                <w:rFonts w:hint="eastAsia" w:asciiTheme="majorEastAsia" w:hAnsiTheme="majorEastAsia" w:eastAsiaTheme="majorEastAsia" w:cstheme="majorEastAsia"/>
                <w:szCs w:val="21"/>
              </w:rPr>
              <w:t xml:space="preserve"> </w:t>
            </w:r>
            <w:r>
              <w:rPr>
                <w:rFonts w:hint="eastAsia" w:asciiTheme="majorEastAsia" w:hAnsiTheme="majorEastAsia" w:eastAsiaTheme="majorEastAsia" w:cstheme="majorEastAsia"/>
                <w:spacing w:val="-15"/>
                <w:szCs w:val="21"/>
              </w:rPr>
              <w:t>资金的良好记</w:t>
            </w:r>
            <w:r>
              <w:rPr>
                <w:rFonts w:hint="eastAsia" w:asciiTheme="majorEastAsia" w:hAnsiTheme="majorEastAsia" w:eastAsiaTheme="majorEastAsia" w:cstheme="majorEastAsia"/>
                <w:spacing w:val="-14"/>
                <w:szCs w:val="21"/>
              </w:rPr>
              <w:t>录</w:t>
            </w:r>
          </w:p>
        </w:tc>
        <w:tc>
          <w:tcPr>
            <w:tcW w:w="6032" w:type="dxa"/>
          </w:tcPr>
          <w:p w14:paraId="2C9E8400">
            <w:pPr>
              <w:spacing w:before="116" w:line="316" w:lineRule="auto"/>
              <w:ind w:left="113" w:right="89" w:firstLine="1"/>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pacing w:val="-14"/>
                <w:szCs w:val="21"/>
              </w:rPr>
              <w:t>提供投标截止日前，一年内任一月份缴纳社会保险的凭据扫</w:t>
            </w:r>
            <w:r>
              <w:rPr>
                <w:rFonts w:hint="eastAsia" w:asciiTheme="majorEastAsia" w:hAnsiTheme="majorEastAsia" w:eastAsiaTheme="majorEastAsia" w:cstheme="majorEastAsia"/>
                <w:spacing w:val="-9"/>
                <w:szCs w:val="21"/>
              </w:rPr>
              <w:t>描</w:t>
            </w:r>
            <w:r>
              <w:rPr>
                <w:rFonts w:hint="eastAsia" w:asciiTheme="majorEastAsia" w:hAnsiTheme="majorEastAsia" w:eastAsiaTheme="majorEastAsia" w:cstheme="majorEastAsia"/>
                <w:spacing w:val="-10"/>
                <w:szCs w:val="21"/>
              </w:rPr>
              <w:t>件；依法不需要缴纳社会保险的，应提供相应文件(扫描件</w:t>
            </w:r>
            <w:r>
              <w:rPr>
                <w:rFonts w:hint="eastAsia" w:asciiTheme="majorEastAsia" w:hAnsiTheme="majorEastAsia" w:eastAsiaTheme="majorEastAsia" w:cstheme="majorEastAsia"/>
                <w:spacing w:val="-7"/>
                <w:szCs w:val="21"/>
              </w:rPr>
              <w:t>)</w:t>
            </w:r>
            <w:r>
              <w:rPr>
                <w:rFonts w:hint="eastAsia" w:asciiTheme="majorEastAsia" w:hAnsiTheme="majorEastAsia" w:eastAsiaTheme="majorEastAsia" w:cstheme="majorEastAsia"/>
                <w:szCs w:val="21"/>
              </w:rPr>
              <w:t xml:space="preserve"> </w:t>
            </w:r>
            <w:r>
              <w:rPr>
                <w:rFonts w:hint="eastAsia" w:asciiTheme="majorEastAsia" w:hAnsiTheme="majorEastAsia" w:eastAsiaTheme="majorEastAsia" w:cstheme="majorEastAsia"/>
                <w:spacing w:val="-20"/>
                <w:szCs w:val="21"/>
              </w:rPr>
              <w:t>证</w:t>
            </w:r>
            <w:r>
              <w:rPr>
                <w:rFonts w:hint="eastAsia" w:asciiTheme="majorEastAsia" w:hAnsiTheme="majorEastAsia" w:eastAsiaTheme="majorEastAsia" w:cstheme="majorEastAsia"/>
                <w:spacing w:val="-15"/>
                <w:szCs w:val="21"/>
              </w:rPr>
              <w:t>明其依法不需要缴纳社会保险。</w:t>
            </w:r>
          </w:p>
        </w:tc>
      </w:tr>
      <w:tr w14:paraId="18CE0D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7" w:hRule="atLeast"/>
        </w:trPr>
        <w:tc>
          <w:tcPr>
            <w:tcW w:w="708" w:type="dxa"/>
          </w:tcPr>
          <w:p w14:paraId="3D76E635">
            <w:pPr>
              <w:spacing w:line="358" w:lineRule="auto"/>
              <w:rPr>
                <w:rFonts w:hint="eastAsia" w:asciiTheme="majorEastAsia" w:hAnsiTheme="majorEastAsia" w:eastAsiaTheme="majorEastAsia" w:cstheme="majorEastAsia"/>
                <w:szCs w:val="21"/>
              </w:rPr>
            </w:pPr>
          </w:p>
          <w:p w14:paraId="408357A1">
            <w:pPr>
              <w:spacing w:line="358" w:lineRule="auto"/>
              <w:rPr>
                <w:rFonts w:hint="eastAsia" w:asciiTheme="majorEastAsia" w:hAnsiTheme="majorEastAsia" w:eastAsiaTheme="majorEastAsia" w:cstheme="majorEastAsia"/>
                <w:szCs w:val="21"/>
              </w:rPr>
            </w:pPr>
          </w:p>
          <w:p w14:paraId="51A7574C">
            <w:pPr>
              <w:spacing w:before="64" w:line="179" w:lineRule="auto"/>
              <w:ind w:left="313"/>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6</w:t>
            </w:r>
          </w:p>
        </w:tc>
        <w:tc>
          <w:tcPr>
            <w:tcW w:w="2326" w:type="dxa"/>
          </w:tcPr>
          <w:p w14:paraId="2A7C9B2A">
            <w:pPr>
              <w:spacing w:before="112" w:line="308" w:lineRule="auto"/>
              <w:ind w:left="118" w:right="86" w:hanging="1"/>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pacing w:val="-12"/>
                <w:szCs w:val="21"/>
              </w:rPr>
              <w:t>参</w:t>
            </w:r>
            <w:r>
              <w:rPr>
                <w:rFonts w:hint="eastAsia" w:asciiTheme="majorEastAsia" w:hAnsiTheme="majorEastAsia" w:eastAsiaTheme="majorEastAsia" w:cstheme="majorEastAsia"/>
                <w:spacing w:val="-11"/>
                <w:szCs w:val="21"/>
              </w:rPr>
              <w:t>加政府采购活动</w:t>
            </w:r>
            <w:r>
              <w:rPr>
                <w:rFonts w:hint="eastAsia" w:asciiTheme="majorEastAsia" w:hAnsiTheme="majorEastAsia" w:eastAsiaTheme="majorEastAsia" w:cstheme="majorEastAsia"/>
                <w:szCs w:val="21"/>
              </w:rPr>
              <w:t xml:space="preserve"> </w:t>
            </w:r>
            <w:r>
              <w:rPr>
                <w:rFonts w:hint="eastAsia" w:asciiTheme="majorEastAsia" w:hAnsiTheme="majorEastAsia" w:eastAsiaTheme="majorEastAsia" w:cstheme="majorEastAsia"/>
                <w:spacing w:val="-13"/>
                <w:szCs w:val="21"/>
              </w:rPr>
              <w:t>前</w:t>
            </w:r>
            <w:r>
              <w:rPr>
                <w:rFonts w:hint="eastAsia" w:asciiTheme="majorEastAsia" w:hAnsiTheme="majorEastAsia" w:eastAsiaTheme="majorEastAsia" w:cstheme="majorEastAsia"/>
                <w:spacing w:val="-11"/>
                <w:szCs w:val="21"/>
              </w:rPr>
              <w:t>三年内，在经营</w:t>
            </w:r>
            <w:r>
              <w:rPr>
                <w:rFonts w:hint="eastAsia" w:asciiTheme="majorEastAsia" w:hAnsiTheme="majorEastAsia" w:eastAsiaTheme="majorEastAsia" w:cstheme="majorEastAsia"/>
                <w:szCs w:val="21"/>
              </w:rPr>
              <w:t xml:space="preserve"> </w:t>
            </w:r>
            <w:r>
              <w:rPr>
                <w:rFonts w:hint="eastAsia" w:asciiTheme="majorEastAsia" w:hAnsiTheme="majorEastAsia" w:eastAsiaTheme="majorEastAsia" w:cstheme="majorEastAsia"/>
                <w:spacing w:val="-13"/>
                <w:szCs w:val="21"/>
              </w:rPr>
              <w:t>活</w:t>
            </w:r>
            <w:r>
              <w:rPr>
                <w:rFonts w:hint="eastAsia" w:asciiTheme="majorEastAsia" w:hAnsiTheme="majorEastAsia" w:eastAsiaTheme="majorEastAsia" w:cstheme="majorEastAsia"/>
                <w:spacing w:val="-11"/>
                <w:szCs w:val="21"/>
              </w:rPr>
              <w:t>动中没有重大违</w:t>
            </w:r>
          </w:p>
          <w:p w14:paraId="20DED28D">
            <w:pPr>
              <w:spacing w:line="221" w:lineRule="auto"/>
              <w:ind w:left="116"/>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pacing w:val="-12"/>
                <w:szCs w:val="21"/>
              </w:rPr>
              <w:t>法</w:t>
            </w:r>
            <w:r>
              <w:rPr>
                <w:rFonts w:hint="eastAsia" w:asciiTheme="majorEastAsia" w:hAnsiTheme="majorEastAsia" w:eastAsiaTheme="majorEastAsia" w:cstheme="majorEastAsia"/>
                <w:spacing w:val="-9"/>
                <w:szCs w:val="21"/>
              </w:rPr>
              <w:t>记录</w:t>
            </w:r>
          </w:p>
        </w:tc>
        <w:tc>
          <w:tcPr>
            <w:tcW w:w="6032" w:type="dxa"/>
          </w:tcPr>
          <w:p w14:paraId="1E8A4AF4">
            <w:pPr>
              <w:spacing w:line="315" w:lineRule="auto"/>
              <w:rPr>
                <w:rFonts w:hint="eastAsia" w:asciiTheme="majorEastAsia" w:hAnsiTheme="majorEastAsia" w:eastAsiaTheme="majorEastAsia" w:cstheme="majorEastAsia"/>
                <w:szCs w:val="21"/>
              </w:rPr>
            </w:pPr>
          </w:p>
          <w:p w14:paraId="62BAB998">
            <w:pPr>
              <w:spacing w:line="316" w:lineRule="auto"/>
              <w:rPr>
                <w:rFonts w:hint="eastAsia" w:asciiTheme="majorEastAsia" w:hAnsiTheme="majorEastAsia" w:eastAsiaTheme="majorEastAsia" w:cstheme="majorEastAsia"/>
                <w:szCs w:val="21"/>
              </w:rPr>
            </w:pPr>
          </w:p>
          <w:p w14:paraId="261E8BF2">
            <w:pPr>
              <w:spacing w:before="78" w:line="219" w:lineRule="auto"/>
              <w:ind w:left="115"/>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pacing w:val="-17"/>
                <w:szCs w:val="21"/>
              </w:rPr>
              <w:t>提供《三年内在经营活动中没有重大违法记录的声明》</w:t>
            </w:r>
            <w:r>
              <w:rPr>
                <w:rFonts w:hint="eastAsia" w:asciiTheme="majorEastAsia" w:hAnsiTheme="majorEastAsia" w:eastAsiaTheme="majorEastAsia" w:cstheme="majorEastAsia"/>
                <w:spacing w:val="-16"/>
                <w:szCs w:val="21"/>
              </w:rPr>
              <w:t>。</w:t>
            </w:r>
          </w:p>
        </w:tc>
      </w:tr>
      <w:tr w14:paraId="7C12A1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3" w:hRule="atLeast"/>
        </w:trPr>
        <w:tc>
          <w:tcPr>
            <w:tcW w:w="708" w:type="dxa"/>
          </w:tcPr>
          <w:p w14:paraId="7CB7B12E">
            <w:pPr>
              <w:spacing w:line="319" w:lineRule="auto"/>
              <w:rPr>
                <w:rFonts w:hint="eastAsia" w:asciiTheme="majorEastAsia" w:hAnsiTheme="majorEastAsia" w:eastAsiaTheme="majorEastAsia" w:cstheme="majorEastAsia"/>
                <w:szCs w:val="21"/>
              </w:rPr>
            </w:pPr>
          </w:p>
          <w:p w14:paraId="305CDF8D">
            <w:pPr>
              <w:spacing w:before="64" w:line="178" w:lineRule="auto"/>
              <w:ind w:left="312"/>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7</w:t>
            </w:r>
          </w:p>
        </w:tc>
        <w:tc>
          <w:tcPr>
            <w:tcW w:w="2326" w:type="dxa"/>
          </w:tcPr>
          <w:p w14:paraId="3FE8A8AC">
            <w:pPr>
              <w:spacing w:before="113" w:line="401" w:lineRule="exact"/>
              <w:ind w:left="117"/>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pacing w:val="-14"/>
                <w:position w:val="11"/>
                <w:szCs w:val="21"/>
              </w:rPr>
              <w:t>符</w:t>
            </w:r>
            <w:r>
              <w:rPr>
                <w:rFonts w:hint="eastAsia" w:asciiTheme="majorEastAsia" w:hAnsiTheme="majorEastAsia" w:eastAsiaTheme="majorEastAsia" w:cstheme="majorEastAsia"/>
                <w:spacing w:val="-9"/>
                <w:position w:val="11"/>
                <w:szCs w:val="21"/>
              </w:rPr>
              <w:t>合法律、行政法</w:t>
            </w:r>
          </w:p>
          <w:p w14:paraId="1E6DA164">
            <w:pPr>
              <w:spacing w:line="219" w:lineRule="auto"/>
              <w:ind w:left="116"/>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pacing w:val="-14"/>
                <w:szCs w:val="21"/>
              </w:rPr>
              <w:t>规规定的其他条件</w:t>
            </w:r>
          </w:p>
        </w:tc>
        <w:tc>
          <w:tcPr>
            <w:tcW w:w="6032" w:type="dxa"/>
          </w:tcPr>
          <w:p w14:paraId="4A4EC15A">
            <w:pPr>
              <w:spacing w:before="312" w:line="219" w:lineRule="auto"/>
              <w:ind w:left="115"/>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pacing w:val="-22"/>
                <w:szCs w:val="21"/>
              </w:rPr>
              <w:t>提</w:t>
            </w:r>
            <w:r>
              <w:rPr>
                <w:rFonts w:hint="eastAsia" w:asciiTheme="majorEastAsia" w:hAnsiTheme="majorEastAsia" w:eastAsiaTheme="majorEastAsia" w:cstheme="majorEastAsia"/>
                <w:spacing w:val="-17"/>
                <w:szCs w:val="21"/>
              </w:rPr>
              <w:t>供《投标人有关资格条件声明函》。</w:t>
            </w:r>
          </w:p>
        </w:tc>
      </w:tr>
      <w:tr w14:paraId="26DE81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6" w:hRule="atLeast"/>
        </w:trPr>
        <w:tc>
          <w:tcPr>
            <w:tcW w:w="9066" w:type="dxa"/>
            <w:gridSpan w:val="3"/>
          </w:tcPr>
          <w:p w14:paraId="76489649">
            <w:pPr>
              <w:spacing w:before="114" w:line="220" w:lineRule="auto"/>
              <w:ind w:left="123"/>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pacing w:val="-1"/>
                <w:szCs w:val="21"/>
                <w14:textOutline w14:w="4356" w14:cap="flat" w14:cmpd="sng" w14:algn="ctr">
                  <w14:solidFill>
                    <w14:srgbClr w14:val="000000"/>
                  </w14:solidFill>
                  <w14:prstDash w14:val="solid"/>
                  <w14:miter w14:val="0"/>
                </w14:textOutline>
              </w:rPr>
              <w:t>(二)</w:t>
            </w:r>
            <w:r>
              <w:rPr>
                <w:rFonts w:hint="eastAsia" w:asciiTheme="majorEastAsia" w:hAnsiTheme="majorEastAsia" w:eastAsiaTheme="majorEastAsia" w:cstheme="majorEastAsia"/>
                <w:spacing w:val="-1"/>
                <w:szCs w:val="21"/>
              </w:rPr>
              <w:t xml:space="preserve"> </w:t>
            </w:r>
            <w:r>
              <w:rPr>
                <w:rFonts w:hint="eastAsia" w:asciiTheme="majorEastAsia" w:hAnsiTheme="majorEastAsia" w:eastAsiaTheme="majorEastAsia" w:cstheme="majorEastAsia"/>
                <w:spacing w:val="-1"/>
                <w:szCs w:val="21"/>
                <w14:textOutline w14:w="4356" w14:cap="flat" w14:cmpd="sng" w14:algn="ctr">
                  <w14:solidFill>
                    <w14:srgbClr w14:val="000000"/>
                  </w14:solidFill>
                  <w14:prstDash w14:val="solid"/>
                  <w14:miter w14:val="0"/>
                </w14:textOutline>
              </w:rPr>
              <w:t>特定资</w:t>
            </w:r>
            <w:r>
              <w:rPr>
                <w:rFonts w:hint="eastAsia" w:asciiTheme="majorEastAsia" w:hAnsiTheme="majorEastAsia" w:eastAsiaTheme="majorEastAsia" w:cstheme="majorEastAsia"/>
                <w:szCs w:val="21"/>
                <w14:textOutline w14:w="4356" w14:cap="flat" w14:cmpd="sng" w14:algn="ctr">
                  <w14:solidFill>
                    <w14:srgbClr w14:val="000000"/>
                  </w14:solidFill>
                  <w14:prstDash w14:val="solid"/>
                  <w14:miter w14:val="0"/>
                </w14:textOutline>
              </w:rPr>
              <w:t>格条件</w:t>
            </w:r>
          </w:p>
        </w:tc>
      </w:tr>
      <w:tr w14:paraId="4512E97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4" w:hRule="atLeast"/>
        </w:trPr>
        <w:tc>
          <w:tcPr>
            <w:tcW w:w="708" w:type="dxa"/>
          </w:tcPr>
          <w:p w14:paraId="1AB0A6CE">
            <w:pPr>
              <w:spacing w:before="112" w:line="308" w:lineRule="auto"/>
              <w:ind w:left="118" w:right="86" w:hanging="1"/>
              <w:rPr>
                <w:rFonts w:hint="eastAsia" w:asciiTheme="majorEastAsia" w:hAnsiTheme="majorEastAsia" w:eastAsiaTheme="majorEastAsia" w:cstheme="majorEastAsia"/>
                <w:spacing w:val="-11"/>
                <w:szCs w:val="21"/>
              </w:rPr>
            </w:pPr>
          </w:p>
          <w:p w14:paraId="0C004C2B">
            <w:pPr>
              <w:spacing w:before="112" w:line="308" w:lineRule="auto"/>
              <w:ind w:left="118" w:right="86" w:hanging="1"/>
              <w:rPr>
                <w:rFonts w:hint="eastAsia" w:asciiTheme="majorEastAsia" w:hAnsiTheme="majorEastAsia" w:eastAsiaTheme="majorEastAsia" w:cstheme="majorEastAsia"/>
                <w:spacing w:val="-11"/>
                <w:szCs w:val="21"/>
              </w:rPr>
            </w:pPr>
            <w:r>
              <w:rPr>
                <w:rFonts w:hint="eastAsia" w:asciiTheme="majorEastAsia" w:hAnsiTheme="majorEastAsia" w:eastAsiaTheme="majorEastAsia" w:cstheme="majorEastAsia"/>
                <w:spacing w:val="-11"/>
                <w:szCs w:val="21"/>
              </w:rPr>
              <w:t>8</w:t>
            </w:r>
          </w:p>
        </w:tc>
        <w:tc>
          <w:tcPr>
            <w:tcW w:w="2326" w:type="dxa"/>
          </w:tcPr>
          <w:p w14:paraId="47AA9D70">
            <w:pPr>
              <w:spacing w:before="112" w:line="308" w:lineRule="auto"/>
              <w:ind w:left="118" w:right="86" w:hanging="1"/>
              <w:rPr>
                <w:rFonts w:hint="eastAsia" w:asciiTheme="majorEastAsia" w:hAnsiTheme="majorEastAsia" w:eastAsiaTheme="majorEastAsia" w:cstheme="majorEastAsia"/>
                <w:spacing w:val="-11"/>
                <w:szCs w:val="21"/>
              </w:rPr>
            </w:pPr>
            <w:r>
              <w:rPr>
                <w:rFonts w:hint="eastAsia" w:asciiTheme="majorEastAsia" w:hAnsiTheme="majorEastAsia" w:eastAsiaTheme="majorEastAsia" w:cstheme="majorEastAsia"/>
                <w:spacing w:val="-11"/>
                <w:szCs w:val="21"/>
              </w:rPr>
              <w:t>符合招标文件第一 章《招标公告》中 确定的供应商特定 资格条件</w:t>
            </w:r>
          </w:p>
        </w:tc>
        <w:tc>
          <w:tcPr>
            <w:tcW w:w="6032" w:type="dxa"/>
          </w:tcPr>
          <w:p w14:paraId="4474EEB8">
            <w:pPr>
              <w:spacing w:before="112" w:line="308" w:lineRule="auto"/>
              <w:ind w:left="118" w:right="86" w:hanging="1"/>
              <w:rPr>
                <w:rFonts w:hint="eastAsia" w:asciiTheme="majorEastAsia" w:hAnsiTheme="majorEastAsia" w:eastAsiaTheme="majorEastAsia" w:cstheme="majorEastAsia"/>
                <w:spacing w:val="-11"/>
                <w:szCs w:val="21"/>
              </w:rPr>
            </w:pPr>
            <w:r>
              <w:rPr>
                <w:rFonts w:hint="eastAsia" w:asciiTheme="majorEastAsia" w:hAnsiTheme="majorEastAsia" w:eastAsiaTheme="majorEastAsia" w:cstheme="majorEastAsia"/>
                <w:spacing w:val="-11"/>
                <w:szCs w:val="21"/>
              </w:rPr>
              <w:t>无</w:t>
            </w:r>
          </w:p>
        </w:tc>
      </w:tr>
      <w:tr w14:paraId="00FB330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9066" w:type="dxa"/>
            <w:gridSpan w:val="3"/>
          </w:tcPr>
          <w:p w14:paraId="2F699993">
            <w:pPr>
              <w:spacing w:before="112" w:line="308" w:lineRule="auto"/>
              <w:ind w:left="118" w:right="86" w:hanging="1"/>
              <w:rPr>
                <w:rFonts w:hint="eastAsia" w:asciiTheme="majorEastAsia" w:hAnsiTheme="majorEastAsia" w:eastAsiaTheme="majorEastAsia" w:cstheme="majorEastAsia"/>
                <w:spacing w:val="-11"/>
                <w:szCs w:val="21"/>
              </w:rPr>
            </w:pPr>
            <w:r>
              <w:rPr>
                <w:rFonts w:ascii="Times New Roman" w:hAnsi="Times New Roman"/>
                <w:b/>
                <w:bCs/>
                <w:color w:val="000000"/>
                <w:sz w:val="24"/>
                <w:lang w:val="zh-CN"/>
              </w:rPr>
              <w:t>（三）</w:t>
            </w:r>
            <w:r>
              <w:rPr>
                <w:rFonts w:ascii="Times New Roman" w:hAnsi="Times New Roman" w:eastAsia="仿宋"/>
                <w:b/>
                <w:bCs/>
                <w:color w:val="000000"/>
                <w:sz w:val="28"/>
                <w:szCs w:val="28"/>
              </w:rPr>
              <w:t>落实政府采购政策需满足的资格要求</w:t>
            </w:r>
          </w:p>
        </w:tc>
      </w:tr>
      <w:tr w14:paraId="5EE1D1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74" w:hRule="atLeast"/>
        </w:trPr>
        <w:tc>
          <w:tcPr>
            <w:tcW w:w="708" w:type="dxa"/>
            <w:vAlign w:val="center"/>
          </w:tcPr>
          <w:p w14:paraId="7655E480">
            <w:pPr>
              <w:autoSpaceDE w:val="0"/>
              <w:autoSpaceDN w:val="0"/>
              <w:adjustRightInd w:val="0"/>
              <w:jc w:val="center"/>
              <w:rPr>
                <w:rFonts w:hint="eastAsia" w:asciiTheme="majorEastAsia" w:hAnsiTheme="majorEastAsia" w:eastAsiaTheme="majorEastAsia" w:cstheme="majorEastAsia"/>
                <w:szCs w:val="21"/>
              </w:rPr>
            </w:pPr>
            <w:r>
              <w:rPr>
                <w:rFonts w:hint="eastAsia" w:ascii="Times New Roman" w:hAnsi="Times New Roman"/>
                <w:color w:val="000000"/>
                <w:sz w:val="24"/>
                <w:highlight w:val="none"/>
                <w:lang w:val="en-US" w:eastAsia="zh-CN"/>
              </w:rPr>
              <w:t>9</w:t>
            </w:r>
          </w:p>
        </w:tc>
        <w:tc>
          <w:tcPr>
            <w:tcW w:w="2326" w:type="dxa"/>
            <w:vAlign w:val="center"/>
          </w:tcPr>
          <w:p w14:paraId="6E463217">
            <w:pPr>
              <w:spacing w:line="500" w:lineRule="exact"/>
              <w:rPr>
                <w:rFonts w:hint="eastAsia" w:ascii="Times New Roman" w:hAnsi="Times New Roman" w:eastAsia="仿宋"/>
                <w:color w:val="000000"/>
                <w:sz w:val="28"/>
                <w:szCs w:val="28"/>
                <w:highlight w:val="none"/>
                <w:lang w:eastAsia="zh-CN"/>
              </w:rPr>
            </w:pPr>
            <w:r>
              <w:rPr>
                <w:rFonts w:hint="eastAsia" w:ascii="Times New Roman" w:hAnsi="Times New Roman" w:eastAsia="仿宋"/>
                <w:b/>
                <w:bCs/>
                <w:color w:val="000000"/>
                <w:sz w:val="28"/>
                <w:szCs w:val="28"/>
                <w:highlight w:val="none"/>
                <w:lang w:eastAsia="zh-CN"/>
              </w:rPr>
              <w:t>本项目</w:t>
            </w:r>
            <w:r>
              <w:rPr>
                <w:rFonts w:hint="eastAsia" w:ascii="Times New Roman" w:hAnsi="Times New Roman" w:eastAsia="仿宋"/>
                <w:b/>
                <w:bCs/>
                <w:color w:val="000000"/>
                <w:sz w:val="28"/>
                <w:szCs w:val="28"/>
                <w:highlight w:val="none"/>
                <w:lang w:val="en-US" w:eastAsia="zh-CN"/>
              </w:rPr>
              <w:t>不</w:t>
            </w:r>
            <w:r>
              <w:rPr>
                <w:rFonts w:hint="eastAsia" w:ascii="Times New Roman" w:hAnsi="Times New Roman" w:eastAsia="仿宋"/>
                <w:b/>
                <w:bCs/>
                <w:color w:val="000000"/>
                <w:sz w:val="28"/>
                <w:szCs w:val="28"/>
                <w:highlight w:val="none"/>
                <w:lang w:eastAsia="zh-CN"/>
              </w:rPr>
              <w:t>专门面向中小企业采购</w:t>
            </w:r>
          </w:p>
          <w:p w14:paraId="58100309">
            <w:pPr>
              <w:autoSpaceDE w:val="0"/>
              <w:autoSpaceDN w:val="0"/>
              <w:adjustRightInd w:val="0"/>
              <w:rPr>
                <w:rFonts w:hint="eastAsia" w:asciiTheme="majorEastAsia" w:hAnsiTheme="majorEastAsia" w:eastAsiaTheme="majorEastAsia" w:cstheme="majorEastAsia"/>
                <w:szCs w:val="21"/>
              </w:rPr>
            </w:pPr>
          </w:p>
        </w:tc>
        <w:tc>
          <w:tcPr>
            <w:tcW w:w="6032" w:type="dxa"/>
          </w:tcPr>
          <w:p w14:paraId="08D066BD">
            <w:pPr>
              <w:spacing w:line="220" w:lineRule="auto"/>
              <w:ind w:left="118"/>
              <w:rPr>
                <w:rFonts w:hint="eastAsia" w:asciiTheme="majorEastAsia" w:hAnsiTheme="majorEastAsia" w:eastAsiaTheme="majorEastAsia" w:cstheme="majorEastAsia"/>
                <w:szCs w:val="21"/>
              </w:rPr>
            </w:pPr>
          </w:p>
        </w:tc>
      </w:tr>
      <w:tr w14:paraId="259571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6" w:hRule="atLeast"/>
        </w:trPr>
        <w:tc>
          <w:tcPr>
            <w:tcW w:w="9066" w:type="dxa"/>
            <w:gridSpan w:val="3"/>
          </w:tcPr>
          <w:p w14:paraId="2F82B1E2">
            <w:pPr>
              <w:spacing w:before="118" w:line="220" w:lineRule="auto"/>
              <w:ind w:left="123"/>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pacing w:val="1"/>
                <w:szCs w:val="21"/>
                <w14:textOutline w14:w="4356" w14:cap="flat" w14:cmpd="sng" w14:algn="ctr">
                  <w14:solidFill>
                    <w14:srgbClr w14:val="000000"/>
                  </w14:solidFill>
                  <w14:prstDash w14:val="solid"/>
                  <w14:miter w14:val="0"/>
                </w14:textOutline>
              </w:rPr>
              <w:t>(四)</w:t>
            </w:r>
            <w:r>
              <w:rPr>
                <w:rFonts w:hint="eastAsia" w:asciiTheme="majorEastAsia" w:hAnsiTheme="majorEastAsia" w:eastAsiaTheme="majorEastAsia" w:cstheme="majorEastAsia"/>
                <w:spacing w:val="1"/>
                <w:szCs w:val="21"/>
              </w:rPr>
              <w:t xml:space="preserve"> </w:t>
            </w:r>
            <w:r>
              <w:rPr>
                <w:rFonts w:hint="eastAsia" w:asciiTheme="majorEastAsia" w:hAnsiTheme="majorEastAsia" w:eastAsiaTheme="majorEastAsia" w:cstheme="majorEastAsia"/>
                <w:spacing w:val="1"/>
                <w:szCs w:val="21"/>
                <w14:textOutline w14:w="4356" w14:cap="flat" w14:cmpd="sng" w14:algn="ctr">
                  <w14:solidFill>
                    <w14:srgbClr w14:val="000000"/>
                  </w14:solidFill>
                  <w14:prstDash w14:val="solid"/>
                  <w14:miter w14:val="0"/>
                </w14:textOutline>
              </w:rPr>
              <w:t>联合体投</w:t>
            </w:r>
            <w:r>
              <w:rPr>
                <w:rFonts w:hint="eastAsia" w:asciiTheme="majorEastAsia" w:hAnsiTheme="majorEastAsia" w:eastAsiaTheme="majorEastAsia" w:cstheme="majorEastAsia"/>
                <w:szCs w:val="21"/>
                <w14:textOutline w14:w="4356" w14:cap="flat" w14:cmpd="sng" w14:algn="ctr">
                  <w14:solidFill>
                    <w14:srgbClr w14:val="000000"/>
                  </w14:solidFill>
                  <w14:prstDash w14:val="solid"/>
                  <w14:miter w14:val="0"/>
                </w14:textOutline>
              </w:rPr>
              <w:t>标</w:t>
            </w:r>
          </w:p>
        </w:tc>
      </w:tr>
      <w:tr w14:paraId="04C7CA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14" w:hRule="atLeast"/>
        </w:trPr>
        <w:tc>
          <w:tcPr>
            <w:tcW w:w="708" w:type="dxa"/>
          </w:tcPr>
          <w:p w14:paraId="329B8614">
            <w:pPr>
              <w:spacing w:line="281" w:lineRule="auto"/>
              <w:rPr>
                <w:rFonts w:hint="eastAsia" w:asciiTheme="majorEastAsia" w:hAnsiTheme="majorEastAsia" w:eastAsiaTheme="majorEastAsia" w:cstheme="majorEastAsia"/>
                <w:szCs w:val="21"/>
              </w:rPr>
            </w:pPr>
          </w:p>
          <w:p w14:paraId="387CF949">
            <w:pPr>
              <w:spacing w:line="281" w:lineRule="auto"/>
              <w:rPr>
                <w:rFonts w:hint="eastAsia" w:asciiTheme="majorEastAsia" w:hAnsiTheme="majorEastAsia" w:eastAsiaTheme="majorEastAsia" w:cstheme="majorEastAsia"/>
                <w:szCs w:val="21"/>
              </w:rPr>
            </w:pPr>
          </w:p>
          <w:p w14:paraId="30E1B808">
            <w:pPr>
              <w:spacing w:line="282" w:lineRule="auto"/>
              <w:rPr>
                <w:rFonts w:hint="eastAsia" w:asciiTheme="majorEastAsia" w:hAnsiTheme="majorEastAsia" w:eastAsiaTheme="majorEastAsia" w:cstheme="majorEastAsia"/>
                <w:szCs w:val="21"/>
              </w:rPr>
            </w:pPr>
          </w:p>
          <w:p w14:paraId="4606C35C">
            <w:pPr>
              <w:spacing w:line="282" w:lineRule="auto"/>
              <w:rPr>
                <w:rFonts w:hint="eastAsia" w:asciiTheme="majorEastAsia" w:hAnsiTheme="majorEastAsia" w:eastAsiaTheme="majorEastAsia" w:cstheme="majorEastAsia"/>
                <w:szCs w:val="21"/>
              </w:rPr>
            </w:pPr>
          </w:p>
          <w:p w14:paraId="20C196E2">
            <w:pPr>
              <w:spacing w:before="78" w:line="183" w:lineRule="auto"/>
              <w:ind w:left="266"/>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pacing w:val="-10"/>
                <w:szCs w:val="21"/>
              </w:rPr>
              <w:t>1</w:t>
            </w:r>
            <w:r>
              <w:rPr>
                <w:rFonts w:hint="eastAsia" w:asciiTheme="majorEastAsia" w:hAnsiTheme="majorEastAsia" w:eastAsiaTheme="majorEastAsia" w:cstheme="majorEastAsia"/>
                <w:spacing w:val="-8"/>
                <w:szCs w:val="21"/>
              </w:rPr>
              <w:t>0</w:t>
            </w:r>
          </w:p>
        </w:tc>
        <w:tc>
          <w:tcPr>
            <w:tcW w:w="2326" w:type="dxa"/>
          </w:tcPr>
          <w:p w14:paraId="76D43863">
            <w:pPr>
              <w:spacing w:line="271" w:lineRule="auto"/>
              <w:rPr>
                <w:rFonts w:hint="eastAsia" w:asciiTheme="majorEastAsia" w:hAnsiTheme="majorEastAsia" w:eastAsiaTheme="majorEastAsia" w:cstheme="majorEastAsia"/>
                <w:szCs w:val="21"/>
              </w:rPr>
            </w:pPr>
          </w:p>
          <w:p w14:paraId="05A9F2F8">
            <w:pPr>
              <w:spacing w:line="271" w:lineRule="auto"/>
              <w:rPr>
                <w:rFonts w:hint="eastAsia" w:asciiTheme="majorEastAsia" w:hAnsiTheme="majorEastAsia" w:eastAsiaTheme="majorEastAsia" w:cstheme="majorEastAsia"/>
                <w:szCs w:val="21"/>
              </w:rPr>
            </w:pPr>
          </w:p>
          <w:p w14:paraId="4B22A6DF">
            <w:pPr>
              <w:spacing w:line="272" w:lineRule="auto"/>
              <w:rPr>
                <w:rFonts w:hint="eastAsia" w:asciiTheme="majorEastAsia" w:hAnsiTheme="majorEastAsia" w:eastAsiaTheme="majorEastAsia" w:cstheme="majorEastAsia"/>
                <w:szCs w:val="21"/>
              </w:rPr>
            </w:pPr>
          </w:p>
          <w:p w14:paraId="42896DF0">
            <w:pPr>
              <w:spacing w:line="272" w:lineRule="auto"/>
              <w:rPr>
                <w:rFonts w:hint="eastAsia" w:asciiTheme="majorEastAsia" w:hAnsiTheme="majorEastAsia" w:eastAsiaTheme="majorEastAsia" w:cstheme="majorEastAsia"/>
                <w:szCs w:val="21"/>
              </w:rPr>
            </w:pPr>
          </w:p>
          <w:p w14:paraId="58CAB2E6">
            <w:pPr>
              <w:spacing w:before="78" w:line="220" w:lineRule="auto"/>
              <w:ind w:left="116"/>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pacing w:val="-14"/>
                <w:szCs w:val="21"/>
              </w:rPr>
              <w:t>合</w:t>
            </w:r>
            <w:r>
              <w:rPr>
                <w:rFonts w:hint="eastAsia" w:asciiTheme="majorEastAsia" w:hAnsiTheme="majorEastAsia" w:eastAsiaTheme="majorEastAsia" w:cstheme="majorEastAsia"/>
                <w:spacing w:val="-13"/>
                <w:szCs w:val="21"/>
              </w:rPr>
              <w:t>格的联合体</w:t>
            </w:r>
          </w:p>
        </w:tc>
        <w:tc>
          <w:tcPr>
            <w:tcW w:w="6032" w:type="dxa"/>
          </w:tcPr>
          <w:p w14:paraId="1C6EEA19">
            <w:pPr>
              <w:spacing w:before="1" w:line="218" w:lineRule="auto"/>
              <w:ind w:left="117"/>
              <w:rPr>
                <w:rFonts w:hint="eastAsia" w:asciiTheme="majorEastAsia" w:hAnsiTheme="majorEastAsia" w:eastAsiaTheme="majorEastAsia" w:cstheme="majorEastAsia"/>
                <w:spacing w:val="-44"/>
                <w:szCs w:val="21"/>
              </w:rPr>
            </w:pPr>
          </w:p>
          <w:p w14:paraId="35C1F89F">
            <w:pPr>
              <w:spacing w:before="1" w:line="218" w:lineRule="auto"/>
              <w:ind w:left="117"/>
              <w:rPr>
                <w:rFonts w:hint="eastAsia" w:asciiTheme="majorEastAsia" w:hAnsiTheme="majorEastAsia" w:eastAsiaTheme="majorEastAsia" w:cstheme="majorEastAsia"/>
                <w:spacing w:val="-44"/>
                <w:szCs w:val="21"/>
              </w:rPr>
            </w:pPr>
          </w:p>
          <w:p w14:paraId="6D08456B">
            <w:pPr>
              <w:spacing w:before="1" w:line="218" w:lineRule="auto"/>
              <w:ind w:left="117"/>
              <w:rPr>
                <w:rFonts w:hint="eastAsia" w:asciiTheme="majorEastAsia" w:hAnsiTheme="majorEastAsia" w:eastAsiaTheme="majorEastAsia" w:cstheme="majorEastAsia"/>
                <w:spacing w:val="-44"/>
                <w:szCs w:val="21"/>
              </w:rPr>
            </w:pPr>
          </w:p>
          <w:p w14:paraId="1970E3DF">
            <w:pPr>
              <w:spacing w:before="1" w:line="218" w:lineRule="auto"/>
              <w:ind w:left="117"/>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pacing w:val="-22"/>
                <w:szCs w:val="21"/>
              </w:rPr>
              <w:t>本项目不允许联合体投标， 以联合体形式投标的，投标无效。</w:t>
            </w:r>
          </w:p>
        </w:tc>
      </w:tr>
      <w:tr w14:paraId="1D34655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9066" w:type="dxa"/>
            <w:gridSpan w:val="3"/>
          </w:tcPr>
          <w:p w14:paraId="0F0A717A">
            <w:pPr>
              <w:spacing w:before="116" w:line="220" w:lineRule="auto"/>
              <w:ind w:left="123"/>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pacing w:val="11"/>
                <w:szCs w:val="21"/>
                <w14:textOutline w14:w="4356" w14:cap="flat" w14:cmpd="sng" w14:algn="ctr">
                  <w14:solidFill>
                    <w14:srgbClr w14:val="000000"/>
                  </w14:solidFill>
                  <w14:prstDash w14:val="solid"/>
                  <w14:miter w14:val="0"/>
                </w14:textOutline>
              </w:rPr>
              <w:t>(</w:t>
            </w:r>
            <w:r>
              <w:rPr>
                <w:rFonts w:hint="eastAsia" w:asciiTheme="majorEastAsia" w:hAnsiTheme="majorEastAsia" w:eastAsiaTheme="majorEastAsia" w:cstheme="majorEastAsia"/>
                <w:spacing w:val="9"/>
                <w:szCs w:val="21"/>
                <w14:textOutline w14:w="4356" w14:cap="flat" w14:cmpd="sng" w14:algn="ctr">
                  <w14:solidFill>
                    <w14:srgbClr w14:val="000000"/>
                  </w14:solidFill>
                  <w14:prstDash w14:val="solid"/>
                  <w14:miter w14:val="0"/>
                </w14:textOutline>
              </w:rPr>
              <w:t>五)</w:t>
            </w:r>
            <w:r>
              <w:rPr>
                <w:rFonts w:hint="eastAsia" w:asciiTheme="majorEastAsia" w:hAnsiTheme="majorEastAsia" w:eastAsiaTheme="majorEastAsia" w:cstheme="majorEastAsia"/>
                <w:spacing w:val="9"/>
                <w:szCs w:val="21"/>
              </w:rPr>
              <w:t xml:space="preserve"> </w:t>
            </w:r>
            <w:r>
              <w:rPr>
                <w:rFonts w:hint="eastAsia" w:asciiTheme="majorEastAsia" w:hAnsiTheme="majorEastAsia" w:eastAsiaTheme="majorEastAsia" w:cstheme="majorEastAsia"/>
                <w:spacing w:val="9"/>
                <w:szCs w:val="21"/>
                <w14:textOutline w14:w="4356" w14:cap="flat" w14:cmpd="sng" w14:algn="ctr">
                  <w14:solidFill>
                    <w14:srgbClr w14:val="000000"/>
                  </w14:solidFill>
                  <w14:prstDash w14:val="solid"/>
                  <w14:miter w14:val="0"/>
                </w14:textOutline>
              </w:rPr>
              <w:t>其他</w:t>
            </w:r>
          </w:p>
        </w:tc>
      </w:tr>
      <w:tr w14:paraId="045FC7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4" w:hRule="atLeast"/>
        </w:trPr>
        <w:tc>
          <w:tcPr>
            <w:tcW w:w="708" w:type="dxa"/>
          </w:tcPr>
          <w:p w14:paraId="0B451261">
            <w:pPr>
              <w:spacing w:line="242" w:lineRule="auto"/>
              <w:rPr>
                <w:rFonts w:hint="eastAsia" w:asciiTheme="majorEastAsia" w:hAnsiTheme="majorEastAsia" w:eastAsiaTheme="majorEastAsia" w:cstheme="majorEastAsia"/>
                <w:szCs w:val="21"/>
              </w:rPr>
            </w:pPr>
          </w:p>
          <w:p w14:paraId="3D19ABC4">
            <w:pPr>
              <w:spacing w:line="242" w:lineRule="auto"/>
              <w:rPr>
                <w:rFonts w:hint="eastAsia" w:asciiTheme="majorEastAsia" w:hAnsiTheme="majorEastAsia" w:eastAsiaTheme="majorEastAsia" w:cstheme="majorEastAsia"/>
                <w:szCs w:val="21"/>
              </w:rPr>
            </w:pPr>
          </w:p>
          <w:p w14:paraId="2586CFE9">
            <w:pPr>
              <w:spacing w:line="242" w:lineRule="auto"/>
              <w:rPr>
                <w:rFonts w:hint="eastAsia" w:asciiTheme="majorEastAsia" w:hAnsiTheme="majorEastAsia" w:eastAsiaTheme="majorEastAsia" w:cstheme="majorEastAsia"/>
                <w:szCs w:val="21"/>
              </w:rPr>
            </w:pPr>
          </w:p>
          <w:p w14:paraId="471F5F29">
            <w:pPr>
              <w:spacing w:line="242" w:lineRule="auto"/>
              <w:rPr>
                <w:rFonts w:hint="eastAsia" w:asciiTheme="majorEastAsia" w:hAnsiTheme="majorEastAsia" w:eastAsiaTheme="majorEastAsia" w:cstheme="majorEastAsia"/>
                <w:szCs w:val="21"/>
              </w:rPr>
            </w:pPr>
          </w:p>
          <w:p w14:paraId="7E25E26E">
            <w:pPr>
              <w:spacing w:line="242" w:lineRule="auto"/>
              <w:rPr>
                <w:rFonts w:hint="eastAsia" w:asciiTheme="majorEastAsia" w:hAnsiTheme="majorEastAsia" w:eastAsiaTheme="majorEastAsia" w:cstheme="majorEastAsia"/>
                <w:szCs w:val="21"/>
              </w:rPr>
            </w:pPr>
          </w:p>
          <w:p w14:paraId="770DC583">
            <w:pPr>
              <w:spacing w:line="242" w:lineRule="auto"/>
              <w:rPr>
                <w:rFonts w:hint="eastAsia" w:asciiTheme="majorEastAsia" w:hAnsiTheme="majorEastAsia" w:eastAsiaTheme="majorEastAsia" w:cstheme="majorEastAsia"/>
                <w:szCs w:val="21"/>
              </w:rPr>
            </w:pPr>
          </w:p>
          <w:p w14:paraId="43E104E4">
            <w:pPr>
              <w:spacing w:before="78" w:line="185" w:lineRule="auto"/>
              <w:ind w:left="266"/>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pacing w:val="-10"/>
                <w:szCs w:val="21"/>
              </w:rPr>
              <w:t>1</w:t>
            </w:r>
            <w:r>
              <w:rPr>
                <w:rFonts w:hint="eastAsia" w:asciiTheme="majorEastAsia" w:hAnsiTheme="majorEastAsia" w:eastAsiaTheme="majorEastAsia" w:cstheme="majorEastAsia"/>
                <w:spacing w:val="-8"/>
                <w:szCs w:val="21"/>
              </w:rPr>
              <w:t>1</w:t>
            </w:r>
          </w:p>
        </w:tc>
        <w:tc>
          <w:tcPr>
            <w:tcW w:w="2326" w:type="dxa"/>
          </w:tcPr>
          <w:p w14:paraId="2AAABD10">
            <w:pPr>
              <w:spacing w:line="282" w:lineRule="auto"/>
              <w:rPr>
                <w:rFonts w:hint="eastAsia" w:asciiTheme="majorEastAsia" w:hAnsiTheme="majorEastAsia" w:eastAsiaTheme="majorEastAsia" w:cstheme="majorEastAsia"/>
                <w:szCs w:val="21"/>
              </w:rPr>
            </w:pPr>
          </w:p>
          <w:p w14:paraId="2D92CC9F">
            <w:pPr>
              <w:spacing w:line="282" w:lineRule="auto"/>
              <w:rPr>
                <w:rFonts w:hint="eastAsia" w:asciiTheme="majorEastAsia" w:hAnsiTheme="majorEastAsia" w:eastAsiaTheme="majorEastAsia" w:cstheme="majorEastAsia"/>
                <w:szCs w:val="21"/>
              </w:rPr>
            </w:pPr>
          </w:p>
          <w:p w14:paraId="5813EB4D">
            <w:pPr>
              <w:spacing w:line="282" w:lineRule="auto"/>
              <w:rPr>
                <w:rFonts w:hint="eastAsia" w:asciiTheme="majorEastAsia" w:hAnsiTheme="majorEastAsia" w:eastAsiaTheme="majorEastAsia" w:cstheme="majorEastAsia"/>
                <w:szCs w:val="21"/>
              </w:rPr>
            </w:pPr>
          </w:p>
          <w:p w14:paraId="75C2B2E3">
            <w:pPr>
              <w:spacing w:line="283" w:lineRule="auto"/>
              <w:rPr>
                <w:rFonts w:hint="eastAsia" w:asciiTheme="majorEastAsia" w:hAnsiTheme="majorEastAsia" w:eastAsiaTheme="majorEastAsia" w:cstheme="majorEastAsia"/>
                <w:szCs w:val="21"/>
              </w:rPr>
            </w:pPr>
          </w:p>
          <w:p w14:paraId="3AC0FCDA">
            <w:pPr>
              <w:spacing w:line="283" w:lineRule="auto"/>
              <w:rPr>
                <w:rFonts w:hint="eastAsia" w:asciiTheme="majorEastAsia" w:hAnsiTheme="majorEastAsia" w:eastAsiaTheme="majorEastAsia" w:cstheme="majorEastAsia"/>
                <w:szCs w:val="21"/>
              </w:rPr>
            </w:pPr>
          </w:p>
          <w:p w14:paraId="63DF274C">
            <w:pPr>
              <w:spacing w:before="78" w:line="220" w:lineRule="auto"/>
              <w:ind w:left="153"/>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pacing w:val="-20"/>
                <w:szCs w:val="21"/>
              </w:rPr>
              <w:t>良</w:t>
            </w:r>
            <w:r>
              <w:rPr>
                <w:rFonts w:hint="eastAsia" w:asciiTheme="majorEastAsia" w:hAnsiTheme="majorEastAsia" w:eastAsiaTheme="majorEastAsia" w:cstheme="majorEastAsia"/>
                <w:spacing w:val="-18"/>
                <w:szCs w:val="21"/>
              </w:rPr>
              <w:t>好信用记录</w:t>
            </w:r>
          </w:p>
        </w:tc>
        <w:tc>
          <w:tcPr>
            <w:tcW w:w="6032" w:type="dxa"/>
          </w:tcPr>
          <w:p w14:paraId="53AA08DE">
            <w:pPr>
              <w:tabs>
                <w:tab w:val="left" w:pos="240"/>
              </w:tabs>
              <w:spacing w:line="313" w:lineRule="auto"/>
              <w:ind w:right="89" w:firstLine="184" w:firstLineChars="100"/>
              <w:rPr>
                <w:rFonts w:hint="eastAsia" w:asciiTheme="majorEastAsia" w:hAnsiTheme="majorEastAsia" w:eastAsiaTheme="majorEastAsia" w:cstheme="majorEastAsia"/>
                <w:szCs w:val="21"/>
              </w:rPr>
            </w:pPr>
            <w:r>
              <w:rPr>
                <w:spacing w:val="-28"/>
                <w:sz w:val="24"/>
                <w:szCs w:val="24"/>
              </w:rPr>
              <w:t>投</w:t>
            </w:r>
            <w:r>
              <w:rPr>
                <w:spacing w:val="-18"/>
                <w:sz w:val="24"/>
                <w:szCs w:val="24"/>
              </w:rPr>
              <w:t>标</w:t>
            </w:r>
            <w:r>
              <w:rPr>
                <w:spacing w:val="-14"/>
                <w:sz w:val="24"/>
                <w:szCs w:val="24"/>
              </w:rPr>
              <w:t>人在本项目招标公告发布之日起到投标截止时间期</w:t>
            </w:r>
            <w:r>
              <w:rPr>
                <w:spacing w:val="-32"/>
                <w:sz w:val="24"/>
                <w:szCs w:val="24"/>
              </w:rPr>
              <w:t>间</w:t>
            </w:r>
            <w:r>
              <w:rPr>
                <w:spacing w:val="-19"/>
                <w:sz w:val="24"/>
                <w:szCs w:val="24"/>
              </w:rPr>
              <w:t>，通过“信用中国”网站 (www.creditchina.gov.cn) 、</w:t>
            </w:r>
            <w:r>
              <w:rPr>
                <w:sz w:val="24"/>
                <w:szCs w:val="24"/>
              </w:rPr>
              <w:t xml:space="preserve"> </w:t>
            </w:r>
            <w:r>
              <w:rPr>
                <w:spacing w:val="-14"/>
                <w:sz w:val="24"/>
                <w:szCs w:val="24"/>
              </w:rPr>
              <w:t>中国政府采购网 (www.ccgp.gov.c</w:t>
            </w:r>
            <w:r>
              <w:rPr>
                <w:spacing w:val="-8"/>
                <w:sz w:val="24"/>
                <w:szCs w:val="24"/>
              </w:rPr>
              <w:t>n</w:t>
            </w:r>
            <w:r>
              <w:rPr>
                <w:spacing w:val="-14"/>
                <w:sz w:val="24"/>
                <w:szCs w:val="24"/>
              </w:rPr>
              <w:t>) 等渠道查询主体信</w:t>
            </w:r>
            <w:r>
              <w:rPr>
                <w:spacing w:val="-24"/>
                <w:sz w:val="24"/>
                <w:szCs w:val="24"/>
              </w:rPr>
              <w:t>用</w:t>
            </w:r>
            <w:r>
              <w:rPr>
                <w:spacing w:val="-15"/>
                <w:sz w:val="24"/>
                <w:szCs w:val="24"/>
              </w:rPr>
              <w:t>记录所在页截图，加盖投标人公章</w:t>
            </w:r>
          </w:p>
        </w:tc>
      </w:tr>
    </w:tbl>
    <w:p w14:paraId="396D7ED3">
      <w:pPr>
        <w:rPr>
          <w:rFonts w:ascii="Arial"/>
        </w:rPr>
      </w:pPr>
    </w:p>
    <w:p w14:paraId="0F3816DC">
      <w:pPr>
        <w:sectPr>
          <w:footerReference r:id="rId9" w:type="default"/>
          <w:pgSz w:w="11907" w:h="16841"/>
          <w:pgMar w:top="1431" w:right="1769" w:bottom="1009" w:left="1065" w:header="0" w:footer="821" w:gutter="0"/>
          <w:cols w:space="720" w:num="1"/>
        </w:sectPr>
      </w:pPr>
    </w:p>
    <w:p w14:paraId="1C2EF345">
      <w:pPr>
        <w:spacing w:line="89" w:lineRule="auto"/>
        <w:rPr>
          <w:rFonts w:ascii="Arial"/>
          <w:sz w:val="2"/>
        </w:rPr>
      </w:pPr>
    </w:p>
    <w:tbl>
      <w:tblPr>
        <w:tblStyle w:val="37"/>
        <w:tblW w:w="906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08"/>
        <w:gridCol w:w="2041"/>
        <w:gridCol w:w="6317"/>
      </w:tblGrid>
      <w:tr w14:paraId="39BEB6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09" w:hRule="atLeast"/>
        </w:trPr>
        <w:tc>
          <w:tcPr>
            <w:tcW w:w="708" w:type="dxa"/>
          </w:tcPr>
          <w:p w14:paraId="2F60B06A">
            <w:pPr>
              <w:spacing w:line="254" w:lineRule="auto"/>
              <w:rPr>
                <w:rFonts w:ascii="Arial"/>
                <w:szCs w:val="21"/>
              </w:rPr>
            </w:pPr>
          </w:p>
          <w:p w14:paraId="410ED0DA">
            <w:pPr>
              <w:spacing w:line="254" w:lineRule="auto"/>
              <w:rPr>
                <w:rFonts w:ascii="Arial"/>
                <w:szCs w:val="21"/>
              </w:rPr>
            </w:pPr>
          </w:p>
          <w:p w14:paraId="218AF047">
            <w:pPr>
              <w:spacing w:line="254" w:lineRule="auto"/>
              <w:rPr>
                <w:rFonts w:ascii="Arial"/>
                <w:szCs w:val="21"/>
              </w:rPr>
            </w:pPr>
          </w:p>
          <w:p w14:paraId="0EEA7A4E">
            <w:pPr>
              <w:spacing w:line="254" w:lineRule="auto"/>
              <w:rPr>
                <w:rFonts w:ascii="Arial"/>
                <w:szCs w:val="21"/>
              </w:rPr>
            </w:pPr>
          </w:p>
          <w:p w14:paraId="74997E08">
            <w:pPr>
              <w:spacing w:line="255" w:lineRule="auto"/>
              <w:rPr>
                <w:rFonts w:ascii="Arial"/>
                <w:szCs w:val="21"/>
              </w:rPr>
            </w:pPr>
          </w:p>
          <w:p w14:paraId="4EEAC618">
            <w:pPr>
              <w:spacing w:before="78" w:line="185" w:lineRule="auto"/>
              <w:ind w:left="266"/>
              <w:rPr>
                <w:rFonts w:hint="eastAsia" w:ascii="宋体" w:hAnsi="宋体" w:cs="宋体"/>
                <w:szCs w:val="21"/>
              </w:rPr>
            </w:pPr>
            <w:r>
              <w:rPr>
                <w:rFonts w:ascii="宋体" w:hAnsi="宋体" w:cs="宋体"/>
                <w:spacing w:val="-10"/>
                <w:szCs w:val="21"/>
              </w:rPr>
              <w:t>1</w:t>
            </w:r>
            <w:r>
              <w:rPr>
                <w:rFonts w:ascii="宋体" w:hAnsi="宋体" w:cs="宋体"/>
                <w:spacing w:val="-8"/>
                <w:szCs w:val="21"/>
              </w:rPr>
              <w:t>2</w:t>
            </w:r>
          </w:p>
        </w:tc>
        <w:tc>
          <w:tcPr>
            <w:tcW w:w="2041" w:type="dxa"/>
          </w:tcPr>
          <w:p w14:paraId="6FD69EF4">
            <w:pPr>
              <w:spacing w:before="117" w:line="295" w:lineRule="auto"/>
              <w:ind w:left="115" w:right="86" w:firstLine="2"/>
              <w:rPr>
                <w:rFonts w:hint="eastAsia" w:ascii="宋体" w:hAnsi="宋体" w:cs="宋体"/>
                <w:szCs w:val="21"/>
              </w:rPr>
            </w:pPr>
            <w:r>
              <w:rPr>
                <w:rFonts w:ascii="宋体" w:hAnsi="宋体" w:cs="宋体"/>
                <w:spacing w:val="-13"/>
                <w:szCs w:val="21"/>
              </w:rPr>
              <w:t>为</w:t>
            </w:r>
            <w:r>
              <w:rPr>
                <w:rFonts w:ascii="宋体" w:hAnsi="宋体" w:cs="宋体"/>
                <w:spacing w:val="-11"/>
                <w:szCs w:val="21"/>
              </w:rPr>
              <w:t>采购项目提供整</w:t>
            </w:r>
            <w:r>
              <w:rPr>
                <w:rFonts w:ascii="宋体" w:hAnsi="宋体" w:cs="宋体"/>
                <w:szCs w:val="21"/>
              </w:rPr>
              <w:t xml:space="preserve"> </w:t>
            </w:r>
            <w:r>
              <w:rPr>
                <w:rFonts w:ascii="宋体" w:hAnsi="宋体" w:cs="宋体"/>
                <w:spacing w:val="-17"/>
                <w:szCs w:val="21"/>
              </w:rPr>
              <w:t>体</w:t>
            </w:r>
            <w:r>
              <w:rPr>
                <w:rFonts w:ascii="宋体" w:hAnsi="宋体" w:cs="宋体"/>
                <w:spacing w:val="-10"/>
                <w:szCs w:val="21"/>
              </w:rPr>
              <w:t>设计、规范编制</w:t>
            </w:r>
            <w:r>
              <w:rPr>
                <w:rFonts w:ascii="宋体" w:hAnsi="宋体" w:cs="宋体"/>
                <w:szCs w:val="21"/>
              </w:rPr>
              <w:t xml:space="preserve"> </w:t>
            </w:r>
            <w:r>
              <w:rPr>
                <w:rFonts w:ascii="宋体" w:hAnsi="宋体" w:cs="宋体"/>
                <w:spacing w:val="-17"/>
                <w:szCs w:val="21"/>
              </w:rPr>
              <w:t>或</w:t>
            </w:r>
            <w:r>
              <w:rPr>
                <w:rFonts w:ascii="宋体" w:hAnsi="宋体" w:cs="宋体"/>
                <w:spacing w:val="-10"/>
                <w:szCs w:val="21"/>
              </w:rPr>
              <w:t>者项目管理、监</w:t>
            </w:r>
            <w:r>
              <w:rPr>
                <w:rFonts w:ascii="宋体" w:hAnsi="宋体" w:cs="宋体"/>
                <w:szCs w:val="21"/>
              </w:rPr>
              <w:t xml:space="preserve"> </w:t>
            </w:r>
            <w:r>
              <w:rPr>
                <w:rFonts w:ascii="宋体" w:hAnsi="宋体" w:cs="宋体"/>
                <w:spacing w:val="-17"/>
                <w:szCs w:val="21"/>
              </w:rPr>
              <w:t>理</w:t>
            </w:r>
            <w:r>
              <w:rPr>
                <w:rFonts w:ascii="宋体" w:hAnsi="宋体" w:cs="宋体"/>
                <w:spacing w:val="-10"/>
                <w:szCs w:val="21"/>
              </w:rPr>
              <w:t>、检测等服务的</w:t>
            </w:r>
            <w:r>
              <w:rPr>
                <w:rFonts w:ascii="宋体" w:hAnsi="宋体" w:cs="宋体"/>
                <w:szCs w:val="21"/>
              </w:rPr>
              <w:t xml:space="preserve"> </w:t>
            </w:r>
            <w:r>
              <w:rPr>
                <w:rFonts w:ascii="宋体" w:hAnsi="宋体" w:cs="宋体"/>
                <w:spacing w:val="-17"/>
                <w:szCs w:val="21"/>
              </w:rPr>
              <w:t>供</w:t>
            </w:r>
            <w:r>
              <w:rPr>
                <w:rFonts w:ascii="宋体" w:hAnsi="宋体" w:cs="宋体"/>
                <w:spacing w:val="-10"/>
                <w:szCs w:val="21"/>
              </w:rPr>
              <w:t>应商，不得再参</w:t>
            </w:r>
            <w:r>
              <w:rPr>
                <w:rFonts w:ascii="宋体" w:hAnsi="宋体" w:cs="宋体"/>
                <w:szCs w:val="21"/>
              </w:rPr>
              <w:t xml:space="preserve"> </w:t>
            </w:r>
            <w:r>
              <w:rPr>
                <w:rFonts w:ascii="宋体" w:hAnsi="宋体" w:cs="宋体"/>
                <w:spacing w:val="-17"/>
                <w:szCs w:val="21"/>
              </w:rPr>
              <w:t>加</w:t>
            </w:r>
            <w:r>
              <w:rPr>
                <w:rFonts w:ascii="宋体" w:hAnsi="宋体" w:cs="宋体"/>
                <w:spacing w:val="-10"/>
                <w:szCs w:val="21"/>
              </w:rPr>
              <w:t>该采购项目的其</w:t>
            </w:r>
            <w:r>
              <w:rPr>
                <w:rFonts w:ascii="宋体" w:hAnsi="宋体" w:cs="宋体"/>
                <w:szCs w:val="21"/>
              </w:rPr>
              <w:t xml:space="preserve"> </w:t>
            </w:r>
            <w:r>
              <w:rPr>
                <w:rFonts w:ascii="宋体" w:hAnsi="宋体" w:cs="宋体"/>
                <w:spacing w:val="-14"/>
                <w:szCs w:val="21"/>
              </w:rPr>
              <w:t>他</w:t>
            </w:r>
            <w:r>
              <w:rPr>
                <w:rFonts w:ascii="宋体" w:hAnsi="宋体" w:cs="宋体"/>
                <w:spacing w:val="-12"/>
                <w:szCs w:val="21"/>
              </w:rPr>
              <w:t>采购活动</w:t>
            </w:r>
          </w:p>
        </w:tc>
        <w:tc>
          <w:tcPr>
            <w:tcW w:w="6317" w:type="dxa"/>
          </w:tcPr>
          <w:p w14:paraId="3EA4FD42">
            <w:pPr>
              <w:spacing w:line="246" w:lineRule="auto"/>
              <w:rPr>
                <w:rFonts w:ascii="Arial"/>
                <w:szCs w:val="21"/>
              </w:rPr>
            </w:pPr>
          </w:p>
          <w:p w14:paraId="69E8D6CD">
            <w:pPr>
              <w:spacing w:line="246" w:lineRule="auto"/>
              <w:rPr>
                <w:rFonts w:ascii="Arial"/>
                <w:szCs w:val="21"/>
              </w:rPr>
            </w:pPr>
          </w:p>
          <w:p w14:paraId="0E512AF1">
            <w:pPr>
              <w:spacing w:line="246" w:lineRule="auto"/>
              <w:rPr>
                <w:rFonts w:ascii="Arial"/>
                <w:szCs w:val="21"/>
              </w:rPr>
            </w:pPr>
          </w:p>
          <w:p w14:paraId="6A06CEA0">
            <w:pPr>
              <w:spacing w:line="247" w:lineRule="auto"/>
              <w:rPr>
                <w:rFonts w:ascii="Arial"/>
                <w:szCs w:val="21"/>
              </w:rPr>
            </w:pPr>
          </w:p>
          <w:p w14:paraId="638397ED">
            <w:pPr>
              <w:spacing w:line="247" w:lineRule="auto"/>
              <w:rPr>
                <w:rFonts w:ascii="Arial"/>
                <w:szCs w:val="21"/>
              </w:rPr>
            </w:pPr>
          </w:p>
          <w:p w14:paraId="691C302C">
            <w:pPr>
              <w:spacing w:before="78" w:line="219" w:lineRule="auto"/>
              <w:ind w:left="115"/>
              <w:rPr>
                <w:rFonts w:hint="eastAsia" w:ascii="宋体" w:hAnsi="宋体" w:cs="宋体"/>
                <w:szCs w:val="21"/>
              </w:rPr>
            </w:pPr>
            <w:r>
              <w:rPr>
                <w:rFonts w:ascii="宋体" w:hAnsi="宋体" w:cs="宋体"/>
                <w:spacing w:val="-22"/>
                <w:szCs w:val="21"/>
              </w:rPr>
              <w:t>提</w:t>
            </w:r>
            <w:r>
              <w:rPr>
                <w:rFonts w:ascii="宋体" w:hAnsi="宋体" w:cs="宋体"/>
                <w:spacing w:val="-17"/>
                <w:szCs w:val="21"/>
              </w:rPr>
              <w:t>供《投标人有关资格条件声明函》。</w:t>
            </w:r>
          </w:p>
        </w:tc>
      </w:tr>
      <w:tr w14:paraId="4B9DA5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03" w:hRule="atLeast"/>
        </w:trPr>
        <w:tc>
          <w:tcPr>
            <w:tcW w:w="708" w:type="dxa"/>
          </w:tcPr>
          <w:p w14:paraId="54E1AC14">
            <w:pPr>
              <w:spacing w:line="267" w:lineRule="auto"/>
              <w:rPr>
                <w:rFonts w:ascii="Arial"/>
                <w:szCs w:val="21"/>
              </w:rPr>
            </w:pPr>
          </w:p>
          <w:p w14:paraId="798C2459">
            <w:pPr>
              <w:spacing w:line="268" w:lineRule="auto"/>
              <w:rPr>
                <w:rFonts w:ascii="Arial"/>
                <w:szCs w:val="21"/>
              </w:rPr>
            </w:pPr>
          </w:p>
          <w:p w14:paraId="12CEAB08">
            <w:pPr>
              <w:spacing w:line="268" w:lineRule="auto"/>
              <w:rPr>
                <w:rFonts w:ascii="Arial"/>
                <w:szCs w:val="21"/>
              </w:rPr>
            </w:pPr>
          </w:p>
          <w:p w14:paraId="31434CAC">
            <w:pPr>
              <w:spacing w:line="268" w:lineRule="auto"/>
              <w:rPr>
                <w:rFonts w:ascii="Arial"/>
                <w:szCs w:val="21"/>
              </w:rPr>
            </w:pPr>
          </w:p>
          <w:p w14:paraId="79F487D6">
            <w:pPr>
              <w:spacing w:before="78" w:line="183" w:lineRule="auto"/>
              <w:ind w:left="266"/>
              <w:rPr>
                <w:rFonts w:hint="eastAsia" w:ascii="宋体" w:hAnsi="宋体" w:cs="宋体"/>
                <w:szCs w:val="21"/>
              </w:rPr>
            </w:pPr>
            <w:r>
              <w:rPr>
                <w:rFonts w:ascii="宋体" w:hAnsi="宋体" w:cs="宋体"/>
                <w:spacing w:val="-10"/>
                <w:szCs w:val="21"/>
              </w:rPr>
              <w:t>1</w:t>
            </w:r>
            <w:r>
              <w:rPr>
                <w:rFonts w:ascii="宋体" w:hAnsi="宋体" w:cs="宋体"/>
                <w:spacing w:val="-8"/>
                <w:szCs w:val="21"/>
              </w:rPr>
              <w:t>3</w:t>
            </w:r>
          </w:p>
        </w:tc>
        <w:tc>
          <w:tcPr>
            <w:tcW w:w="2041" w:type="dxa"/>
          </w:tcPr>
          <w:p w14:paraId="476BB9D9">
            <w:pPr>
              <w:spacing w:before="113" w:line="293" w:lineRule="auto"/>
              <w:ind w:left="114" w:right="86" w:firstLine="2"/>
              <w:rPr>
                <w:rFonts w:hint="eastAsia" w:ascii="宋体" w:hAnsi="宋体" w:cs="宋体"/>
                <w:szCs w:val="21"/>
              </w:rPr>
            </w:pPr>
            <w:r>
              <w:rPr>
                <w:rFonts w:ascii="宋体" w:hAnsi="宋体" w:cs="宋体"/>
                <w:spacing w:val="-12"/>
                <w:szCs w:val="21"/>
              </w:rPr>
              <w:t>单</w:t>
            </w:r>
            <w:r>
              <w:rPr>
                <w:rFonts w:ascii="宋体" w:hAnsi="宋体" w:cs="宋体"/>
                <w:spacing w:val="-11"/>
                <w:szCs w:val="21"/>
              </w:rPr>
              <w:t>位负责人为同一</w:t>
            </w:r>
            <w:r>
              <w:rPr>
                <w:rFonts w:ascii="宋体" w:hAnsi="宋体" w:cs="宋体"/>
                <w:szCs w:val="21"/>
              </w:rPr>
              <w:t xml:space="preserve"> </w:t>
            </w:r>
            <w:r>
              <w:rPr>
                <w:rFonts w:ascii="宋体" w:hAnsi="宋体" w:cs="宋体"/>
                <w:spacing w:val="-16"/>
                <w:szCs w:val="21"/>
              </w:rPr>
              <w:t>人</w:t>
            </w:r>
            <w:r>
              <w:rPr>
                <w:rFonts w:ascii="宋体" w:hAnsi="宋体" w:cs="宋体"/>
                <w:spacing w:val="-10"/>
                <w:szCs w:val="21"/>
              </w:rPr>
              <w:t>或者存在直接控</w:t>
            </w:r>
            <w:r>
              <w:rPr>
                <w:rFonts w:ascii="宋体" w:hAnsi="宋体" w:cs="宋体"/>
                <w:szCs w:val="21"/>
              </w:rPr>
              <w:t xml:space="preserve"> </w:t>
            </w:r>
            <w:r>
              <w:rPr>
                <w:rFonts w:ascii="宋体" w:hAnsi="宋体" w:cs="宋体"/>
                <w:spacing w:val="-16"/>
                <w:szCs w:val="21"/>
              </w:rPr>
              <w:t>股</w:t>
            </w:r>
            <w:r>
              <w:rPr>
                <w:rFonts w:ascii="宋体" w:hAnsi="宋体" w:cs="宋体"/>
                <w:spacing w:val="-10"/>
                <w:szCs w:val="21"/>
              </w:rPr>
              <w:t>、管理关系的不</w:t>
            </w:r>
            <w:r>
              <w:rPr>
                <w:rFonts w:ascii="宋体" w:hAnsi="宋体" w:cs="宋体"/>
                <w:szCs w:val="21"/>
              </w:rPr>
              <w:t xml:space="preserve"> </w:t>
            </w:r>
            <w:r>
              <w:rPr>
                <w:rFonts w:ascii="宋体" w:hAnsi="宋体" w:cs="宋体"/>
                <w:spacing w:val="-16"/>
                <w:szCs w:val="21"/>
              </w:rPr>
              <w:t>同</w:t>
            </w:r>
            <w:r>
              <w:rPr>
                <w:rFonts w:ascii="宋体" w:hAnsi="宋体" w:cs="宋体"/>
                <w:spacing w:val="-10"/>
                <w:szCs w:val="21"/>
              </w:rPr>
              <w:t>供应商，不得参</w:t>
            </w:r>
            <w:r>
              <w:rPr>
                <w:rFonts w:ascii="宋体" w:hAnsi="宋体" w:cs="宋体"/>
                <w:szCs w:val="21"/>
              </w:rPr>
              <w:t xml:space="preserve"> </w:t>
            </w:r>
            <w:r>
              <w:rPr>
                <w:rFonts w:ascii="宋体" w:hAnsi="宋体" w:cs="宋体"/>
                <w:spacing w:val="-16"/>
                <w:szCs w:val="21"/>
              </w:rPr>
              <w:t>加</w:t>
            </w:r>
            <w:r>
              <w:rPr>
                <w:rFonts w:ascii="宋体" w:hAnsi="宋体" w:cs="宋体"/>
                <w:spacing w:val="-10"/>
                <w:szCs w:val="21"/>
              </w:rPr>
              <w:t>同一合同项下政</w:t>
            </w:r>
            <w:r>
              <w:rPr>
                <w:rFonts w:ascii="宋体" w:hAnsi="宋体" w:cs="宋体"/>
                <w:szCs w:val="21"/>
              </w:rPr>
              <w:t xml:space="preserve"> </w:t>
            </w:r>
            <w:r>
              <w:rPr>
                <w:rFonts w:ascii="宋体" w:hAnsi="宋体" w:cs="宋体"/>
                <w:spacing w:val="-13"/>
                <w:szCs w:val="21"/>
              </w:rPr>
              <w:t>府</w:t>
            </w:r>
            <w:r>
              <w:rPr>
                <w:rFonts w:ascii="宋体" w:hAnsi="宋体" w:cs="宋体"/>
                <w:spacing w:val="-12"/>
                <w:szCs w:val="21"/>
              </w:rPr>
              <w:t>采购活动</w:t>
            </w:r>
          </w:p>
        </w:tc>
        <w:tc>
          <w:tcPr>
            <w:tcW w:w="6317" w:type="dxa"/>
          </w:tcPr>
          <w:p w14:paraId="1B49C7C7">
            <w:pPr>
              <w:spacing w:line="276" w:lineRule="auto"/>
              <w:rPr>
                <w:rFonts w:ascii="Arial"/>
                <w:szCs w:val="21"/>
              </w:rPr>
            </w:pPr>
          </w:p>
          <w:p w14:paraId="7DCF36A1">
            <w:pPr>
              <w:spacing w:line="277" w:lineRule="auto"/>
              <w:rPr>
                <w:rFonts w:ascii="Arial"/>
                <w:szCs w:val="21"/>
              </w:rPr>
            </w:pPr>
          </w:p>
          <w:p w14:paraId="4C3FD578">
            <w:pPr>
              <w:spacing w:line="277" w:lineRule="auto"/>
              <w:rPr>
                <w:rFonts w:ascii="Arial"/>
                <w:szCs w:val="21"/>
              </w:rPr>
            </w:pPr>
          </w:p>
          <w:p w14:paraId="4B31962F">
            <w:pPr>
              <w:spacing w:before="78" w:line="320" w:lineRule="auto"/>
              <w:ind w:left="113" w:right="89"/>
              <w:rPr>
                <w:rFonts w:hint="eastAsia" w:ascii="宋体" w:hAnsi="宋体" w:cs="宋体"/>
                <w:szCs w:val="21"/>
              </w:rPr>
            </w:pPr>
            <w:r>
              <w:rPr>
                <w:rFonts w:ascii="宋体" w:hAnsi="宋体" w:cs="宋体"/>
                <w:spacing w:val="-26"/>
                <w:szCs w:val="21"/>
              </w:rPr>
              <w:t>在</w:t>
            </w:r>
            <w:r>
              <w:rPr>
                <w:rFonts w:ascii="宋体" w:hAnsi="宋体" w:cs="宋体"/>
                <w:spacing w:val="-20"/>
                <w:szCs w:val="21"/>
              </w:rPr>
              <w:t>评</w:t>
            </w:r>
            <w:r>
              <w:rPr>
                <w:rFonts w:ascii="宋体" w:hAnsi="宋体" w:cs="宋体"/>
                <w:spacing w:val="-13"/>
                <w:szCs w:val="21"/>
              </w:rPr>
              <w:t>标过程中发现投标人有违反此项规定的，评标委员会应当</w:t>
            </w:r>
            <w:r>
              <w:rPr>
                <w:rFonts w:ascii="宋体" w:hAnsi="宋体" w:cs="宋体"/>
                <w:spacing w:val="-23"/>
                <w:szCs w:val="21"/>
              </w:rPr>
              <w:t>认</w:t>
            </w:r>
            <w:r>
              <w:rPr>
                <w:rFonts w:ascii="宋体" w:hAnsi="宋体" w:cs="宋体"/>
                <w:spacing w:val="-17"/>
                <w:szCs w:val="21"/>
              </w:rPr>
              <w:t>定其投标无效。</w:t>
            </w:r>
          </w:p>
        </w:tc>
      </w:tr>
      <w:tr w14:paraId="2B13F45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005" w:hRule="atLeast"/>
        </w:trPr>
        <w:tc>
          <w:tcPr>
            <w:tcW w:w="708" w:type="dxa"/>
          </w:tcPr>
          <w:p w14:paraId="7E0491CC">
            <w:pPr>
              <w:spacing w:line="291" w:lineRule="auto"/>
              <w:rPr>
                <w:rFonts w:ascii="Arial"/>
                <w:szCs w:val="21"/>
              </w:rPr>
            </w:pPr>
          </w:p>
          <w:p w14:paraId="47E25A57">
            <w:pPr>
              <w:spacing w:line="291" w:lineRule="auto"/>
              <w:rPr>
                <w:rFonts w:ascii="Arial"/>
                <w:szCs w:val="21"/>
              </w:rPr>
            </w:pPr>
          </w:p>
          <w:p w14:paraId="62D732AF">
            <w:pPr>
              <w:spacing w:line="292" w:lineRule="auto"/>
              <w:rPr>
                <w:rFonts w:ascii="Arial"/>
                <w:szCs w:val="21"/>
              </w:rPr>
            </w:pPr>
          </w:p>
          <w:p w14:paraId="12DFB938">
            <w:pPr>
              <w:spacing w:before="78" w:line="185" w:lineRule="auto"/>
              <w:ind w:left="266"/>
              <w:rPr>
                <w:rFonts w:hint="eastAsia" w:ascii="宋体" w:hAnsi="宋体" w:cs="宋体"/>
                <w:szCs w:val="21"/>
              </w:rPr>
            </w:pPr>
            <w:r>
              <w:rPr>
                <w:rFonts w:ascii="宋体" w:hAnsi="宋体" w:cs="宋体"/>
                <w:spacing w:val="-10"/>
                <w:szCs w:val="21"/>
              </w:rPr>
              <w:t>1</w:t>
            </w:r>
            <w:r>
              <w:rPr>
                <w:rFonts w:ascii="宋体" w:hAnsi="宋体" w:cs="宋体"/>
                <w:spacing w:val="-8"/>
                <w:szCs w:val="21"/>
              </w:rPr>
              <w:t>4</w:t>
            </w:r>
          </w:p>
        </w:tc>
        <w:tc>
          <w:tcPr>
            <w:tcW w:w="2041" w:type="dxa"/>
          </w:tcPr>
          <w:p w14:paraId="5D56890F">
            <w:pPr>
              <w:spacing w:before="115" w:line="308" w:lineRule="auto"/>
              <w:ind w:left="116" w:right="86" w:firstLine="2"/>
              <w:rPr>
                <w:rFonts w:hint="eastAsia" w:ascii="宋体" w:hAnsi="宋体" w:cs="宋体"/>
                <w:szCs w:val="21"/>
              </w:rPr>
            </w:pPr>
            <w:r>
              <w:rPr>
                <w:rFonts w:ascii="宋体" w:hAnsi="宋体" w:cs="宋体"/>
                <w:spacing w:val="-13"/>
                <w:szCs w:val="21"/>
              </w:rPr>
              <w:t>不</w:t>
            </w:r>
            <w:r>
              <w:rPr>
                <w:rFonts w:ascii="宋体" w:hAnsi="宋体" w:cs="宋体"/>
                <w:spacing w:val="-11"/>
                <w:szCs w:val="21"/>
              </w:rPr>
              <w:t>得以他人名义投</w:t>
            </w:r>
            <w:r>
              <w:rPr>
                <w:rFonts w:ascii="宋体" w:hAnsi="宋体" w:cs="宋体"/>
                <w:szCs w:val="21"/>
              </w:rPr>
              <w:t xml:space="preserve"> </w:t>
            </w:r>
            <w:r>
              <w:rPr>
                <w:rFonts w:ascii="宋体" w:hAnsi="宋体" w:cs="宋体"/>
                <w:spacing w:val="-11"/>
                <w:szCs w:val="21"/>
              </w:rPr>
              <w:t>标、串通投标、以</w:t>
            </w:r>
            <w:r>
              <w:rPr>
                <w:rFonts w:ascii="宋体" w:hAnsi="宋体" w:cs="宋体"/>
                <w:szCs w:val="21"/>
              </w:rPr>
              <w:t xml:space="preserve"> </w:t>
            </w:r>
            <w:r>
              <w:rPr>
                <w:rFonts w:ascii="宋体" w:hAnsi="宋体" w:cs="宋体"/>
                <w:spacing w:val="-11"/>
                <w:szCs w:val="21"/>
              </w:rPr>
              <w:t>行贿手段谋取中标</w:t>
            </w:r>
            <w:r>
              <w:rPr>
                <w:rFonts w:ascii="宋体" w:hAnsi="宋体" w:cs="宋体"/>
                <w:szCs w:val="21"/>
              </w:rPr>
              <w:t xml:space="preserve"> </w:t>
            </w:r>
            <w:r>
              <w:rPr>
                <w:rFonts w:ascii="宋体" w:hAnsi="宋体" w:cs="宋体"/>
                <w:spacing w:val="-11"/>
                <w:szCs w:val="21"/>
              </w:rPr>
              <w:t>或者以其他弄虚作</w:t>
            </w:r>
          </w:p>
          <w:p w14:paraId="0BDD47EE">
            <w:pPr>
              <w:spacing w:before="1" w:line="218" w:lineRule="auto"/>
              <w:ind w:left="115"/>
              <w:rPr>
                <w:rFonts w:hint="eastAsia" w:ascii="宋体" w:hAnsi="宋体" w:cs="宋体"/>
                <w:szCs w:val="21"/>
              </w:rPr>
            </w:pPr>
            <w:r>
              <w:rPr>
                <w:rFonts w:ascii="宋体" w:hAnsi="宋体" w:cs="宋体"/>
                <w:spacing w:val="-14"/>
                <w:szCs w:val="21"/>
              </w:rPr>
              <w:t>假</w:t>
            </w:r>
            <w:r>
              <w:rPr>
                <w:rFonts w:ascii="宋体" w:hAnsi="宋体" w:cs="宋体"/>
                <w:spacing w:val="-12"/>
                <w:szCs w:val="21"/>
              </w:rPr>
              <w:t>方式投标</w:t>
            </w:r>
          </w:p>
        </w:tc>
        <w:tc>
          <w:tcPr>
            <w:tcW w:w="6317" w:type="dxa"/>
          </w:tcPr>
          <w:p w14:paraId="3AEECEA2">
            <w:pPr>
              <w:spacing w:line="317" w:lineRule="auto"/>
              <w:rPr>
                <w:rFonts w:ascii="Arial"/>
                <w:szCs w:val="21"/>
              </w:rPr>
            </w:pPr>
          </w:p>
          <w:p w14:paraId="4633B23A">
            <w:pPr>
              <w:spacing w:line="317" w:lineRule="auto"/>
              <w:rPr>
                <w:rFonts w:ascii="Arial"/>
                <w:szCs w:val="21"/>
              </w:rPr>
            </w:pPr>
          </w:p>
          <w:p w14:paraId="196A823F">
            <w:pPr>
              <w:spacing w:before="78" w:line="320" w:lineRule="auto"/>
              <w:ind w:left="113" w:right="89"/>
              <w:rPr>
                <w:rFonts w:hint="eastAsia" w:ascii="宋体" w:hAnsi="宋体" w:cs="宋体"/>
                <w:szCs w:val="21"/>
              </w:rPr>
            </w:pPr>
            <w:r>
              <w:rPr>
                <w:rFonts w:ascii="宋体" w:hAnsi="宋体" w:cs="宋体"/>
                <w:spacing w:val="-26"/>
                <w:szCs w:val="21"/>
              </w:rPr>
              <w:t>在</w:t>
            </w:r>
            <w:r>
              <w:rPr>
                <w:rFonts w:ascii="宋体" w:hAnsi="宋体" w:cs="宋体"/>
                <w:spacing w:val="-20"/>
                <w:szCs w:val="21"/>
              </w:rPr>
              <w:t>评</w:t>
            </w:r>
            <w:r>
              <w:rPr>
                <w:rFonts w:ascii="宋体" w:hAnsi="宋体" w:cs="宋体"/>
                <w:spacing w:val="-13"/>
                <w:szCs w:val="21"/>
              </w:rPr>
              <w:t>标过程中发现投标人有违反此项规定的，评标委员会应当</w:t>
            </w:r>
            <w:r>
              <w:rPr>
                <w:rFonts w:ascii="宋体" w:hAnsi="宋体" w:cs="宋体"/>
                <w:spacing w:val="-23"/>
                <w:szCs w:val="21"/>
              </w:rPr>
              <w:t>认</w:t>
            </w:r>
            <w:r>
              <w:rPr>
                <w:rFonts w:ascii="宋体" w:hAnsi="宋体" w:cs="宋体"/>
                <w:spacing w:val="-17"/>
                <w:szCs w:val="21"/>
              </w:rPr>
              <w:t>定其投标无效。</w:t>
            </w:r>
          </w:p>
        </w:tc>
      </w:tr>
      <w:tr w14:paraId="4A9F83B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89" w:hRule="atLeast"/>
        </w:trPr>
        <w:tc>
          <w:tcPr>
            <w:tcW w:w="708" w:type="dxa"/>
          </w:tcPr>
          <w:p w14:paraId="53CC650D">
            <w:pPr>
              <w:spacing w:line="283" w:lineRule="auto"/>
              <w:rPr>
                <w:rFonts w:ascii="Arial"/>
                <w:szCs w:val="21"/>
              </w:rPr>
            </w:pPr>
          </w:p>
          <w:p w14:paraId="33E99501">
            <w:pPr>
              <w:spacing w:line="283" w:lineRule="auto"/>
              <w:rPr>
                <w:rFonts w:ascii="Arial"/>
                <w:szCs w:val="21"/>
              </w:rPr>
            </w:pPr>
          </w:p>
          <w:p w14:paraId="276505F9">
            <w:pPr>
              <w:spacing w:before="78" w:line="183" w:lineRule="auto"/>
              <w:ind w:left="266"/>
              <w:rPr>
                <w:rFonts w:hint="eastAsia" w:ascii="宋体" w:hAnsi="宋体" w:cs="宋体"/>
                <w:szCs w:val="21"/>
              </w:rPr>
            </w:pPr>
            <w:r>
              <w:rPr>
                <w:rFonts w:ascii="宋体" w:hAnsi="宋体" w:cs="宋体"/>
                <w:spacing w:val="-10"/>
                <w:szCs w:val="21"/>
              </w:rPr>
              <w:t>1</w:t>
            </w:r>
            <w:r>
              <w:rPr>
                <w:rFonts w:ascii="宋体" w:hAnsi="宋体" w:cs="宋体"/>
                <w:spacing w:val="-8"/>
                <w:szCs w:val="21"/>
              </w:rPr>
              <w:t>5</w:t>
            </w:r>
          </w:p>
        </w:tc>
        <w:tc>
          <w:tcPr>
            <w:tcW w:w="2041" w:type="dxa"/>
          </w:tcPr>
          <w:p w14:paraId="05574DBF">
            <w:pPr>
              <w:spacing w:before="207" w:line="308" w:lineRule="auto"/>
              <w:ind w:left="119" w:right="86"/>
              <w:rPr>
                <w:rFonts w:hint="eastAsia" w:ascii="宋体" w:hAnsi="宋体" w:cs="宋体"/>
                <w:szCs w:val="21"/>
              </w:rPr>
            </w:pPr>
            <w:r>
              <w:rPr>
                <w:rFonts w:ascii="宋体" w:hAnsi="宋体" w:cs="宋体"/>
                <w:spacing w:val="-13"/>
                <w:szCs w:val="21"/>
              </w:rPr>
              <w:t>未</w:t>
            </w:r>
            <w:r>
              <w:rPr>
                <w:rFonts w:ascii="宋体" w:hAnsi="宋体" w:cs="宋体"/>
                <w:spacing w:val="-11"/>
                <w:szCs w:val="21"/>
              </w:rPr>
              <w:t>出现影响采购公</w:t>
            </w:r>
            <w:r>
              <w:rPr>
                <w:rFonts w:ascii="宋体" w:hAnsi="宋体" w:cs="宋体"/>
                <w:szCs w:val="21"/>
              </w:rPr>
              <w:t xml:space="preserve"> </w:t>
            </w:r>
            <w:r>
              <w:rPr>
                <w:rFonts w:ascii="宋体" w:hAnsi="宋体" w:cs="宋体"/>
                <w:spacing w:val="-14"/>
                <w:szCs w:val="21"/>
              </w:rPr>
              <w:t>正</w:t>
            </w:r>
            <w:r>
              <w:rPr>
                <w:rFonts w:ascii="宋体" w:hAnsi="宋体" w:cs="宋体"/>
                <w:spacing w:val="-11"/>
                <w:szCs w:val="21"/>
              </w:rPr>
              <w:t>的违法、违规行</w:t>
            </w:r>
          </w:p>
          <w:p w14:paraId="3172804A">
            <w:pPr>
              <w:spacing w:before="1" w:line="220" w:lineRule="auto"/>
              <w:ind w:left="118"/>
              <w:rPr>
                <w:rFonts w:hint="eastAsia" w:ascii="宋体" w:hAnsi="宋体" w:cs="宋体"/>
                <w:szCs w:val="21"/>
              </w:rPr>
            </w:pPr>
            <w:r>
              <w:rPr>
                <w:rFonts w:ascii="宋体" w:hAnsi="宋体" w:cs="宋体"/>
                <w:szCs w:val="21"/>
              </w:rPr>
              <w:t>为</w:t>
            </w:r>
          </w:p>
        </w:tc>
        <w:tc>
          <w:tcPr>
            <w:tcW w:w="6317" w:type="dxa"/>
          </w:tcPr>
          <w:p w14:paraId="2346844C">
            <w:pPr>
              <w:spacing w:line="329" w:lineRule="auto"/>
              <w:rPr>
                <w:rFonts w:ascii="Arial"/>
                <w:szCs w:val="21"/>
              </w:rPr>
            </w:pPr>
          </w:p>
          <w:p w14:paraId="3BDEA067">
            <w:pPr>
              <w:spacing w:before="78" w:line="318" w:lineRule="auto"/>
              <w:ind w:left="113" w:right="89"/>
              <w:rPr>
                <w:rFonts w:hint="eastAsia" w:ascii="宋体" w:hAnsi="宋体" w:cs="宋体"/>
                <w:szCs w:val="21"/>
              </w:rPr>
            </w:pPr>
            <w:r>
              <w:rPr>
                <w:rFonts w:ascii="宋体" w:hAnsi="宋体" w:cs="宋体"/>
                <w:spacing w:val="-26"/>
                <w:szCs w:val="21"/>
              </w:rPr>
              <w:t>在</w:t>
            </w:r>
            <w:r>
              <w:rPr>
                <w:rFonts w:ascii="宋体" w:hAnsi="宋体" w:cs="宋体"/>
                <w:spacing w:val="-20"/>
                <w:szCs w:val="21"/>
              </w:rPr>
              <w:t>评</w:t>
            </w:r>
            <w:r>
              <w:rPr>
                <w:rFonts w:ascii="宋体" w:hAnsi="宋体" w:cs="宋体"/>
                <w:spacing w:val="-13"/>
                <w:szCs w:val="21"/>
              </w:rPr>
              <w:t>标过程中发现投标人有违反此项规定的，评标委员会应当</w:t>
            </w:r>
            <w:r>
              <w:rPr>
                <w:rFonts w:ascii="宋体" w:hAnsi="宋体" w:cs="宋体"/>
                <w:spacing w:val="-23"/>
                <w:szCs w:val="21"/>
              </w:rPr>
              <w:t>认</w:t>
            </w:r>
            <w:r>
              <w:rPr>
                <w:rFonts w:ascii="宋体" w:hAnsi="宋体" w:cs="宋体"/>
                <w:spacing w:val="-17"/>
                <w:szCs w:val="21"/>
              </w:rPr>
              <w:t>定其投标无效。</w:t>
            </w:r>
          </w:p>
        </w:tc>
      </w:tr>
    </w:tbl>
    <w:p w14:paraId="32A9FCF6">
      <w:pPr>
        <w:spacing w:before="112" w:line="224" w:lineRule="auto"/>
        <w:ind w:left="1192"/>
        <w:rPr>
          <w:rFonts w:hint="eastAsia" w:ascii="宋体" w:hAnsi="宋体" w:cs="宋体"/>
          <w:sz w:val="24"/>
        </w:rPr>
      </w:pPr>
      <w:r>
        <w:rPr>
          <w:rFonts w:ascii="宋体" w:hAnsi="宋体" w:cs="宋体"/>
          <w:spacing w:val="-21"/>
          <w:sz w:val="24"/>
        </w:rPr>
        <w:t>注</w:t>
      </w:r>
      <w:r>
        <w:rPr>
          <w:rFonts w:ascii="宋体" w:hAnsi="宋体" w:cs="宋体"/>
          <w:spacing w:val="-20"/>
          <w:sz w:val="24"/>
        </w:rPr>
        <w:t>：</w:t>
      </w:r>
    </w:p>
    <w:p w14:paraId="109C467B">
      <w:pPr>
        <w:spacing w:before="177" w:line="220" w:lineRule="auto"/>
        <w:ind w:left="1126"/>
        <w:rPr>
          <w:rFonts w:hint="eastAsia" w:ascii="宋体" w:hAnsi="宋体" w:cs="宋体"/>
          <w:sz w:val="24"/>
        </w:rPr>
      </w:pPr>
      <w:r>
        <w:rPr>
          <w:rFonts w:ascii="宋体" w:hAnsi="宋体" w:cs="宋体"/>
          <w:spacing w:val="-30"/>
          <w:sz w:val="24"/>
        </w:rPr>
        <w:t>有</w:t>
      </w:r>
      <w:r>
        <w:rPr>
          <w:rFonts w:ascii="宋体" w:hAnsi="宋体" w:cs="宋体"/>
          <w:spacing w:val="-17"/>
          <w:sz w:val="24"/>
        </w:rPr>
        <w:t>下列情形之一的，视为投标人串通投标，其投标无效：</w:t>
      </w:r>
    </w:p>
    <w:p w14:paraId="3C808569">
      <w:pPr>
        <w:spacing w:before="181" w:line="220" w:lineRule="auto"/>
        <w:ind w:left="1105"/>
        <w:rPr>
          <w:rFonts w:hint="eastAsia" w:ascii="宋体" w:hAnsi="宋体" w:cs="宋体"/>
          <w:sz w:val="24"/>
        </w:rPr>
      </w:pPr>
      <w:r>
        <w:rPr>
          <w:rFonts w:ascii="宋体" w:hAnsi="宋体" w:cs="宋体"/>
          <w:spacing w:val="-24"/>
          <w:sz w:val="24"/>
        </w:rPr>
        <w:t>(</w:t>
      </w:r>
      <w:r>
        <w:rPr>
          <w:rFonts w:ascii="宋体" w:hAnsi="宋体" w:cs="宋体"/>
          <w:spacing w:val="-17"/>
          <w:sz w:val="24"/>
        </w:rPr>
        <w:t>1</w:t>
      </w:r>
      <w:r>
        <w:rPr>
          <w:rFonts w:ascii="宋体" w:hAnsi="宋体" w:cs="宋体"/>
          <w:spacing w:val="-12"/>
          <w:sz w:val="24"/>
        </w:rPr>
        <w:t>) 不同投标人的投标文件由同一单位或者个人编制；</w:t>
      </w:r>
    </w:p>
    <w:p w14:paraId="3FBAB6FE">
      <w:pPr>
        <w:spacing w:before="182" w:line="220" w:lineRule="auto"/>
        <w:ind w:left="1105"/>
        <w:rPr>
          <w:rFonts w:hint="eastAsia" w:ascii="宋体" w:hAnsi="宋体" w:cs="宋体"/>
          <w:sz w:val="24"/>
        </w:rPr>
      </w:pPr>
      <w:r>
        <w:rPr>
          <w:rFonts w:ascii="宋体" w:hAnsi="宋体" w:cs="宋体"/>
          <w:spacing w:val="-24"/>
          <w:sz w:val="24"/>
        </w:rPr>
        <w:t>(</w:t>
      </w:r>
      <w:r>
        <w:rPr>
          <w:rFonts w:ascii="宋体" w:hAnsi="宋体" w:cs="宋体"/>
          <w:spacing w:val="-17"/>
          <w:sz w:val="24"/>
        </w:rPr>
        <w:t>2</w:t>
      </w:r>
      <w:r>
        <w:rPr>
          <w:rFonts w:ascii="宋体" w:hAnsi="宋体" w:cs="宋体"/>
          <w:spacing w:val="-12"/>
          <w:sz w:val="24"/>
        </w:rPr>
        <w:t>) 不同投标人委托同一单位或者个人办理投标事宜；</w:t>
      </w:r>
    </w:p>
    <w:p w14:paraId="3C46BB12">
      <w:pPr>
        <w:spacing w:before="181" w:line="220" w:lineRule="auto"/>
        <w:ind w:left="1105"/>
        <w:rPr>
          <w:rFonts w:hint="eastAsia" w:ascii="宋体" w:hAnsi="宋体" w:cs="宋体"/>
          <w:sz w:val="24"/>
        </w:rPr>
      </w:pPr>
      <w:r>
        <w:rPr>
          <w:rFonts w:ascii="宋体" w:hAnsi="宋体" w:cs="宋体"/>
          <w:spacing w:val="-26"/>
          <w:sz w:val="24"/>
        </w:rPr>
        <w:t>(</w:t>
      </w:r>
      <w:r>
        <w:rPr>
          <w:rFonts w:ascii="宋体" w:hAnsi="宋体" w:cs="宋体"/>
          <w:spacing w:val="-22"/>
          <w:sz w:val="24"/>
        </w:rPr>
        <w:t>3</w:t>
      </w:r>
      <w:r>
        <w:rPr>
          <w:rFonts w:ascii="宋体" w:hAnsi="宋体" w:cs="宋体"/>
          <w:spacing w:val="-13"/>
          <w:sz w:val="24"/>
        </w:rPr>
        <w:t>) 不同投标人的投标文件载明的项目管理成员或者联系人员为同一人；</w:t>
      </w:r>
    </w:p>
    <w:p w14:paraId="65CAB8BD">
      <w:pPr>
        <w:spacing w:before="183" w:line="218" w:lineRule="auto"/>
        <w:ind w:left="1105"/>
        <w:rPr>
          <w:rFonts w:hint="eastAsia" w:ascii="宋体" w:hAnsi="宋体" w:cs="宋体"/>
          <w:sz w:val="24"/>
        </w:rPr>
      </w:pPr>
      <w:r>
        <w:rPr>
          <w:rFonts w:ascii="宋体" w:hAnsi="宋体" w:cs="宋体"/>
          <w:spacing w:val="-19"/>
          <w:sz w:val="24"/>
        </w:rPr>
        <w:t>(</w:t>
      </w:r>
      <w:r>
        <w:rPr>
          <w:rFonts w:ascii="宋体" w:hAnsi="宋体" w:cs="宋体"/>
          <w:spacing w:val="-13"/>
          <w:sz w:val="24"/>
        </w:rPr>
        <w:t>4) 不同投标人的投标文件异常一致或者投标报价呈规律性差异；</w:t>
      </w:r>
    </w:p>
    <w:p w14:paraId="10ACA276">
      <w:pPr>
        <w:spacing w:before="184" w:line="220" w:lineRule="auto"/>
        <w:ind w:left="1105"/>
        <w:rPr>
          <w:rFonts w:hint="eastAsia" w:ascii="宋体" w:hAnsi="宋体" w:cs="宋体"/>
          <w:sz w:val="24"/>
        </w:rPr>
      </w:pPr>
      <w:r>
        <w:rPr>
          <w:rFonts w:ascii="宋体" w:hAnsi="宋体" w:cs="宋体"/>
          <w:spacing w:val="-20"/>
          <w:sz w:val="24"/>
        </w:rPr>
        <w:t>(</w:t>
      </w:r>
      <w:r>
        <w:rPr>
          <w:rFonts w:ascii="宋体" w:hAnsi="宋体" w:cs="宋体"/>
          <w:spacing w:val="-12"/>
          <w:sz w:val="24"/>
        </w:rPr>
        <w:t>5</w:t>
      </w:r>
      <w:r>
        <w:rPr>
          <w:rFonts w:ascii="宋体" w:hAnsi="宋体" w:cs="宋体"/>
          <w:spacing w:val="-10"/>
          <w:sz w:val="24"/>
        </w:rPr>
        <w:t>) 不同投标人的投标文件相互混装；</w:t>
      </w:r>
    </w:p>
    <w:p w14:paraId="57FA0736">
      <w:pPr>
        <w:spacing w:before="182" w:line="220" w:lineRule="auto"/>
        <w:ind w:left="1132"/>
        <w:rPr>
          <w:rFonts w:hint="eastAsia" w:ascii="宋体" w:hAnsi="宋体" w:cs="宋体"/>
          <w:sz w:val="24"/>
        </w:rPr>
      </w:pPr>
      <w:r>
        <w:rPr>
          <w:rFonts w:ascii="宋体" w:hAnsi="宋体" w:cs="宋体"/>
          <w:spacing w:val="-24"/>
          <w:sz w:val="24"/>
        </w:rPr>
        <w:t>(</w:t>
      </w:r>
      <w:r>
        <w:rPr>
          <w:rFonts w:ascii="宋体" w:hAnsi="宋体" w:cs="宋体"/>
          <w:spacing w:val="-15"/>
          <w:sz w:val="24"/>
        </w:rPr>
        <w:t>6</w:t>
      </w:r>
      <w:r>
        <w:rPr>
          <w:rFonts w:ascii="宋体" w:hAnsi="宋体" w:cs="宋体"/>
          <w:spacing w:val="-12"/>
          <w:sz w:val="24"/>
        </w:rPr>
        <w:t>) 不同投标人的投标保证金从同一单位或者个人的账户转出。</w:t>
      </w:r>
    </w:p>
    <w:p w14:paraId="198F6286">
      <w:pPr>
        <w:sectPr>
          <w:footerReference r:id="rId10" w:type="default"/>
          <w:pgSz w:w="11907" w:h="16841"/>
          <w:pgMar w:top="1431" w:right="1769" w:bottom="1009" w:left="1065" w:header="0" w:footer="821" w:gutter="0"/>
          <w:cols w:space="720" w:num="1"/>
        </w:sectPr>
      </w:pPr>
    </w:p>
    <w:p w14:paraId="26FD7D23">
      <w:pPr>
        <w:spacing w:before="140" w:line="219" w:lineRule="auto"/>
        <w:ind w:left="2061"/>
        <w:outlineLvl w:val="0"/>
        <w:rPr>
          <w:rFonts w:hint="eastAsia" w:ascii="宋体" w:hAnsi="宋体" w:cs="宋体"/>
          <w:sz w:val="36"/>
          <w:szCs w:val="36"/>
        </w:rPr>
      </w:pPr>
      <w:r>
        <w:rPr>
          <w:rFonts w:ascii="宋体" w:hAnsi="宋体" w:cs="宋体"/>
          <w:spacing w:val="-2"/>
          <w:sz w:val="36"/>
          <w:szCs w:val="36"/>
          <w14:textOutline w14:w="6527" w14:cap="flat" w14:cmpd="sng" w14:algn="ctr">
            <w14:solidFill>
              <w14:srgbClr w14:val="000000"/>
            </w14:solidFill>
            <w14:prstDash w14:val="solid"/>
            <w14:miter w14:val="0"/>
          </w14:textOutline>
        </w:rPr>
        <w:t>第四章</w:t>
      </w:r>
      <w:r>
        <w:rPr>
          <w:rFonts w:ascii="宋体" w:hAnsi="宋体" w:cs="宋体"/>
          <w:spacing w:val="-2"/>
          <w:sz w:val="36"/>
          <w:szCs w:val="36"/>
        </w:rPr>
        <w:t xml:space="preserve"> </w:t>
      </w:r>
      <w:r>
        <w:rPr>
          <w:rFonts w:ascii="宋体" w:hAnsi="宋体" w:cs="宋体"/>
          <w:spacing w:val="-2"/>
          <w:sz w:val="36"/>
          <w:szCs w:val="36"/>
          <w14:textOutline w14:w="6527" w14:cap="flat" w14:cmpd="sng" w14:algn="ctr">
            <w14:solidFill>
              <w14:srgbClr w14:val="000000"/>
            </w14:solidFill>
            <w14:prstDash w14:val="solid"/>
            <w14:miter w14:val="0"/>
          </w14:textOutline>
        </w:rPr>
        <w:t>评</w:t>
      </w:r>
      <w:r>
        <w:rPr>
          <w:rFonts w:ascii="宋体" w:hAnsi="宋体" w:cs="宋体"/>
          <w:spacing w:val="-1"/>
          <w:sz w:val="36"/>
          <w:szCs w:val="36"/>
          <w14:textOutline w14:w="6527" w14:cap="flat" w14:cmpd="sng" w14:algn="ctr">
            <w14:solidFill>
              <w14:srgbClr w14:val="000000"/>
            </w14:solidFill>
            <w14:prstDash w14:val="solid"/>
            <w14:miter w14:val="0"/>
          </w14:textOutline>
        </w:rPr>
        <w:t>标方法、程序与标准</w:t>
      </w:r>
    </w:p>
    <w:p w14:paraId="33F71830">
      <w:pPr>
        <w:spacing w:before="225" w:line="218" w:lineRule="auto"/>
        <w:ind w:left="225"/>
        <w:outlineLvl w:val="1"/>
        <w:rPr>
          <w:rFonts w:hint="eastAsia" w:ascii="黑体" w:hAnsi="黑体" w:eastAsia="黑体" w:cs="黑体"/>
          <w:sz w:val="30"/>
          <w:szCs w:val="30"/>
        </w:rPr>
      </w:pPr>
      <w:r>
        <w:rPr>
          <w:rFonts w:ascii="黑体" w:hAnsi="黑体" w:eastAsia="黑体" w:cs="黑体"/>
          <w:spacing w:val="-14"/>
          <w:sz w:val="30"/>
          <w:szCs w:val="30"/>
        </w:rPr>
        <w:t>一、评标方法</w:t>
      </w:r>
    </w:p>
    <w:p w14:paraId="74631A9F">
      <w:pPr>
        <w:spacing w:before="222" w:line="219" w:lineRule="auto"/>
        <w:ind w:left="689"/>
        <w:rPr>
          <w:rFonts w:hint="eastAsia" w:ascii="宋体" w:hAnsi="宋体" w:cs="宋体"/>
          <w:sz w:val="24"/>
        </w:rPr>
      </w:pPr>
      <w:r>
        <w:rPr>
          <w:rFonts w:ascii="宋体" w:hAnsi="宋体" w:cs="宋体"/>
          <w:spacing w:val="-8"/>
          <w:sz w:val="24"/>
        </w:rPr>
        <w:t>本项</w:t>
      </w:r>
      <w:r>
        <w:rPr>
          <w:rFonts w:ascii="宋体" w:hAnsi="宋体" w:cs="宋体"/>
          <w:spacing w:val="-5"/>
          <w:sz w:val="24"/>
        </w:rPr>
        <w:t>目</w:t>
      </w:r>
      <w:r>
        <w:rPr>
          <w:rFonts w:ascii="宋体" w:hAnsi="宋体" w:cs="宋体"/>
          <w:spacing w:val="-4"/>
          <w:sz w:val="24"/>
        </w:rPr>
        <w:t>采用</w:t>
      </w:r>
      <w:r>
        <w:rPr>
          <w:rFonts w:ascii="宋体" w:hAnsi="宋体" w:cs="宋体"/>
          <w:spacing w:val="-4"/>
          <w:sz w:val="24"/>
          <w:u w:val="single"/>
          <w14:textOutline w14:w="4356" w14:cap="flat" w14:cmpd="sng" w14:algn="ctr">
            <w14:solidFill>
              <w14:srgbClr w14:val="000000"/>
            </w14:solidFill>
            <w14:prstDash w14:val="solid"/>
            <w14:miter w14:val="0"/>
          </w14:textOutline>
        </w:rPr>
        <w:t>综合评分法</w:t>
      </w:r>
      <w:r>
        <w:rPr>
          <w:rFonts w:ascii="宋体" w:hAnsi="宋体" w:cs="宋体"/>
          <w:spacing w:val="-4"/>
          <w:sz w:val="24"/>
        </w:rPr>
        <w:t>评标。</w:t>
      </w:r>
    </w:p>
    <w:p w14:paraId="7F207983">
      <w:pPr>
        <w:spacing w:before="116" w:line="220" w:lineRule="auto"/>
        <w:ind w:left="667"/>
        <w:rPr>
          <w:rFonts w:hint="eastAsia" w:ascii="宋体" w:hAnsi="宋体" w:cs="宋体"/>
          <w:sz w:val="24"/>
        </w:rPr>
      </w:pPr>
      <w:r>
        <w:rPr>
          <w:rFonts w:ascii="宋体" w:hAnsi="宋体" w:cs="宋体"/>
          <w:spacing w:val="-30"/>
          <w:sz w:val="24"/>
        </w:rPr>
        <w:t>综</w:t>
      </w:r>
      <w:r>
        <w:rPr>
          <w:rFonts w:ascii="宋体" w:hAnsi="宋体" w:cs="宋体"/>
          <w:spacing w:val="-16"/>
          <w:sz w:val="24"/>
        </w:rPr>
        <w:t>合</w:t>
      </w:r>
      <w:r>
        <w:rPr>
          <w:rFonts w:ascii="宋体" w:hAnsi="宋体" w:cs="宋体"/>
          <w:spacing w:val="-15"/>
          <w:sz w:val="24"/>
        </w:rPr>
        <w:t>评分法，是指投标文件满足招标文件全部实质性要求，且按照评审因素的量</w:t>
      </w:r>
    </w:p>
    <w:p w14:paraId="4C1318D2">
      <w:pPr>
        <w:spacing w:before="111" w:line="220" w:lineRule="auto"/>
        <w:ind w:left="219"/>
        <w:rPr>
          <w:rFonts w:hint="eastAsia" w:ascii="宋体" w:hAnsi="宋体" w:cs="宋体"/>
          <w:sz w:val="24"/>
        </w:rPr>
      </w:pPr>
      <w:r>
        <w:rPr>
          <w:rFonts w:ascii="宋体" w:hAnsi="宋体" w:cs="宋体"/>
          <w:spacing w:val="-17"/>
          <w:sz w:val="24"/>
        </w:rPr>
        <w:t>化指标评审得分最高的投标人为中标候选人的评标方法</w:t>
      </w:r>
      <w:r>
        <w:rPr>
          <w:rFonts w:ascii="宋体" w:hAnsi="宋体" w:cs="宋体"/>
          <w:spacing w:val="-16"/>
          <w:sz w:val="24"/>
        </w:rPr>
        <w:t>。</w:t>
      </w:r>
    </w:p>
    <w:p w14:paraId="60DB102D">
      <w:pPr>
        <w:spacing w:before="64" w:line="219" w:lineRule="auto"/>
        <w:ind w:left="225"/>
        <w:outlineLvl w:val="1"/>
        <w:rPr>
          <w:rFonts w:hint="eastAsia" w:ascii="黑体" w:hAnsi="黑体" w:eastAsia="黑体" w:cs="黑体"/>
          <w:sz w:val="30"/>
          <w:szCs w:val="30"/>
        </w:rPr>
      </w:pPr>
      <w:r>
        <w:rPr>
          <w:rFonts w:ascii="黑体" w:hAnsi="黑体" w:eastAsia="黑体" w:cs="黑体"/>
          <w:spacing w:val="-14"/>
          <w:sz w:val="30"/>
          <w:szCs w:val="30"/>
        </w:rPr>
        <w:t>二、评标程序</w:t>
      </w:r>
    </w:p>
    <w:p w14:paraId="08008910">
      <w:pPr>
        <w:spacing w:before="96" w:line="308" w:lineRule="auto"/>
        <w:ind w:left="218" w:firstLine="445"/>
        <w:rPr>
          <w:rFonts w:hint="eastAsia" w:ascii="宋体" w:hAnsi="宋体" w:cs="宋体"/>
          <w:sz w:val="24"/>
        </w:rPr>
      </w:pPr>
      <w:r>
        <w:rPr>
          <w:rFonts w:ascii="宋体" w:hAnsi="宋体" w:cs="宋体"/>
          <w:spacing w:val="-27"/>
          <w:sz w:val="24"/>
        </w:rPr>
        <w:t>评</w:t>
      </w:r>
      <w:r>
        <w:rPr>
          <w:rFonts w:ascii="宋体" w:hAnsi="宋体" w:cs="宋体"/>
          <w:spacing w:val="-15"/>
          <w:sz w:val="24"/>
        </w:rPr>
        <w:t>标委员会按以下工作程序进行评标：符合性审查、同一品牌产品的审查、澄清</w:t>
      </w:r>
      <w:r>
        <w:rPr>
          <w:rFonts w:ascii="宋体" w:hAnsi="宋体" w:cs="宋体"/>
          <w:sz w:val="24"/>
        </w:rPr>
        <w:t xml:space="preserve"> </w:t>
      </w:r>
      <w:r>
        <w:rPr>
          <w:rFonts w:ascii="宋体" w:hAnsi="宋体" w:cs="宋体"/>
          <w:spacing w:val="-28"/>
          <w:sz w:val="24"/>
        </w:rPr>
        <w:t>有</w:t>
      </w:r>
      <w:r>
        <w:rPr>
          <w:rFonts w:ascii="宋体" w:hAnsi="宋体" w:cs="宋体"/>
          <w:spacing w:val="-15"/>
          <w:sz w:val="24"/>
        </w:rPr>
        <w:t>关问题、综合比较与评价、复核评标结果、推荐中标候选人名单、编写评标报告和</w:t>
      </w:r>
      <w:r>
        <w:rPr>
          <w:rFonts w:ascii="宋体" w:hAnsi="宋体" w:cs="宋体"/>
          <w:sz w:val="24"/>
        </w:rPr>
        <w:t xml:space="preserve"> </w:t>
      </w:r>
      <w:r>
        <w:rPr>
          <w:rFonts w:ascii="宋体" w:hAnsi="宋体" w:cs="宋体"/>
          <w:spacing w:val="-18"/>
          <w:sz w:val="24"/>
        </w:rPr>
        <w:t>确定中标人</w:t>
      </w:r>
      <w:r>
        <w:rPr>
          <w:rFonts w:ascii="宋体" w:hAnsi="宋体" w:cs="宋体"/>
          <w:spacing w:val="-17"/>
          <w:sz w:val="24"/>
        </w:rPr>
        <w:t>。</w:t>
      </w:r>
    </w:p>
    <w:p w14:paraId="5F63FE49">
      <w:pPr>
        <w:spacing w:line="219" w:lineRule="auto"/>
        <w:ind w:left="673"/>
        <w:rPr>
          <w:rFonts w:hint="eastAsia" w:ascii="宋体" w:hAnsi="宋体" w:cs="宋体"/>
          <w:sz w:val="24"/>
        </w:rPr>
      </w:pPr>
      <w:r>
        <w:rPr>
          <w:rFonts w:ascii="宋体" w:hAnsi="宋体" w:cs="宋体"/>
          <w:spacing w:val="1"/>
          <w:sz w:val="24"/>
          <w14:textOutline w14:w="4356" w14:cap="flat" w14:cmpd="sng" w14:algn="ctr">
            <w14:solidFill>
              <w14:srgbClr w14:val="000000"/>
            </w14:solidFill>
            <w14:prstDash w14:val="solid"/>
            <w14:miter w14:val="0"/>
          </w14:textOutline>
        </w:rPr>
        <w:t>(一)</w:t>
      </w:r>
      <w:r>
        <w:rPr>
          <w:rFonts w:ascii="宋体" w:hAnsi="宋体" w:cs="宋体"/>
          <w:spacing w:val="1"/>
          <w:sz w:val="24"/>
        </w:rPr>
        <w:t xml:space="preserve"> </w:t>
      </w:r>
      <w:r>
        <w:rPr>
          <w:rFonts w:ascii="宋体" w:hAnsi="宋体" w:cs="宋体"/>
          <w:spacing w:val="1"/>
          <w:sz w:val="24"/>
          <w14:textOutline w14:w="4356" w14:cap="flat" w14:cmpd="sng" w14:algn="ctr">
            <w14:solidFill>
              <w14:srgbClr w14:val="000000"/>
            </w14:solidFill>
            <w14:prstDash w14:val="solid"/>
            <w14:miter w14:val="0"/>
          </w14:textOutline>
        </w:rPr>
        <w:t>符合性审</w:t>
      </w:r>
      <w:r>
        <w:rPr>
          <w:rFonts w:ascii="宋体" w:hAnsi="宋体" w:cs="宋体"/>
          <w:sz w:val="24"/>
          <w14:textOutline w14:w="4356" w14:cap="flat" w14:cmpd="sng" w14:algn="ctr">
            <w14:solidFill>
              <w14:srgbClr w14:val="000000"/>
            </w14:solidFill>
            <w14:prstDash w14:val="solid"/>
            <w14:miter w14:val="0"/>
          </w14:textOutline>
        </w:rPr>
        <w:t>查</w:t>
      </w:r>
    </w:p>
    <w:p w14:paraId="2E2706CB">
      <w:pPr>
        <w:spacing w:before="112" w:line="320" w:lineRule="auto"/>
        <w:ind w:left="218" w:right="4" w:firstLine="445"/>
        <w:rPr>
          <w:rFonts w:hint="eastAsia" w:ascii="宋体" w:hAnsi="宋体" w:cs="宋体"/>
          <w:sz w:val="24"/>
        </w:rPr>
      </w:pPr>
      <w:r>
        <w:rPr>
          <w:rFonts w:ascii="宋体" w:hAnsi="宋体" w:cs="宋体"/>
          <w:spacing w:val="-27"/>
          <w:sz w:val="24"/>
        </w:rPr>
        <w:t>评</w:t>
      </w:r>
      <w:r>
        <w:rPr>
          <w:rFonts w:ascii="宋体" w:hAnsi="宋体" w:cs="宋体"/>
          <w:spacing w:val="-15"/>
          <w:sz w:val="24"/>
        </w:rPr>
        <w:t>标委员会应当对符合资格的投标人的投标文件进行符合性审查，以确定其是否</w:t>
      </w:r>
      <w:r>
        <w:rPr>
          <w:rFonts w:ascii="宋体" w:hAnsi="宋体" w:cs="宋体"/>
          <w:sz w:val="24"/>
        </w:rPr>
        <w:t xml:space="preserve"> </w:t>
      </w:r>
      <w:r>
        <w:rPr>
          <w:rFonts w:ascii="宋体" w:hAnsi="宋体" w:cs="宋体"/>
          <w:spacing w:val="-34"/>
          <w:sz w:val="24"/>
        </w:rPr>
        <w:t>满</w:t>
      </w:r>
      <w:r>
        <w:rPr>
          <w:rFonts w:ascii="宋体" w:hAnsi="宋体" w:cs="宋体"/>
          <w:spacing w:val="-22"/>
          <w:sz w:val="24"/>
        </w:rPr>
        <w:t>足招标文件的实质性要求。 有下列情形之一的， 符合性审查不合格，其投标无效。</w:t>
      </w:r>
    </w:p>
    <w:p w14:paraId="64A662EB">
      <w:pPr>
        <w:spacing w:line="127" w:lineRule="exact"/>
      </w:pPr>
    </w:p>
    <w:tbl>
      <w:tblPr>
        <w:tblStyle w:val="37"/>
        <w:tblW w:w="8477" w:type="dxa"/>
        <w:tblInd w:w="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82"/>
        <w:gridCol w:w="7795"/>
      </w:tblGrid>
      <w:tr w14:paraId="01D99F9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3" w:hRule="atLeast"/>
        </w:trPr>
        <w:tc>
          <w:tcPr>
            <w:tcW w:w="682" w:type="dxa"/>
            <w:tcBorders>
              <w:left w:val="single" w:color="000000" w:sz="6" w:space="0"/>
            </w:tcBorders>
          </w:tcPr>
          <w:p w14:paraId="7927833D">
            <w:pPr>
              <w:spacing w:before="204" w:line="220" w:lineRule="auto"/>
              <w:ind w:left="116"/>
              <w:rPr>
                <w:rFonts w:hint="eastAsia" w:ascii="黑体" w:hAnsi="黑体" w:eastAsia="黑体" w:cs="黑体"/>
                <w:sz w:val="24"/>
              </w:rPr>
            </w:pPr>
            <w:r>
              <w:rPr>
                <w:rFonts w:ascii="黑体" w:hAnsi="黑体" w:eastAsia="黑体" w:cs="黑体"/>
                <w:spacing w:val="-8"/>
                <w:sz w:val="24"/>
              </w:rPr>
              <w:t>序</w:t>
            </w:r>
            <w:r>
              <w:rPr>
                <w:rFonts w:ascii="黑体" w:hAnsi="黑体" w:eastAsia="黑体" w:cs="黑体"/>
                <w:spacing w:val="-6"/>
                <w:sz w:val="24"/>
              </w:rPr>
              <w:t>号</w:t>
            </w:r>
          </w:p>
        </w:tc>
        <w:tc>
          <w:tcPr>
            <w:tcW w:w="7795" w:type="dxa"/>
            <w:tcBorders>
              <w:right w:val="single" w:color="000000" w:sz="6" w:space="0"/>
            </w:tcBorders>
          </w:tcPr>
          <w:p w14:paraId="0FAF137F">
            <w:pPr>
              <w:spacing w:before="186" w:line="219" w:lineRule="auto"/>
              <w:ind w:left="2584"/>
              <w:rPr>
                <w:rFonts w:hint="eastAsia" w:ascii="黑体" w:hAnsi="黑体" w:eastAsia="黑体" w:cs="黑体"/>
                <w:sz w:val="28"/>
                <w:szCs w:val="28"/>
              </w:rPr>
            </w:pPr>
            <w:r>
              <w:rPr>
                <w:rFonts w:ascii="黑体" w:hAnsi="黑体" w:eastAsia="黑体" w:cs="黑体"/>
                <w:spacing w:val="-19"/>
                <w:sz w:val="28"/>
                <w:szCs w:val="28"/>
              </w:rPr>
              <w:t>符</w:t>
            </w:r>
            <w:r>
              <w:rPr>
                <w:rFonts w:ascii="黑体" w:hAnsi="黑体" w:eastAsia="黑体" w:cs="黑体"/>
                <w:spacing w:val="-14"/>
                <w:sz w:val="28"/>
                <w:szCs w:val="28"/>
              </w:rPr>
              <w:t>合性审查不合格情形</w:t>
            </w:r>
          </w:p>
        </w:tc>
      </w:tr>
      <w:tr w14:paraId="522CD9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8" w:hRule="atLeast"/>
        </w:trPr>
        <w:tc>
          <w:tcPr>
            <w:tcW w:w="8477" w:type="dxa"/>
            <w:gridSpan w:val="2"/>
            <w:tcBorders>
              <w:left w:val="single" w:color="000000" w:sz="6" w:space="0"/>
              <w:right w:val="single" w:color="000000" w:sz="6" w:space="0"/>
            </w:tcBorders>
          </w:tcPr>
          <w:p w14:paraId="1A61CBA9">
            <w:pPr>
              <w:spacing w:before="74" w:line="220" w:lineRule="auto"/>
              <w:ind w:left="118"/>
              <w:rPr>
                <w:rFonts w:hint="eastAsia" w:ascii="宋体" w:hAnsi="宋体" w:cs="宋体"/>
                <w:sz w:val="24"/>
              </w:rPr>
            </w:pPr>
            <w:r>
              <w:rPr>
                <w:rFonts w:ascii="宋体" w:hAnsi="宋体" w:cs="宋体"/>
                <w:spacing w:val="1"/>
                <w:sz w:val="24"/>
                <w14:textOutline w14:w="4356" w14:cap="flat" w14:cmpd="sng" w14:algn="ctr">
                  <w14:solidFill>
                    <w14:srgbClr w14:val="000000"/>
                  </w14:solidFill>
                  <w14:prstDash w14:val="solid"/>
                  <w14:miter w14:val="0"/>
                </w14:textOutline>
              </w:rPr>
              <w:t>(一)</w:t>
            </w:r>
            <w:r>
              <w:rPr>
                <w:rFonts w:ascii="宋体" w:hAnsi="宋体" w:cs="宋体"/>
                <w:spacing w:val="1"/>
                <w:sz w:val="24"/>
              </w:rPr>
              <w:t xml:space="preserve"> </w:t>
            </w:r>
            <w:r>
              <w:rPr>
                <w:rFonts w:ascii="宋体" w:hAnsi="宋体" w:cs="宋体"/>
                <w:spacing w:val="1"/>
                <w:sz w:val="24"/>
                <w14:textOutline w14:w="4356" w14:cap="flat" w14:cmpd="sng" w14:algn="ctr">
                  <w14:solidFill>
                    <w14:srgbClr w14:val="000000"/>
                  </w14:solidFill>
                  <w14:prstDash w14:val="solid"/>
                  <w14:miter w14:val="0"/>
                </w14:textOutline>
              </w:rPr>
              <w:t>有效性审</w:t>
            </w:r>
            <w:r>
              <w:rPr>
                <w:rFonts w:ascii="宋体" w:hAnsi="宋体" w:cs="宋体"/>
                <w:sz w:val="24"/>
                <w14:textOutline w14:w="4356" w14:cap="flat" w14:cmpd="sng" w14:algn="ctr">
                  <w14:solidFill>
                    <w14:srgbClr w14:val="000000"/>
                  </w14:solidFill>
                  <w14:prstDash w14:val="solid"/>
                  <w14:miter w14:val="0"/>
                </w14:textOutline>
              </w:rPr>
              <w:t>查</w:t>
            </w:r>
          </w:p>
        </w:tc>
      </w:tr>
      <w:tr w14:paraId="5D1DDE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682" w:type="dxa"/>
            <w:tcBorders>
              <w:left w:val="single" w:color="000000" w:sz="6" w:space="0"/>
            </w:tcBorders>
          </w:tcPr>
          <w:p w14:paraId="7878C825">
            <w:pPr>
              <w:spacing w:before="200" w:line="185" w:lineRule="auto"/>
              <w:ind w:left="302"/>
              <w:rPr>
                <w:rFonts w:hint="eastAsia" w:ascii="宋体" w:hAnsi="宋体" w:cs="宋体"/>
                <w:sz w:val="24"/>
              </w:rPr>
            </w:pPr>
            <w:r>
              <w:rPr>
                <w:rFonts w:ascii="宋体" w:hAnsi="宋体" w:cs="宋体"/>
                <w:sz w:val="24"/>
              </w:rPr>
              <w:t>1</w:t>
            </w:r>
          </w:p>
        </w:tc>
        <w:tc>
          <w:tcPr>
            <w:tcW w:w="7795" w:type="dxa"/>
            <w:tcBorders>
              <w:right w:val="single" w:color="000000" w:sz="6" w:space="0"/>
            </w:tcBorders>
          </w:tcPr>
          <w:p w14:paraId="13891A5A">
            <w:pPr>
              <w:spacing w:before="160" w:line="220" w:lineRule="auto"/>
              <w:ind w:left="112"/>
              <w:rPr>
                <w:rFonts w:hint="eastAsia" w:ascii="宋体" w:hAnsi="宋体" w:cs="宋体"/>
                <w:sz w:val="24"/>
              </w:rPr>
            </w:pPr>
            <w:r>
              <w:rPr>
                <w:rFonts w:ascii="宋体" w:hAnsi="宋体" w:cs="宋体"/>
                <w:spacing w:val="-23"/>
                <w:sz w:val="24"/>
              </w:rPr>
              <w:t>投</w:t>
            </w:r>
            <w:r>
              <w:rPr>
                <w:rFonts w:ascii="宋体" w:hAnsi="宋体" w:cs="宋体"/>
                <w:spacing w:val="-17"/>
                <w:sz w:val="24"/>
              </w:rPr>
              <w:t>标文件未按招标文件要求签署的。</w:t>
            </w:r>
          </w:p>
        </w:tc>
      </w:tr>
      <w:tr w14:paraId="073F20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3" w:hRule="atLeast"/>
        </w:trPr>
        <w:tc>
          <w:tcPr>
            <w:tcW w:w="682" w:type="dxa"/>
            <w:tcBorders>
              <w:left w:val="single" w:color="000000" w:sz="6" w:space="0"/>
            </w:tcBorders>
          </w:tcPr>
          <w:p w14:paraId="75288BEA">
            <w:pPr>
              <w:spacing w:before="204" w:line="184" w:lineRule="auto"/>
              <w:ind w:left="287"/>
              <w:rPr>
                <w:rFonts w:hint="eastAsia" w:ascii="宋体" w:hAnsi="宋体" w:cs="宋体"/>
                <w:sz w:val="24"/>
              </w:rPr>
            </w:pPr>
            <w:r>
              <w:rPr>
                <w:rFonts w:ascii="宋体" w:hAnsi="宋体" w:cs="宋体"/>
                <w:sz w:val="24"/>
              </w:rPr>
              <w:t>2</w:t>
            </w:r>
          </w:p>
        </w:tc>
        <w:tc>
          <w:tcPr>
            <w:tcW w:w="7795" w:type="dxa"/>
            <w:tcBorders>
              <w:right w:val="single" w:color="000000" w:sz="6" w:space="0"/>
            </w:tcBorders>
          </w:tcPr>
          <w:p w14:paraId="5E01F1ED">
            <w:pPr>
              <w:spacing w:before="163" w:line="218" w:lineRule="auto"/>
              <w:ind w:left="112"/>
              <w:rPr>
                <w:rFonts w:hint="eastAsia" w:ascii="宋体" w:hAnsi="宋体" w:cs="宋体"/>
                <w:sz w:val="24"/>
              </w:rPr>
            </w:pPr>
            <w:r>
              <w:rPr>
                <w:rFonts w:ascii="宋体" w:hAnsi="宋体" w:cs="宋体"/>
                <w:spacing w:val="-21"/>
                <w:sz w:val="24"/>
              </w:rPr>
              <w:t>投</w:t>
            </w:r>
            <w:r>
              <w:rPr>
                <w:rFonts w:ascii="宋体" w:hAnsi="宋体" w:cs="宋体"/>
                <w:spacing w:val="-17"/>
                <w:sz w:val="24"/>
              </w:rPr>
              <w:t>标报价超过招标文件中规定的预算金额或者最高限价的。</w:t>
            </w:r>
          </w:p>
        </w:tc>
      </w:tr>
      <w:tr w14:paraId="766D30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682" w:type="dxa"/>
            <w:tcBorders>
              <w:left w:val="single" w:color="000000" w:sz="6" w:space="0"/>
            </w:tcBorders>
          </w:tcPr>
          <w:p w14:paraId="059BF1E1">
            <w:pPr>
              <w:spacing w:before="230" w:line="183" w:lineRule="auto"/>
              <w:ind w:left="289"/>
              <w:rPr>
                <w:rFonts w:hint="eastAsia" w:ascii="宋体" w:hAnsi="宋体" w:cs="宋体"/>
                <w:sz w:val="24"/>
              </w:rPr>
            </w:pPr>
            <w:r>
              <w:rPr>
                <w:rFonts w:ascii="宋体" w:hAnsi="宋体" w:cs="宋体"/>
                <w:sz w:val="24"/>
              </w:rPr>
              <w:t>3</w:t>
            </w:r>
          </w:p>
        </w:tc>
        <w:tc>
          <w:tcPr>
            <w:tcW w:w="7795" w:type="dxa"/>
            <w:tcBorders>
              <w:right w:val="single" w:color="000000" w:sz="6" w:space="0"/>
            </w:tcBorders>
          </w:tcPr>
          <w:p w14:paraId="55AD485B">
            <w:pPr>
              <w:spacing w:before="35" w:line="228" w:lineRule="auto"/>
              <w:ind w:left="123" w:right="89" w:firstLine="9"/>
              <w:rPr>
                <w:rFonts w:hint="eastAsia" w:ascii="宋体" w:hAnsi="宋体" w:cs="宋体"/>
                <w:sz w:val="24"/>
              </w:rPr>
            </w:pPr>
            <w:r>
              <w:rPr>
                <w:rFonts w:ascii="宋体" w:hAnsi="宋体" w:cs="宋体"/>
                <w:spacing w:val="-15"/>
                <w:sz w:val="24"/>
              </w:rPr>
              <w:t>同</w:t>
            </w:r>
            <w:r>
              <w:rPr>
                <w:rFonts w:ascii="宋体" w:hAnsi="宋体" w:cs="宋体"/>
                <w:spacing w:val="-14"/>
                <w:sz w:val="24"/>
              </w:rPr>
              <w:t>一标段提报了两个或两个以上报价方案的(招标文件中要求提供备选方案的</w:t>
            </w:r>
            <w:r>
              <w:rPr>
                <w:rFonts w:ascii="宋体" w:hAnsi="宋体" w:cs="宋体"/>
                <w:sz w:val="24"/>
              </w:rPr>
              <w:t xml:space="preserve"> </w:t>
            </w:r>
            <w:r>
              <w:rPr>
                <w:rFonts w:ascii="宋体" w:hAnsi="宋体" w:cs="宋体"/>
                <w:spacing w:val="3"/>
                <w:sz w:val="24"/>
              </w:rPr>
              <w:t>除外)</w:t>
            </w:r>
            <w:r>
              <w:rPr>
                <w:rFonts w:ascii="宋体" w:hAnsi="宋体" w:cs="宋体"/>
                <w:spacing w:val="2"/>
                <w:sz w:val="24"/>
              </w:rPr>
              <w:t>。</w:t>
            </w:r>
          </w:p>
        </w:tc>
      </w:tr>
      <w:tr w14:paraId="34861E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1" w:hRule="atLeast"/>
        </w:trPr>
        <w:tc>
          <w:tcPr>
            <w:tcW w:w="8477" w:type="dxa"/>
            <w:gridSpan w:val="2"/>
            <w:tcBorders>
              <w:left w:val="single" w:color="000000" w:sz="6" w:space="0"/>
              <w:right w:val="single" w:color="000000" w:sz="6" w:space="0"/>
            </w:tcBorders>
          </w:tcPr>
          <w:p w14:paraId="4EA74924">
            <w:pPr>
              <w:spacing w:before="97" w:line="220" w:lineRule="auto"/>
              <w:ind w:left="118"/>
              <w:rPr>
                <w:rFonts w:hint="eastAsia" w:ascii="宋体" w:hAnsi="宋体" w:cs="宋体"/>
                <w:sz w:val="24"/>
              </w:rPr>
            </w:pPr>
            <w:r>
              <w:rPr>
                <w:rFonts w:ascii="宋体" w:hAnsi="宋体" w:cs="宋体"/>
                <w:spacing w:val="1"/>
                <w:sz w:val="24"/>
                <w14:textOutline w14:w="4356" w14:cap="flat" w14:cmpd="sng" w14:algn="ctr">
                  <w14:solidFill>
                    <w14:srgbClr w14:val="000000"/>
                  </w14:solidFill>
                  <w14:prstDash w14:val="solid"/>
                  <w14:miter w14:val="0"/>
                </w14:textOutline>
              </w:rPr>
              <w:t>(二)</w:t>
            </w:r>
            <w:r>
              <w:rPr>
                <w:rFonts w:ascii="宋体" w:hAnsi="宋体" w:cs="宋体"/>
                <w:spacing w:val="1"/>
                <w:sz w:val="24"/>
              </w:rPr>
              <w:t xml:space="preserve"> </w:t>
            </w:r>
            <w:r>
              <w:rPr>
                <w:rFonts w:ascii="宋体" w:hAnsi="宋体" w:cs="宋体"/>
                <w:spacing w:val="1"/>
                <w:sz w:val="24"/>
                <w14:textOutline w14:w="4356" w14:cap="flat" w14:cmpd="sng" w14:algn="ctr">
                  <w14:solidFill>
                    <w14:srgbClr w14:val="000000"/>
                  </w14:solidFill>
                  <w14:prstDash w14:val="solid"/>
                  <w14:miter w14:val="0"/>
                </w14:textOutline>
              </w:rPr>
              <w:t>完整性审</w:t>
            </w:r>
            <w:r>
              <w:rPr>
                <w:rFonts w:ascii="宋体" w:hAnsi="宋体" w:cs="宋体"/>
                <w:sz w:val="24"/>
                <w14:textOutline w14:w="4356" w14:cap="flat" w14:cmpd="sng" w14:algn="ctr">
                  <w14:solidFill>
                    <w14:srgbClr w14:val="000000"/>
                  </w14:solidFill>
                  <w14:prstDash w14:val="solid"/>
                  <w14:miter w14:val="0"/>
                </w14:textOutline>
              </w:rPr>
              <w:t>查</w:t>
            </w:r>
          </w:p>
        </w:tc>
      </w:tr>
      <w:tr w14:paraId="219793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0" w:hRule="atLeast"/>
        </w:trPr>
        <w:tc>
          <w:tcPr>
            <w:tcW w:w="682" w:type="dxa"/>
            <w:tcBorders>
              <w:left w:val="single" w:color="000000" w:sz="6" w:space="0"/>
            </w:tcBorders>
          </w:tcPr>
          <w:p w14:paraId="27AFF731">
            <w:pPr>
              <w:spacing w:line="308" w:lineRule="auto"/>
              <w:rPr>
                <w:rFonts w:ascii="Arial"/>
              </w:rPr>
            </w:pPr>
          </w:p>
          <w:p w14:paraId="369BE7AB">
            <w:pPr>
              <w:spacing w:before="78" w:line="184" w:lineRule="auto"/>
              <w:ind w:left="283"/>
              <w:rPr>
                <w:rFonts w:hint="eastAsia" w:ascii="宋体" w:hAnsi="宋体" w:cs="宋体"/>
                <w:sz w:val="24"/>
              </w:rPr>
            </w:pPr>
            <w:r>
              <w:rPr>
                <w:rFonts w:ascii="宋体" w:hAnsi="宋体" w:cs="宋体"/>
                <w:sz w:val="24"/>
              </w:rPr>
              <w:t>4</w:t>
            </w:r>
          </w:p>
        </w:tc>
        <w:tc>
          <w:tcPr>
            <w:tcW w:w="7795" w:type="dxa"/>
            <w:tcBorders>
              <w:right w:val="single" w:color="000000" w:sz="6" w:space="0"/>
            </w:tcBorders>
          </w:tcPr>
          <w:p w14:paraId="552920EF">
            <w:pPr>
              <w:spacing w:before="35" w:line="232" w:lineRule="auto"/>
              <w:ind w:left="110" w:right="86" w:firstLine="2"/>
              <w:rPr>
                <w:rFonts w:hint="eastAsia" w:ascii="宋体" w:hAnsi="宋体" w:cs="宋体"/>
                <w:sz w:val="24"/>
              </w:rPr>
            </w:pPr>
            <w:r>
              <w:rPr>
                <w:rFonts w:ascii="宋体" w:hAnsi="宋体" w:cs="宋体"/>
                <w:spacing w:val="-23"/>
                <w:sz w:val="24"/>
              </w:rPr>
              <w:t>未</w:t>
            </w:r>
            <w:r>
              <w:rPr>
                <w:rFonts w:ascii="宋体" w:hAnsi="宋体" w:cs="宋体"/>
                <w:spacing w:val="-17"/>
                <w:sz w:val="24"/>
              </w:rPr>
              <w:t>按招标文件要求提供《投标函》《法定代表人授权书》《商务条款偏离表》</w:t>
            </w:r>
            <w:r>
              <w:rPr>
                <w:rFonts w:ascii="宋体" w:hAnsi="宋体" w:cs="宋体"/>
                <w:sz w:val="24"/>
              </w:rPr>
              <w:t xml:space="preserve"> </w:t>
            </w:r>
            <w:r>
              <w:rPr>
                <w:rFonts w:ascii="宋体" w:hAnsi="宋体" w:cs="宋体"/>
                <w:spacing w:val="-17"/>
                <w:sz w:val="24"/>
              </w:rPr>
              <w:t>《技术条款偏离表》《开标一览表》《投标报价明细表》或所提供的上述材</w:t>
            </w:r>
            <w:r>
              <w:rPr>
                <w:rFonts w:ascii="宋体" w:hAnsi="宋体" w:cs="宋体"/>
                <w:spacing w:val="-11"/>
                <w:sz w:val="24"/>
              </w:rPr>
              <w:t>料</w:t>
            </w:r>
            <w:r>
              <w:rPr>
                <w:rFonts w:ascii="宋体" w:hAnsi="宋体" w:cs="宋体"/>
                <w:spacing w:val="-24"/>
                <w:sz w:val="24"/>
              </w:rPr>
              <w:t>不</w:t>
            </w:r>
            <w:r>
              <w:rPr>
                <w:rFonts w:ascii="宋体" w:hAnsi="宋体" w:cs="宋体"/>
                <w:spacing w:val="-17"/>
                <w:sz w:val="24"/>
              </w:rPr>
              <w:t>符合招标文件要求的。</w:t>
            </w:r>
          </w:p>
        </w:tc>
      </w:tr>
      <w:tr w14:paraId="1C7720F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3" w:hRule="atLeast"/>
        </w:trPr>
        <w:tc>
          <w:tcPr>
            <w:tcW w:w="8477" w:type="dxa"/>
            <w:gridSpan w:val="2"/>
            <w:tcBorders>
              <w:left w:val="single" w:color="000000" w:sz="6" w:space="0"/>
              <w:right w:val="single" w:color="000000" w:sz="6" w:space="0"/>
            </w:tcBorders>
          </w:tcPr>
          <w:p w14:paraId="525C8304">
            <w:pPr>
              <w:spacing w:before="70" w:line="220" w:lineRule="auto"/>
              <w:ind w:left="118"/>
              <w:rPr>
                <w:rFonts w:hint="eastAsia" w:ascii="宋体" w:hAnsi="宋体" w:cs="宋体"/>
                <w:sz w:val="24"/>
              </w:rPr>
            </w:pPr>
            <w:r>
              <w:rPr>
                <w:rFonts w:ascii="宋体" w:hAnsi="宋体" w:cs="宋体"/>
                <w:spacing w:val="3"/>
                <w:sz w:val="24"/>
                <w14:textOutline w14:w="4356" w14:cap="flat" w14:cmpd="sng" w14:algn="ctr">
                  <w14:solidFill>
                    <w14:srgbClr w14:val="000000"/>
                  </w14:solidFill>
                  <w14:prstDash w14:val="solid"/>
                  <w14:miter w14:val="0"/>
                </w14:textOutline>
              </w:rPr>
              <w:t>(三)</w:t>
            </w:r>
            <w:r>
              <w:rPr>
                <w:rFonts w:ascii="宋体" w:hAnsi="宋体" w:cs="宋体"/>
                <w:spacing w:val="3"/>
                <w:sz w:val="24"/>
              </w:rPr>
              <w:t xml:space="preserve"> </w:t>
            </w:r>
            <w:r>
              <w:rPr>
                <w:rFonts w:ascii="宋体" w:hAnsi="宋体" w:cs="宋体"/>
                <w:spacing w:val="3"/>
                <w:sz w:val="24"/>
                <w14:textOutline w14:w="4356" w14:cap="flat" w14:cmpd="sng" w14:algn="ctr">
                  <w14:solidFill>
                    <w14:srgbClr w14:val="000000"/>
                  </w14:solidFill>
                  <w14:prstDash w14:val="solid"/>
                  <w14:miter w14:val="0"/>
                </w14:textOutline>
              </w:rPr>
              <w:t>响应程度</w:t>
            </w:r>
          </w:p>
        </w:tc>
      </w:tr>
      <w:tr w14:paraId="279055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682" w:type="dxa"/>
            <w:tcBorders>
              <w:left w:val="single" w:color="000000" w:sz="6" w:space="0"/>
            </w:tcBorders>
          </w:tcPr>
          <w:p w14:paraId="164C2014">
            <w:pPr>
              <w:spacing w:before="206" w:line="181" w:lineRule="auto"/>
              <w:ind w:left="289"/>
              <w:rPr>
                <w:rFonts w:hint="eastAsia" w:ascii="宋体" w:hAnsi="宋体" w:cs="宋体"/>
                <w:sz w:val="24"/>
              </w:rPr>
            </w:pPr>
            <w:r>
              <w:rPr>
                <w:rFonts w:ascii="宋体" w:hAnsi="宋体" w:cs="宋体"/>
                <w:sz w:val="24"/>
              </w:rPr>
              <w:t>5</w:t>
            </w:r>
          </w:p>
        </w:tc>
        <w:tc>
          <w:tcPr>
            <w:tcW w:w="7795" w:type="dxa"/>
            <w:tcBorders>
              <w:right w:val="single" w:color="000000" w:sz="6" w:space="0"/>
            </w:tcBorders>
          </w:tcPr>
          <w:p w14:paraId="7A5E3C9E">
            <w:pPr>
              <w:spacing w:before="163" w:line="219" w:lineRule="auto"/>
              <w:ind w:left="113"/>
              <w:rPr>
                <w:rFonts w:hint="eastAsia" w:ascii="宋体" w:hAnsi="宋体" w:cs="宋体"/>
                <w:sz w:val="24"/>
              </w:rPr>
            </w:pPr>
            <w:r>
              <w:rPr>
                <w:rFonts w:ascii="宋体" w:hAnsi="宋体" w:cs="宋体"/>
                <w:spacing w:val="-25"/>
                <w:sz w:val="24"/>
              </w:rPr>
              <w:t>不</w:t>
            </w:r>
            <w:r>
              <w:rPr>
                <w:rFonts w:ascii="宋体" w:hAnsi="宋体" w:cs="宋体"/>
                <w:spacing w:val="-17"/>
                <w:sz w:val="24"/>
              </w:rPr>
              <w:t>满足招标文件第二章《项目招标需求》</w:t>
            </w:r>
            <w:r>
              <w:rPr>
                <w:rFonts w:ascii="宋体" w:hAnsi="宋体" w:cs="宋体"/>
                <w:spacing w:val="-17"/>
                <w:sz w:val="24"/>
                <w:u w:val="single"/>
              </w:rPr>
              <w:t>技术部分</w:t>
            </w:r>
            <w:r>
              <w:rPr>
                <w:rFonts w:ascii="宋体" w:hAnsi="宋体" w:cs="宋体"/>
                <w:spacing w:val="-17"/>
                <w:sz w:val="24"/>
              </w:rPr>
              <w:t>实质性条款要求的。</w:t>
            </w:r>
          </w:p>
        </w:tc>
      </w:tr>
      <w:tr w14:paraId="466441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682" w:type="dxa"/>
            <w:tcBorders>
              <w:left w:val="single" w:color="000000" w:sz="6" w:space="0"/>
            </w:tcBorders>
          </w:tcPr>
          <w:p w14:paraId="21415F83">
            <w:pPr>
              <w:spacing w:before="204" w:line="183" w:lineRule="auto"/>
              <w:ind w:left="286"/>
              <w:rPr>
                <w:rFonts w:hint="eastAsia" w:ascii="宋体" w:hAnsi="宋体" w:cs="宋体"/>
                <w:sz w:val="24"/>
              </w:rPr>
            </w:pPr>
            <w:r>
              <w:rPr>
                <w:rFonts w:ascii="宋体" w:hAnsi="宋体" w:cs="宋体"/>
                <w:sz w:val="24"/>
              </w:rPr>
              <w:t>6</w:t>
            </w:r>
          </w:p>
        </w:tc>
        <w:tc>
          <w:tcPr>
            <w:tcW w:w="7795" w:type="dxa"/>
            <w:tcBorders>
              <w:right w:val="single" w:color="000000" w:sz="6" w:space="0"/>
            </w:tcBorders>
          </w:tcPr>
          <w:p w14:paraId="2095B842">
            <w:pPr>
              <w:spacing w:before="164" w:line="219" w:lineRule="auto"/>
              <w:ind w:left="113"/>
              <w:rPr>
                <w:rFonts w:hint="eastAsia" w:ascii="宋体" w:hAnsi="宋体" w:cs="宋体"/>
                <w:sz w:val="24"/>
              </w:rPr>
            </w:pPr>
            <w:r>
              <w:rPr>
                <w:rFonts w:ascii="宋体" w:hAnsi="宋体" w:cs="宋体"/>
                <w:spacing w:val="-24"/>
                <w:sz w:val="24"/>
              </w:rPr>
              <w:t>不</w:t>
            </w:r>
            <w:r>
              <w:rPr>
                <w:rFonts w:ascii="宋体" w:hAnsi="宋体" w:cs="宋体"/>
                <w:spacing w:val="-17"/>
                <w:sz w:val="24"/>
              </w:rPr>
              <w:t>满足招标文件第二章《项目招标需求》</w:t>
            </w:r>
            <w:r>
              <w:rPr>
                <w:rFonts w:ascii="宋体" w:hAnsi="宋体" w:cs="宋体"/>
                <w:spacing w:val="-17"/>
                <w:sz w:val="24"/>
                <w:u w:val="single"/>
              </w:rPr>
              <w:t>商务部分</w:t>
            </w:r>
            <w:r>
              <w:rPr>
                <w:rFonts w:ascii="宋体" w:hAnsi="宋体" w:cs="宋体"/>
                <w:spacing w:val="-17"/>
                <w:sz w:val="24"/>
              </w:rPr>
              <w:t>实质性条款要求的。</w:t>
            </w:r>
          </w:p>
        </w:tc>
      </w:tr>
      <w:tr w14:paraId="29265C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4" w:hRule="atLeast"/>
        </w:trPr>
        <w:tc>
          <w:tcPr>
            <w:tcW w:w="682" w:type="dxa"/>
            <w:tcBorders>
              <w:left w:val="single" w:color="000000" w:sz="6" w:space="0"/>
            </w:tcBorders>
          </w:tcPr>
          <w:p w14:paraId="5534104C">
            <w:pPr>
              <w:spacing w:before="284" w:line="181" w:lineRule="auto"/>
              <w:ind w:left="290"/>
              <w:rPr>
                <w:rFonts w:hint="eastAsia" w:ascii="宋体" w:hAnsi="宋体" w:cs="宋体"/>
                <w:sz w:val="24"/>
              </w:rPr>
            </w:pPr>
            <w:r>
              <w:rPr>
                <w:rFonts w:ascii="宋体" w:hAnsi="宋体" w:cs="宋体"/>
                <w:sz w:val="24"/>
              </w:rPr>
              <w:t>7</w:t>
            </w:r>
          </w:p>
        </w:tc>
        <w:tc>
          <w:tcPr>
            <w:tcW w:w="7795" w:type="dxa"/>
            <w:tcBorders>
              <w:right w:val="single" w:color="000000" w:sz="6" w:space="0"/>
            </w:tcBorders>
          </w:tcPr>
          <w:p w14:paraId="38485C2C">
            <w:pPr>
              <w:spacing w:before="84" w:line="246" w:lineRule="auto"/>
              <w:ind w:left="128" w:right="89" w:hanging="18"/>
              <w:rPr>
                <w:rFonts w:hint="eastAsia" w:ascii="宋体" w:hAnsi="宋体" w:cs="宋体"/>
                <w:sz w:val="24"/>
              </w:rPr>
            </w:pPr>
            <w:r>
              <w:rPr>
                <w:rFonts w:ascii="宋体" w:hAnsi="宋体" w:cs="宋体"/>
                <w:spacing w:val="-20"/>
                <w:sz w:val="24"/>
              </w:rPr>
              <w:t>本次投标产品类别属于政府强制采购产品类别的， 未按要求提供依据国家确</w:t>
            </w:r>
            <w:r>
              <w:rPr>
                <w:rFonts w:ascii="宋体" w:hAnsi="宋体" w:cs="宋体"/>
                <w:spacing w:val="-15"/>
                <w:sz w:val="24"/>
              </w:rPr>
              <w:t>定</w:t>
            </w:r>
            <w:r>
              <w:rPr>
                <w:rFonts w:ascii="宋体" w:hAnsi="宋体" w:cs="宋体"/>
                <w:spacing w:val="-34"/>
                <w:sz w:val="24"/>
              </w:rPr>
              <w:t>的</w:t>
            </w:r>
            <w:r>
              <w:rPr>
                <w:rFonts w:ascii="宋体" w:hAnsi="宋体" w:cs="宋体"/>
                <w:spacing w:val="-26"/>
                <w:sz w:val="24"/>
              </w:rPr>
              <w:t>认</w:t>
            </w:r>
            <w:r>
              <w:rPr>
                <w:rFonts w:ascii="宋体" w:hAnsi="宋体" w:cs="宋体"/>
                <w:spacing w:val="-17"/>
                <w:sz w:val="24"/>
              </w:rPr>
              <w:t>证机构出具的、处于有效期之内的节能产品或环境标志产品认证证书。</w:t>
            </w:r>
          </w:p>
        </w:tc>
      </w:tr>
      <w:tr w14:paraId="6C92201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682" w:type="dxa"/>
            <w:tcBorders>
              <w:left w:val="single" w:color="000000" w:sz="6" w:space="0"/>
            </w:tcBorders>
          </w:tcPr>
          <w:p w14:paraId="1B83CC40">
            <w:pPr>
              <w:spacing w:before="195" w:line="183" w:lineRule="auto"/>
              <w:ind w:left="285"/>
              <w:rPr>
                <w:rFonts w:hint="eastAsia" w:ascii="宋体" w:hAnsi="宋体" w:cs="宋体"/>
                <w:sz w:val="24"/>
              </w:rPr>
            </w:pPr>
            <w:r>
              <w:rPr>
                <w:rFonts w:ascii="宋体" w:hAnsi="宋体" w:cs="宋体"/>
                <w:sz w:val="24"/>
              </w:rPr>
              <w:t>8</w:t>
            </w:r>
          </w:p>
        </w:tc>
        <w:tc>
          <w:tcPr>
            <w:tcW w:w="7795" w:type="dxa"/>
            <w:tcBorders>
              <w:right w:val="single" w:color="000000" w:sz="6" w:space="0"/>
            </w:tcBorders>
          </w:tcPr>
          <w:p w14:paraId="75DAC8A6">
            <w:pPr>
              <w:spacing w:before="155" w:line="219" w:lineRule="auto"/>
              <w:ind w:left="112"/>
              <w:rPr>
                <w:rFonts w:hint="eastAsia" w:ascii="宋体" w:hAnsi="宋体" w:cs="宋体"/>
                <w:sz w:val="24"/>
              </w:rPr>
            </w:pPr>
            <w:r>
              <w:rPr>
                <w:rFonts w:ascii="宋体" w:hAnsi="宋体" w:cs="宋体"/>
                <w:spacing w:val="-25"/>
                <w:sz w:val="24"/>
              </w:rPr>
              <w:t>投</w:t>
            </w:r>
            <w:r>
              <w:rPr>
                <w:rFonts w:ascii="宋体" w:hAnsi="宋体" w:cs="宋体"/>
                <w:spacing w:val="-17"/>
                <w:sz w:val="24"/>
              </w:rPr>
              <w:t>标文件含有采购人不能接受的附加条件的。</w:t>
            </w:r>
          </w:p>
        </w:tc>
      </w:tr>
      <w:tr w14:paraId="063ABAB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682" w:type="dxa"/>
            <w:tcBorders>
              <w:left w:val="single" w:color="000000" w:sz="6" w:space="0"/>
            </w:tcBorders>
          </w:tcPr>
          <w:p w14:paraId="68719A32">
            <w:pPr>
              <w:spacing w:before="205" w:line="183" w:lineRule="auto"/>
              <w:ind w:left="285"/>
              <w:rPr>
                <w:rFonts w:hint="eastAsia" w:ascii="宋体" w:hAnsi="宋体" w:cs="宋体"/>
                <w:sz w:val="24"/>
              </w:rPr>
            </w:pPr>
            <w:r>
              <w:rPr>
                <w:rFonts w:ascii="宋体" w:hAnsi="宋体" w:cs="宋体"/>
                <w:sz w:val="24"/>
              </w:rPr>
              <w:t>9</w:t>
            </w:r>
          </w:p>
        </w:tc>
        <w:tc>
          <w:tcPr>
            <w:tcW w:w="7795" w:type="dxa"/>
            <w:tcBorders>
              <w:right w:val="single" w:color="000000" w:sz="6" w:space="0"/>
            </w:tcBorders>
          </w:tcPr>
          <w:p w14:paraId="1EDD601F">
            <w:pPr>
              <w:spacing w:before="165" w:line="220" w:lineRule="auto"/>
              <w:ind w:left="112"/>
              <w:rPr>
                <w:rFonts w:hint="eastAsia" w:ascii="宋体" w:hAnsi="宋体" w:cs="宋体"/>
                <w:sz w:val="24"/>
              </w:rPr>
            </w:pPr>
            <w:r>
              <w:rPr>
                <w:rFonts w:ascii="宋体" w:hAnsi="宋体" w:cs="宋体"/>
                <w:spacing w:val="-26"/>
                <w:sz w:val="24"/>
              </w:rPr>
              <w:t>投</w:t>
            </w:r>
            <w:r>
              <w:rPr>
                <w:rFonts w:ascii="宋体" w:hAnsi="宋体" w:cs="宋体"/>
                <w:spacing w:val="-17"/>
                <w:sz w:val="24"/>
              </w:rPr>
              <w:t>标有效期少于招标文件中载明的投标有效期的。</w:t>
            </w:r>
          </w:p>
        </w:tc>
      </w:tr>
      <w:tr w14:paraId="051BF8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7" w:hRule="atLeast"/>
        </w:trPr>
        <w:tc>
          <w:tcPr>
            <w:tcW w:w="682" w:type="dxa"/>
            <w:tcBorders>
              <w:left w:val="single" w:color="000000" w:sz="6" w:space="0"/>
            </w:tcBorders>
          </w:tcPr>
          <w:p w14:paraId="37AEF7AF">
            <w:pPr>
              <w:spacing w:before="208" w:line="183" w:lineRule="auto"/>
              <w:ind w:left="247"/>
              <w:rPr>
                <w:rFonts w:hint="eastAsia" w:ascii="宋体" w:hAnsi="宋体" w:cs="宋体"/>
                <w:sz w:val="24"/>
              </w:rPr>
            </w:pPr>
            <w:r>
              <w:rPr>
                <w:rFonts w:ascii="宋体" w:hAnsi="宋体" w:cs="宋体"/>
                <w:spacing w:val="-10"/>
                <w:sz w:val="24"/>
              </w:rPr>
              <w:t>1</w:t>
            </w:r>
            <w:r>
              <w:rPr>
                <w:rFonts w:ascii="宋体" w:hAnsi="宋体" w:cs="宋体"/>
                <w:spacing w:val="-8"/>
                <w:sz w:val="24"/>
              </w:rPr>
              <w:t>0</w:t>
            </w:r>
          </w:p>
        </w:tc>
        <w:tc>
          <w:tcPr>
            <w:tcW w:w="7795" w:type="dxa"/>
            <w:tcBorders>
              <w:right w:val="single" w:color="000000" w:sz="6" w:space="0"/>
            </w:tcBorders>
          </w:tcPr>
          <w:p w14:paraId="69BFD171">
            <w:pPr>
              <w:spacing w:before="167" w:line="220" w:lineRule="auto"/>
              <w:ind w:left="110"/>
              <w:rPr>
                <w:rFonts w:hint="eastAsia" w:ascii="宋体" w:hAnsi="宋体" w:cs="宋体"/>
                <w:sz w:val="24"/>
              </w:rPr>
            </w:pPr>
            <w:r>
              <w:rPr>
                <w:rFonts w:ascii="宋体" w:hAnsi="宋体" w:cs="宋体"/>
                <w:spacing w:val="-23"/>
                <w:sz w:val="24"/>
              </w:rPr>
              <w:t>法</w:t>
            </w:r>
            <w:r>
              <w:rPr>
                <w:rFonts w:ascii="宋体" w:hAnsi="宋体" w:cs="宋体"/>
                <w:spacing w:val="-17"/>
                <w:sz w:val="24"/>
              </w:rPr>
              <w:t>律、法规和招标文件规定的其他无效情形。</w:t>
            </w:r>
          </w:p>
        </w:tc>
      </w:tr>
    </w:tbl>
    <w:p w14:paraId="4091C7E5">
      <w:pPr>
        <w:rPr>
          <w:rFonts w:ascii="Arial"/>
        </w:rPr>
      </w:pPr>
    </w:p>
    <w:p w14:paraId="543E6A1F">
      <w:pPr>
        <w:sectPr>
          <w:footerReference r:id="rId11" w:type="default"/>
          <w:pgSz w:w="11907" w:h="16841"/>
          <w:pgMar w:top="1431" w:right="1781" w:bottom="1009" w:left="1594" w:header="0" w:footer="821" w:gutter="0"/>
          <w:cols w:space="720" w:num="1"/>
        </w:sectPr>
      </w:pPr>
    </w:p>
    <w:p w14:paraId="1A4BA4EE">
      <w:pPr>
        <w:spacing w:before="89" w:line="220" w:lineRule="auto"/>
        <w:ind w:left="632"/>
        <w:rPr>
          <w:rFonts w:hint="eastAsia" w:ascii="宋体" w:hAnsi="宋体" w:cs="宋体"/>
          <w:sz w:val="24"/>
        </w:rPr>
      </w:pPr>
      <w:r>
        <w:rPr>
          <w:rFonts w:ascii="宋体" w:hAnsi="宋体" w:cs="宋体"/>
          <w:spacing w:val="-20"/>
          <w:sz w:val="24"/>
          <w14:textOutline w14:w="4356" w14:cap="flat" w14:cmpd="sng" w14:algn="ctr">
            <w14:solidFill>
              <w14:srgbClr w14:val="000000"/>
            </w14:solidFill>
            <w14:prstDash w14:val="solid"/>
            <w14:miter w14:val="0"/>
          </w14:textOutline>
        </w:rPr>
        <w:t>(</w:t>
      </w:r>
      <w:r>
        <w:rPr>
          <w:rFonts w:ascii="宋体" w:hAnsi="宋体" w:cs="宋体"/>
          <w:spacing w:val="-16"/>
          <w:sz w:val="24"/>
          <w14:textOutline w14:w="4356" w14:cap="flat" w14:cmpd="sng" w14:algn="ctr">
            <w14:solidFill>
              <w14:srgbClr w14:val="000000"/>
            </w14:solidFill>
            <w14:prstDash w14:val="solid"/>
            <w14:miter w14:val="0"/>
          </w14:textOutline>
        </w:rPr>
        <w:t>二)同一品牌产品的审查</w:t>
      </w:r>
    </w:p>
    <w:p w14:paraId="0970CA13">
      <w:pPr>
        <w:spacing w:before="107" w:line="307" w:lineRule="auto"/>
        <w:ind w:left="26" w:right="56" w:firstLine="464"/>
        <w:rPr>
          <w:rFonts w:hint="eastAsia" w:ascii="宋体" w:hAnsi="宋体" w:cs="宋体"/>
          <w:sz w:val="24"/>
        </w:rPr>
      </w:pPr>
      <w:r>
        <w:rPr>
          <w:rFonts w:ascii="宋体" w:hAnsi="宋体" w:cs="宋体"/>
          <w:spacing w:val="-36"/>
          <w:sz w:val="24"/>
        </w:rPr>
        <w:t>1</w:t>
      </w:r>
      <w:r>
        <w:rPr>
          <w:rFonts w:ascii="宋体" w:hAnsi="宋体" w:cs="宋体"/>
          <w:spacing w:val="-28"/>
          <w:sz w:val="24"/>
        </w:rPr>
        <w:t>．</w:t>
      </w:r>
      <w:r>
        <w:rPr>
          <w:rFonts w:ascii="宋体" w:hAnsi="宋体" w:cs="宋体"/>
          <w:spacing w:val="-18"/>
          <w:sz w:val="24"/>
        </w:rPr>
        <w:t>单一产品采购项目。如果有多家供应商投标同一品牌产品的，应当作为一个供</w:t>
      </w:r>
      <w:r>
        <w:rPr>
          <w:rFonts w:ascii="宋体" w:hAnsi="宋体" w:cs="宋体"/>
          <w:sz w:val="24"/>
        </w:rPr>
        <w:t xml:space="preserve"> </w:t>
      </w:r>
      <w:r>
        <w:rPr>
          <w:rFonts w:ascii="宋体" w:hAnsi="宋体" w:cs="宋体"/>
          <w:spacing w:val="-23"/>
          <w:sz w:val="24"/>
        </w:rPr>
        <w:t>应</w:t>
      </w:r>
      <w:r>
        <w:rPr>
          <w:rFonts w:ascii="宋体" w:hAnsi="宋体" w:cs="宋体"/>
          <w:spacing w:val="-17"/>
          <w:sz w:val="24"/>
        </w:rPr>
        <w:t>商计算，当供应商不足三家的，采购项目废标。</w:t>
      </w:r>
    </w:p>
    <w:p w14:paraId="182D0346">
      <w:pPr>
        <w:spacing w:line="308" w:lineRule="auto"/>
        <w:ind w:left="45" w:right="54" w:firstLine="429"/>
        <w:rPr>
          <w:rFonts w:hint="eastAsia" w:ascii="宋体" w:hAnsi="宋体" w:cs="宋体"/>
          <w:sz w:val="24"/>
        </w:rPr>
      </w:pPr>
      <w:r>
        <w:rPr>
          <w:rFonts w:ascii="宋体" w:hAnsi="宋体" w:cs="宋体"/>
          <w:spacing w:val="-28"/>
          <w:sz w:val="24"/>
        </w:rPr>
        <w:t>2</w:t>
      </w:r>
      <w:r>
        <w:rPr>
          <w:rFonts w:ascii="宋体" w:hAnsi="宋体" w:cs="宋体"/>
          <w:spacing w:val="-18"/>
          <w:sz w:val="24"/>
        </w:rPr>
        <w:t>．非单一产品采购项目。以核心产品为标准计算同一品牌供应商家数，即核心产</w:t>
      </w:r>
      <w:r>
        <w:rPr>
          <w:rFonts w:ascii="宋体" w:hAnsi="宋体" w:cs="宋体"/>
          <w:sz w:val="24"/>
        </w:rPr>
        <w:t xml:space="preserve"> </w:t>
      </w:r>
      <w:r>
        <w:rPr>
          <w:rFonts w:ascii="宋体" w:hAnsi="宋体" w:cs="宋体"/>
          <w:spacing w:val="-18"/>
          <w:sz w:val="24"/>
        </w:rPr>
        <w:t>品报价同一品牌产品，多家供应商应当作为一个供应商计算</w:t>
      </w:r>
      <w:r>
        <w:rPr>
          <w:rFonts w:ascii="宋体" w:hAnsi="宋体" w:cs="宋体"/>
          <w:spacing w:val="-14"/>
          <w:sz w:val="24"/>
        </w:rPr>
        <w:t>。</w:t>
      </w:r>
    </w:p>
    <w:p w14:paraId="6257757E">
      <w:pPr>
        <w:spacing w:before="4" w:line="307" w:lineRule="auto"/>
        <w:ind w:left="25" w:right="53" w:firstLine="452"/>
        <w:rPr>
          <w:rFonts w:hint="eastAsia" w:ascii="宋体" w:hAnsi="宋体" w:cs="宋体"/>
          <w:sz w:val="24"/>
        </w:rPr>
      </w:pPr>
      <w:r>
        <w:rPr>
          <w:rFonts w:ascii="宋体" w:hAnsi="宋体" w:cs="宋体"/>
          <w:spacing w:val="-33"/>
          <w:sz w:val="24"/>
        </w:rPr>
        <w:t>3</w:t>
      </w:r>
      <w:r>
        <w:rPr>
          <w:rFonts w:ascii="宋体" w:hAnsi="宋体" w:cs="宋体"/>
          <w:spacing w:val="-18"/>
          <w:sz w:val="24"/>
        </w:rPr>
        <w:t>．提供相同品牌产品且通过资格审查、符合性审查的不同投标人参加同一合同项</w:t>
      </w:r>
      <w:r>
        <w:rPr>
          <w:rFonts w:ascii="宋体" w:hAnsi="宋体" w:cs="宋体"/>
          <w:sz w:val="24"/>
        </w:rPr>
        <w:t xml:space="preserve"> </w:t>
      </w:r>
      <w:r>
        <w:rPr>
          <w:rFonts w:ascii="宋体" w:hAnsi="宋体" w:cs="宋体"/>
          <w:spacing w:val="-30"/>
          <w:sz w:val="24"/>
        </w:rPr>
        <w:t>下</w:t>
      </w:r>
      <w:r>
        <w:rPr>
          <w:rFonts w:ascii="宋体" w:hAnsi="宋体" w:cs="宋体"/>
          <w:spacing w:val="-21"/>
          <w:sz w:val="24"/>
        </w:rPr>
        <w:t>投标的，按一家投标人计算，评审后得分最高的同品牌投标人获得中标人推荐资格；</w:t>
      </w:r>
      <w:r>
        <w:rPr>
          <w:rFonts w:ascii="宋体" w:hAnsi="宋体" w:cs="宋体"/>
          <w:sz w:val="24"/>
        </w:rPr>
        <w:t xml:space="preserve"> </w:t>
      </w:r>
      <w:r>
        <w:rPr>
          <w:rFonts w:ascii="宋体" w:hAnsi="宋体" w:cs="宋体"/>
          <w:spacing w:val="-28"/>
          <w:sz w:val="24"/>
        </w:rPr>
        <w:t>评</w:t>
      </w:r>
      <w:r>
        <w:rPr>
          <w:rFonts w:ascii="宋体" w:hAnsi="宋体" w:cs="宋体"/>
          <w:spacing w:val="-15"/>
          <w:sz w:val="24"/>
        </w:rPr>
        <w:t>审得分相同的，依次按照报价高低、投标产品的技术指标优劣、服务承诺优劣、递</w:t>
      </w:r>
      <w:r>
        <w:rPr>
          <w:rFonts w:ascii="宋体" w:hAnsi="宋体" w:cs="宋体"/>
          <w:sz w:val="24"/>
        </w:rPr>
        <w:t xml:space="preserve"> </w:t>
      </w:r>
      <w:r>
        <w:rPr>
          <w:rFonts w:ascii="宋体" w:hAnsi="宋体" w:cs="宋体"/>
          <w:spacing w:val="-28"/>
          <w:sz w:val="24"/>
        </w:rPr>
        <w:t>交</w:t>
      </w:r>
      <w:r>
        <w:rPr>
          <w:rFonts w:ascii="宋体" w:hAnsi="宋体" w:cs="宋体"/>
          <w:spacing w:val="-21"/>
          <w:sz w:val="24"/>
        </w:rPr>
        <w:t>投</w:t>
      </w:r>
      <w:r>
        <w:rPr>
          <w:rFonts w:ascii="宋体" w:hAnsi="宋体" w:cs="宋体"/>
          <w:spacing w:val="-14"/>
          <w:sz w:val="24"/>
        </w:rPr>
        <w:t>标文件时间先后 (以投标人提交投标文件登记表为准) ，其他同品牌投标人不作</w:t>
      </w:r>
      <w:r>
        <w:rPr>
          <w:rFonts w:ascii="宋体" w:hAnsi="宋体" w:cs="宋体"/>
          <w:sz w:val="24"/>
        </w:rPr>
        <w:t xml:space="preserve"> </w:t>
      </w:r>
      <w:r>
        <w:rPr>
          <w:rFonts w:ascii="宋体" w:hAnsi="宋体" w:cs="宋体"/>
          <w:spacing w:val="-22"/>
          <w:sz w:val="24"/>
        </w:rPr>
        <w:t>为</w:t>
      </w:r>
      <w:r>
        <w:rPr>
          <w:rFonts w:ascii="宋体" w:hAnsi="宋体" w:cs="宋体"/>
          <w:spacing w:val="-17"/>
          <w:sz w:val="24"/>
        </w:rPr>
        <w:t>中标候选人。</w:t>
      </w:r>
    </w:p>
    <w:p w14:paraId="73D70BDA">
      <w:pPr>
        <w:spacing w:line="220" w:lineRule="auto"/>
        <w:ind w:left="481"/>
        <w:rPr>
          <w:rFonts w:hint="eastAsia" w:ascii="宋体" w:hAnsi="宋体" w:cs="宋体"/>
          <w:sz w:val="24"/>
        </w:rPr>
      </w:pPr>
      <w:r>
        <w:rPr>
          <w:rFonts w:ascii="宋体" w:hAnsi="宋体" w:cs="宋体"/>
          <w:spacing w:val="-1"/>
          <w:sz w:val="24"/>
          <w14:textOutline w14:w="4356" w14:cap="flat" w14:cmpd="sng" w14:algn="ctr">
            <w14:solidFill>
              <w14:srgbClr w14:val="000000"/>
            </w14:solidFill>
            <w14:prstDash w14:val="solid"/>
            <w14:miter w14:val="0"/>
          </w14:textOutline>
        </w:rPr>
        <w:t>(三)</w:t>
      </w:r>
      <w:r>
        <w:rPr>
          <w:rFonts w:ascii="宋体" w:hAnsi="宋体" w:cs="宋体"/>
          <w:spacing w:val="-1"/>
          <w:sz w:val="24"/>
        </w:rPr>
        <w:t xml:space="preserve"> </w:t>
      </w:r>
      <w:r>
        <w:rPr>
          <w:rFonts w:ascii="宋体" w:hAnsi="宋体" w:cs="宋体"/>
          <w:spacing w:val="-1"/>
          <w:sz w:val="24"/>
          <w14:textOutline w14:w="4356" w14:cap="flat" w14:cmpd="sng" w14:algn="ctr">
            <w14:solidFill>
              <w14:srgbClr w14:val="000000"/>
            </w14:solidFill>
            <w14:prstDash w14:val="solid"/>
            <w14:miter w14:val="0"/>
          </w14:textOutline>
        </w:rPr>
        <w:t>澄清有</w:t>
      </w:r>
      <w:r>
        <w:rPr>
          <w:rFonts w:ascii="宋体" w:hAnsi="宋体" w:cs="宋体"/>
          <w:sz w:val="24"/>
          <w14:textOutline w14:w="4356" w14:cap="flat" w14:cmpd="sng" w14:algn="ctr">
            <w14:solidFill>
              <w14:srgbClr w14:val="000000"/>
            </w14:solidFill>
            <w14:prstDash w14:val="solid"/>
            <w14:miter w14:val="0"/>
          </w14:textOutline>
        </w:rPr>
        <w:t>关问题</w:t>
      </w:r>
    </w:p>
    <w:p w14:paraId="3688A145">
      <w:pPr>
        <w:spacing w:before="115" w:line="307" w:lineRule="auto"/>
        <w:ind w:left="45" w:right="55" w:firstLine="444"/>
        <w:rPr>
          <w:rFonts w:hint="eastAsia" w:ascii="宋体" w:hAnsi="宋体" w:cs="宋体"/>
          <w:sz w:val="24"/>
        </w:rPr>
      </w:pPr>
      <w:r>
        <w:rPr>
          <w:rFonts w:ascii="宋体" w:hAnsi="宋体" w:cs="宋体"/>
          <w:spacing w:val="-30"/>
          <w:sz w:val="24"/>
        </w:rPr>
        <w:t>1</w:t>
      </w:r>
      <w:r>
        <w:rPr>
          <w:rFonts w:ascii="宋体" w:hAnsi="宋体" w:cs="宋体"/>
          <w:spacing w:val="-15"/>
          <w:sz w:val="24"/>
        </w:rPr>
        <w:t>.对于投标文件中含义不明确、同类问题表述不一致或者有明显文字和计算错误</w:t>
      </w:r>
      <w:r>
        <w:rPr>
          <w:rFonts w:ascii="宋体" w:hAnsi="宋体" w:cs="宋体"/>
          <w:sz w:val="24"/>
        </w:rPr>
        <w:t xml:space="preserve"> </w:t>
      </w:r>
      <w:r>
        <w:rPr>
          <w:rFonts w:ascii="宋体" w:hAnsi="宋体" w:cs="宋体"/>
          <w:spacing w:val="-34"/>
          <w:sz w:val="24"/>
        </w:rPr>
        <w:t>的</w:t>
      </w:r>
      <w:r>
        <w:rPr>
          <w:rFonts w:ascii="宋体" w:hAnsi="宋体" w:cs="宋体"/>
          <w:spacing w:val="-18"/>
          <w:sz w:val="24"/>
        </w:rPr>
        <w:t>内</w:t>
      </w:r>
      <w:r>
        <w:rPr>
          <w:rFonts w:ascii="宋体" w:hAnsi="宋体" w:cs="宋体"/>
          <w:spacing w:val="-17"/>
          <w:sz w:val="24"/>
        </w:rPr>
        <w:t>容，评标委员会应当以书面形式要求投标人作出必要的澄清、说明或者补正。</w:t>
      </w:r>
    </w:p>
    <w:p w14:paraId="3B684349">
      <w:pPr>
        <w:spacing w:before="3" w:line="307" w:lineRule="auto"/>
        <w:ind w:left="30" w:firstLine="445"/>
        <w:rPr>
          <w:rFonts w:hint="eastAsia" w:ascii="宋体" w:hAnsi="宋体" w:cs="宋体"/>
          <w:sz w:val="24"/>
        </w:rPr>
      </w:pPr>
      <w:r>
        <w:rPr>
          <w:rFonts w:ascii="宋体" w:hAnsi="宋体" w:cs="宋体"/>
          <w:spacing w:val="-24"/>
          <w:sz w:val="24"/>
        </w:rPr>
        <w:t>投</w:t>
      </w:r>
      <w:r>
        <w:rPr>
          <w:rFonts w:ascii="宋体" w:hAnsi="宋体" w:cs="宋体"/>
          <w:spacing w:val="-20"/>
          <w:sz w:val="24"/>
        </w:rPr>
        <w:t>标人应当按照评标委员会的要求在规定时间内提交书面的澄清、说明或者补正，</w:t>
      </w:r>
      <w:r>
        <w:rPr>
          <w:rFonts w:ascii="宋体" w:hAnsi="宋体" w:cs="宋体"/>
          <w:sz w:val="24"/>
        </w:rPr>
        <w:t xml:space="preserve"> </w:t>
      </w:r>
      <w:r>
        <w:rPr>
          <w:rFonts w:ascii="宋体" w:hAnsi="宋体" w:cs="宋体"/>
          <w:spacing w:val="-30"/>
          <w:sz w:val="24"/>
        </w:rPr>
        <w:t>并</w:t>
      </w:r>
      <w:r>
        <w:rPr>
          <w:rFonts w:ascii="宋体" w:hAnsi="宋体" w:cs="宋体"/>
          <w:spacing w:val="-18"/>
          <w:sz w:val="24"/>
        </w:rPr>
        <w:t>加</w:t>
      </w:r>
      <w:r>
        <w:rPr>
          <w:rFonts w:ascii="宋体" w:hAnsi="宋体" w:cs="宋体"/>
          <w:spacing w:val="-15"/>
          <w:sz w:val="24"/>
        </w:rPr>
        <w:t>盖公章，或者由法定代表人或其授权的代表签字。投标人的澄清、说明或者补正</w:t>
      </w:r>
      <w:r>
        <w:rPr>
          <w:rFonts w:ascii="宋体" w:hAnsi="宋体" w:cs="宋体"/>
          <w:sz w:val="24"/>
        </w:rPr>
        <w:t xml:space="preserve"> </w:t>
      </w:r>
      <w:r>
        <w:rPr>
          <w:rFonts w:ascii="宋体" w:hAnsi="宋体" w:cs="宋体"/>
          <w:spacing w:val="-22"/>
          <w:sz w:val="24"/>
        </w:rPr>
        <w:t>不</w:t>
      </w:r>
      <w:r>
        <w:rPr>
          <w:rFonts w:ascii="宋体" w:hAnsi="宋体" w:cs="宋体"/>
          <w:spacing w:val="-17"/>
          <w:sz w:val="24"/>
        </w:rPr>
        <w:t>得超出投标文件的范围或者改变投标文件的实质性内容。</w:t>
      </w:r>
    </w:p>
    <w:p w14:paraId="75B2D86F">
      <w:pPr>
        <w:spacing w:line="218" w:lineRule="auto"/>
        <w:ind w:left="475"/>
        <w:rPr>
          <w:rFonts w:hint="eastAsia" w:ascii="宋体" w:hAnsi="宋体" w:cs="宋体"/>
          <w:sz w:val="24"/>
        </w:rPr>
      </w:pPr>
      <w:r>
        <w:rPr>
          <w:rFonts w:ascii="宋体" w:hAnsi="宋体" w:cs="宋体"/>
          <w:spacing w:val="-42"/>
          <w:sz w:val="24"/>
        </w:rPr>
        <w:t>2</w:t>
      </w:r>
      <w:r>
        <w:rPr>
          <w:rFonts w:ascii="宋体" w:hAnsi="宋体" w:cs="宋体"/>
          <w:spacing w:val="-23"/>
          <w:sz w:val="24"/>
        </w:rPr>
        <w:t>.</w:t>
      </w:r>
      <w:r>
        <w:rPr>
          <w:rFonts w:ascii="宋体" w:hAnsi="宋体" w:cs="宋体"/>
          <w:spacing w:val="-21"/>
          <w:sz w:val="24"/>
        </w:rPr>
        <w:t>投标文件报价出现前后不一致的，除招标文件另有规定外，按照下列规定修正：</w:t>
      </w:r>
    </w:p>
    <w:p w14:paraId="307795F0">
      <w:pPr>
        <w:spacing w:before="116" w:line="308" w:lineRule="auto"/>
        <w:ind w:left="27" w:right="59" w:firstLine="451"/>
        <w:rPr>
          <w:rFonts w:hint="eastAsia" w:ascii="宋体" w:hAnsi="宋体" w:cs="宋体"/>
          <w:sz w:val="24"/>
        </w:rPr>
      </w:pPr>
      <w:r>
        <w:rPr>
          <w:rFonts w:ascii="宋体" w:hAnsi="宋体" w:cs="宋体"/>
          <w:spacing w:val="-20"/>
          <w:sz w:val="24"/>
        </w:rPr>
        <w:t>(</w:t>
      </w:r>
      <w:r>
        <w:rPr>
          <w:rFonts w:ascii="宋体" w:hAnsi="宋体" w:cs="宋体"/>
          <w:spacing w:val="-11"/>
          <w:sz w:val="24"/>
        </w:rPr>
        <w:t>1) 投标文件中开标一览表(报价表) 内容与投标文件中相应内容不一致的，以</w:t>
      </w:r>
      <w:r>
        <w:rPr>
          <w:rFonts w:ascii="宋体" w:hAnsi="宋体" w:cs="宋体"/>
          <w:sz w:val="24"/>
        </w:rPr>
        <w:t xml:space="preserve"> </w:t>
      </w:r>
      <w:r>
        <w:rPr>
          <w:rFonts w:ascii="宋体" w:hAnsi="宋体" w:cs="宋体"/>
          <w:spacing w:val="2"/>
          <w:sz w:val="24"/>
        </w:rPr>
        <w:t>开标</w:t>
      </w:r>
      <w:r>
        <w:rPr>
          <w:rFonts w:ascii="宋体" w:hAnsi="宋体" w:cs="宋体"/>
          <w:spacing w:val="1"/>
          <w:sz w:val="24"/>
        </w:rPr>
        <w:t>一览表(报价表)为准；</w:t>
      </w:r>
    </w:p>
    <w:p w14:paraId="4156BDB2">
      <w:pPr>
        <w:spacing w:before="1" w:line="219" w:lineRule="auto"/>
        <w:ind w:left="479"/>
        <w:rPr>
          <w:rFonts w:hint="eastAsia" w:ascii="宋体" w:hAnsi="宋体" w:cs="宋体"/>
          <w:sz w:val="24"/>
        </w:rPr>
      </w:pPr>
      <w:r>
        <w:rPr>
          <w:rFonts w:ascii="宋体" w:hAnsi="宋体" w:cs="宋体"/>
          <w:spacing w:val="-8"/>
          <w:sz w:val="24"/>
        </w:rPr>
        <w:t>(2)大写金额和小写金额不一致的，以大写金额为准</w:t>
      </w:r>
      <w:r>
        <w:rPr>
          <w:rFonts w:ascii="宋体" w:hAnsi="宋体" w:cs="宋体"/>
          <w:spacing w:val="-6"/>
          <w:sz w:val="24"/>
        </w:rPr>
        <w:t>；</w:t>
      </w:r>
    </w:p>
    <w:p w14:paraId="214D39DA">
      <w:pPr>
        <w:spacing w:before="116" w:line="307" w:lineRule="auto"/>
        <w:ind w:left="34" w:right="56" w:firstLine="444"/>
        <w:rPr>
          <w:rFonts w:hint="eastAsia" w:ascii="宋体" w:hAnsi="宋体" w:cs="宋体"/>
          <w:sz w:val="24"/>
        </w:rPr>
      </w:pPr>
      <w:r>
        <w:rPr>
          <w:rFonts w:ascii="宋体" w:hAnsi="宋体" w:cs="宋体"/>
          <w:spacing w:val="-28"/>
          <w:sz w:val="24"/>
        </w:rPr>
        <w:t>(</w:t>
      </w:r>
      <w:r>
        <w:rPr>
          <w:rFonts w:ascii="宋体" w:hAnsi="宋体" w:cs="宋体"/>
          <w:spacing w:val="-26"/>
          <w:sz w:val="24"/>
        </w:rPr>
        <w:t>3</w:t>
      </w:r>
      <w:r>
        <w:rPr>
          <w:rFonts w:ascii="宋体" w:hAnsi="宋体" w:cs="宋体"/>
          <w:spacing w:val="-14"/>
          <w:sz w:val="24"/>
        </w:rPr>
        <w:t>) 单价金额小数点或者百分比有明显错位的，以开标一览表的总价为准，并修</w:t>
      </w:r>
      <w:r>
        <w:rPr>
          <w:rFonts w:ascii="宋体" w:hAnsi="宋体" w:cs="宋体"/>
          <w:sz w:val="24"/>
        </w:rPr>
        <w:t xml:space="preserve"> </w:t>
      </w:r>
      <w:r>
        <w:rPr>
          <w:rFonts w:ascii="宋体" w:hAnsi="宋体" w:cs="宋体"/>
          <w:spacing w:val="-25"/>
          <w:sz w:val="24"/>
        </w:rPr>
        <w:t>改</w:t>
      </w:r>
      <w:r>
        <w:rPr>
          <w:rFonts w:ascii="宋体" w:hAnsi="宋体" w:cs="宋体"/>
          <w:spacing w:val="-23"/>
          <w:sz w:val="24"/>
        </w:rPr>
        <w:t>单价；</w:t>
      </w:r>
    </w:p>
    <w:p w14:paraId="6FABA79A">
      <w:pPr>
        <w:spacing w:line="218" w:lineRule="auto"/>
        <w:ind w:left="479"/>
        <w:rPr>
          <w:rFonts w:hint="eastAsia" w:ascii="宋体" w:hAnsi="宋体" w:cs="宋体"/>
          <w:sz w:val="24"/>
        </w:rPr>
      </w:pPr>
      <w:r>
        <w:rPr>
          <w:rFonts w:ascii="宋体" w:hAnsi="宋体" w:cs="宋体"/>
          <w:spacing w:val="-18"/>
          <w:sz w:val="24"/>
        </w:rPr>
        <w:t>(4</w:t>
      </w:r>
      <w:r>
        <w:rPr>
          <w:rFonts w:ascii="宋体" w:hAnsi="宋体" w:cs="宋体"/>
          <w:spacing w:val="-11"/>
          <w:sz w:val="24"/>
        </w:rPr>
        <w:t>)</w:t>
      </w:r>
      <w:r>
        <w:rPr>
          <w:rFonts w:ascii="宋体" w:hAnsi="宋体" w:cs="宋体"/>
          <w:spacing w:val="-9"/>
          <w:sz w:val="24"/>
        </w:rPr>
        <w:t>总价金额与按单价汇总金额不一致的，以单价金额计算结果为准。</w:t>
      </w:r>
    </w:p>
    <w:p w14:paraId="428D8E05">
      <w:pPr>
        <w:spacing w:before="117" w:line="308" w:lineRule="auto"/>
        <w:ind w:left="30" w:right="54" w:firstLine="465"/>
        <w:rPr>
          <w:rFonts w:hint="eastAsia" w:ascii="宋体" w:hAnsi="宋体" w:cs="宋体"/>
          <w:sz w:val="24"/>
        </w:rPr>
      </w:pPr>
      <w:r>
        <w:rPr>
          <w:rFonts w:ascii="宋体" w:hAnsi="宋体" w:cs="宋体"/>
          <w:spacing w:val="-17"/>
          <w:sz w:val="24"/>
        </w:rPr>
        <w:t>同</w:t>
      </w:r>
      <w:r>
        <w:rPr>
          <w:rFonts w:ascii="宋体" w:hAnsi="宋体" w:cs="宋体"/>
          <w:spacing w:val="-16"/>
          <w:sz w:val="24"/>
        </w:rPr>
        <w:t>时出现两种以上不一致的，按照前款规定的顺序修正。修正后的报价应当采用</w:t>
      </w:r>
      <w:r>
        <w:rPr>
          <w:rFonts w:ascii="宋体" w:hAnsi="宋体" w:cs="宋体"/>
          <w:sz w:val="24"/>
        </w:rPr>
        <w:t xml:space="preserve"> </w:t>
      </w:r>
      <w:r>
        <w:rPr>
          <w:rFonts w:ascii="宋体" w:hAnsi="宋体" w:cs="宋体"/>
          <w:spacing w:val="-30"/>
          <w:sz w:val="24"/>
        </w:rPr>
        <w:t>书</w:t>
      </w:r>
      <w:r>
        <w:rPr>
          <w:rFonts w:ascii="宋体" w:hAnsi="宋体" w:cs="宋体"/>
          <w:spacing w:val="-18"/>
          <w:sz w:val="24"/>
        </w:rPr>
        <w:t>面</w:t>
      </w:r>
      <w:r>
        <w:rPr>
          <w:rFonts w:ascii="宋体" w:hAnsi="宋体" w:cs="宋体"/>
          <w:spacing w:val="-15"/>
          <w:sz w:val="24"/>
        </w:rPr>
        <w:t>形式，并加盖公章，或者由法定代表人或其授权的代表签字进行确认后产生约束</w:t>
      </w:r>
      <w:r>
        <w:rPr>
          <w:rFonts w:ascii="宋体" w:hAnsi="宋体" w:cs="宋体"/>
          <w:sz w:val="24"/>
        </w:rPr>
        <w:t xml:space="preserve"> </w:t>
      </w:r>
      <w:r>
        <w:rPr>
          <w:rFonts w:ascii="宋体" w:hAnsi="宋体" w:cs="宋体"/>
          <w:spacing w:val="-24"/>
          <w:sz w:val="24"/>
        </w:rPr>
        <w:t>力</w:t>
      </w:r>
      <w:r>
        <w:rPr>
          <w:rFonts w:ascii="宋体" w:hAnsi="宋体" w:cs="宋体"/>
          <w:spacing w:val="-17"/>
          <w:sz w:val="24"/>
        </w:rPr>
        <w:t>，投标人不确认的，其投标无效。</w:t>
      </w:r>
    </w:p>
    <w:p w14:paraId="5A9A71ED">
      <w:pPr>
        <w:spacing w:before="2" w:line="307" w:lineRule="auto"/>
        <w:ind w:left="27" w:right="53" w:firstLine="450"/>
        <w:rPr>
          <w:rFonts w:hint="eastAsia" w:ascii="宋体" w:hAnsi="宋体" w:cs="宋体"/>
          <w:sz w:val="24"/>
        </w:rPr>
      </w:pPr>
      <w:r>
        <w:rPr>
          <w:rFonts w:ascii="宋体" w:hAnsi="宋体" w:cs="宋体"/>
          <w:spacing w:val="-40"/>
          <w:sz w:val="24"/>
        </w:rPr>
        <w:t>3</w:t>
      </w:r>
      <w:r>
        <w:rPr>
          <w:rFonts w:ascii="宋体" w:hAnsi="宋体" w:cs="宋体"/>
          <w:spacing w:val="-23"/>
          <w:sz w:val="24"/>
        </w:rPr>
        <w:t>.</w:t>
      </w:r>
      <w:r>
        <w:rPr>
          <w:rFonts w:ascii="宋体" w:hAnsi="宋体" w:cs="宋体"/>
          <w:spacing w:val="-20"/>
          <w:sz w:val="24"/>
        </w:rPr>
        <w:t xml:space="preserve"> 评标委员会认为投标人的报价明显低于其他通过符合性审查投标人的报价， 有</w:t>
      </w:r>
      <w:r>
        <w:rPr>
          <w:rFonts w:ascii="宋体" w:hAnsi="宋体" w:cs="宋体"/>
          <w:sz w:val="24"/>
        </w:rPr>
        <w:t xml:space="preserve"> </w:t>
      </w:r>
      <w:r>
        <w:rPr>
          <w:rFonts w:ascii="宋体" w:hAnsi="宋体" w:cs="宋体"/>
          <w:spacing w:val="-29"/>
          <w:sz w:val="24"/>
        </w:rPr>
        <w:t>可</w:t>
      </w:r>
      <w:r>
        <w:rPr>
          <w:rFonts w:ascii="宋体" w:hAnsi="宋体" w:cs="宋体"/>
          <w:spacing w:val="-15"/>
          <w:sz w:val="24"/>
        </w:rPr>
        <w:t>能影响产品质量或者不能诚信履约的，应当要求其在评标现场合理的时间内提供书</w:t>
      </w:r>
      <w:r>
        <w:rPr>
          <w:rFonts w:ascii="宋体" w:hAnsi="宋体" w:cs="宋体"/>
          <w:sz w:val="24"/>
        </w:rPr>
        <w:t xml:space="preserve"> </w:t>
      </w:r>
      <w:r>
        <w:rPr>
          <w:rFonts w:ascii="宋体" w:hAnsi="宋体" w:cs="宋体"/>
          <w:spacing w:val="-30"/>
          <w:sz w:val="24"/>
        </w:rPr>
        <w:t>面</w:t>
      </w:r>
      <w:r>
        <w:rPr>
          <w:rFonts w:ascii="宋体" w:hAnsi="宋体" w:cs="宋体"/>
          <w:spacing w:val="-15"/>
          <w:sz w:val="24"/>
        </w:rPr>
        <w:t>说明，必要时提交相关证明材料；投标人不能证明其报价合理性的，评标委员会应</w:t>
      </w:r>
      <w:r>
        <w:rPr>
          <w:rFonts w:ascii="宋体" w:hAnsi="宋体" w:cs="宋体"/>
          <w:sz w:val="24"/>
        </w:rPr>
        <w:t xml:space="preserve"> </w:t>
      </w:r>
      <w:r>
        <w:rPr>
          <w:rFonts w:ascii="宋体" w:hAnsi="宋体" w:cs="宋体"/>
          <w:spacing w:val="-15"/>
          <w:sz w:val="24"/>
        </w:rPr>
        <w:t>当将其作为无效投标处理</w:t>
      </w:r>
      <w:r>
        <w:rPr>
          <w:rFonts w:ascii="宋体" w:hAnsi="宋体" w:cs="宋体"/>
          <w:spacing w:val="-14"/>
          <w:sz w:val="24"/>
        </w:rPr>
        <w:t>。</w:t>
      </w:r>
    </w:p>
    <w:p w14:paraId="09B23256">
      <w:pPr>
        <w:spacing w:line="218" w:lineRule="auto"/>
        <w:ind w:left="481"/>
        <w:rPr>
          <w:rFonts w:hint="eastAsia" w:ascii="宋体" w:hAnsi="宋体" w:cs="宋体"/>
          <w:sz w:val="24"/>
        </w:rPr>
      </w:pPr>
      <w:r>
        <w:rPr>
          <w:rFonts w:ascii="宋体" w:hAnsi="宋体" w:cs="宋体"/>
          <w:spacing w:val="-4"/>
          <w:sz w:val="24"/>
          <w14:textOutline w14:w="4356" w14:cap="flat" w14:cmpd="sng" w14:algn="ctr">
            <w14:solidFill>
              <w14:srgbClr w14:val="000000"/>
            </w14:solidFill>
            <w14:prstDash w14:val="solid"/>
            <w14:miter w14:val="0"/>
          </w14:textOutline>
        </w:rPr>
        <w:t>(</w:t>
      </w:r>
      <w:r>
        <w:rPr>
          <w:rFonts w:ascii="宋体" w:hAnsi="宋体" w:cs="宋体"/>
          <w:spacing w:val="-2"/>
          <w:sz w:val="24"/>
          <w14:textOutline w14:w="4356" w14:cap="flat" w14:cmpd="sng" w14:algn="ctr">
            <w14:solidFill>
              <w14:srgbClr w14:val="000000"/>
            </w14:solidFill>
            <w14:prstDash w14:val="solid"/>
            <w14:miter w14:val="0"/>
          </w14:textOutline>
        </w:rPr>
        <w:t>四)</w:t>
      </w:r>
      <w:r>
        <w:rPr>
          <w:rFonts w:ascii="宋体" w:hAnsi="宋体" w:cs="宋体"/>
          <w:spacing w:val="-2"/>
          <w:sz w:val="24"/>
        </w:rPr>
        <w:t xml:space="preserve"> </w:t>
      </w:r>
      <w:r>
        <w:rPr>
          <w:rFonts w:ascii="宋体" w:hAnsi="宋体" w:cs="宋体"/>
          <w:spacing w:val="-2"/>
          <w:sz w:val="24"/>
          <w14:textOutline w14:w="4356" w14:cap="flat" w14:cmpd="sng" w14:algn="ctr">
            <w14:solidFill>
              <w14:srgbClr w14:val="000000"/>
            </w14:solidFill>
            <w14:prstDash w14:val="solid"/>
            <w14:miter w14:val="0"/>
          </w14:textOutline>
        </w:rPr>
        <w:t>综合比较与评价</w:t>
      </w:r>
    </w:p>
    <w:p w14:paraId="1EBAB574">
      <w:pPr>
        <w:spacing w:before="118" w:line="307" w:lineRule="auto"/>
        <w:ind w:left="27" w:right="56" w:firstLine="444"/>
        <w:rPr>
          <w:rFonts w:hint="eastAsia" w:ascii="宋体" w:hAnsi="宋体" w:cs="宋体"/>
          <w:sz w:val="24"/>
        </w:rPr>
      </w:pPr>
      <w:r>
        <w:rPr>
          <w:rFonts w:ascii="宋体" w:hAnsi="宋体" w:cs="宋体"/>
          <w:spacing w:val="-27"/>
          <w:sz w:val="24"/>
        </w:rPr>
        <w:t>评</w:t>
      </w:r>
      <w:r>
        <w:rPr>
          <w:rFonts w:ascii="宋体" w:hAnsi="宋体" w:cs="宋体"/>
          <w:spacing w:val="-15"/>
          <w:sz w:val="24"/>
        </w:rPr>
        <w:t>标委员会应当按照招标文件中规定的评标方法和标准，对符合性审查合格的投</w:t>
      </w:r>
      <w:r>
        <w:rPr>
          <w:rFonts w:ascii="宋体" w:hAnsi="宋体" w:cs="宋体"/>
          <w:sz w:val="24"/>
        </w:rPr>
        <w:t xml:space="preserve"> </w:t>
      </w:r>
      <w:r>
        <w:rPr>
          <w:rFonts w:ascii="宋体" w:hAnsi="宋体" w:cs="宋体"/>
          <w:spacing w:val="-23"/>
          <w:sz w:val="24"/>
        </w:rPr>
        <w:t>标</w:t>
      </w:r>
      <w:r>
        <w:rPr>
          <w:rFonts w:ascii="宋体" w:hAnsi="宋体" w:cs="宋体"/>
          <w:spacing w:val="-17"/>
          <w:sz w:val="24"/>
        </w:rPr>
        <w:t>文件进行商务和技术评估，综合比较与评价。</w:t>
      </w:r>
    </w:p>
    <w:p w14:paraId="7F74D973">
      <w:pPr>
        <w:spacing w:before="1" w:line="220" w:lineRule="auto"/>
        <w:ind w:left="481"/>
        <w:rPr>
          <w:rFonts w:hint="eastAsia" w:ascii="宋体" w:hAnsi="宋体" w:cs="宋体"/>
          <w:sz w:val="24"/>
        </w:rPr>
      </w:pPr>
      <w:r>
        <w:rPr>
          <w:rFonts w:ascii="宋体" w:hAnsi="宋体" w:cs="宋体"/>
          <w:spacing w:val="-1"/>
          <w:sz w:val="24"/>
          <w14:textOutline w14:w="4356" w14:cap="flat" w14:cmpd="sng" w14:algn="ctr">
            <w14:solidFill>
              <w14:srgbClr w14:val="000000"/>
            </w14:solidFill>
            <w14:prstDash w14:val="solid"/>
            <w14:miter w14:val="0"/>
          </w14:textOutline>
        </w:rPr>
        <w:t>(五)</w:t>
      </w:r>
      <w:r>
        <w:rPr>
          <w:rFonts w:ascii="宋体" w:hAnsi="宋体" w:cs="宋体"/>
          <w:spacing w:val="-1"/>
          <w:sz w:val="24"/>
        </w:rPr>
        <w:t xml:space="preserve"> </w:t>
      </w:r>
      <w:r>
        <w:rPr>
          <w:rFonts w:ascii="宋体" w:hAnsi="宋体" w:cs="宋体"/>
          <w:spacing w:val="-1"/>
          <w:sz w:val="24"/>
          <w14:textOutline w14:w="4356" w14:cap="flat" w14:cmpd="sng" w14:algn="ctr">
            <w14:solidFill>
              <w14:srgbClr w14:val="000000"/>
            </w14:solidFill>
            <w14:prstDash w14:val="solid"/>
            <w14:miter w14:val="0"/>
          </w14:textOutline>
        </w:rPr>
        <w:t>复核评</w:t>
      </w:r>
      <w:r>
        <w:rPr>
          <w:rFonts w:ascii="宋体" w:hAnsi="宋体" w:cs="宋体"/>
          <w:sz w:val="24"/>
          <w14:textOutline w14:w="4356" w14:cap="flat" w14:cmpd="sng" w14:algn="ctr">
            <w14:solidFill>
              <w14:srgbClr w14:val="000000"/>
            </w14:solidFill>
            <w14:prstDash w14:val="solid"/>
            <w14:miter w14:val="0"/>
          </w14:textOutline>
        </w:rPr>
        <w:t>标结果</w:t>
      </w:r>
    </w:p>
    <w:p w14:paraId="381241A1">
      <w:pPr>
        <w:spacing w:before="114" w:line="220" w:lineRule="auto"/>
        <w:ind w:left="471"/>
        <w:rPr>
          <w:rFonts w:hint="eastAsia" w:ascii="宋体" w:hAnsi="宋体" w:cs="宋体"/>
          <w:sz w:val="24"/>
        </w:rPr>
      </w:pPr>
      <w:r>
        <w:rPr>
          <w:rFonts w:ascii="宋体" w:hAnsi="宋体" w:cs="宋体"/>
          <w:spacing w:val="-34"/>
          <w:sz w:val="24"/>
        </w:rPr>
        <w:t>评</w:t>
      </w:r>
      <w:r>
        <w:rPr>
          <w:rFonts w:ascii="宋体" w:hAnsi="宋体" w:cs="宋体"/>
          <w:spacing w:val="-21"/>
          <w:sz w:val="24"/>
        </w:rPr>
        <w:t>标</w:t>
      </w:r>
      <w:r>
        <w:rPr>
          <w:rFonts w:ascii="宋体" w:hAnsi="宋体" w:cs="宋体"/>
          <w:spacing w:val="-17"/>
          <w:sz w:val="24"/>
        </w:rPr>
        <w:t>结果汇总完成后，除下列情形外，任何人不得修改评标结果：</w:t>
      </w:r>
    </w:p>
    <w:p w14:paraId="4602D4DA">
      <w:pPr>
        <w:sectPr>
          <w:footerReference r:id="rId12" w:type="default"/>
          <w:pgSz w:w="11907" w:h="16841"/>
          <w:pgMar w:top="1431" w:right="1728" w:bottom="1009" w:left="1785" w:header="0" w:footer="821" w:gutter="0"/>
          <w:cols w:space="720" w:num="1"/>
        </w:sectPr>
      </w:pPr>
    </w:p>
    <w:p w14:paraId="6F315D06">
      <w:pPr>
        <w:spacing w:before="115" w:line="220" w:lineRule="auto"/>
        <w:ind w:left="479"/>
        <w:rPr>
          <w:rFonts w:hint="eastAsia" w:ascii="宋体" w:hAnsi="宋体" w:cs="宋体"/>
          <w:sz w:val="24"/>
        </w:rPr>
      </w:pPr>
      <w:r>
        <w:rPr>
          <w:rFonts w:ascii="宋体" w:hAnsi="宋体" w:cs="宋体"/>
          <w:spacing w:val="-2"/>
          <w:sz w:val="24"/>
        </w:rPr>
        <w:t>(</w:t>
      </w:r>
      <w:r>
        <w:rPr>
          <w:rFonts w:hint="eastAsia" w:ascii="宋体" w:hAnsi="宋体" w:cs="宋体"/>
          <w:spacing w:val="-2"/>
          <w:sz w:val="24"/>
          <w:lang w:val="en-US" w:eastAsia="zh-CN"/>
        </w:rPr>
        <w:t>1</w:t>
      </w:r>
      <w:r>
        <w:rPr>
          <w:rFonts w:ascii="宋体" w:hAnsi="宋体" w:cs="宋体"/>
          <w:spacing w:val="-2"/>
          <w:sz w:val="24"/>
        </w:rPr>
        <w:t>)</w:t>
      </w:r>
      <w:r>
        <w:rPr>
          <w:rFonts w:ascii="宋体" w:hAnsi="宋体" w:cs="宋体"/>
          <w:spacing w:val="-1"/>
          <w:sz w:val="24"/>
        </w:rPr>
        <w:t>分值汇总计算错误的；</w:t>
      </w:r>
    </w:p>
    <w:p w14:paraId="3013ACC1">
      <w:pPr>
        <w:spacing w:before="113" w:line="220" w:lineRule="auto"/>
        <w:ind w:left="479"/>
        <w:rPr>
          <w:rFonts w:hint="eastAsia" w:ascii="宋体" w:hAnsi="宋体" w:cs="宋体"/>
          <w:sz w:val="24"/>
        </w:rPr>
      </w:pPr>
      <w:r>
        <w:rPr>
          <w:rFonts w:ascii="宋体" w:hAnsi="宋体" w:cs="宋体"/>
          <w:spacing w:val="-8"/>
          <w:sz w:val="24"/>
        </w:rPr>
        <w:t>(</w:t>
      </w:r>
      <w:r>
        <w:rPr>
          <w:rFonts w:hint="eastAsia" w:ascii="宋体" w:hAnsi="宋体" w:cs="宋体"/>
          <w:spacing w:val="-8"/>
          <w:sz w:val="24"/>
          <w:lang w:val="en-US" w:eastAsia="zh-CN"/>
        </w:rPr>
        <w:t>2</w:t>
      </w:r>
      <w:r>
        <w:rPr>
          <w:rFonts w:ascii="宋体" w:hAnsi="宋体" w:cs="宋体"/>
          <w:spacing w:val="-8"/>
          <w:sz w:val="24"/>
        </w:rPr>
        <w:t>)</w:t>
      </w:r>
      <w:r>
        <w:rPr>
          <w:rFonts w:ascii="宋体" w:hAnsi="宋体" w:cs="宋体"/>
          <w:spacing w:val="-6"/>
          <w:sz w:val="24"/>
        </w:rPr>
        <w:t>分</w:t>
      </w:r>
      <w:r>
        <w:rPr>
          <w:rFonts w:ascii="宋体" w:hAnsi="宋体" w:cs="宋体"/>
          <w:spacing w:val="-4"/>
          <w:sz w:val="24"/>
        </w:rPr>
        <w:t>项评分超出评分标准范围的；</w:t>
      </w:r>
    </w:p>
    <w:p w14:paraId="40DCAE42">
      <w:pPr>
        <w:spacing w:before="114" w:line="219" w:lineRule="auto"/>
        <w:ind w:left="479"/>
        <w:rPr>
          <w:rFonts w:hint="eastAsia" w:ascii="宋体" w:hAnsi="宋体" w:cs="宋体"/>
          <w:sz w:val="24"/>
        </w:rPr>
      </w:pPr>
      <w:r>
        <w:rPr>
          <w:rFonts w:ascii="宋体" w:hAnsi="宋体" w:cs="宋体"/>
          <w:spacing w:val="-12"/>
          <w:sz w:val="24"/>
        </w:rPr>
        <w:t>(</w:t>
      </w:r>
      <w:r>
        <w:rPr>
          <w:rFonts w:hint="eastAsia" w:ascii="宋体" w:hAnsi="宋体" w:cs="宋体"/>
          <w:spacing w:val="-7"/>
          <w:sz w:val="24"/>
          <w:lang w:val="en-US" w:eastAsia="zh-CN"/>
        </w:rPr>
        <w:t>3</w:t>
      </w:r>
      <w:r>
        <w:rPr>
          <w:rFonts w:ascii="宋体" w:hAnsi="宋体" w:cs="宋体"/>
          <w:spacing w:val="-7"/>
          <w:sz w:val="24"/>
        </w:rPr>
        <w:t>)评标委员会成员对客观评审因素评分不一致的；</w:t>
      </w:r>
    </w:p>
    <w:p w14:paraId="706F9813">
      <w:pPr>
        <w:spacing w:before="116" w:line="219" w:lineRule="auto"/>
        <w:ind w:left="479"/>
        <w:rPr>
          <w:rFonts w:hint="eastAsia" w:ascii="宋体" w:hAnsi="宋体" w:cs="宋体"/>
          <w:sz w:val="24"/>
        </w:rPr>
      </w:pPr>
      <w:r>
        <w:rPr>
          <w:rFonts w:ascii="宋体" w:hAnsi="宋体" w:cs="宋体"/>
          <w:spacing w:val="-10"/>
          <w:sz w:val="24"/>
        </w:rPr>
        <w:t>(</w:t>
      </w:r>
      <w:r>
        <w:rPr>
          <w:rFonts w:hint="eastAsia" w:ascii="宋体" w:hAnsi="宋体" w:cs="宋体"/>
          <w:spacing w:val="-10"/>
          <w:sz w:val="24"/>
          <w:lang w:val="en-US" w:eastAsia="zh-CN"/>
        </w:rPr>
        <w:t>4</w:t>
      </w:r>
      <w:r>
        <w:rPr>
          <w:rFonts w:ascii="宋体" w:hAnsi="宋体" w:cs="宋体"/>
          <w:spacing w:val="-6"/>
          <w:sz w:val="24"/>
        </w:rPr>
        <w:t>)</w:t>
      </w:r>
      <w:r>
        <w:rPr>
          <w:rFonts w:ascii="宋体" w:hAnsi="宋体" w:cs="宋体"/>
          <w:spacing w:val="-5"/>
          <w:sz w:val="24"/>
        </w:rPr>
        <w:t>经评标委员会认定评分畸高、畸低的。</w:t>
      </w:r>
    </w:p>
    <w:p w14:paraId="670A90F6">
      <w:pPr>
        <w:spacing w:before="113" w:line="308" w:lineRule="auto"/>
        <w:ind w:left="27" w:right="57" w:firstLine="444"/>
        <w:rPr>
          <w:rFonts w:hint="eastAsia" w:ascii="宋体" w:hAnsi="宋体" w:cs="宋体"/>
          <w:sz w:val="24"/>
        </w:rPr>
      </w:pPr>
      <w:r>
        <w:rPr>
          <w:rFonts w:ascii="宋体" w:hAnsi="宋体" w:cs="宋体"/>
          <w:spacing w:val="-27"/>
          <w:sz w:val="24"/>
        </w:rPr>
        <w:t>评</w:t>
      </w:r>
      <w:r>
        <w:rPr>
          <w:rFonts w:ascii="宋体" w:hAnsi="宋体" w:cs="宋体"/>
          <w:spacing w:val="-15"/>
          <w:sz w:val="24"/>
        </w:rPr>
        <w:t>标报告签署前，经复核发现存在以上情形之一的，评标委员会应当当场修改评</w:t>
      </w:r>
      <w:r>
        <w:rPr>
          <w:rFonts w:ascii="宋体" w:hAnsi="宋体" w:cs="宋体"/>
          <w:sz w:val="24"/>
        </w:rPr>
        <w:t xml:space="preserve"> </w:t>
      </w:r>
      <w:r>
        <w:rPr>
          <w:rFonts w:ascii="宋体" w:hAnsi="宋体" w:cs="宋体"/>
          <w:spacing w:val="-30"/>
          <w:sz w:val="24"/>
        </w:rPr>
        <w:t>标</w:t>
      </w:r>
      <w:r>
        <w:rPr>
          <w:rFonts w:ascii="宋体" w:hAnsi="宋体" w:cs="宋体"/>
          <w:spacing w:val="-15"/>
          <w:sz w:val="24"/>
        </w:rPr>
        <w:t>结果，并在评标报告中记载。评标报告签署后，采购人或者采购代理机构发现存在</w:t>
      </w:r>
      <w:r>
        <w:rPr>
          <w:rFonts w:ascii="宋体" w:hAnsi="宋体" w:cs="宋体"/>
          <w:sz w:val="24"/>
        </w:rPr>
        <w:t xml:space="preserve"> </w:t>
      </w:r>
      <w:r>
        <w:rPr>
          <w:rFonts w:ascii="宋体" w:hAnsi="宋体" w:cs="宋体"/>
          <w:spacing w:val="-30"/>
          <w:sz w:val="24"/>
        </w:rPr>
        <w:t>以</w:t>
      </w:r>
      <w:r>
        <w:rPr>
          <w:rFonts w:ascii="宋体" w:hAnsi="宋体" w:cs="宋体"/>
          <w:spacing w:val="-15"/>
          <w:sz w:val="24"/>
        </w:rPr>
        <w:t>上情形之一的，应当组织原评标委员会进行重新评审，重新评审改变评标结果的，</w:t>
      </w:r>
      <w:r>
        <w:rPr>
          <w:rFonts w:ascii="宋体" w:hAnsi="宋体" w:cs="宋体"/>
          <w:sz w:val="24"/>
        </w:rPr>
        <w:t xml:space="preserve"> </w:t>
      </w:r>
      <w:r>
        <w:rPr>
          <w:rFonts w:ascii="宋体" w:hAnsi="宋体" w:cs="宋体"/>
          <w:spacing w:val="-24"/>
          <w:sz w:val="24"/>
        </w:rPr>
        <w:t>书</w:t>
      </w:r>
      <w:r>
        <w:rPr>
          <w:rFonts w:ascii="宋体" w:hAnsi="宋体" w:cs="宋体"/>
          <w:spacing w:val="-17"/>
          <w:sz w:val="24"/>
        </w:rPr>
        <w:t>面报告本级财政部门。</w:t>
      </w:r>
    </w:p>
    <w:p w14:paraId="7595E2B8">
      <w:pPr>
        <w:spacing w:before="1" w:line="218" w:lineRule="auto"/>
        <w:ind w:left="481"/>
        <w:rPr>
          <w:rFonts w:hint="eastAsia" w:ascii="宋体" w:hAnsi="宋体" w:cs="宋体"/>
          <w:sz w:val="24"/>
        </w:rPr>
      </w:pPr>
      <w:r>
        <w:rPr>
          <w:rFonts w:ascii="宋体" w:hAnsi="宋体" w:cs="宋体"/>
          <w:spacing w:val="-8"/>
          <w:sz w:val="24"/>
          <w14:textOutline w14:w="4356" w14:cap="flat" w14:cmpd="sng" w14:algn="ctr">
            <w14:solidFill>
              <w14:srgbClr w14:val="000000"/>
            </w14:solidFill>
            <w14:prstDash w14:val="solid"/>
            <w14:miter w14:val="0"/>
          </w14:textOutline>
        </w:rPr>
        <w:t>(</w:t>
      </w:r>
      <w:r>
        <w:rPr>
          <w:rFonts w:ascii="宋体" w:hAnsi="宋体" w:cs="宋体"/>
          <w:spacing w:val="-5"/>
          <w:sz w:val="24"/>
          <w14:textOutline w14:w="4356" w14:cap="flat" w14:cmpd="sng" w14:algn="ctr">
            <w14:solidFill>
              <w14:srgbClr w14:val="000000"/>
            </w14:solidFill>
            <w14:prstDash w14:val="solid"/>
            <w14:miter w14:val="0"/>
          </w14:textOutline>
        </w:rPr>
        <w:t>六</w:t>
      </w:r>
      <w:r>
        <w:rPr>
          <w:rFonts w:ascii="宋体" w:hAnsi="宋体" w:cs="宋体"/>
          <w:spacing w:val="-4"/>
          <w:sz w:val="24"/>
          <w14:textOutline w14:w="4356" w14:cap="flat" w14:cmpd="sng" w14:algn="ctr">
            <w14:solidFill>
              <w14:srgbClr w14:val="000000"/>
            </w14:solidFill>
            <w14:prstDash w14:val="solid"/>
            <w14:miter w14:val="0"/>
          </w14:textOutline>
        </w:rPr>
        <w:t>)</w:t>
      </w:r>
      <w:r>
        <w:rPr>
          <w:rFonts w:ascii="宋体" w:hAnsi="宋体" w:cs="宋体"/>
          <w:spacing w:val="-4"/>
          <w:sz w:val="24"/>
        </w:rPr>
        <w:t xml:space="preserve"> </w:t>
      </w:r>
      <w:r>
        <w:rPr>
          <w:rFonts w:ascii="宋体" w:hAnsi="宋体" w:cs="宋体"/>
          <w:spacing w:val="-4"/>
          <w:sz w:val="24"/>
          <w14:textOutline w14:w="4356" w14:cap="flat" w14:cmpd="sng" w14:algn="ctr">
            <w14:solidFill>
              <w14:srgbClr w14:val="000000"/>
            </w14:solidFill>
            <w14:prstDash w14:val="solid"/>
            <w14:miter w14:val="0"/>
          </w14:textOutline>
        </w:rPr>
        <w:t>推荐中标候选人名单</w:t>
      </w:r>
    </w:p>
    <w:p w14:paraId="4DB2F15B">
      <w:pPr>
        <w:spacing w:before="113" w:line="308" w:lineRule="auto"/>
        <w:ind w:left="24" w:right="55" w:firstLine="466"/>
        <w:rPr>
          <w:rFonts w:hint="eastAsia" w:ascii="宋体" w:hAnsi="宋体" w:cs="宋体"/>
          <w:sz w:val="24"/>
        </w:rPr>
      </w:pPr>
      <w:r>
        <w:rPr>
          <w:rFonts w:ascii="宋体" w:hAnsi="宋体" w:cs="宋体"/>
          <w:spacing w:val="-16"/>
          <w:sz w:val="24"/>
        </w:rPr>
        <w:t>1</w:t>
      </w:r>
      <w:r>
        <w:rPr>
          <w:rFonts w:ascii="宋体" w:hAnsi="宋体" w:cs="宋体"/>
          <w:spacing w:val="-12"/>
          <w:sz w:val="24"/>
        </w:rPr>
        <w:t>.评标结果按评审后得分由高到低顺序排列；得分相同的，按投标报价(指投标</w:t>
      </w:r>
      <w:r>
        <w:rPr>
          <w:rFonts w:ascii="宋体" w:hAnsi="宋体" w:cs="宋体"/>
          <w:sz w:val="24"/>
        </w:rPr>
        <w:t xml:space="preserve"> </w:t>
      </w:r>
      <w:r>
        <w:rPr>
          <w:rFonts w:ascii="宋体" w:hAnsi="宋体" w:cs="宋体"/>
          <w:spacing w:val="-15"/>
          <w:sz w:val="24"/>
        </w:rPr>
        <w:t>报价经算术修正和落实政府采购政策需进行的价格扣除后的投标价格) 由低到高顺</w:t>
      </w:r>
      <w:r>
        <w:rPr>
          <w:rFonts w:ascii="宋体" w:hAnsi="宋体" w:cs="宋体"/>
          <w:spacing w:val="-12"/>
          <w:sz w:val="24"/>
        </w:rPr>
        <w:t>序</w:t>
      </w:r>
      <w:r>
        <w:rPr>
          <w:rFonts w:ascii="宋体" w:hAnsi="宋体" w:cs="宋体"/>
          <w:sz w:val="24"/>
        </w:rPr>
        <w:t xml:space="preserve"> </w:t>
      </w:r>
      <w:r>
        <w:rPr>
          <w:rFonts w:ascii="宋体" w:hAnsi="宋体" w:cs="宋体"/>
          <w:spacing w:val="-15"/>
          <w:sz w:val="24"/>
        </w:rPr>
        <w:t>排</w:t>
      </w:r>
      <w:r>
        <w:rPr>
          <w:rFonts w:ascii="宋体" w:hAnsi="宋体" w:cs="宋体"/>
          <w:spacing w:val="-12"/>
          <w:sz w:val="24"/>
        </w:rPr>
        <w:t>列；得分且投标报价(指投标报价经算术修正和落实政府采购政策需进行的价格扣</w:t>
      </w:r>
      <w:r>
        <w:rPr>
          <w:rFonts w:ascii="宋体" w:hAnsi="宋体" w:cs="宋体"/>
          <w:sz w:val="24"/>
        </w:rPr>
        <w:t xml:space="preserve"> </w:t>
      </w:r>
      <w:r>
        <w:rPr>
          <w:rFonts w:ascii="宋体" w:hAnsi="宋体" w:cs="宋体"/>
          <w:spacing w:val="-22"/>
          <w:sz w:val="24"/>
        </w:rPr>
        <w:t>除后</w:t>
      </w:r>
      <w:r>
        <w:rPr>
          <w:rFonts w:ascii="宋体" w:hAnsi="宋体" w:cs="宋体"/>
          <w:spacing w:val="-18"/>
          <w:sz w:val="24"/>
        </w:rPr>
        <w:t>的</w:t>
      </w:r>
      <w:r>
        <w:rPr>
          <w:rFonts w:ascii="宋体" w:hAnsi="宋体" w:cs="宋体"/>
          <w:spacing w:val="-11"/>
          <w:sz w:val="24"/>
        </w:rPr>
        <w:t>投标价格) 相同的，按技术货物评分由高到低顺序排列；得分、投标报价(指</w:t>
      </w:r>
      <w:r>
        <w:rPr>
          <w:rFonts w:ascii="宋体" w:hAnsi="宋体" w:cs="宋体"/>
          <w:sz w:val="24"/>
        </w:rPr>
        <w:t xml:space="preserve"> </w:t>
      </w:r>
      <w:r>
        <w:rPr>
          <w:rFonts w:ascii="宋体" w:hAnsi="宋体" w:cs="宋体"/>
          <w:spacing w:val="-15"/>
          <w:sz w:val="24"/>
        </w:rPr>
        <w:t>投标报价经算术修正和落实政府采购政策需进行的价格扣除后的投标价格) 且技术</w:t>
      </w:r>
      <w:r>
        <w:rPr>
          <w:rFonts w:ascii="宋体" w:hAnsi="宋体" w:cs="宋体"/>
          <w:spacing w:val="-12"/>
          <w:sz w:val="24"/>
        </w:rPr>
        <w:t>货</w:t>
      </w:r>
      <w:r>
        <w:rPr>
          <w:rFonts w:ascii="宋体" w:hAnsi="宋体" w:cs="宋体"/>
          <w:sz w:val="24"/>
        </w:rPr>
        <w:t xml:space="preserve"> </w:t>
      </w:r>
      <w:r>
        <w:rPr>
          <w:rFonts w:ascii="宋体" w:hAnsi="宋体" w:cs="宋体"/>
          <w:spacing w:val="-27"/>
          <w:sz w:val="24"/>
        </w:rPr>
        <w:t>物</w:t>
      </w:r>
      <w:r>
        <w:rPr>
          <w:rFonts w:ascii="宋体" w:hAnsi="宋体" w:cs="宋体"/>
          <w:spacing w:val="-15"/>
          <w:sz w:val="24"/>
        </w:rPr>
        <w:t>评分相同的，按所投产品列入政府优先采购产品类别认证证书多少顺序排列；以上</w:t>
      </w:r>
      <w:r>
        <w:rPr>
          <w:rFonts w:ascii="宋体" w:hAnsi="宋体" w:cs="宋体"/>
          <w:sz w:val="24"/>
        </w:rPr>
        <w:t xml:space="preserve"> </w:t>
      </w:r>
      <w:r>
        <w:rPr>
          <w:rFonts w:ascii="宋体" w:hAnsi="宋体" w:cs="宋体"/>
          <w:spacing w:val="-28"/>
          <w:sz w:val="24"/>
        </w:rPr>
        <w:t>均</w:t>
      </w:r>
      <w:r>
        <w:rPr>
          <w:rFonts w:ascii="宋体" w:hAnsi="宋体" w:cs="宋体"/>
          <w:spacing w:val="-20"/>
          <w:sz w:val="24"/>
        </w:rPr>
        <w:t>相</w:t>
      </w:r>
      <w:r>
        <w:rPr>
          <w:rFonts w:ascii="宋体" w:hAnsi="宋体" w:cs="宋体"/>
          <w:spacing w:val="-14"/>
          <w:sz w:val="24"/>
        </w:rPr>
        <w:t>同的，按提交电子投标文件时间先后 (以投标人提交投标文件登记表为准) 顺序</w:t>
      </w:r>
      <w:r>
        <w:rPr>
          <w:rFonts w:ascii="宋体" w:hAnsi="宋体" w:cs="宋体"/>
          <w:sz w:val="24"/>
        </w:rPr>
        <w:t xml:space="preserve"> </w:t>
      </w:r>
      <w:r>
        <w:rPr>
          <w:rFonts w:ascii="宋体" w:hAnsi="宋体" w:cs="宋体"/>
          <w:spacing w:val="-30"/>
          <w:sz w:val="24"/>
        </w:rPr>
        <w:t>排</w:t>
      </w:r>
      <w:r>
        <w:rPr>
          <w:rFonts w:ascii="宋体" w:hAnsi="宋体" w:cs="宋体"/>
          <w:spacing w:val="-18"/>
          <w:sz w:val="24"/>
        </w:rPr>
        <w:t>列</w:t>
      </w:r>
      <w:r>
        <w:rPr>
          <w:rFonts w:ascii="宋体" w:hAnsi="宋体" w:cs="宋体"/>
          <w:spacing w:val="-15"/>
          <w:sz w:val="24"/>
        </w:rPr>
        <w:t>。分包采购的，每包评标结果按上述规则排列。</w:t>
      </w:r>
    </w:p>
    <w:p w14:paraId="77FD66C2">
      <w:pPr>
        <w:spacing w:before="1" w:line="218" w:lineRule="auto"/>
        <w:ind w:left="475"/>
        <w:rPr>
          <w:rFonts w:hint="eastAsia" w:ascii="宋体" w:hAnsi="宋体" w:cs="宋体"/>
          <w:sz w:val="24"/>
        </w:rPr>
      </w:pPr>
      <w:r>
        <w:rPr>
          <w:rFonts w:ascii="宋体" w:hAnsi="宋体" w:cs="宋体"/>
          <w:spacing w:val="-30"/>
          <w:sz w:val="24"/>
        </w:rPr>
        <w:t>2</w:t>
      </w:r>
      <w:r>
        <w:rPr>
          <w:rFonts w:ascii="宋体" w:hAnsi="宋体" w:cs="宋体"/>
          <w:spacing w:val="-16"/>
          <w:sz w:val="24"/>
        </w:rPr>
        <w:t>.</w:t>
      </w:r>
      <w:r>
        <w:rPr>
          <w:rFonts w:ascii="宋体" w:hAnsi="宋体" w:cs="宋体"/>
          <w:spacing w:val="-15"/>
          <w:sz w:val="24"/>
        </w:rPr>
        <w:t>评标委员会按照评标结果排列顺序确定中标候选人排名。</w:t>
      </w:r>
    </w:p>
    <w:p w14:paraId="7E4DF3B8">
      <w:pPr>
        <w:spacing w:before="116" w:line="218" w:lineRule="auto"/>
        <w:ind w:left="481"/>
        <w:rPr>
          <w:rFonts w:hint="eastAsia" w:ascii="宋体" w:hAnsi="宋体" w:cs="宋体"/>
          <w:sz w:val="24"/>
        </w:rPr>
      </w:pPr>
      <w:r>
        <w:rPr>
          <w:rFonts w:ascii="宋体" w:hAnsi="宋体" w:cs="宋体"/>
          <w:spacing w:val="-1"/>
          <w:sz w:val="24"/>
          <w14:textOutline w14:w="4356" w14:cap="flat" w14:cmpd="sng" w14:algn="ctr">
            <w14:solidFill>
              <w14:srgbClr w14:val="000000"/>
            </w14:solidFill>
            <w14:prstDash w14:val="solid"/>
            <w14:miter w14:val="0"/>
          </w14:textOutline>
        </w:rPr>
        <w:t>(七)</w:t>
      </w:r>
      <w:r>
        <w:rPr>
          <w:rFonts w:ascii="宋体" w:hAnsi="宋体" w:cs="宋体"/>
          <w:spacing w:val="-1"/>
          <w:sz w:val="24"/>
        </w:rPr>
        <w:t xml:space="preserve"> </w:t>
      </w:r>
      <w:r>
        <w:rPr>
          <w:rFonts w:ascii="宋体" w:hAnsi="宋体" w:cs="宋体"/>
          <w:spacing w:val="-1"/>
          <w:sz w:val="24"/>
          <w14:textOutline w14:w="4356" w14:cap="flat" w14:cmpd="sng" w14:algn="ctr">
            <w14:solidFill>
              <w14:srgbClr w14:val="000000"/>
            </w14:solidFill>
            <w14:prstDash w14:val="solid"/>
            <w14:miter w14:val="0"/>
          </w14:textOutline>
        </w:rPr>
        <w:t>编写评</w:t>
      </w:r>
      <w:r>
        <w:rPr>
          <w:rFonts w:ascii="宋体" w:hAnsi="宋体" w:cs="宋体"/>
          <w:sz w:val="24"/>
          <w14:textOutline w14:w="4356" w14:cap="flat" w14:cmpd="sng" w14:algn="ctr">
            <w14:solidFill>
              <w14:srgbClr w14:val="000000"/>
            </w14:solidFill>
            <w14:prstDash w14:val="solid"/>
            <w14:miter w14:val="0"/>
          </w14:textOutline>
        </w:rPr>
        <w:t>标报告</w:t>
      </w:r>
    </w:p>
    <w:p w14:paraId="769A71EE">
      <w:pPr>
        <w:spacing w:before="114" w:line="308" w:lineRule="auto"/>
        <w:ind w:left="27" w:right="57" w:firstLine="444"/>
        <w:rPr>
          <w:rFonts w:hint="eastAsia" w:ascii="宋体" w:hAnsi="宋体" w:cs="宋体"/>
          <w:sz w:val="24"/>
        </w:rPr>
      </w:pPr>
      <w:r>
        <w:rPr>
          <w:rFonts w:ascii="宋体" w:hAnsi="宋体" w:cs="宋体"/>
          <w:spacing w:val="-25"/>
          <w:sz w:val="24"/>
        </w:rPr>
        <w:t>评</w:t>
      </w:r>
      <w:r>
        <w:rPr>
          <w:rFonts w:ascii="宋体" w:hAnsi="宋体" w:cs="宋体"/>
          <w:spacing w:val="-15"/>
          <w:sz w:val="24"/>
        </w:rPr>
        <w:t>标委员会根据全体评标成员签字的原始评标记录和评标结果编写评标报告。评</w:t>
      </w:r>
      <w:r>
        <w:rPr>
          <w:rFonts w:ascii="宋体" w:hAnsi="宋体" w:cs="宋体"/>
          <w:sz w:val="24"/>
        </w:rPr>
        <w:t xml:space="preserve"> </w:t>
      </w:r>
      <w:r>
        <w:rPr>
          <w:rFonts w:ascii="宋体" w:hAnsi="宋体" w:cs="宋体"/>
          <w:spacing w:val="-30"/>
          <w:sz w:val="24"/>
        </w:rPr>
        <w:t>标</w:t>
      </w:r>
      <w:r>
        <w:rPr>
          <w:rFonts w:ascii="宋体" w:hAnsi="宋体" w:cs="宋体"/>
          <w:spacing w:val="-15"/>
          <w:sz w:val="24"/>
        </w:rPr>
        <w:t>委员会应当在评标报告上签字，对自己的评审意见承担法律责任。对评标报告有异</w:t>
      </w:r>
      <w:r>
        <w:rPr>
          <w:rFonts w:ascii="宋体" w:hAnsi="宋体" w:cs="宋体"/>
          <w:sz w:val="24"/>
        </w:rPr>
        <w:t xml:space="preserve"> </w:t>
      </w:r>
      <w:r>
        <w:rPr>
          <w:rFonts w:ascii="宋体" w:hAnsi="宋体" w:cs="宋体"/>
          <w:spacing w:val="-17"/>
          <w:sz w:val="24"/>
        </w:rPr>
        <w:t>议的，应当在评标报告上签署不同意见，并说明理由，否则视为同意评标报告</w:t>
      </w:r>
      <w:r>
        <w:rPr>
          <w:rFonts w:ascii="宋体" w:hAnsi="宋体" w:cs="宋体"/>
          <w:spacing w:val="-11"/>
          <w:sz w:val="24"/>
        </w:rPr>
        <w:t>。</w:t>
      </w:r>
    </w:p>
    <w:p w14:paraId="594A4592">
      <w:pPr>
        <w:spacing w:line="220" w:lineRule="auto"/>
        <w:ind w:left="481"/>
        <w:rPr>
          <w:rFonts w:hint="eastAsia" w:ascii="宋体" w:hAnsi="宋体" w:cs="宋体"/>
          <w:sz w:val="24"/>
        </w:rPr>
      </w:pPr>
      <w:r>
        <w:rPr>
          <w:rFonts w:ascii="宋体" w:hAnsi="宋体" w:cs="宋体"/>
          <w:spacing w:val="1"/>
          <w:sz w:val="24"/>
          <w14:textOutline w14:w="4356" w14:cap="flat" w14:cmpd="sng" w14:algn="ctr">
            <w14:solidFill>
              <w14:srgbClr w14:val="000000"/>
            </w14:solidFill>
            <w14:prstDash w14:val="solid"/>
            <w14:miter w14:val="0"/>
          </w14:textOutline>
        </w:rPr>
        <w:t>(八)</w:t>
      </w:r>
      <w:r>
        <w:rPr>
          <w:rFonts w:ascii="宋体" w:hAnsi="宋体" w:cs="宋体"/>
          <w:spacing w:val="1"/>
          <w:sz w:val="24"/>
        </w:rPr>
        <w:t xml:space="preserve"> </w:t>
      </w:r>
      <w:r>
        <w:rPr>
          <w:rFonts w:ascii="宋体" w:hAnsi="宋体" w:cs="宋体"/>
          <w:spacing w:val="1"/>
          <w:sz w:val="24"/>
          <w14:textOutline w14:w="4356" w14:cap="flat" w14:cmpd="sng" w14:algn="ctr">
            <w14:solidFill>
              <w14:srgbClr w14:val="000000"/>
            </w14:solidFill>
            <w14:prstDash w14:val="solid"/>
            <w14:miter w14:val="0"/>
          </w14:textOutline>
        </w:rPr>
        <w:t>确定中标</w:t>
      </w:r>
      <w:r>
        <w:rPr>
          <w:rFonts w:ascii="宋体" w:hAnsi="宋体" w:cs="宋体"/>
          <w:sz w:val="24"/>
          <w14:textOutline w14:w="4356" w14:cap="flat" w14:cmpd="sng" w14:algn="ctr">
            <w14:solidFill>
              <w14:srgbClr w14:val="000000"/>
            </w14:solidFill>
            <w14:prstDash w14:val="solid"/>
            <w14:miter w14:val="0"/>
          </w14:textOutline>
        </w:rPr>
        <w:t>人</w:t>
      </w:r>
    </w:p>
    <w:p w14:paraId="33F3616D">
      <w:pPr>
        <w:spacing w:before="113" w:line="308" w:lineRule="auto"/>
        <w:ind w:left="25" w:firstLine="446"/>
        <w:rPr>
          <w:rFonts w:hint="eastAsia" w:ascii="宋体" w:hAnsi="宋体" w:cs="宋体"/>
          <w:sz w:val="24"/>
        </w:rPr>
      </w:pPr>
      <w:r>
        <w:rPr>
          <w:rFonts w:ascii="宋体" w:hAnsi="宋体" w:cs="宋体"/>
          <w:spacing w:val="-12"/>
          <w:sz w:val="24"/>
        </w:rPr>
        <w:t>采购人应当自收到评标报告之日起5个工作日内，在评标报告确定的中标候选</w:t>
      </w:r>
      <w:r>
        <w:rPr>
          <w:rFonts w:ascii="宋体" w:hAnsi="宋体" w:cs="宋体"/>
          <w:spacing w:val="-9"/>
          <w:sz w:val="24"/>
        </w:rPr>
        <w:t>人</w:t>
      </w:r>
      <w:r>
        <w:rPr>
          <w:rFonts w:ascii="宋体" w:hAnsi="宋体" w:cs="宋体"/>
          <w:sz w:val="24"/>
        </w:rPr>
        <w:t xml:space="preserve"> </w:t>
      </w:r>
      <w:r>
        <w:rPr>
          <w:rFonts w:ascii="宋体" w:hAnsi="宋体" w:cs="宋体"/>
          <w:spacing w:val="-34"/>
          <w:sz w:val="24"/>
        </w:rPr>
        <w:t>名</w:t>
      </w:r>
      <w:r>
        <w:rPr>
          <w:rFonts w:ascii="宋体" w:hAnsi="宋体" w:cs="宋体"/>
          <w:spacing w:val="-27"/>
          <w:sz w:val="24"/>
        </w:rPr>
        <w:t>单</w:t>
      </w:r>
      <w:r>
        <w:rPr>
          <w:rFonts w:ascii="宋体" w:hAnsi="宋体" w:cs="宋体"/>
          <w:spacing w:val="-17"/>
          <w:sz w:val="24"/>
        </w:rPr>
        <w:t>中按顺序确定中标人。采购人也可以书面授权评标委员会直接确定成交供应商。</w:t>
      </w:r>
      <w:r>
        <w:rPr>
          <w:rFonts w:ascii="宋体" w:hAnsi="宋体" w:cs="宋体"/>
          <w:sz w:val="24"/>
        </w:rPr>
        <w:t xml:space="preserve"> </w:t>
      </w:r>
      <w:r>
        <w:rPr>
          <w:rFonts w:ascii="宋体" w:hAnsi="宋体" w:cs="宋体"/>
          <w:spacing w:val="-32"/>
          <w:sz w:val="24"/>
        </w:rPr>
        <w:t>采</w:t>
      </w:r>
      <w:r>
        <w:rPr>
          <w:rFonts w:ascii="宋体" w:hAnsi="宋体" w:cs="宋体"/>
          <w:spacing w:val="-23"/>
          <w:sz w:val="24"/>
        </w:rPr>
        <w:t>购</w:t>
      </w:r>
      <w:r>
        <w:rPr>
          <w:rFonts w:ascii="宋体" w:hAnsi="宋体" w:cs="宋体"/>
          <w:spacing w:val="-16"/>
          <w:sz w:val="24"/>
        </w:rPr>
        <w:t>人在收到评标报告5个工作日内未按评标报告推荐的中标候选人顺序确定中标人，</w:t>
      </w:r>
      <w:r>
        <w:rPr>
          <w:rFonts w:ascii="宋体" w:hAnsi="宋体" w:cs="宋体"/>
          <w:sz w:val="24"/>
        </w:rPr>
        <w:t xml:space="preserve"> </w:t>
      </w:r>
      <w:r>
        <w:rPr>
          <w:rFonts w:ascii="宋体" w:hAnsi="宋体" w:cs="宋体"/>
          <w:spacing w:val="-28"/>
          <w:sz w:val="24"/>
        </w:rPr>
        <w:t>又</w:t>
      </w:r>
      <w:r>
        <w:rPr>
          <w:rFonts w:ascii="宋体" w:hAnsi="宋体" w:cs="宋体"/>
          <w:spacing w:val="-15"/>
          <w:sz w:val="24"/>
        </w:rPr>
        <w:t>不能说明合法理由的，视同按评标报告推荐的顺序确定排名第一的中标候选人为中</w:t>
      </w:r>
      <w:r>
        <w:rPr>
          <w:rFonts w:ascii="宋体" w:hAnsi="宋体" w:cs="宋体"/>
          <w:sz w:val="24"/>
        </w:rPr>
        <w:t xml:space="preserve"> </w:t>
      </w:r>
      <w:r>
        <w:rPr>
          <w:rFonts w:ascii="宋体" w:hAnsi="宋体" w:cs="宋体"/>
          <w:spacing w:val="-18"/>
          <w:sz w:val="24"/>
        </w:rPr>
        <w:t>标</w:t>
      </w:r>
      <w:r>
        <w:rPr>
          <w:rFonts w:ascii="宋体" w:hAnsi="宋体" w:cs="宋体"/>
          <w:spacing w:val="-17"/>
          <w:sz w:val="24"/>
        </w:rPr>
        <w:t>人。</w:t>
      </w:r>
    </w:p>
    <w:p w14:paraId="1096D6F3">
      <w:pPr>
        <w:spacing w:before="1" w:line="223" w:lineRule="auto"/>
        <w:ind w:left="472"/>
        <w:rPr>
          <w:rFonts w:hint="eastAsia" w:ascii="宋体" w:hAnsi="宋体" w:cs="宋体"/>
          <w:sz w:val="24"/>
        </w:rPr>
      </w:pPr>
      <w:r>
        <w:rPr>
          <w:rFonts w:ascii="宋体" w:hAnsi="宋体" w:cs="宋体"/>
          <w:spacing w:val="-21"/>
          <w:sz w:val="24"/>
        </w:rPr>
        <w:t>注</w:t>
      </w:r>
      <w:r>
        <w:rPr>
          <w:rFonts w:ascii="宋体" w:hAnsi="宋体" w:cs="宋体"/>
          <w:spacing w:val="-20"/>
          <w:sz w:val="24"/>
        </w:rPr>
        <w:t>：</w:t>
      </w:r>
    </w:p>
    <w:p w14:paraId="4D8F95F1">
      <w:pPr>
        <w:spacing w:before="109" w:line="219" w:lineRule="auto"/>
        <w:ind w:left="471"/>
        <w:rPr>
          <w:rFonts w:hint="eastAsia" w:ascii="宋体" w:hAnsi="宋体" w:cs="宋体"/>
          <w:sz w:val="24"/>
        </w:rPr>
      </w:pPr>
      <w:r>
        <w:rPr>
          <w:rFonts w:ascii="宋体" w:hAnsi="宋体" w:cs="宋体"/>
          <w:spacing w:val="-19"/>
          <w:sz w:val="24"/>
        </w:rPr>
        <w:t>在</w:t>
      </w:r>
      <w:r>
        <w:rPr>
          <w:rFonts w:ascii="宋体" w:hAnsi="宋体" w:cs="宋体"/>
          <w:spacing w:val="-18"/>
          <w:sz w:val="24"/>
        </w:rPr>
        <w:t>招标采购中，出现下列情形之一的，应予废标：</w:t>
      </w:r>
    </w:p>
    <w:p w14:paraId="29C4C5C0">
      <w:pPr>
        <w:spacing w:before="116" w:line="219" w:lineRule="auto"/>
        <w:ind w:left="479"/>
        <w:rPr>
          <w:rFonts w:hint="eastAsia" w:ascii="宋体" w:hAnsi="宋体" w:cs="宋体"/>
          <w:sz w:val="24"/>
        </w:rPr>
      </w:pPr>
      <w:r>
        <w:rPr>
          <w:rFonts w:ascii="宋体" w:hAnsi="宋体" w:cs="宋体"/>
          <w:spacing w:val="-15"/>
          <w:sz w:val="24"/>
        </w:rPr>
        <w:t>(</w:t>
      </w:r>
      <w:r>
        <w:rPr>
          <w:rFonts w:ascii="宋体" w:hAnsi="宋体" w:cs="宋体"/>
          <w:spacing w:val="-10"/>
          <w:sz w:val="24"/>
        </w:rPr>
        <w:t>1)符合专业条件的供应商或者对招标文件作实质响应的供应商不足三家的；</w:t>
      </w:r>
    </w:p>
    <w:p w14:paraId="47ECEA9E">
      <w:pPr>
        <w:spacing w:before="114" w:line="219" w:lineRule="auto"/>
        <w:ind w:left="479"/>
        <w:rPr>
          <w:rFonts w:hint="eastAsia" w:ascii="宋体" w:hAnsi="宋体" w:cs="宋体"/>
          <w:sz w:val="24"/>
        </w:rPr>
      </w:pPr>
      <w:r>
        <w:rPr>
          <w:rFonts w:ascii="宋体" w:hAnsi="宋体" w:cs="宋体"/>
          <w:spacing w:val="-8"/>
          <w:sz w:val="24"/>
        </w:rPr>
        <w:t>(</w:t>
      </w:r>
      <w:r>
        <w:rPr>
          <w:rFonts w:ascii="宋体" w:hAnsi="宋体" w:cs="宋体"/>
          <w:spacing w:val="-7"/>
          <w:sz w:val="24"/>
        </w:rPr>
        <w:t>2)出现影响采购公正的违法、违规行为的；</w:t>
      </w:r>
    </w:p>
    <w:p w14:paraId="38F0EC32">
      <w:pPr>
        <w:spacing w:before="116" w:line="218" w:lineRule="auto"/>
        <w:ind w:left="479"/>
        <w:rPr>
          <w:rFonts w:hint="eastAsia" w:ascii="宋体" w:hAnsi="宋体" w:cs="宋体"/>
          <w:sz w:val="24"/>
        </w:rPr>
      </w:pPr>
      <w:r>
        <w:rPr>
          <w:rFonts w:ascii="宋体" w:hAnsi="宋体" w:cs="宋体"/>
          <w:spacing w:val="-9"/>
          <w:sz w:val="24"/>
        </w:rPr>
        <w:t>(3)投标人的报价均超过了采购预算，采购人不能支付的</w:t>
      </w:r>
      <w:r>
        <w:rPr>
          <w:rFonts w:ascii="宋体" w:hAnsi="宋体" w:cs="宋体"/>
          <w:spacing w:val="-5"/>
          <w:sz w:val="24"/>
        </w:rPr>
        <w:t>；</w:t>
      </w:r>
    </w:p>
    <w:p w14:paraId="2DBBD18F">
      <w:pPr>
        <w:sectPr>
          <w:footerReference r:id="rId13" w:type="default"/>
          <w:pgSz w:w="11907" w:h="16841"/>
          <w:pgMar w:top="1431" w:right="1725" w:bottom="1009" w:left="1785" w:header="0" w:footer="821" w:gutter="0"/>
          <w:cols w:space="720" w:num="1"/>
        </w:sectPr>
      </w:pPr>
    </w:p>
    <w:p w14:paraId="33E0254B">
      <w:pPr>
        <w:spacing w:before="121" w:line="219" w:lineRule="auto"/>
        <w:ind w:left="524"/>
        <w:rPr>
          <w:rFonts w:hint="eastAsia" w:ascii="宋体" w:hAnsi="宋体" w:cs="宋体"/>
          <w:sz w:val="24"/>
        </w:rPr>
      </w:pPr>
      <w:r>
        <w:rPr>
          <w:rFonts w:ascii="宋体" w:hAnsi="宋体" w:cs="宋体"/>
          <w:spacing w:val="-6"/>
          <w:sz w:val="24"/>
        </w:rPr>
        <w:t>(</w:t>
      </w:r>
      <w:r>
        <w:rPr>
          <w:rFonts w:ascii="宋体" w:hAnsi="宋体" w:cs="宋体"/>
          <w:spacing w:val="-3"/>
          <w:sz w:val="24"/>
        </w:rPr>
        <w:t>4)因重大变故，采购任务取消的。</w:t>
      </w:r>
    </w:p>
    <w:p w14:paraId="4223E313">
      <w:pPr>
        <w:spacing w:before="116" w:line="219" w:lineRule="auto"/>
        <w:ind w:left="517"/>
        <w:rPr>
          <w:rFonts w:hint="eastAsia" w:ascii="宋体" w:hAnsi="宋体" w:cs="宋体"/>
          <w:sz w:val="24"/>
        </w:rPr>
      </w:pPr>
      <w:r>
        <w:rPr>
          <w:rFonts w:ascii="宋体" w:hAnsi="宋体" w:cs="宋体"/>
          <w:spacing w:val="-22"/>
          <w:sz w:val="24"/>
        </w:rPr>
        <w:t>废</w:t>
      </w:r>
      <w:r>
        <w:rPr>
          <w:rFonts w:ascii="宋体" w:hAnsi="宋体" w:cs="宋体"/>
          <w:spacing w:val="-17"/>
          <w:sz w:val="24"/>
        </w:rPr>
        <w:t>标后，采购人应当将废标理由通知所有投标人。</w:t>
      </w:r>
    </w:p>
    <w:p w14:paraId="23CECD0C">
      <w:pPr>
        <w:spacing w:before="62" w:line="219" w:lineRule="auto"/>
        <w:ind w:left="80"/>
        <w:outlineLvl w:val="1"/>
        <w:rPr>
          <w:rFonts w:hint="eastAsia" w:ascii="黑体" w:hAnsi="黑体" w:eastAsia="黑体" w:cs="黑体"/>
          <w:sz w:val="30"/>
          <w:szCs w:val="30"/>
        </w:rPr>
      </w:pPr>
      <w:r>
        <w:rPr>
          <w:rFonts w:ascii="黑体" w:hAnsi="黑体" w:eastAsia="黑体" w:cs="黑体"/>
          <w:spacing w:val="-15"/>
          <w:sz w:val="30"/>
          <w:szCs w:val="30"/>
        </w:rPr>
        <w:t>三</w:t>
      </w:r>
      <w:r>
        <w:rPr>
          <w:rFonts w:ascii="黑体" w:hAnsi="黑体" w:eastAsia="黑体" w:cs="黑体"/>
          <w:spacing w:val="-14"/>
          <w:sz w:val="30"/>
          <w:szCs w:val="30"/>
        </w:rPr>
        <w:t>、评标标准</w:t>
      </w:r>
    </w:p>
    <w:p w14:paraId="4EBB0F87">
      <w:pPr>
        <w:spacing w:before="97" w:line="307" w:lineRule="auto"/>
        <w:ind w:left="76" w:firstLine="459"/>
        <w:rPr>
          <w:rFonts w:hint="eastAsia" w:ascii="宋体" w:hAnsi="宋体" w:cs="宋体"/>
          <w:sz w:val="24"/>
        </w:rPr>
      </w:pPr>
      <w:r>
        <w:rPr>
          <w:rFonts w:ascii="宋体" w:hAnsi="宋体" w:cs="宋体"/>
          <w:spacing w:val="-24"/>
          <w:sz w:val="24"/>
        </w:rPr>
        <w:t>1</w:t>
      </w:r>
      <w:r>
        <w:rPr>
          <w:rFonts w:ascii="宋体" w:hAnsi="宋体" w:cs="宋体"/>
          <w:spacing w:val="-16"/>
          <w:sz w:val="24"/>
        </w:rPr>
        <w:t>.本项目评分满分100分，由价格评分、技术及服务评分和商务评分三部分构成，</w:t>
      </w:r>
      <w:r>
        <w:rPr>
          <w:rFonts w:ascii="宋体" w:hAnsi="宋体" w:cs="宋体"/>
          <w:sz w:val="24"/>
        </w:rPr>
        <w:t xml:space="preserve"> </w:t>
      </w:r>
      <w:r>
        <w:rPr>
          <w:rFonts w:ascii="宋体" w:hAnsi="宋体" w:cs="宋体"/>
          <w:spacing w:val="-27"/>
          <w:sz w:val="24"/>
        </w:rPr>
        <w:t>具</w:t>
      </w:r>
      <w:r>
        <w:rPr>
          <w:rFonts w:ascii="宋体" w:hAnsi="宋体" w:cs="宋体"/>
          <w:spacing w:val="-17"/>
          <w:sz w:val="24"/>
        </w:rPr>
        <w:t>体评分细则附后，每项评分按四舍五入原则精确到小数点后两位。</w:t>
      </w:r>
    </w:p>
    <w:p w14:paraId="0B224C66">
      <w:pPr>
        <w:spacing w:line="218" w:lineRule="auto"/>
        <w:ind w:left="520"/>
        <w:rPr>
          <w:rFonts w:hint="eastAsia" w:ascii="宋体" w:hAnsi="宋体" w:cs="宋体"/>
          <w:sz w:val="24"/>
        </w:rPr>
      </w:pPr>
      <w:r>
        <w:rPr>
          <w:rFonts w:ascii="宋体" w:hAnsi="宋体" w:cs="宋体"/>
          <w:spacing w:val="-19"/>
          <w:sz w:val="24"/>
        </w:rPr>
        <w:t>2</w:t>
      </w:r>
      <w:r>
        <w:rPr>
          <w:rFonts w:ascii="宋体" w:hAnsi="宋体" w:cs="宋体"/>
          <w:spacing w:val="-17"/>
          <w:sz w:val="24"/>
        </w:rPr>
        <w:t>.价格评分按以下两个步骤进行：</w:t>
      </w:r>
    </w:p>
    <w:p w14:paraId="55FB8F66">
      <w:pPr>
        <w:spacing w:before="117" w:line="218" w:lineRule="auto"/>
        <w:ind w:left="520"/>
        <w:rPr>
          <w:rFonts w:hint="eastAsia" w:ascii="宋体" w:hAnsi="宋体" w:cs="宋体"/>
          <w:sz w:val="24"/>
        </w:rPr>
      </w:pPr>
      <w:r>
        <w:rPr>
          <w:rFonts w:ascii="宋体" w:hAnsi="宋体" w:cs="宋体"/>
          <w:spacing w:val="-18"/>
          <w:sz w:val="24"/>
        </w:rPr>
        <w:t>2</w:t>
      </w:r>
      <w:r>
        <w:rPr>
          <w:rFonts w:ascii="宋体" w:hAnsi="宋体" w:cs="宋体"/>
          <w:spacing w:val="-14"/>
          <w:sz w:val="24"/>
        </w:rPr>
        <w:t>.1 落实政府采购政策需进行的价格扣除</w:t>
      </w:r>
    </w:p>
    <w:p w14:paraId="11A688D4">
      <w:pPr>
        <w:spacing w:before="118" w:line="262" w:lineRule="auto"/>
        <w:ind w:left="76" w:right="59" w:firstLine="440"/>
        <w:rPr>
          <w:rFonts w:hint="eastAsia" w:ascii="宋体" w:hAnsi="宋体" w:cs="宋体"/>
          <w:sz w:val="24"/>
        </w:rPr>
      </w:pPr>
      <w:r>
        <w:rPr>
          <w:rFonts w:ascii="宋体" w:hAnsi="宋体" w:cs="宋体"/>
          <w:spacing w:val="-27"/>
          <w:sz w:val="24"/>
        </w:rPr>
        <w:t>对</w:t>
      </w:r>
      <w:r>
        <w:rPr>
          <w:rFonts w:ascii="宋体" w:hAnsi="宋体" w:cs="宋体"/>
          <w:spacing w:val="-15"/>
          <w:sz w:val="24"/>
        </w:rPr>
        <w:t>于非专门面向中小微企业采购的项目，依照《政府采购促进中小企业发展暂行</w:t>
      </w:r>
      <w:r>
        <w:rPr>
          <w:rFonts w:ascii="宋体" w:hAnsi="宋体" w:cs="宋体"/>
          <w:sz w:val="24"/>
        </w:rPr>
        <w:t xml:space="preserve"> </w:t>
      </w:r>
      <w:r>
        <w:rPr>
          <w:rFonts w:ascii="宋体" w:hAnsi="宋体" w:cs="宋体"/>
          <w:spacing w:val="-25"/>
          <w:sz w:val="24"/>
        </w:rPr>
        <w:t>办</w:t>
      </w:r>
      <w:r>
        <w:rPr>
          <w:rFonts w:ascii="宋体" w:hAnsi="宋体" w:cs="宋体"/>
          <w:spacing w:val="-17"/>
          <w:sz w:val="24"/>
        </w:rPr>
        <w:t>法》的规定，凡符合要求的有效投标人，按照以下比例给予相应的价格扣除：</w:t>
      </w:r>
    </w:p>
    <w:p w14:paraId="01C6BBDA">
      <w:pPr>
        <w:spacing w:line="46" w:lineRule="auto"/>
        <w:rPr>
          <w:rFonts w:ascii="Arial"/>
          <w:sz w:val="2"/>
        </w:rPr>
      </w:pPr>
    </w:p>
    <w:tbl>
      <w:tblPr>
        <w:tblStyle w:val="37"/>
        <w:tblW w:w="8412" w:type="dxa"/>
        <w:tblInd w:w="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04"/>
        <w:gridCol w:w="2925"/>
        <w:gridCol w:w="2456"/>
        <w:gridCol w:w="2327"/>
      </w:tblGrid>
      <w:tr w14:paraId="55DF37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3" w:hRule="atLeast"/>
        </w:trPr>
        <w:tc>
          <w:tcPr>
            <w:tcW w:w="704" w:type="dxa"/>
            <w:tcBorders>
              <w:left w:val="single" w:color="000000" w:sz="6" w:space="0"/>
            </w:tcBorders>
          </w:tcPr>
          <w:p w14:paraId="3CCB4BAF">
            <w:pPr>
              <w:spacing w:before="204" w:line="220" w:lineRule="auto"/>
              <w:ind w:left="128"/>
              <w:rPr>
                <w:rFonts w:hint="eastAsia" w:ascii="黑体" w:hAnsi="黑体" w:eastAsia="黑体" w:cs="黑体"/>
                <w:sz w:val="24"/>
              </w:rPr>
            </w:pPr>
            <w:r>
              <w:rPr>
                <w:rFonts w:ascii="黑体" w:hAnsi="黑体" w:eastAsia="黑体" w:cs="黑体"/>
                <w:spacing w:val="-8"/>
                <w:sz w:val="24"/>
              </w:rPr>
              <w:t>序</w:t>
            </w:r>
            <w:r>
              <w:rPr>
                <w:rFonts w:ascii="黑体" w:hAnsi="黑体" w:eastAsia="黑体" w:cs="黑体"/>
                <w:spacing w:val="-6"/>
                <w:sz w:val="24"/>
              </w:rPr>
              <w:t>号</w:t>
            </w:r>
          </w:p>
        </w:tc>
        <w:tc>
          <w:tcPr>
            <w:tcW w:w="2925" w:type="dxa"/>
          </w:tcPr>
          <w:p w14:paraId="2D94D0F2">
            <w:pPr>
              <w:spacing w:before="204" w:line="220" w:lineRule="auto"/>
              <w:ind w:left="1241"/>
              <w:rPr>
                <w:rFonts w:hint="eastAsia" w:ascii="黑体" w:hAnsi="黑体" w:eastAsia="黑体" w:cs="黑体"/>
                <w:sz w:val="24"/>
              </w:rPr>
            </w:pPr>
            <w:r>
              <w:rPr>
                <w:rFonts w:ascii="黑体" w:hAnsi="黑体" w:eastAsia="黑体" w:cs="黑体"/>
                <w:spacing w:val="-8"/>
                <w:sz w:val="24"/>
              </w:rPr>
              <w:t>情</w:t>
            </w:r>
            <w:r>
              <w:rPr>
                <w:rFonts w:ascii="黑体" w:hAnsi="黑体" w:eastAsia="黑体" w:cs="黑体"/>
                <w:spacing w:val="-6"/>
                <w:sz w:val="24"/>
              </w:rPr>
              <w:t>形</w:t>
            </w:r>
          </w:p>
        </w:tc>
        <w:tc>
          <w:tcPr>
            <w:tcW w:w="2456" w:type="dxa"/>
          </w:tcPr>
          <w:p w14:paraId="18A27796">
            <w:pPr>
              <w:spacing w:before="204" w:line="219" w:lineRule="auto"/>
              <w:ind w:left="565"/>
              <w:rPr>
                <w:rFonts w:hint="eastAsia" w:ascii="黑体" w:hAnsi="黑体" w:eastAsia="黑体" w:cs="黑体"/>
                <w:sz w:val="24"/>
              </w:rPr>
            </w:pPr>
            <w:r>
              <w:rPr>
                <w:rFonts w:ascii="黑体" w:hAnsi="黑体" w:eastAsia="黑体" w:cs="黑体"/>
                <w:spacing w:val="-16"/>
                <w:sz w:val="24"/>
              </w:rPr>
              <w:t>价</w:t>
            </w:r>
            <w:r>
              <w:rPr>
                <w:rFonts w:ascii="黑体" w:hAnsi="黑体" w:eastAsia="黑体" w:cs="黑体"/>
                <w:spacing w:val="-12"/>
                <w:sz w:val="24"/>
              </w:rPr>
              <w:t>格扣除比例</w:t>
            </w:r>
          </w:p>
        </w:tc>
        <w:tc>
          <w:tcPr>
            <w:tcW w:w="2327" w:type="dxa"/>
            <w:tcBorders>
              <w:right w:val="single" w:color="000000" w:sz="6" w:space="0"/>
            </w:tcBorders>
          </w:tcPr>
          <w:p w14:paraId="758940B1">
            <w:pPr>
              <w:spacing w:before="204" w:line="219" w:lineRule="auto"/>
              <w:ind w:left="725"/>
              <w:rPr>
                <w:rFonts w:hint="eastAsia" w:ascii="黑体" w:hAnsi="黑体" w:eastAsia="黑体" w:cs="黑体"/>
                <w:sz w:val="24"/>
              </w:rPr>
            </w:pPr>
            <w:r>
              <w:rPr>
                <w:rFonts w:ascii="黑体" w:hAnsi="黑体" w:eastAsia="黑体" w:cs="黑体"/>
                <w:spacing w:val="-13"/>
                <w:sz w:val="24"/>
              </w:rPr>
              <w:t>计</w:t>
            </w:r>
            <w:r>
              <w:rPr>
                <w:rFonts w:ascii="黑体" w:hAnsi="黑体" w:eastAsia="黑体" w:cs="黑体"/>
                <w:spacing w:val="-11"/>
                <w:sz w:val="24"/>
              </w:rPr>
              <w:t>算公式</w:t>
            </w:r>
          </w:p>
        </w:tc>
      </w:tr>
      <w:tr w14:paraId="0BBC936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9" w:hRule="atLeast"/>
        </w:trPr>
        <w:tc>
          <w:tcPr>
            <w:tcW w:w="704" w:type="dxa"/>
            <w:tcBorders>
              <w:left w:val="single" w:color="000000" w:sz="6" w:space="0"/>
            </w:tcBorders>
          </w:tcPr>
          <w:p w14:paraId="4EB9E56B">
            <w:pPr>
              <w:spacing w:line="305" w:lineRule="auto"/>
              <w:rPr>
                <w:rFonts w:ascii="Arial"/>
              </w:rPr>
            </w:pPr>
          </w:p>
          <w:p w14:paraId="5023150E">
            <w:pPr>
              <w:spacing w:before="78" w:line="185" w:lineRule="auto"/>
              <w:ind w:left="314"/>
              <w:rPr>
                <w:rFonts w:hint="eastAsia" w:ascii="宋体" w:hAnsi="宋体" w:cs="宋体"/>
                <w:sz w:val="24"/>
              </w:rPr>
            </w:pPr>
            <w:r>
              <w:rPr>
                <w:rFonts w:ascii="宋体" w:hAnsi="宋体" w:cs="宋体"/>
                <w:sz w:val="24"/>
              </w:rPr>
              <w:t>1</w:t>
            </w:r>
          </w:p>
        </w:tc>
        <w:tc>
          <w:tcPr>
            <w:tcW w:w="2925" w:type="dxa"/>
          </w:tcPr>
          <w:p w14:paraId="79701F64">
            <w:pPr>
              <w:spacing w:before="33" w:line="219" w:lineRule="auto"/>
              <w:ind w:left="688"/>
              <w:rPr>
                <w:rFonts w:hint="eastAsia" w:ascii="宋体" w:hAnsi="宋体" w:cs="宋体"/>
                <w:sz w:val="24"/>
              </w:rPr>
            </w:pPr>
            <w:r>
              <w:rPr>
                <w:rFonts w:ascii="宋体" w:hAnsi="宋体" w:cs="宋体"/>
                <w:spacing w:val="-14"/>
                <w:sz w:val="24"/>
              </w:rPr>
              <w:t>非联合体供应商</w:t>
            </w:r>
          </w:p>
          <w:p w14:paraId="419FE76C">
            <w:pPr>
              <w:spacing w:before="27" w:line="228" w:lineRule="auto"/>
              <w:ind w:left="1240" w:right="107" w:hanging="1106"/>
              <w:rPr>
                <w:rFonts w:hint="eastAsia" w:ascii="宋体" w:hAnsi="宋体" w:cs="宋体"/>
                <w:sz w:val="24"/>
              </w:rPr>
            </w:pPr>
            <w:r>
              <w:rPr>
                <w:rFonts w:ascii="宋体" w:hAnsi="宋体" w:cs="宋体"/>
                <w:spacing w:val="-23"/>
                <w:sz w:val="24"/>
              </w:rPr>
              <w:t>(</w:t>
            </w:r>
            <w:r>
              <w:rPr>
                <w:rFonts w:ascii="宋体" w:hAnsi="宋体" w:cs="宋体"/>
                <w:spacing w:val="-15"/>
                <w:sz w:val="24"/>
              </w:rPr>
              <w:t>供应商须为小型、 微型企</w:t>
            </w:r>
            <w:r>
              <w:rPr>
                <w:rFonts w:ascii="宋体" w:hAnsi="宋体" w:cs="宋体"/>
                <w:sz w:val="24"/>
              </w:rPr>
              <w:t xml:space="preserve"> </w:t>
            </w:r>
            <w:r>
              <w:rPr>
                <w:rFonts w:ascii="宋体" w:hAnsi="宋体" w:cs="宋体"/>
                <w:spacing w:val="-15"/>
                <w:sz w:val="24"/>
              </w:rPr>
              <w:t>业</w:t>
            </w:r>
            <w:r>
              <w:rPr>
                <w:rFonts w:ascii="宋体" w:hAnsi="宋体" w:cs="宋体"/>
                <w:spacing w:val="-13"/>
                <w:sz w:val="24"/>
              </w:rPr>
              <w:t>)</w:t>
            </w:r>
          </w:p>
        </w:tc>
        <w:tc>
          <w:tcPr>
            <w:tcW w:w="2456" w:type="dxa"/>
          </w:tcPr>
          <w:p w14:paraId="195456E9">
            <w:pPr>
              <w:spacing w:before="190" w:line="254" w:lineRule="auto"/>
              <w:ind w:left="559" w:right="89" w:hanging="438"/>
              <w:rPr>
                <w:rFonts w:hint="eastAsia" w:ascii="宋体" w:hAnsi="宋体" w:cs="宋体"/>
                <w:sz w:val="24"/>
              </w:rPr>
            </w:pPr>
            <w:r>
              <w:rPr>
                <w:rFonts w:ascii="宋体" w:hAnsi="宋体" w:cs="宋体"/>
                <w:spacing w:val="-16"/>
                <w:sz w:val="24"/>
              </w:rPr>
              <w:t>对小型和微型企业产品</w:t>
            </w:r>
            <w:r>
              <w:rPr>
                <w:rFonts w:ascii="宋体" w:hAnsi="宋体" w:cs="宋体"/>
                <w:sz w:val="24"/>
              </w:rPr>
              <w:t xml:space="preserve"> </w:t>
            </w:r>
            <w:r>
              <w:rPr>
                <w:rFonts w:ascii="宋体" w:hAnsi="宋体" w:cs="宋体"/>
                <w:spacing w:val="-24"/>
                <w:sz w:val="24"/>
              </w:rPr>
              <w:t>的</w:t>
            </w:r>
            <w:r>
              <w:rPr>
                <w:rFonts w:ascii="宋体" w:hAnsi="宋体" w:cs="宋体"/>
                <w:spacing w:val="-22"/>
                <w:sz w:val="24"/>
              </w:rPr>
              <w:t xml:space="preserve">价格扣除 </w:t>
            </w:r>
            <w:r>
              <w:rPr>
                <w:rFonts w:hint="eastAsia" w:ascii="宋体" w:hAnsi="宋体" w:cs="宋体"/>
                <w:spacing w:val="-22"/>
                <w:sz w:val="24"/>
                <w:u w:val="single"/>
              </w:rPr>
              <w:t>20</w:t>
            </w:r>
            <w:r>
              <w:rPr>
                <w:rFonts w:ascii="宋体" w:hAnsi="宋体" w:cs="宋体"/>
                <w:spacing w:val="-22"/>
                <w:sz w:val="24"/>
              </w:rPr>
              <w:t>%</w:t>
            </w:r>
          </w:p>
        </w:tc>
        <w:tc>
          <w:tcPr>
            <w:tcW w:w="2327" w:type="dxa"/>
            <w:vMerge w:val="restart"/>
            <w:tcBorders>
              <w:bottom w:val="nil"/>
              <w:right w:val="single" w:color="000000" w:sz="6" w:space="0"/>
            </w:tcBorders>
          </w:tcPr>
          <w:p w14:paraId="0A4888F7">
            <w:pPr>
              <w:spacing w:line="247" w:lineRule="auto"/>
              <w:rPr>
                <w:rFonts w:ascii="Arial"/>
              </w:rPr>
            </w:pPr>
          </w:p>
          <w:p w14:paraId="25598D11">
            <w:pPr>
              <w:spacing w:line="248" w:lineRule="auto"/>
              <w:rPr>
                <w:rFonts w:ascii="Arial"/>
              </w:rPr>
            </w:pPr>
          </w:p>
          <w:p w14:paraId="6D3EBD9C">
            <w:pPr>
              <w:spacing w:before="78" w:line="218" w:lineRule="auto"/>
              <w:ind w:left="166"/>
              <w:rPr>
                <w:rFonts w:hint="eastAsia" w:ascii="宋体" w:hAnsi="宋体" w:cs="宋体"/>
                <w:sz w:val="24"/>
              </w:rPr>
            </w:pPr>
            <w:r>
              <w:rPr>
                <w:rFonts w:ascii="宋体" w:hAnsi="宋体" w:cs="宋体"/>
                <w:spacing w:val="-15"/>
                <w:sz w:val="24"/>
              </w:rPr>
              <w:t>评</w:t>
            </w:r>
            <w:r>
              <w:rPr>
                <w:rFonts w:ascii="宋体" w:hAnsi="宋体" w:cs="宋体"/>
                <w:spacing w:val="-14"/>
                <w:sz w:val="24"/>
              </w:rPr>
              <w:t>标价＝总投标报价</w:t>
            </w:r>
          </w:p>
          <w:p w14:paraId="2C910DBB">
            <w:pPr>
              <w:spacing w:before="27" w:line="220" w:lineRule="auto"/>
              <w:ind w:left="165"/>
              <w:rPr>
                <w:rFonts w:hint="eastAsia" w:ascii="宋体" w:hAnsi="宋体" w:cs="宋体"/>
                <w:sz w:val="24"/>
              </w:rPr>
            </w:pPr>
            <w:r>
              <w:rPr>
                <w:rFonts w:ascii="宋体" w:hAnsi="宋体" w:cs="宋体"/>
                <w:spacing w:val="-14"/>
                <w:sz w:val="24"/>
              </w:rPr>
              <w:t>—小型和微型企业产</w:t>
            </w:r>
          </w:p>
          <w:p w14:paraId="0EAF7A30">
            <w:pPr>
              <w:spacing w:before="26" w:line="218" w:lineRule="auto"/>
              <w:ind w:left="518"/>
              <w:rPr>
                <w:rFonts w:hint="eastAsia" w:ascii="宋体" w:hAnsi="宋体" w:cs="宋体"/>
                <w:sz w:val="24"/>
              </w:rPr>
            </w:pPr>
            <w:r>
              <w:rPr>
                <w:rFonts w:ascii="宋体" w:hAnsi="宋体" w:cs="宋体"/>
                <w:spacing w:val="-15"/>
                <w:sz w:val="24"/>
              </w:rPr>
              <w:t>品的价格×</w:t>
            </w:r>
            <w:r>
              <w:rPr>
                <w:rFonts w:hint="eastAsia" w:ascii="宋体" w:hAnsi="宋体" w:cs="宋体"/>
                <w:spacing w:val="-15"/>
                <w:sz w:val="24"/>
                <w:u w:val="single"/>
              </w:rPr>
              <w:t>20</w:t>
            </w:r>
            <w:r>
              <w:rPr>
                <w:rFonts w:ascii="宋体" w:hAnsi="宋体" w:cs="宋体"/>
                <w:spacing w:val="-15"/>
                <w:sz w:val="24"/>
                <w:u w:val="single"/>
              </w:rPr>
              <w:t>%</w:t>
            </w:r>
          </w:p>
        </w:tc>
      </w:tr>
      <w:tr w14:paraId="06583B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90" w:hRule="atLeast"/>
        </w:trPr>
        <w:tc>
          <w:tcPr>
            <w:tcW w:w="704" w:type="dxa"/>
            <w:tcBorders>
              <w:left w:val="single" w:color="000000" w:sz="6" w:space="0"/>
            </w:tcBorders>
          </w:tcPr>
          <w:p w14:paraId="5AB7D0C1">
            <w:pPr>
              <w:spacing w:line="266" w:lineRule="auto"/>
              <w:rPr>
                <w:rFonts w:ascii="Arial"/>
              </w:rPr>
            </w:pPr>
          </w:p>
          <w:p w14:paraId="177B9563">
            <w:pPr>
              <w:spacing w:line="266" w:lineRule="auto"/>
              <w:rPr>
                <w:rFonts w:ascii="Arial"/>
              </w:rPr>
            </w:pPr>
          </w:p>
          <w:p w14:paraId="078F688E">
            <w:pPr>
              <w:spacing w:before="78" w:line="184" w:lineRule="auto"/>
              <w:ind w:left="299"/>
              <w:rPr>
                <w:rFonts w:hint="eastAsia" w:ascii="宋体" w:hAnsi="宋体" w:cs="宋体"/>
                <w:sz w:val="24"/>
              </w:rPr>
            </w:pPr>
            <w:r>
              <w:rPr>
                <w:rFonts w:ascii="宋体" w:hAnsi="宋体" w:cs="宋体"/>
                <w:sz w:val="24"/>
              </w:rPr>
              <w:t>2</w:t>
            </w:r>
          </w:p>
        </w:tc>
        <w:tc>
          <w:tcPr>
            <w:tcW w:w="2925" w:type="dxa"/>
          </w:tcPr>
          <w:p w14:paraId="4C9ED812">
            <w:pPr>
              <w:spacing w:line="336" w:lineRule="auto"/>
              <w:rPr>
                <w:rFonts w:ascii="Arial"/>
              </w:rPr>
            </w:pPr>
          </w:p>
          <w:p w14:paraId="01B836FE">
            <w:pPr>
              <w:spacing w:before="78" w:line="260" w:lineRule="auto"/>
              <w:ind w:left="1245" w:right="108" w:hanging="1116"/>
              <w:rPr>
                <w:rFonts w:hint="eastAsia" w:ascii="宋体" w:hAnsi="宋体" w:cs="宋体"/>
                <w:sz w:val="24"/>
              </w:rPr>
            </w:pPr>
            <w:r>
              <w:rPr>
                <w:rFonts w:ascii="宋体" w:hAnsi="宋体" w:cs="宋体"/>
                <w:spacing w:val="-22"/>
                <w:sz w:val="24"/>
              </w:rPr>
              <w:t>联</w:t>
            </w:r>
            <w:r>
              <w:rPr>
                <w:rFonts w:ascii="宋体" w:hAnsi="宋体" w:cs="宋体"/>
                <w:spacing w:val="-16"/>
                <w:sz w:val="24"/>
              </w:rPr>
              <w:t>合体各方均为小型、微型</w:t>
            </w:r>
            <w:r>
              <w:rPr>
                <w:rFonts w:ascii="宋体" w:hAnsi="宋体" w:cs="宋体"/>
                <w:sz w:val="24"/>
              </w:rPr>
              <w:t xml:space="preserve"> </w:t>
            </w:r>
            <w:r>
              <w:rPr>
                <w:rFonts w:ascii="宋体" w:hAnsi="宋体" w:cs="宋体"/>
                <w:spacing w:val="-9"/>
                <w:sz w:val="24"/>
              </w:rPr>
              <w:t>企</w:t>
            </w:r>
            <w:r>
              <w:rPr>
                <w:rFonts w:ascii="宋体" w:hAnsi="宋体" w:cs="宋体"/>
                <w:spacing w:val="-7"/>
                <w:sz w:val="24"/>
              </w:rPr>
              <w:t>业</w:t>
            </w:r>
          </w:p>
        </w:tc>
        <w:tc>
          <w:tcPr>
            <w:tcW w:w="2456" w:type="dxa"/>
          </w:tcPr>
          <w:p w14:paraId="5622C2AE">
            <w:pPr>
              <w:spacing w:before="105"/>
              <w:ind w:left="559" w:right="89" w:hanging="438"/>
              <w:rPr>
                <w:rFonts w:hint="eastAsia" w:ascii="宋体" w:hAnsi="宋体" w:cs="宋体"/>
                <w:sz w:val="24"/>
              </w:rPr>
            </w:pPr>
            <w:r>
              <w:rPr>
                <w:rFonts w:ascii="宋体" w:hAnsi="宋体" w:cs="宋体"/>
                <w:spacing w:val="-16"/>
                <w:sz w:val="24"/>
              </w:rPr>
              <w:t>对小型和微型企业产品</w:t>
            </w:r>
            <w:r>
              <w:rPr>
                <w:rFonts w:ascii="宋体" w:hAnsi="宋体" w:cs="宋体"/>
                <w:sz w:val="24"/>
              </w:rPr>
              <w:t xml:space="preserve"> </w:t>
            </w:r>
            <w:r>
              <w:rPr>
                <w:rFonts w:ascii="宋体" w:hAnsi="宋体" w:cs="宋体"/>
                <w:spacing w:val="-24"/>
                <w:sz w:val="24"/>
              </w:rPr>
              <w:t>的</w:t>
            </w:r>
            <w:r>
              <w:rPr>
                <w:rFonts w:ascii="宋体" w:hAnsi="宋体" w:cs="宋体"/>
                <w:spacing w:val="-22"/>
                <w:sz w:val="24"/>
              </w:rPr>
              <w:t xml:space="preserve">价格扣除 </w:t>
            </w:r>
            <w:r>
              <w:rPr>
                <w:rFonts w:hint="eastAsia" w:ascii="宋体" w:hAnsi="宋体" w:cs="宋体"/>
                <w:spacing w:val="-22"/>
                <w:sz w:val="24"/>
                <w:u w:val="single"/>
              </w:rPr>
              <w:t>20</w:t>
            </w:r>
            <w:r>
              <w:rPr>
                <w:rFonts w:ascii="宋体" w:hAnsi="宋体" w:cs="宋体"/>
                <w:spacing w:val="-22"/>
                <w:sz w:val="24"/>
              </w:rPr>
              <w:t>%</w:t>
            </w:r>
          </w:p>
          <w:p w14:paraId="5FFFE4C0">
            <w:pPr>
              <w:spacing w:line="254" w:lineRule="auto"/>
              <w:ind w:left="788" w:right="89" w:hanging="660"/>
              <w:rPr>
                <w:rFonts w:hint="eastAsia" w:ascii="宋体" w:hAnsi="宋体" w:cs="宋体"/>
                <w:sz w:val="24"/>
              </w:rPr>
            </w:pPr>
            <w:r>
              <w:rPr>
                <w:rFonts w:ascii="宋体" w:hAnsi="宋体" w:cs="宋体"/>
                <w:spacing w:val="-14"/>
                <w:sz w:val="24"/>
              </w:rPr>
              <w:t>(不再享受序号 3 的</w:t>
            </w:r>
            <w:r>
              <w:rPr>
                <w:rFonts w:ascii="宋体" w:hAnsi="宋体" w:cs="宋体"/>
                <w:spacing w:val="-13"/>
                <w:sz w:val="24"/>
              </w:rPr>
              <w:t>价</w:t>
            </w:r>
            <w:r>
              <w:rPr>
                <w:rFonts w:ascii="宋体" w:hAnsi="宋体" w:cs="宋体"/>
                <w:sz w:val="24"/>
              </w:rPr>
              <w:t xml:space="preserve"> </w:t>
            </w:r>
            <w:r>
              <w:rPr>
                <w:rFonts w:ascii="宋体" w:hAnsi="宋体" w:cs="宋体"/>
                <w:spacing w:val="-17"/>
                <w:sz w:val="24"/>
              </w:rPr>
              <w:t>格</w:t>
            </w:r>
            <w:r>
              <w:rPr>
                <w:rFonts w:ascii="宋体" w:hAnsi="宋体" w:cs="宋体"/>
                <w:spacing w:val="-16"/>
                <w:sz w:val="24"/>
              </w:rPr>
              <w:t>折扣)</w:t>
            </w:r>
          </w:p>
        </w:tc>
        <w:tc>
          <w:tcPr>
            <w:tcW w:w="2327" w:type="dxa"/>
            <w:vMerge w:val="continue"/>
            <w:tcBorders>
              <w:top w:val="nil"/>
              <w:right w:val="single" w:color="000000" w:sz="6" w:space="0"/>
            </w:tcBorders>
          </w:tcPr>
          <w:p w14:paraId="6A7B303A">
            <w:pPr>
              <w:rPr>
                <w:rFonts w:ascii="Arial"/>
              </w:rPr>
            </w:pPr>
          </w:p>
        </w:tc>
      </w:tr>
      <w:tr w14:paraId="44E3557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03" w:hRule="atLeast"/>
        </w:trPr>
        <w:tc>
          <w:tcPr>
            <w:tcW w:w="704" w:type="dxa"/>
            <w:tcBorders>
              <w:left w:val="single" w:color="000000" w:sz="6" w:space="0"/>
            </w:tcBorders>
          </w:tcPr>
          <w:p w14:paraId="537E124B">
            <w:pPr>
              <w:spacing w:line="265" w:lineRule="auto"/>
              <w:rPr>
                <w:rFonts w:ascii="Arial"/>
              </w:rPr>
            </w:pPr>
          </w:p>
          <w:p w14:paraId="2B65D2D8">
            <w:pPr>
              <w:spacing w:line="266" w:lineRule="auto"/>
              <w:rPr>
                <w:rFonts w:ascii="Arial"/>
              </w:rPr>
            </w:pPr>
          </w:p>
          <w:p w14:paraId="50709595">
            <w:pPr>
              <w:spacing w:before="78" w:line="183" w:lineRule="auto"/>
              <w:ind w:left="301"/>
              <w:rPr>
                <w:rFonts w:hint="eastAsia" w:ascii="宋体" w:hAnsi="宋体" w:cs="宋体"/>
                <w:sz w:val="24"/>
              </w:rPr>
            </w:pPr>
            <w:r>
              <w:rPr>
                <w:rFonts w:ascii="宋体" w:hAnsi="宋体" w:cs="宋体"/>
                <w:sz w:val="24"/>
              </w:rPr>
              <w:t>3</w:t>
            </w:r>
          </w:p>
        </w:tc>
        <w:tc>
          <w:tcPr>
            <w:tcW w:w="2925" w:type="dxa"/>
          </w:tcPr>
          <w:p w14:paraId="023DCDBA">
            <w:pPr>
              <w:spacing w:before="104" w:line="220" w:lineRule="auto"/>
              <w:ind w:left="129"/>
              <w:rPr>
                <w:rFonts w:hint="eastAsia" w:ascii="宋体" w:hAnsi="宋体" w:cs="宋体"/>
                <w:sz w:val="24"/>
              </w:rPr>
            </w:pPr>
            <w:r>
              <w:rPr>
                <w:rFonts w:ascii="宋体" w:hAnsi="宋体" w:cs="宋体"/>
                <w:spacing w:val="-15"/>
                <w:sz w:val="24"/>
              </w:rPr>
              <w:t>联合体一方为小型、微型</w:t>
            </w:r>
            <w:r>
              <w:rPr>
                <w:rFonts w:ascii="宋体" w:hAnsi="宋体" w:cs="宋体"/>
                <w:spacing w:val="-14"/>
                <w:sz w:val="24"/>
              </w:rPr>
              <w:t>企</w:t>
            </w:r>
          </w:p>
          <w:p w14:paraId="18B71FF2">
            <w:pPr>
              <w:spacing w:before="25" w:line="220" w:lineRule="auto"/>
              <w:ind w:left="127"/>
              <w:rPr>
                <w:rFonts w:hint="eastAsia" w:ascii="宋体" w:hAnsi="宋体" w:cs="宋体"/>
                <w:sz w:val="24"/>
              </w:rPr>
            </w:pPr>
            <w:r>
              <w:rPr>
                <w:rFonts w:ascii="宋体" w:hAnsi="宋体" w:cs="宋体"/>
                <w:spacing w:val="-23"/>
                <w:sz w:val="24"/>
              </w:rPr>
              <w:t>业</w:t>
            </w:r>
            <w:r>
              <w:rPr>
                <w:rFonts w:ascii="宋体" w:hAnsi="宋体" w:cs="宋体"/>
                <w:spacing w:val="-14"/>
                <w:sz w:val="24"/>
              </w:rPr>
              <w:t>且小型、微型企业协议合</w:t>
            </w:r>
          </w:p>
          <w:p w14:paraId="5115408B">
            <w:pPr>
              <w:spacing w:before="26" w:line="220" w:lineRule="auto"/>
              <w:ind w:left="151"/>
              <w:rPr>
                <w:rFonts w:hint="eastAsia" w:ascii="宋体" w:hAnsi="宋体" w:cs="宋体"/>
                <w:sz w:val="24"/>
              </w:rPr>
            </w:pPr>
            <w:r>
              <w:rPr>
                <w:rFonts w:ascii="宋体" w:hAnsi="宋体" w:cs="宋体"/>
                <w:spacing w:val="-25"/>
                <w:sz w:val="24"/>
              </w:rPr>
              <w:t>同</w:t>
            </w:r>
            <w:r>
              <w:rPr>
                <w:rFonts w:ascii="宋体" w:hAnsi="宋体" w:cs="宋体"/>
                <w:spacing w:val="-16"/>
                <w:sz w:val="24"/>
              </w:rPr>
              <w:t>金额占联合体协议合同总</w:t>
            </w:r>
          </w:p>
          <w:p w14:paraId="2B78887A">
            <w:pPr>
              <w:spacing w:before="26" w:line="220" w:lineRule="auto"/>
              <w:ind w:left="715"/>
              <w:rPr>
                <w:rFonts w:hint="eastAsia" w:ascii="宋体" w:hAnsi="宋体" w:cs="宋体"/>
                <w:sz w:val="24"/>
              </w:rPr>
            </w:pPr>
            <w:r>
              <w:rPr>
                <w:rFonts w:ascii="宋体" w:hAnsi="宋体" w:cs="宋体"/>
                <w:spacing w:val="-17"/>
                <w:sz w:val="24"/>
              </w:rPr>
              <w:t>金额 30%以上的</w:t>
            </w:r>
          </w:p>
        </w:tc>
        <w:tc>
          <w:tcPr>
            <w:tcW w:w="2456" w:type="dxa"/>
          </w:tcPr>
          <w:p w14:paraId="0A2BD995">
            <w:pPr>
              <w:spacing w:line="336" w:lineRule="auto"/>
              <w:rPr>
                <w:rFonts w:ascii="Arial"/>
              </w:rPr>
            </w:pPr>
          </w:p>
          <w:p w14:paraId="78336446">
            <w:pPr>
              <w:tabs>
                <w:tab w:val="left" w:pos="1071"/>
              </w:tabs>
              <w:spacing w:before="78" w:line="265" w:lineRule="auto"/>
              <w:ind w:left="947" w:right="202" w:hanging="716"/>
              <w:rPr>
                <w:rFonts w:hint="eastAsia" w:ascii="宋体" w:hAnsi="宋体" w:cs="宋体"/>
                <w:sz w:val="24"/>
              </w:rPr>
            </w:pPr>
            <w:r>
              <w:rPr>
                <w:rFonts w:ascii="宋体" w:hAnsi="宋体" w:cs="宋体"/>
                <w:spacing w:val="-16"/>
                <w:sz w:val="24"/>
              </w:rPr>
              <w:t>对联合体总金额扣</w:t>
            </w:r>
            <w:r>
              <w:rPr>
                <w:rFonts w:ascii="宋体" w:hAnsi="宋体" w:cs="宋体"/>
                <w:spacing w:val="-15"/>
                <w:sz w:val="24"/>
              </w:rPr>
              <w:t>除</w:t>
            </w:r>
            <w:r>
              <w:rPr>
                <w:rFonts w:ascii="宋体" w:hAnsi="宋体" w:cs="宋体"/>
                <w:sz w:val="24"/>
              </w:rPr>
              <w:t xml:space="preserve"> </w:t>
            </w:r>
            <w:r>
              <w:rPr>
                <w:rFonts w:ascii="宋体" w:hAnsi="宋体" w:cs="宋体"/>
                <w:sz w:val="24"/>
                <w:u w:val="single"/>
              </w:rPr>
              <w:tab/>
            </w:r>
            <w:r>
              <w:rPr>
                <w:rFonts w:hint="eastAsia" w:ascii="宋体" w:hAnsi="宋体" w:cs="宋体"/>
                <w:spacing w:val="29"/>
                <w:sz w:val="24"/>
                <w:u w:val="single"/>
              </w:rPr>
              <w:t>6</w:t>
            </w:r>
            <w:r>
              <w:rPr>
                <w:rFonts w:ascii="宋体" w:hAnsi="宋体" w:cs="宋体"/>
                <w:spacing w:val="28"/>
                <w:sz w:val="24"/>
                <w:u w:val="single"/>
              </w:rPr>
              <w:t xml:space="preserve"> </w:t>
            </w:r>
            <w:r>
              <w:rPr>
                <w:rFonts w:ascii="宋体" w:hAnsi="宋体" w:cs="宋体"/>
                <w:spacing w:val="28"/>
                <w:sz w:val="24"/>
              </w:rPr>
              <w:t>%</w:t>
            </w:r>
          </w:p>
        </w:tc>
        <w:tc>
          <w:tcPr>
            <w:tcW w:w="2327" w:type="dxa"/>
            <w:tcBorders>
              <w:right w:val="single" w:color="000000" w:sz="6" w:space="0"/>
            </w:tcBorders>
          </w:tcPr>
          <w:p w14:paraId="3C899180">
            <w:pPr>
              <w:spacing w:line="337" w:lineRule="auto"/>
              <w:rPr>
                <w:rFonts w:ascii="Arial"/>
              </w:rPr>
            </w:pPr>
          </w:p>
          <w:p w14:paraId="15D3BF07">
            <w:pPr>
              <w:spacing w:before="78" w:line="256" w:lineRule="auto"/>
              <w:ind w:left="642" w:right="133" w:hanging="476"/>
              <w:rPr>
                <w:rFonts w:hint="eastAsia" w:ascii="宋体" w:hAnsi="宋体" w:cs="宋体"/>
                <w:sz w:val="24"/>
              </w:rPr>
            </w:pPr>
            <w:r>
              <w:rPr>
                <w:rFonts w:ascii="宋体" w:hAnsi="宋体" w:cs="宋体"/>
                <w:spacing w:val="-16"/>
                <w:sz w:val="24"/>
              </w:rPr>
              <w:t>评标价＝总投标报</w:t>
            </w:r>
            <w:r>
              <w:rPr>
                <w:rFonts w:ascii="宋体" w:hAnsi="宋体" w:cs="宋体"/>
                <w:spacing w:val="-15"/>
                <w:sz w:val="24"/>
              </w:rPr>
              <w:t>价</w:t>
            </w:r>
            <w:r>
              <w:rPr>
                <w:rFonts w:ascii="宋体" w:hAnsi="宋体" w:cs="宋体"/>
                <w:sz w:val="24"/>
              </w:rPr>
              <w:t xml:space="preserve"> </w:t>
            </w:r>
            <w:r>
              <w:rPr>
                <w:rFonts w:ascii="宋体" w:hAnsi="宋体" w:cs="宋体"/>
                <w:spacing w:val="6"/>
                <w:sz w:val="24"/>
              </w:rPr>
              <w:t>×</w:t>
            </w:r>
            <w:r>
              <w:rPr>
                <w:rFonts w:ascii="宋体" w:hAnsi="宋体" w:cs="宋体"/>
                <w:spacing w:val="5"/>
                <w:sz w:val="24"/>
              </w:rPr>
              <w:t>(</w:t>
            </w:r>
            <w:r>
              <w:rPr>
                <w:rFonts w:ascii="宋体" w:hAnsi="宋体" w:cs="宋体"/>
                <w:spacing w:val="3"/>
                <w:sz w:val="24"/>
              </w:rPr>
              <w:t>1-</w:t>
            </w:r>
            <w:r>
              <w:rPr>
                <w:rFonts w:hint="eastAsia" w:ascii="宋体" w:hAnsi="宋体" w:cs="宋体"/>
                <w:spacing w:val="3"/>
                <w:sz w:val="24"/>
                <w:u w:val="single"/>
              </w:rPr>
              <w:t>6</w:t>
            </w:r>
            <w:r>
              <w:rPr>
                <w:rFonts w:ascii="宋体" w:hAnsi="宋体" w:cs="宋体"/>
                <w:spacing w:val="3"/>
                <w:sz w:val="24"/>
                <w:u w:val="single"/>
              </w:rPr>
              <w:t>%</w:t>
            </w:r>
            <w:r>
              <w:rPr>
                <w:rFonts w:ascii="宋体" w:hAnsi="宋体" w:cs="宋体"/>
                <w:spacing w:val="3"/>
                <w:sz w:val="24"/>
              </w:rPr>
              <w:t>)</w:t>
            </w:r>
          </w:p>
        </w:tc>
      </w:tr>
    </w:tbl>
    <w:p w14:paraId="5BD146AC">
      <w:pPr>
        <w:spacing w:before="194" w:line="224" w:lineRule="auto"/>
        <w:ind w:left="518"/>
        <w:rPr>
          <w:rFonts w:hint="eastAsia" w:ascii="宋体" w:hAnsi="宋体" w:cs="宋体"/>
          <w:sz w:val="24"/>
        </w:rPr>
      </w:pPr>
      <w:r>
        <w:rPr>
          <w:rFonts w:ascii="宋体" w:hAnsi="宋体" w:cs="宋体"/>
          <w:spacing w:val="-21"/>
          <w:sz w:val="24"/>
        </w:rPr>
        <w:t>注</w:t>
      </w:r>
      <w:r>
        <w:rPr>
          <w:rFonts w:ascii="宋体" w:hAnsi="宋体" w:cs="宋体"/>
          <w:spacing w:val="-20"/>
          <w:sz w:val="24"/>
        </w:rPr>
        <w:t>：</w:t>
      </w:r>
    </w:p>
    <w:p w14:paraId="7BA8093A">
      <w:pPr>
        <w:spacing w:before="208" w:line="220" w:lineRule="auto"/>
        <w:ind w:left="524"/>
        <w:rPr>
          <w:rFonts w:hint="eastAsia" w:ascii="宋体" w:hAnsi="宋体" w:cs="宋体"/>
          <w:sz w:val="24"/>
        </w:rPr>
      </w:pPr>
      <w:r>
        <w:rPr>
          <w:rFonts w:ascii="宋体" w:hAnsi="宋体" w:cs="宋体"/>
          <w:spacing w:val="-6"/>
          <w:sz w:val="24"/>
        </w:rPr>
        <w:t>(</w:t>
      </w:r>
      <w:r>
        <w:rPr>
          <w:rFonts w:ascii="宋体" w:hAnsi="宋体" w:cs="宋体"/>
          <w:spacing w:val="-4"/>
          <w:sz w:val="24"/>
        </w:rPr>
        <w:t>1</w:t>
      </w:r>
      <w:r>
        <w:rPr>
          <w:rFonts w:ascii="宋体" w:hAnsi="宋体" w:cs="宋体"/>
          <w:spacing w:val="-3"/>
          <w:sz w:val="24"/>
        </w:rPr>
        <w:t>)中型企业不享受以上优惠；</w:t>
      </w:r>
    </w:p>
    <w:p w14:paraId="7EA6B3F7">
      <w:pPr>
        <w:spacing w:before="216" w:line="219" w:lineRule="auto"/>
        <w:ind w:left="524"/>
        <w:rPr>
          <w:rFonts w:hint="eastAsia" w:ascii="宋体" w:hAnsi="宋体" w:cs="宋体"/>
          <w:sz w:val="24"/>
        </w:rPr>
      </w:pPr>
      <w:r>
        <w:rPr>
          <w:rFonts w:ascii="宋体" w:hAnsi="宋体" w:cs="宋体"/>
          <w:spacing w:val="-10"/>
          <w:sz w:val="24"/>
        </w:rPr>
        <w:t>(2)小型、微型企业提供中型企业制造的货物的，视同为中型企业；</w:t>
      </w:r>
    </w:p>
    <w:p w14:paraId="6030BA56">
      <w:pPr>
        <w:spacing w:before="214" w:line="385" w:lineRule="auto"/>
        <w:ind w:left="75" w:right="59" w:firstLine="448"/>
        <w:rPr>
          <w:rFonts w:hint="eastAsia" w:ascii="宋体" w:hAnsi="宋体" w:cs="宋体"/>
          <w:sz w:val="24"/>
        </w:rPr>
      </w:pPr>
      <w:r>
        <w:rPr>
          <w:rFonts w:ascii="宋体" w:hAnsi="宋体" w:cs="宋体"/>
          <w:spacing w:val="-28"/>
          <w:sz w:val="24"/>
        </w:rPr>
        <w:t>(</w:t>
      </w:r>
      <w:r>
        <w:rPr>
          <w:rFonts w:ascii="宋体" w:hAnsi="宋体" w:cs="宋体"/>
          <w:spacing w:val="-26"/>
          <w:sz w:val="24"/>
        </w:rPr>
        <w:t>3</w:t>
      </w:r>
      <w:r>
        <w:rPr>
          <w:rFonts w:ascii="宋体" w:hAnsi="宋体" w:cs="宋体"/>
          <w:spacing w:val="-14"/>
          <w:sz w:val="24"/>
        </w:rPr>
        <w:t>) 小型、微型企业产品包括货物及其提供的货物与工程，无法认定小型、微型</w:t>
      </w:r>
      <w:r>
        <w:rPr>
          <w:rFonts w:ascii="宋体" w:hAnsi="宋体" w:cs="宋体"/>
          <w:sz w:val="24"/>
        </w:rPr>
        <w:t xml:space="preserve"> </w:t>
      </w:r>
      <w:r>
        <w:rPr>
          <w:rFonts w:ascii="宋体" w:hAnsi="宋体" w:cs="宋体"/>
          <w:spacing w:val="-17"/>
          <w:sz w:val="24"/>
        </w:rPr>
        <w:t>企</w:t>
      </w:r>
      <w:r>
        <w:rPr>
          <w:rFonts w:ascii="宋体" w:hAnsi="宋体" w:cs="宋体"/>
          <w:spacing w:val="-15"/>
          <w:sz w:val="24"/>
        </w:rPr>
        <w:t>业的，不享受价格扣除；</w:t>
      </w:r>
    </w:p>
    <w:p w14:paraId="5489B79E">
      <w:pPr>
        <w:spacing w:before="3" w:line="384" w:lineRule="auto"/>
        <w:ind w:left="71" w:right="56" w:firstLine="452"/>
        <w:rPr>
          <w:rFonts w:hint="eastAsia" w:ascii="宋体" w:hAnsi="宋体" w:cs="宋体"/>
          <w:sz w:val="24"/>
        </w:rPr>
      </w:pPr>
      <w:r>
        <w:rPr>
          <w:rFonts w:ascii="宋体" w:hAnsi="宋体" w:cs="宋体"/>
          <w:spacing w:val="-18"/>
          <w:sz w:val="24"/>
        </w:rPr>
        <w:t>(4)监狱企业视同小型、微型企业，监狱企业投标的提供由省级以上监狱管理局</w:t>
      </w:r>
      <w:r>
        <w:rPr>
          <w:rFonts w:ascii="宋体" w:hAnsi="宋体" w:cs="宋体"/>
          <w:spacing w:val="-13"/>
          <w:sz w:val="24"/>
        </w:rPr>
        <w:t>、</w:t>
      </w:r>
      <w:r>
        <w:rPr>
          <w:rFonts w:ascii="宋体" w:hAnsi="宋体" w:cs="宋体"/>
          <w:sz w:val="24"/>
        </w:rPr>
        <w:t xml:space="preserve"> </w:t>
      </w:r>
      <w:r>
        <w:rPr>
          <w:rFonts w:ascii="宋体" w:hAnsi="宋体" w:cs="宋体"/>
          <w:spacing w:val="-15"/>
          <w:sz w:val="24"/>
        </w:rPr>
        <w:t>戒毒管理局(含新疆生产建设兵团)出具的属于监狱企业的证明文件，不再提供《中</w:t>
      </w:r>
      <w:r>
        <w:rPr>
          <w:rFonts w:ascii="宋体" w:hAnsi="宋体" w:cs="宋体"/>
          <w:spacing w:val="-14"/>
          <w:sz w:val="24"/>
        </w:rPr>
        <w:t>小</w:t>
      </w:r>
      <w:r>
        <w:rPr>
          <w:rFonts w:ascii="宋体" w:hAnsi="宋体" w:cs="宋体"/>
          <w:sz w:val="24"/>
        </w:rPr>
        <w:t xml:space="preserve"> </w:t>
      </w:r>
      <w:r>
        <w:rPr>
          <w:rFonts w:ascii="宋体" w:hAnsi="宋体" w:cs="宋体"/>
          <w:spacing w:val="-21"/>
          <w:sz w:val="24"/>
        </w:rPr>
        <w:t>微</w:t>
      </w:r>
      <w:r>
        <w:rPr>
          <w:rFonts w:ascii="宋体" w:hAnsi="宋体" w:cs="宋体"/>
          <w:spacing w:val="-20"/>
          <w:sz w:val="24"/>
        </w:rPr>
        <w:t>企业声明函》；</w:t>
      </w:r>
    </w:p>
    <w:p w14:paraId="0A472BB3">
      <w:pPr>
        <w:spacing w:before="3" w:line="388" w:lineRule="auto"/>
        <w:ind w:left="75" w:right="57" w:firstLine="448"/>
        <w:rPr>
          <w:rFonts w:hint="eastAsia" w:ascii="宋体" w:hAnsi="宋体" w:cs="宋体"/>
          <w:sz w:val="24"/>
        </w:rPr>
      </w:pPr>
      <w:r>
        <w:rPr>
          <w:rFonts w:ascii="宋体" w:hAnsi="宋体" w:cs="宋体"/>
          <w:spacing w:val="-28"/>
          <w:sz w:val="24"/>
        </w:rPr>
        <w:t>(5</w:t>
      </w:r>
      <w:r>
        <w:rPr>
          <w:rFonts w:ascii="宋体" w:hAnsi="宋体" w:cs="宋体"/>
          <w:spacing w:val="-15"/>
          <w:sz w:val="24"/>
        </w:rPr>
        <w:t>)</w:t>
      </w:r>
      <w:r>
        <w:rPr>
          <w:rFonts w:ascii="宋体" w:hAnsi="宋体" w:cs="宋体"/>
          <w:spacing w:val="-14"/>
          <w:sz w:val="24"/>
        </w:rPr>
        <w:t xml:space="preserve"> 残疾人福利性单位视同小型、微型企业，残疾人福利性单位属于小型、微型</w:t>
      </w:r>
      <w:r>
        <w:rPr>
          <w:rFonts w:ascii="宋体" w:hAnsi="宋体" w:cs="宋体"/>
          <w:sz w:val="24"/>
        </w:rPr>
        <w:t xml:space="preserve"> </w:t>
      </w:r>
      <w:r>
        <w:rPr>
          <w:rFonts w:ascii="宋体" w:hAnsi="宋体" w:cs="宋体"/>
          <w:spacing w:val="-30"/>
          <w:sz w:val="24"/>
        </w:rPr>
        <w:t>企</w:t>
      </w:r>
      <w:r>
        <w:rPr>
          <w:rFonts w:ascii="宋体" w:hAnsi="宋体" w:cs="宋体"/>
          <w:spacing w:val="-18"/>
          <w:sz w:val="24"/>
        </w:rPr>
        <w:t>业</w:t>
      </w:r>
      <w:r>
        <w:rPr>
          <w:rFonts w:ascii="宋体" w:hAnsi="宋体" w:cs="宋体"/>
          <w:spacing w:val="-15"/>
          <w:sz w:val="24"/>
        </w:rPr>
        <w:t>的，不重复享受政策。符合条件的残疾人福利性单位在参加政府采购活动时，应</w:t>
      </w:r>
      <w:r>
        <w:rPr>
          <w:rFonts w:ascii="宋体" w:hAnsi="宋体" w:cs="宋体"/>
          <w:sz w:val="24"/>
        </w:rPr>
        <w:t xml:space="preserve"> </w:t>
      </w:r>
      <w:r>
        <w:rPr>
          <w:rFonts w:ascii="宋体" w:hAnsi="宋体" w:cs="宋体"/>
          <w:spacing w:val="-25"/>
          <w:sz w:val="24"/>
        </w:rPr>
        <w:t>当</w:t>
      </w:r>
      <w:r>
        <w:rPr>
          <w:rFonts w:ascii="宋体" w:hAnsi="宋体" w:cs="宋体"/>
          <w:spacing w:val="-17"/>
          <w:sz w:val="24"/>
        </w:rPr>
        <w:t>提供《残疾人福利性单位声明函》。</w:t>
      </w:r>
    </w:p>
    <w:p w14:paraId="674D5721">
      <w:pPr>
        <w:sectPr>
          <w:footerReference r:id="rId14" w:type="default"/>
          <w:pgSz w:w="11907" w:h="16841"/>
          <w:pgMar w:top="1431" w:right="1725" w:bottom="1009" w:left="1740" w:header="0" w:footer="821" w:gutter="0"/>
          <w:cols w:space="720" w:num="1"/>
        </w:sectPr>
      </w:pPr>
    </w:p>
    <w:p w14:paraId="15948627">
      <w:pPr>
        <w:spacing w:before="203" w:line="218" w:lineRule="auto"/>
        <w:ind w:left="475"/>
        <w:rPr>
          <w:rFonts w:hint="eastAsia" w:ascii="宋体" w:hAnsi="宋体" w:cs="宋体"/>
          <w:sz w:val="24"/>
        </w:rPr>
      </w:pPr>
      <w:r>
        <w:rPr>
          <w:rFonts w:ascii="宋体" w:hAnsi="宋体" w:cs="宋体"/>
          <w:spacing w:val="-12"/>
          <w:sz w:val="24"/>
        </w:rPr>
        <w:t>2.2 价格评分的计</w:t>
      </w:r>
      <w:r>
        <w:rPr>
          <w:rFonts w:ascii="宋体" w:hAnsi="宋体" w:cs="宋体"/>
          <w:spacing w:val="-11"/>
          <w:sz w:val="24"/>
        </w:rPr>
        <w:t>算</w:t>
      </w:r>
    </w:p>
    <w:p w14:paraId="2FB50220">
      <w:pPr>
        <w:spacing w:before="214" w:line="385" w:lineRule="auto"/>
        <w:ind w:left="27" w:firstLine="446"/>
        <w:rPr>
          <w:rFonts w:hint="eastAsia" w:ascii="宋体" w:hAnsi="宋体" w:cs="宋体"/>
          <w:sz w:val="24"/>
        </w:rPr>
      </w:pPr>
      <w:r>
        <w:rPr>
          <w:rFonts w:ascii="宋体" w:hAnsi="宋体" w:cs="宋体"/>
          <w:spacing w:val="-12"/>
          <w:sz w:val="24"/>
        </w:rPr>
        <w:t>价格分统一采用低价优先法计算，各有效投标人的评标价(指投标报价经算术</w:t>
      </w:r>
      <w:r>
        <w:rPr>
          <w:rFonts w:ascii="宋体" w:hAnsi="宋体" w:cs="宋体"/>
          <w:spacing w:val="-11"/>
          <w:sz w:val="24"/>
        </w:rPr>
        <w:t>修</w:t>
      </w:r>
      <w:r>
        <w:rPr>
          <w:rFonts w:ascii="宋体" w:hAnsi="宋体" w:cs="宋体"/>
          <w:spacing w:val="-15"/>
          <w:sz w:val="24"/>
        </w:rPr>
        <w:t>正和落实政府采购政策需进行的价格扣除后的价格) 中，取最低价为评标基准价，</w:t>
      </w:r>
      <w:r>
        <w:rPr>
          <w:rFonts w:ascii="宋体" w:hAnsi="宋体" w:cs="宋体"/>
          <w:spacing w:val="-14"/>
          <w:sz w:val="24"/>
        </w:rPr>
        <w:t>其</w:t>
      </w:r>
      <w:r>
        <w:rPr>
          <w:rFonts w:ascii="宋体" w:hAnsi="宋体" w:cs="宋体"/>
          <w:spacing w:val="-34"/>
          <w:sz w:val="24"/>
        </w:rPr>
        <w:t>价</w:t>
      </w:r>
      <w:r>
        <w:rPr>
          <w:rFonts w:ascii="宋体" w:hAnsi="宋体" w:cs="宋体"/>
          <w:spacing w:val="-20"/>
          <w:sz w:val="24"/>
        </w:rPr>
        <w:t>格</w:t>
      </w:r>
      <w:r>
        <w:rPr>
          <w:rFonts w:ascii="宋体" w:hAnsi="宋体" w:cs="宋体"/>
          <w:spacing w:val="-17"/>
          <w:sz w:val="24"/>
        </w:rPr>
        <w:t>分为满分。其他投标人的价格分统一按照下列公式计算：</w:t>
      </w:r>
    </w:p>
    <w:p w14:paraId="7843A6CA">
      <w:pPr>
        <w:spacing w:line="218" w:lineRule="auto"/>
        <w:ind w:left="473"/>
        <w:rPr>
          <w:rFonts w:hint="eastAsia" w:ascii="宋体" w:hAnsi="宋体" w:cs="宋体"/>
          <w:sz w:val="24"/>
        </w:rPr>
      </w:pPr>
      <w:r>
        <w:rPr>
          <w:rFonts w:ascii="宋体" w:hAnsi="宋体" w:cs="宋体"/>
          <w:spacing w:val="-10"/>
          <w:sz w:val="24"/>
          <w:u w:val="single"/>
        </w:rPr>
        <w:t>价格评分= (评标基准价／评标价)×价格评分分</w:t>
      </w:r>
      <w:r>
        <w:rPr>
          <w:rFonts w:ascii="宋体" w:hAnsi="宋体" w:cs="宋体"/>
          <w:spacing w:val="-8"/>
          <w:sz w:val="24"/>
          <w:u w:val="single"/>
        </w:rPr>
        <w:t>值</w:t>
      </w:r>
    </w:p>
    <w:p w14:paraId="7137430A">
      <w:pPr>
        <w:spacing w:before="218" w:line="218" w:lineRule="auto"/>
        <w:ind w:left="471"/>
        <w:rPr>
          <w:rFonts w:hint="eastAsia" w:ascii="宋体" w:hAnsi="宋体" w:cs="宋体"/>
          <w:sz w:val="24"/>
        </w:rPr>
      </w:pPr>
      <w:r>
        <w:rPr>
          <w:rFonts w:ascii="宋体" w:hAnsi="宋体" w:cs="宋体"/>
          <w:spacing w:val="-17"/>
          <w:sz w:val="24"/>
        </w:rPr>
        <w:t>评标价仅用于计算价格评分，中标金额以实际投标价为准。</w:t>
      </w:r>
    </w:p>
    <w:p w14:paraId="0F104B21">
      <w:pPr>
        <w:spacing w:before="213" w:line="385" w:lineRule="auto"/>
        <w:ind w:left="25" w:right="3" w:firstLine="452"/>
        <w:rPr>
          <w:rFonts w:hint="eastAsia" w:ascii="宋体" w:hAnsi="宋体" w:cs="宋体"/>
          <w:sz w:val="24"/>
        </w:rPr>
      </w:pPr>
      <w:r>
        <w:rPr>
          <w:rFonts w:ascii="宋体" w:hAnsi="宋体" w:cs="宋体"/>
          <w:spacing w:val="-18"/>
          <w:sz w:val="24"/>
        </w:rPr>
        <w:t>3</w:t>
      </w:r>
      <w:r>
        <w:rPr>
          <w:rFonts w:ascii="宋体" w:hAnsi="宋体" w:cs="宋体"/>
          <w:spacing w:val="-15"/>
          <w:sz w:val="24"/>
        </w:rPr>
        <w:t>.技术评分和商务评分根据评审因素性质，分为主观评分项和客观评分项。主观</w:t>
      </w:r>
      <w:r>
        <w:rPr>
          <w:rFonts w:ascii="宋体" w:hAnsi="宋体" w:cs="宋体"/>
          <w:sz w:val="24"/>
        </w:rPr>
        <w:t xml:space="preserve"> </w:t>
      </w:r>
      <w:r>
        <w:rPr>
          <w:rFonts w:ascii="宋体" w:hAnsi="宋体" w:cs="宋体"/>
          <w:spacing w:val="-30"/>
          <w:sz w:val="24"/>
        </w:rPr>
        <w:t>评</w:t>
      </w:r>
      <w:r>
        <w:rPr>
          <w:rFonts w:ascii="宋体" w:hAnsi="宋体" w:cs="宋体"/>
          <w:spacing w:val="-16"/>
          <w:sz w:val="24"/>
        </w:rPr>
        <w:t>分</w:t>
      </w:r>
      <w:r>
        <w:rPr>
          <w:rFonts w:ascii="宋体" w:hAnsi="宋体" w:cs="宋体"/>
          <w:spacing w:val="-15"/>
          <w:sz w:val="24"/>
        </w:rPr>
        <w:t>项需要借助专业知识评判，应由评标委员会成员按照评分细则独立、公正评分；</w:t>
      </w:r>
      <w:r>
        <w:rPr>
          <w:rFonts w:ascii="宋体" w:hAnsi="宋体" w:cs="宋体"/>
          <w:sz w:val="24"/>
        </w:rPr>
        <w:t xml:space="preserve"> </w:t>
      </w:r>
      <w:r>
        <w:rPr>
          <w:rFonts w:ascii="宋体" w:hAnsi="宋体" w:cs="宋体"/>
          <w:spacing w:val="-30"/>
          <w:sz w:val="24"/>
        </w:rPr>
        <w:t>客</w:t>
      </w:r>
      <w:r>
        <w:rPr>
          <w:rFonts w:ascii="宋体" w:hAnsi="宋体" w:cs="宋体"/>
          <w:spacing w:val="-16"/>
          <w:sz w:val="24"/>
        </w:rPr>
        <w:t>观</w:t>
      </w:r>
      <w:r>
        <w:rPr>
          <w:rFonts w:ascii="宋体" w:hAnsi="宋体" w:cs="宋体"/>
          <w:spacing w:val="-15"/>
          <w:sz w:val="24"/>
        </w:rPr>
        <w:t>评分项的评分应由评标委员会成员共同认定，分值应当一致，存在不同意见的，</w:t>
      </w:r>
      <w:r>
        <w:rPr>
          <w:rFonts w:ascii="宋体" w:hAnsi="宋体" w:cs="宋体"/>
          <w:sz w:val="24"/>
        </w:rPr>
        <w:t xml:space="preserve"> </w:t>
      </w:r>
      <w:r>
        <w:rPr>
          <w:rFonts w:ascii="宋体" w:hAnsi="宋体" w:cs="宋体"/>
          <w:spacing w:val="-19"/>
          <w:sz w:val="24"/>
        </w:rPr>
        <w:t>评</w:t>
      </w:r>
      <w:r>
        <w:rPr>
          <w:rFonts w:ascii="宋体" w:hAnsi="宋体" w:cs="宋体"/>
          <w:spacing w:val="-17"/>
          <w:sz w:val="24"/>
        </w:rPr>
        <w:t>标委员会成员分别作出书面说明。</w:t>
      </w:r>
    </w:p>
    <w:p w14:paraId="3098E53B">
      <w:pPr>
        <w:spacing w:before="1" w:line="218" w:lineRule="auto"/>
        <w:ind w:left="471"/>
        <w:rPr>
          <w:rFonts w:hint="eastAsia" w:ascii="宋体" w:hAnsi="宋体" w:cs="宋体"/>
          <w:sz w:val="24"/>
        </w:rPr>
      </w:pPr>
      <w:r>
        <w:rPr>
          <w:rFonts w:ascii="宋体" w:hAnsi="宋体" w:cs="宋体"/>
          <w:spacing w:val="-29"/>
          <w:sz w:val="24"/>
        </w:rPr>
        <w:t>4</w:t>
      </w:r>
      <w:r>
        <w:rPr>
          <w:rFonts w:ascii="宋体" w:hAnsi="宋体" w:cs="宋体"/>
          <w:spacing w:val="-16"/>
          <w:sz w:val="24"/>
        </w:rPr>
        <w:t>.投标人得分为评标委员会所有成员评分之和的算数平均分。</w:t>
      </w:r>
    </w:p>
    <w:p w14:paraId="3B231F34">
      <w:pPr>
        <w:sectPr>
          <w:footerReference r:id="rId15" w:type="default"/>
          <w:pgSz w:w="11907" w:h="16841"/>
          <w:pgMar w:top="1431" w:right="1781" w:bottom="1009" w:left="1785" w:header="0" w:footer="821" w:gutter="0"/>
          <w:cols w:space="720" w:num="1"/>
        </w:sectPr>
      </w:pPr>
    </w:p>
    <w:p w14:paraId="1F3ED48D">
      <w:pPr>
        <w:spacing w:before="99" w:line="223" w:lineRule="auto"/>
        <w:ind w:left="3846"/>
        <w:rPr>
          <w:rFonts w:hint="eastAsia" w:ascii="黑体" w:hAnsi="黑体" w:eastAsia="黑体" w:cs="黑体"/>
          <w:spacing w:val="-4"/>
          <w:sz w:val="43"/>
          <w:szCs w:val="43"/>
        </w:rPr>
      </w:pPr>
      <w:r>
        <w:rPr>
          <w:rFonts w:ascii="黑体" w:hAnsi="黑体" w:eastAsia="黑体" w:cs="黑体"/>
          <w:spacing w:val="-7"/>
          <w:sz w:val="43"/>
          <w:szCs w:val="43"/>
        </w:rPr>
        <w:t>评</w:t>
      </w:r>
      <w:r>
        <w:rPr>
          <w:rFonts w:ascii="黑体" w:hAnsi="黑体" w:eastAsia="黑体" w:cs="黑体"/>
          <w:spacing w:val="-4"/>
          <w:sz w:val="43"/>
          <w:szCs w:val="43"/>
        </w:rPr>
        <w:t>分细则</w:t>
      </w:r>
    </w:p>
    <w:p w14:paraId="6F48E6E5">
      <w:pPr>
        <w:autoSpaceDE w:val="0"/>
        <w:autoSpaceDN w:val="0"/>
        <w:adjustRightInd w:val="0"/>
        <w:jc w:val="center"/>
        <w:outlineLvl w:val="0"/>
        <w:rPr>
          <w:rFonts w:hint="eastAsia" w:ascii="黑体" w:hAnsi="黑体" w:eastAsia="黑体" w:cs="宋体"/>
          <w:sz w:val="30"/>
          <w:szCs w:val="30"/>
          <w:lang w:val="zh-CN"/>
        </w:rPr>
      </w:pPr>
      <w:r>
        <w:rPr>
          <w:rFonts w:hint="eastAsia" w:ascii="黑体" w:hAnsi="黑体" w:eastAsia="黑体" w:cs="宋体"/>
          <w:sz w:val="30"/>
          <w:szCs w:val="30"/>
          <w:lang w:val="zh-CN"/>
        </w:rPr>
        <w:t>评分细则</w:t>
      </w:r>
    </w:p>
    <w:tbl>
      <w:tblPr>
        <w:tblStyle w:val="15"/>
        <w:tblW w:w="4998" w:type="pct"/>
        <w:tblInd w:w="0" w:type="dxa"/>
        <w:tblLayout w:type="autofit"/>
        <w:tblCellMar>
          <w:top w:w="0" w:type="dxa"/>
          <w:left w:w="108" w:type="dxa"/>
          <w:bottom w:w="0" w:type="dxa"/>
          <w:right w:w="108" w:type="dxa"/>
        </w:tblCellMar>
      </w:tblPr>
      <w:tblGrid>
        <w:gridCol w:w="671"/>
        <w:gridCol w:w="700"/>
        <w:gridCol w:w="6716"/>
        <w:gridCol w:w="427"/>
      </w:tblGrid>
      <w:tr w14:paraId="558A71B4">
        <w:tblPrEx>
          <w:tblCellMar>
            <w:top w:w="0" w:type="dxa"/>
            <w:left w:w="108" w:type="dxa"/>
            <w:bottom w:w="0" w:type="dxa"/>
            <w:right w:w="108" w:type="dxa"/>
          </w:tblCellMar>
        </w:tblPrEx>
        <w:trPr>
          <w:trHeight w:val="240" w:hRule="atLeast"/>
        </w:trPr>
        <w:tc>
          <w:tcPr>
            <w:tcW w:w="3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39184E">
            <w:r>
              <w:rPr>
                <w:rFonts w:hint="eastAsia"/>
              </w:rPr>
              <w:t>序号</w:t>
            </w:r>
          </w:p>
        </w:tc>
        <w:tc>
          <w:tcPr>
            <w:tcW w:w="4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CB73C5">
            <w:r>
              <w:rPr>
                <w:rFonts w:hint="eastAsia"/>
              </w:rPr>
              <w:t>评审因素</w:t>
            </w:r>
          </w:p>
        </w:tc>
        <w:tc>
          <w:tcPr>
            <w:tcW w:w="394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296523">
            <w:r>
              <w:rPr>
                <w:rFonts w:hint="eastAsia"/>
              </w:rPr>
              <w:t>评分标准</w:t>
            </w:r>
          </w:p>
        </w:tc>
        <w:tc>
          <w:tcPr>
            <w:tcW w:w="25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63C94F">
            <w:r>
              <w:rPr>
                <w:rFonts w:hint="eastAsia"/>
              </w:rPr>
              <w:t>分值</w:t>
            </w:r>
          </w:p>
        </w:tc>
      </w:tr>
      <w:tr w14:paraId="35169F8E">
        <w:tblPrEx>
          <w:tblCellMar>
            <w:top w:w="0" w:type="dxa"/>
            <w:left w:w="108" w:type="dxa"/>
            <w:bottom w:w="0" w:type="dxa"/>
            <w:right w:w="108" w:type="dxa"/>
          </w:tblCellMar>
        </w:tblPrEx>
        <w:trPr>
          <w:trHeight w:val="240" w:hRule="atLeast"/>
        </w:trPr>
        <w:tc>
          <w:tcPr>
            <w:tcW w:w="5000"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3EA8483A">
            <w:pPr>
              <w:rPr>
                <w:b/>
                <w:bCs/>
              </w:rPr>
            </w:pPr>
            <w:r>
              <w:rPr>
                <w:rFonts w:hint="eastAsia"/>
                <w:b/>
                <w:bCs/>
              </w:rPr>
              <w:t>（一）价格评分（ 30  分）</w:t>
            </w:r>
          </w:p>
        </w:tc>
      </w:tr>
      <w:tr w14:paraId="1EED47DC">
        <w:tblPrEx>
          <w:tblCellMar>
            <w:top w:w="0" w:type="dxa"/>
            <w:left w:w="108" w:type="dxa"/>
            <w:bottom w:w="0" w:type="dxa"/>
            <w:right w:w="108" w:type="dxa"/>
          </w:tblCellMar>
        </w:tblPrEx>
        <w:trPr>
          <w:trHeight w:val="720" w:hRule="atLeast"/>
        </w:trPr>
        <w:tc>
          <w:tcPr>
            <w:tcW w:w="3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41C6F9">
            <w:r>
              <w:rPr>
                <w:rFonts w:hint="eastAsia"/>
              </w:rPr>
              <w:t>1</w:t>
            </w:r>
          </w:p>
        </w:tc>
        <w:tc>
          <w:tcPr>
            <w:tcW w:w="4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61E6A8">
            <w:r>
              <w:rPr>
                <w:rFonts w:hint="eastAsia"/>
              </w:rPr>
              <w:t>价格评分</w:t>
            </w:r>
          </w:p>
        </w:tc>
        <w:tc>
          <w:tcPr>
            <w:tcW w:w="394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B46A75">
            <w:pPr>
              <w:autoSpaceDE w:val="0"/>
              <w:autoSpaceDN w:val="0"/>
              <w:adjustRightInd w:val="0"/>
              <w:spacing w:line="360" w:lineRule="auto"/>
              <w:rPr>
                <w:rStyle w:val="60"/>
              </w:rPr>
            </w:pPr>
            <w:r>
              <w:rPr>
                <w:rStyle w:val="60"/>
                <w:rFonts w:hint="eastAsia"/>
              </w:rPr>
              <w:t>价格分统一采用低价优先法计算，即满足招标文件要求且最终报价最低的供应商的价格为评标基准价，其价格分为满分。其他供应商的价格分统一按照下列公式计算：</w:t>
            </w:r>
          </w:p>
          <w:p w14:paraId="5D6EDC9E">
            <w:r>
              <w:rPr>
                <w:rStyle w:val="60"/>
                <w:rFonts w:hint="eastAsia"/>
              </w:rPr>
              <w:t>招标报价得分=(评标基准价/最终投标报价)×</w:t>
            </w:r>
            <w:r>
              <w:rPr>
                <w:rStyle w:val="60"/>
                <w:rFonts w:hint="eastAsia"/>
                <w:lang w:val="en-US"/>
              </w:rPr>
              <w:t>30</w:t>
            </w:r>
            <w:r>
              <w:rPr>
                <w:rStyle w:val="60"/>
                <w:rFonts w:hint="eastAsia"/>
              </w:rPr>
              <w:t>%的价格权值×100。得分保留2位小数,第3位四舍五入。因落实政府采购政策进行价格调整的，以调整后的价格计算评标基准价和投标报价。</w:t>
            </w:r>
          </w:p>
        </w:tc>
        <w:tc>
          <w:tcPr>
            <w:tcW w:w="25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E5077C">
            <w:r>
              <w:rPr>
                <w:rFonts w:hint="eastAsia"/>
              </w:rPr>
              <w:t>30</w:t>
            </w:r>
          </w:p>
        </w:tc>
      </w:tr>
      <w:tr w14:paraId="23C4AB80">
        <w:tblPrEx>
          <w:tblCellMar>
            <w:top w:w="0" w:type="dxa"/>
            <w:left w:w="108" w:type="dxa"/>
            <w:bottom w:w="0" w:type="dxa"/>
            <w:right w:w="108" w:type="dxa"/>
          </w:tblCellMar>
        </w:tblPrEx>
        <w:trPr>
          <w:trHeight w:val="240" w:hRule="atLeast"/>
        </w:trPr>
        <w:tc>
          <w:tcPr>
            <w:tcW w:w="5000"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5937C1B3">
            <w:pPr>
              <w:rPr>
                <w:b/>
                <w:bCs/>
              </w:rPr>
            </w:pPr>
            <w:r>
              <w:rPr>
                <w:rFonts w:hint="eastAsia"/>
                <w:b/>
                <w:bCs/>
              </w:rPr>
              <w:t>（二）技术评分（  50 分）</w:t>
            </w:r>
          </w:p>
        </w:tc>
      </w:tr>
      <w:tr w14:paraId="3A602B81">
        <w:tblPrEx>
          <w:tblCellMar>
            <w:top w:w="0" w:type="dxa"/>
            <w:left w:w="108" w:type="dxa"/>
            <w:bottom w:w="0" w:type="dxa"/>
            <w:right w:w="108" w:type="dxa"/>
          </w:tblCellMar>
        </w:tblPrEx>
        <w:trPr>
          <w:trHeight w:val="480" w:hRule="atLeast"/>
        </w:trPr>
        <w:tc>
          <w:tcPr>
            <w:tcW w:w="3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FB120D">
            <w:r>
              <w:rPr>
                <w:rFonts w:hint="eastAsia"/>
              </w:rPr>
              <w:t>1</w:t>
            </w:r>
          </w:p>
        </w:tc>
        <w:tc>
          <w:tcPr>
            <w:tcW w:w="4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E63A1B">
            <w:r>
              <w:rPr>
                <w:rFonts w:hint="eastAsia"/>
              </w:rPr>
              <w:t>无线话筒</w:t>
            </w:r>
          </w:p>
        </w:tc>
        <w:tc>
          <w:tcPr>
            <w:tcW w:w="394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EADB0F">
            <w:r>
              <w:rPr>
                <w:rFonts w:hint="eastAsia"/>
              </w:rPr>
              <w:t>1.支持麦克风均衡器调节功能，≥高、中、低音三种调节档位。</w:t>
            </w:r>
            <w:r>
              <w:rPr>
                <w:rFonts w:hint="eastAsia"/>
              </w:rPr>
              <w:br w:type="textWrapping"/>
            </w:r>
            <w:r>
              <w:rPr>
                <w:rFonts w:hint="eastAsia"/>
                <w:b/>
                <w:bCs/>
              </w:rPr>
              <w:t>评分依据：投标文件中提供功能截图并加盖投标人公章，提供得1分，不提供得0分。</w:t>
            </w:r>
          </w:p>
        </w:tc>
        <w:tc>
          <w:tcPr>
            <w:tcW w:w="25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75C399">
            <w:r>
              <w:rPr>
                <w:rFonts w:hint="eastAsia"/>
              </w:rPr>
              <w:t>1</w:t>
            </w:r>
          </w:p>
        </w:tc>
      </w:tr>
      <w:tr w14:paraId="0BA3FBA7">
        <w:tblPrEx>
          <w:tblCellMar>
            <w:top w:w="0" w:type="dxa"/>
            <w:left w:w="108" w:type="dxa"/>
            <w:bottom w:w="0" w:type="dxa"/>
            <w:right w:w="108" w:type="dxa"/>
          </w:tblCellMar>
        </w:tblPrEx>
        <w:trPr>
          <w:trHeight w:val="960" w:hRule="atLeast"/>
        </w:trPr>
        <w:tc>
          <w:tcPr>
            <w:tcW w:w="3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C52174">
            <w:r>
              <w:rPr>
                <w:rFonts w:hint="eastAsia"/>
              </w:rPr>
              <w:t>2</w:t>
            </w:r>
          </w:p>
        </w:tc>
        <w:tc>
          <w:tcPr>
            <w:tcW w:w="4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29A10E">
            <w:r>
              <w:rPr>
                <w:rFonts w:hint="eastAsia"/>
              </w:rPr>
              <w:t>调音台</w:t>
            </w:r>
          </w:p>
        </w:tc>
        <w:tc>
          <w:tcPr>
            <w:tcW w:w="394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DDB093">
            <w:r>
              <w:rPr>
                <w:rFonts w:hint="eastAsia"/>
              </w:rPr>
              <w:t>1.具有≥2组立体主输出、≥4路编组输出、≥4路辅助输出、≥1组立体声监听输出、≥1个耳机监听输出、≥1个效果输出、≥1组主混音断点插入、≥6个断点插入。满足得 1 分，不满足不得分。</w:t>
            </w:r>
            <w:r>
              <w:rPr>
                <w:rFonts w:hint="eastAsia"/>
              </w:rPr>
              <w:br w:type="textWrapping"/>
            </w:r>
            <w:r>
              <w:rPr>
                <w:rFonts w:hint="eastAsia"/>
              </w:rPr>
              <w:t>2.内置USB声卡模块，支持连接电脑进行音乐播放和声音录音；内置MP3播放器，支持≥1个USB接口接U盘播放音乐。满足得1分，不满足不得分。</w:t>
            </w:r>
            <w:r>
              <w:rPr>
                <w:rFonts w:hint="eastAsia"/>
              </w:rPr>
              <w:br w:type="textWrapping"/>
            </w:r>
            <w:r>
              <w:rPr>
                <w:rFonts w:hint="eastAsia"/>
                <w:b/>
                <w:bCs/>
              </w:rPr>
              <w:t>评分依据：投标文件中提供具有 CNAS 标识的第三方检测报告及界面截图复印件并加盖投标人公章，不提供不得分。</w:t>
            </w:r>
          </w:p>
        </w:tc>
        <w:tc>
          <w:tcPr>
            <w:tcW w:w="25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9D966E">
            <w:r>
              <w:rPr>
                <w:rFonts w:hint="eastAsia"/>
              </w:rPr>
              <w:t>2</w:t>
            </w:r>
          </w:p>
        </w:tc>
      </w:tr>
      <w:tr w14:paraId="7BA3B3B9">
        <w:tblPrEx>
          <w:tblCellMar>
            <w:top w:w="0" w:type="dxa"/>
            <w:left w:w="108" w:type="dxa"/>
            <w:bottom w:w="0" w:type="dxa"/>
            <w:right w:w="108" w:type="dxa"/>
          </w:tblCellMar>
        </w:tblPrEx>
        <w:trPr>
          <w:trHeight w:val="1440" w:hRule="atLeast"/>
        </w:trPr>
        <w:tc>
          <w:tcPr>
            <w:tcW w:w="3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62D368">
            <w:r>
              <w:rPr>
                <w:rFonts w:hint="eastAsia"/>
              </w:rPr>
              <w:t>3</w:t>
            </w:r>
          </w:p>
        </w:tc>
        <w:tc>
          <w:tcPr>
            <w:tcW w:w="4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163AE6">
            <w:r>
              <w:rPr>
                <w:rFonts w:hint="eastAsia"/>
              </w:rPr>
              <w:t>音频处理器</w:t>
            </w:r>
          </w:p>
        </w:tc>
        <w:tc>
          <w:tcPr>
            <w:tcW w:w="394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45BD03">
            <w:r>
              <w:rPr>
                <w:rFonts w:hint="eastAsia"/>
              </w:rPr>
              <w:t>1.输入通道支持前级放大、信号发生器、扩展器、压缩器、≥12段参量均衡，≥31段图示均衡、闪避器、AGC自动增益、AM自动混音功能（门限式、增益共享式）、AFC自适应反馈消除、AEC回声消除、ANC噪声消除、音频矩阵。满足得 1分，不满足不得分。</w:t>
            </w:r>
            <w:r>
              <w:rPr>
                <w:rFonts w:hint="eastAsia"/>
              </w:rPr>
              <w:br w:type="textWrapping"/>
            </w:r>
            <w:r>
              <w:rPr>
                <w:rFonts w:hint="eastAsia"/>
              </w:rPr>
              <w:t>2.输出通道支持≥12段参量均衡，≥31段图示均衡、延时器、分频器、高低通滤波器、限幅器。满足得 1分，不满足不得分。</w:t>
            </w:r>
            <w:r>
              <w:rPr>
                <w:rFonts w:hint="eastAsia"/>
              </w:rPr>
              <w:br w:type="textWrapping"/>
            </w:r>
            <w:r>
              <w:rPr>
                <w:rFonts w:hint="eastAsia"/>
              </w:rPr>
              <w:t>3.具有≥2英寸IPS真彩显示屏，支持显示设备网络信息、实时电平、通道静音状态。满足得 1 分，不满足不得分。</w:t>
            </w:r>
            <w:r>
              <w:rPr>
                <w:rFonts w:hint="eastAsia"/>
              </w:rPr>
              <w:br w:type="textWrapping"/>
            </w:r>
            <w:r>
              <w:rPr>
                <w:rFonts w:hint="eastAsia"/>
              </w:rPr>
              <w:t>4.支持通过APP软件进行操作控制，面板具备USB接口，支持多媒体存储，可进行播放或存储录播。满足得 1分，不满足不得分。</w:t>
            </w:r>
            <w:r>
              <w:rPr>
                <w:rFonts w:hint="eastAsia"/>
              </w:rPr>
              <w:br w:type="textWrapping"/>
            </w:r>
            <w:r>
              <w:rPr>
                <w:rFonts w:hint="eastAsia"/>
                <w:b/>
                <w:bCs/>
              </w:rPr>
              <w:t>评分依据：投标文件中提供具有 CNAS 标识的第三方检测报告及界面截图复印件并加盖投标人公章，不提供不得分。</w:t>
            </w:r>
          </w:p>
        </w:tc>
        <w:tc>
          <w:tcPr>
            <w:tcW w:w="25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D0597F">
            <w:r>
              <w:rPr>
                <w:rFonts w:hint="eastAsia"/>
              </w:rPr>
              <w:t>4</w:t>
            </w:r>
          </w:p>
        </w:tc>
      </w:tr>
      <w:tr w14:paraId="4B2B0169">
        <w:tblPrEx>
          <w:tblCellMar>
            <w:top w:w="0" w:type="dxa"/>
            <w:left w:w="108" w:type="dxa"/>
            <w:bottom w:w="0" w:type="dxa"/>
            <w:right w:w="108" w:type="dxa"/>
          </w:tblCellMar>
        </w:tblPrEx>
        <w:trPr>
          <w:trHeight w:val="1200" w:hRule="atLeast"/>
        </w:trPr>
        <w:tc>
          <w:tcPr>
            <w:tcW w:w="3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F8D3CE">
            <w:r>
              <w:rPr>
                <w:rFonts w:hint="eastAsia"/>
              </w:rPr>
              <w:t>4</w:t>
            </w:r>
          </w:p>
        </w:tc>
        <w:tc>
          <w:tcPr>
            <w:tcW w:w="4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E01248">
            <w:r>
              <w:rPr>
                <w:rFonts w:hint="eastAsia"/>
              </w:rPr>
              <w:t>智能混音器</w:t>
            </w:r>
          </w:p>
        </w:tc>
        <w:tc>
          <w:tcPr>
            <w:tcW w:w="394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C1FF49">
            <w:r>
              <w:rPr>
                <w:rFonts w:hint="eastAsia"/>
              </w:rPr>
              <w:t>1.输入通道：≥16路平衡式话筒/线路输入，采用裸线接口端子，平衡接法。支持麦克风输入和线路输入切换。每路输入带≥48V幻象电源，可通过PC软件单独配置。满足得1分，不满足不得分。</w:t>
            </w:r>
            <w:r>
              <w:rPr>
                <w:rFonts w:hint="eastAsia"/>
              </w:rPr>
              <w:br w:type="textWrapping"/>
            </w:r>
            <w:r>
              <w:rPr>
                <w:rFonts w:hint="eastAsia"/>
              </w:rPr>
              <w:t>2.具有丰富的音频处理功能：闪避器、自动增益、均衡器、分频器、扩展器。满足得1分，不满足不得分。</w:t>
            </w:r>
            <w:r>
              <w:rPr>
                <w:rFonts w:hint="eastAsia"/>
              </w:rPr>
              <w:br w:type="textWrapping"/>
            </w:r>
            <w:r>
              <w:rPr>
                <w:rFonts w:hint="eastAsia"/>
              </w:rPr>
              <w:t>3.具有自动混音功能，包括增益共享混音以及门限自动混音。满足得1分，不满足不得分。</w:t>
            </w:r>
            <w:r>
              <w:rPr>
                <w:rFonts w:hint="eastAsia"/>
              </w:rPr>
              <w:br w:type="textWrapping"/>
            </w:r>
            <w:r>
              <w:rPr>
                <w:rFonts w:hint="eastAsia"/>
                <w:b/>
                <w:bCs/>
              </w:rPr>
              <w:t>评分依据：投标文件中提供功能截图并加盖投标人公章，不提供不得分。</w:t>
            </w:r>
          </w:p>
        </w:tc>
        <w:tc>
          <w:tcPr>
            <w:tcW w:w="25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F628F4">
            <w:r>
              <w:rPr>
                <w:rFonts w:hint="eastAsia"/>
              </w:rPr>
              <w:t>3</w:t>
            </w:r>
          </w:p>
        </w:tc>
      </w:tr>
      <w:tr w14:paraId="5D8A2346">
        <w:tblPrEx>
          <w:tblCellMar>
            <w:top w:w="0" w:type="dxa"/>
            <w:left w:w="108" w:type="dxa"/>
            <w:bottom w:w="0" w:type="dxa"/>
            <w:right w:w="108" w:type="dxa"/>
          </w:tblCellMar>
        </w:tblPrEx>
        <w:trPr>
          <w:trHeight w:val="720" w:hRule="atLeast"/>
        </w:trPr>
        <w:tc>
          <w:tcPr>
            <w:tcW w:w="3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DBE1E1">
            <w:r>
              <w:rPr>
                <w:rFonts w:hint="eastAsia"/>
              </w:rPr>
              <w:t>5</w:t>
            </w:r>
          </w:p>
        </w:tc>
        <w:tc>
          <w:tcPr>
            <w:tcW w:w="4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EBF0F3">
            <w:r>
              <w:rPr>
                <w:rFonts w:hint="eastAsia"/>
              </w:rPr>
              <w:t>无缝高清矩阵切换器</w:t>
            </w:r>
          </w:p>
        </w:tc>
        <w:tc>
          <w:tcPr>
            <w:tcW w:w="394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3D23B4">
            <w:r>
              <w:rPr>
                <w:rFonts w:hint="eastAsia"/>
              </w:rPr>
              <w:t>1.支持接入≥1块控制板卡，具有≥1路RS-232,≥1路RS-485,≥1路TCP/IP端口（PC软件）（提供控制板卡的接口图佐证）满足得1分，不满足不得分。</w:t>
            </w:r>
            <w:r>
              <w:rPr>
                <w:rFonts w:hint="eastAsia"/>
              </w:rPr>
              <w:br w:type="textWrapping"/>
            </w:r>
            <w:r>
              <w:rPr>
                <w:rFonts w:hint="eastAsia"/>
              </w:rPr>
              <w:t>2.机箱前面板带有≥7英寸全彩触摸屏。（提供设备外观图佐证）满足得1分，不满足不得分。</w:t>
            </w:r>
            <w:r>
              <w:rPr>
                <w:rFonts w:hint="eastAsia"/>
              </w:rPr>
              <w:br w:type="textWrapping"/>
            </w:r>
            <w:r>
              <w:rPr>
                <w:rFonts w:hint="eastAsia"/>
                <w:b/>
                <w:bCs/>
              </w:rPr>
              <w:t>评分依据：投标文件中提供具有 CNAS 标识的第三方检测报告及界面截图复印件并加盖投标人公章，不提供不得分。</w:t>
            </w:r>
          </w:p>
        </w:tc>
        <w:tc>
          <w:tcPr>
            <w:tcW w:w="25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230591">
            <w:r>
              <w:rPr>
                <w:rFonts w:hint="eastAsia"/>
              </w:rPr>
              <w:t>2</w:t>
            </w:r>
          </w:p>
        </w:tc>
      </w:tr>
      <w:tr w14:paraId="738BF286">
        <w:tblPrEx>
          <w:tblCellMar>
            <w:top w:w="0" w:type="dxa"/>
            <w:left w:w="108" w:type="dxa"/>
            <w:bottom w:w="0" w:type="dxa"/>
            <w:right w:w="108" w:type="dxa"/>
          </w:tblCellMar>
        </w:tblPrEx>
        <w:trPr>
          <w:trHeight w:val="960" w:hRule="atLeast"/>
        </w:trPr>
        <w:tc>
          <w:tcPr>
            <w:tcW w:w="3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7BEC4B">
            <w:r>
              <w:rPr>
                <w:rFonts w:hint="eastAsia"/>
              </w:rPr>
              <w:t>6</w:t>
            </w:r>
          </w:p>
        </w:tc>
        <w:tc>
          <w:tcPr>
            <w:tcW w:w="4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6D50E3">
            <w:r>
              <w:rPr>
                <w:rFonts w:hint="eastAsia"/>
              </w:rPr>
              <w:t>解码器</w:t>
            </w:r>
          </w:p>
        </w:tc>
        <w:tc>
          <w:tcPr>
            <w:tcW w:w="3944" w:type="pct"/>
            <w:tcBorders>
              <w:top w:val="single" w:color="000000" w:sz="4" w:space="0"/>
              <w:left w:val="single" w:color="000000" w:sz="4" w:space="0"/>
              <w:bottom w:val="nil"/>
              <w:right w:val="single" w:color="000000" w:sz="4" w:space="0"/>
            </w:tcBorders>
            <w:shd w:val="clear" w:color="auto" w:fill="auto"/>
            <w:vAlign w:val="center"/>
          </w:tcPr>
          <w:p w14:paraId="43ED72D3">
            <w:r>
              <w:rPr>
                <w:rFonts w:hint="eastAsia"/>
              </w:rPr>
              <w:t>1.显控系统支持自动检测输入源的信号类型，根据信号源类型和显示位置，自动配置信号源所在屏幕的显示场景模式；满足得1分，不满足不得分。</w:t>
            </w:r>
            <w:r>
              <w:rPr>
                <w:rFonts w:hint="eastAsia"/>
              </w:rPr>
              <w:br w:type="textWrapping"/>
            </w:r>
            <w:r>
              <w:rPr>
                <w:rFonts w:hint="eastAsia"/>
              </w:rPr>
              <w:t>2.显控系统支持通过自动识别屏幕的行列号信息，并能根据行列号信息，自动生成对应的电视墙规模和绑定输出口关系，避免手动一对一设置输出口和LCD屏幕的对应关系；满足得1分，不满足不得分。</w:t>
            </w:r>
            <w:r>
              <w:rPr>
                <w:rFonts w:hint="eastAsia"/>
              </w:rPr>
              <w:br w:type="textWrapping"/>
            </w:r>
            <w:r>
              <w:rPr>
                <w:b/>
                <w:bCs/>
              </w:rPr>
              <w:t>评分依据：投标文件中提供公安部检测证明，不提供不得分。</w:t>
            </w:r>
          </w:p>
        </w:tc>
        <w:tc>
          <w:tcPr>
            <w:tcW w:w="25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91F6BC">
            <w:r>
              <w:rPr>
                <w:rFonts w:hint="eastAsia"/>
              </w:rPr>
              <w:t>2</w:t>
            </w:r>
          </w:p>
        </w:tc>
      </w:tr>
      <w:tr w14:paraId="20EB5EB4">
        <w:tblPrEx>
          <w:tblCellMar>
            <w:top w:w="0" w:type="dxa"/>
            <w:left w:w="108" w:type="dxa"/>
            <w:bottom w:w="0" w:type="dxa"/>
            <w:right w:w="108" w:type="dxa"/>
          </w:tblCellMar>
        </w:tblPrEx>
        <w:trPr>
          <w:trHeight w:val="2160" w:hRule="atLeast"/>
        </w:trPr>
        <w:tc>
          <w:tcPr>
            <w:tcW w:w="394" w:type="pct"/>
            <w:tcBorders>
              <w:top w:val="single" w:color="000000" w:sz="4" w:space="0"/>
              <w:left w:val="single" w:color="000000" w:sz="4" w:space="0"/>
              <w:bottom w:val="single" w:color="auto" w:sz="4" w:space="0"/>
              <w:right w:val="single" w:color="000000" w:sz="4" w:space="0"/>
            </w:tcBorders>
            <w:shd w:val="clear" w:color="auto" w:fill="auto"/>
            <w:vAlign w:val="center"/>
          </w:tcPr>
          <w:p w14:paraId="238E3EE1">
            <w:r>
              <w:rPr>
                <w:rFonts w:hint="eastAsia"/>
              </w:rPr>
              <w:t>7</w:t>
            </w:r>
          </w:p>
        </w:tc>
        <w:tc>
          <w:tcPr>
            <w:tcW w:w="411" w:type="pct"/>
            <w:tcBorders>
              <w:top w:val="single" w:color="000000" w:sz="4" w:space="0"/>
              <w:left w:val="single" w:color="000000" w:sz="4" w:space="0"/>
              <w:bottom w:val="single" w:color="auto" w:sz="4" w:space="0"/>
              <w:right w:val="single" w:color="000000" w:sz="4" w:space="0"/>
            </w:tcBorders>
            <w:shd w:val="clear" w:color="auto" w:fill="auto"/>
            <w:vAlign w:val="center"/>
          </w:tcPr>
          <w:p w14:paraId="72D4FDA8">
            <w:r>
              <w:rPr>
                <w:rFonts w:hint="eastAsia"/>
              </w:rPr>
              <w:t>监控管理平台</w:t>
            </w:r>
          </w:p>
        </w:tc>
        <w:tc>
          <w:tcPr>
            <w:tcW w:w="3944" w:type="pct"/>
            <w:tcBorders>
              <w:top w:val="single" w:color="000000" w:sz="4" w:space="0"/>
              <w:left w:val="single" w:color="000000" w:sz="4" w:space="0"/>
              <w:bottom w:val="single" w:color="auto" w:sz="4" w:space="0"/>
              <w:right w:val="single" w:color="000000" w:sz="4" w:space="0"/>
            </w:tcBorders>
            <w:shd w:val="clear" w:color="auto" w:fill="auto"/>
            <w:vAlign w:val="center"/>
          </w:tcPr>
          <w:p w14:paraId="41B4B873">
            <w:r>
              <w:rPr>
                <w:rFonts w:hint="eastAsia"/>
              </w:rPr>
              <w:t>1.要求支持根据用户使用习惯自定义配置快捷功能入口，支持首页投放大屏展示，支持最近7天每日的用户活跃数统计；</w:t>
            </w:r>
            <w:r>
              <w:rPr>
                <w:rFonts w:hint="eastAsia"/>
                <w:b/>
                <w:bCs/>
              </w:rPr>
              <w:t>满足得1分，不满足不得分。</w:t>
            </w:r>
            <w:r>
              <w:rPr>
                <w:rFonts w:hint="eastAsia"/>
              </w:rPr>
              <w:br w:type="textWrapping"/>
            </w:r>
            <w:r>
              <w:rPr>
                <w:rFonts w:hint="eastAsia"/>
              </w:rPr>
              <w:t>2.要求支持多色彩（红、橙、黄）展示运行告警状态，支持告警统计、概览、处理，支持告警记录查看、查询，支持告警单条、批量处理；支持系统最近7天每日告警数统计，支持评分量化系统监控指数，显示系统运行状态；</w:t>
            </w:r>
            <w:r>
              <w:rPr>
                <w:b/>
                <w:bCs/>
              </w:rPr>
              <w:t>满足得1分，不满足不得分。</w:t>
            </w:r>
            <w:r>
              <w:rPr>
                <w:rFonts w:hint="eastAsia"/>
              </w:rPr>
              <w:br w:type="textWrapping"/>
            </w:r>
            <w:r>
              <w:rPr>
                <w:rFonts w:hint="eastAsia"/>
              </w:rPr>
              <w:t>3.要求支持以脸搜脸的多脸模式，上传一张图片中有多个人脸时，可对图片中的多个人脸一次识别后依次选择进行以脸搜脸，无需多次上传，人脸数最大不超过五个；</w:t>
            </w:r>
            <w:r>
              <w:rPr>
                <w:b/>
                <w:bCs/>
              </w:rPr>
              <w:t>满足得1分，不满足不得分。</w:t>
            </w:r>
            <w:r>
              <w:rPr>
                <w:rFonts w:hint="eastAsia"/>
              </w:rPr>
              <w:br w:type="textWrapping"/>
            </w:r>
            <w:r>
              <w:rPr>
                <w:rFonts w:hint="eastAsia"/>
              </w:rPr>
              <w:t>4.要求支持导航视图管理，对系统内各节点进行查看、增加、删除、修改，展示、查找；支持对系统内所有服务器进行监控，包括名称、IP地址、状态、未处理告警数、CPU使用率、内存使用率、磁盘容量、主机代理版等；支持对系统内所有组件信息进行监控，组件信息包含：组件名称、未处理告警数、所属服务器、最近操作时间、授权状态、维保期限、使用期限等；</w:t>
            </w:r>
            <w:r>
              <w:rPr>
                <w:b/>
                <w:bCs/>
              </w:rPr>
              <w:t>满足得1分，不满足不得分。</w:t>
            </w:r>
            <w:r>
              <w:rPr>
                <w:rFonts w:hint="eastAsia"/>
              </w:rPr>
              <w:br w:type="textWrapping"/>
            </w:r>
            <w:r>
              <w:rPr>
                <w:b/>
                <w:bCs/>
              </w:rPr>
              <w:t>评分依据：投标文件中提供公安部检测证明，不提供不得分。</w:t>
            </w:r>
          </w:p>
        </w:tc>
        <w:tc>
          <w:tcPr>
            <w:tcW w:w="250" w:type="pct"/>
            <w:tcBorders>
              <w:top w:val="single" w:color="000000" w:sz="4" w:space="0"/>
              <w:left w:val="single" w:color="000000" w:sz="4" w:space="0"/>
              <w:bottom w:val="single" w:color="auto" w:sz="4" w:space="0"/>
              <w:right w:val="single" w:color="000000" w:sz="4" w:space="0"/>
            </w:tcBorders>
            <w:shd w:val="clear" w:color="auto" w:fill="auto"/>
            <w:noWrap/>
            <w:vAlign w:val="center"/>
          </w:tcPr>
          <w:p w14:paraId="5FB0C17F">
            <w:r>
              <w:rPr>
                <w:rFonts w:hint="eastAsia"/>
              </w:rPr>
              <w:t>4</w:t>
            </w:r>
          </w:p>
        </w:tc>
      </w:tr>
      <w:tr w14:paraId="6895720F">
        <w:tblPrEx>
          <w:tblCellMar>
            <w:top w:w="0" w:type="dxa"/>
            <w:left w:w="108" w:type="dxa"/>
            <w:bottom w:w="0" w:type="dxa"/>
            <w:right w:w="108" w:type="dxa"/>
          </w:tblCellMar>
        </w:tblPrEx>
        <w:trPr>
          <w:trHeight w:val="407" w:hRule="atLeast"/>
        </w:trPr>
        <w:tc>
          <w:tcPr>
            <w:tcW w:w="394" w:type="pct"/>
            <w:tcBorders>
              <w:top w:val="single" w:color="auto" w:sz="4" w:space="0"/>
              <w:left w:val="single" w:color="auto" w:sz="4" w:space="0"/>
              <w:bottom w:val="single" w:color="auto" w:sz="4" w:space="0"/>
              <w:right w:val="single" w:color="000000" w:sz="4" w:space="0"/>
            </w:tcBorders>
            <w:shd w:val="clear" w:color="auto" w:fill="auto"/>
            <w:vAlign w:val="center"/>
          </w:tcPr>
          <w:p w14:paraId="67BE220A">
            <w:r>
              <w:rPr>
                <w:rFonts w:hint="eastAsia"/>
              </w:rPr>
              <w:t>8</w:t>
            </w:r>
          </w:p>
        </w:tc>
        <w:tc>
          <w:tcPr>
            <w:tcW w:w="411" w:type="pct"/>
            <w:tcBorders>
              <w:top w:val="single" w:color="auto" w:sz="4" w:space="0"/>
              <w:left w:val="single" w:color="000000" w:sz="4" w:space="0"/>
              <w:bottom w:val="single" w:color="auto" w:sz="4" w:space="0"/>
              <w:right w:val="single" w:color="000000" w:sz="4" w:space="0"/>
            </w:tcBorders>
            <w:shd w:val="clear" w:color="auto" w:fill="auto"/>
            <w:vAlign w:val="center"/>
          </w:tcPr>
          <w:p w14:paraId="3194BD92">
            <w:r>
              <w:rPr>
                <w:rFonts w:hint="eastAsia"/>
              </w:rPr>
              <w:t>边缘计算主机</w:t>
            </w:r>
          </w:p>
        </w:tc>
        <w:tc>
          <w:tcPr>
            <w:tcW w:w="3944" w:type="pct"/>
            <w:tcBorders>
              <w:top w:val="single" w:color="auto" w:sz="4" w:space="0"/>
              <w:left w:val="single" w:color="000000" w:sz="4" w:space="0"/>
              <w:bottom w:val="single" w:color="auto" w:sz="4" w:space="0"/>
              <w:right w:val="single" w:color="000000" w:sz="4" w:space="0"/>
            </w:tcBorders>
            <w:shd w:val="clear" w:color="auto" w:fill="auto"/>
            <w:vAlign w:val="bottom"/>
          </w:tcPr>
          <w:p w14:paraId="1EDEEAB0">
            <w:r>
              <w:rPr>
                <w:rFonts w:hint="eastAsia"/>
              </w:rPr>
              <w:t>1.可接入非智能IPC、人脸抓拍机、客流相机实现客流统计功能；</w:t>
            </w:r>
            <w:r>
              <w:rPr>
                <w:b/>
                <w:bCs/>
              </w:rPr>
              <w:t>满足得1分，不满足不得分。</w:t>
            </w:r>
            <w:r>
              <w:rPr>
                <w:rFonts w:hint="eastAsia"/>
              </w:rPr>
              <w:br w:type="textWrapping"/>
            </w:r>
            <w:r>
              <w:rPr>
                <w:rFonts w:hint="eastAsia"/>
              </w:rPr>
              <w:t>2.支持音频设备与视频设备独立管理，支持网络拾音器的接入、校时； 最大支持16路音频设备管理；</w:t>
            </w:r>
            <w:r>
              <w:rPr>
                <w:b/>
                <w:bCs/>
              </w:rPr>
              <w:t>满足得1分，不满足不得分。</w:t>
            </w:r>
            <w:r>
              <w:rPr>
                <w:rFonts w:hint="eastAsia"/>
              </w:rPr>
              <w:br w:type="textWrapping"/>
            </w:r>
            <w:r>
              <w:rPr>
                <w:rFonts w:hint="eastAsia"/>
              </w:rPr>
              <w:t>3.可手动预标定楼层，报警后自动匹配显示画面中疑似抛物的楼层信息；</w:t>
            </w:r>
            <w:r>
              <w:rPr>
                <w:b/>
                <w:bCs/>
              </w:rPr>
              <w:t>满足得1分，不满足不得分。</w:t>
            </w:r>
            <w:r>
              <w:rPr>
                <w:rFonts w:hint="eastAsia"/>
              </w:rPr>
              <w:br w:type="textWrapping"/>
            </w:r>
            <w:r>
              <w:rPr>
                <w:rFonts w:hint="eastAsia"/>
              </w:rPr>
              <w:t>4.支持音视频动态调整组合分配功能，可将任一路音频与任一路视频组合成复合流编码；</w:t>
            </w:r>
            <w:r>
              <w:rPr>
                <w:b/>
                <w:bCs/>
              </w:rPr>
              <w:t>满足得1分，不满足不得分。</w:t>
            </w:r>
            <w:r>
              <w:rPr>
                <w:rFonts w:hint="eastAsia"/>
              </w:rPr>
              <w:br w:type="textWrapping"/>
            </w:r>
            <w:r>
              <w:rPr>
                <w:rFonts w:hint="eastAsia"/>
              </w:rPr>
              <w:t>5.可实现高空抛物检测区域的隐私保护，自动过滤屏蔽区域内的抛物目标，支持设置最多8个隐私遮蔽区域；</w:t>
            </w:r>
            <w:r>
              <w:rPr>
                <w:b/>
                <w:bCs/>
              </w:rPr>
              <w:t>满足得1分，不满足不得分。</w:t>
            </w:r>
            <w:r>
              <w:rPr>
                <w:rFonts w:hint="eastAsia"/>
              </w:rPr>
              <w:br w:type="textWrapping"/>
            </w:r>
            <w:r>
              <w:rPr>
                <w:rFonts w:hint="eastAsia"/>
              </w:rPr>
              <w:t>6.支持报警事件、异常事件计数提醒功能，以图标形式在监控界面上提醒用户，异常事件包括硬盘满、硬盘错误、网络断开、IP 冲突、非法访问、视频信号丢失、录像/抓图异常、IP 通道冲突、热备异常、子码流分辨率/码率超限、配件板异常、硬盘高温异常、硬盘低温异常、硬盘坏块异常、硬盘撞击异常、硬盘严重故障异常、无码流异常等；</w:t>
            </w:r>
            <w:r>
              <w:rPr>
                <w:b/>
                <w:bCs/>
              </w:rPr>
              <w:t>满足得1分，不满足不得分。</w:t>
            </w:r>
            <w:r>
              <w:rPr>
                <w:rFonts w:hint="eastAsia"/>
              </w:rPr>
              <w:br w:type="textWrapping"/>
            </w:r>
            <w:r>
              <w:rPr>
                <w:rFonts w:hint="eastAsia"/>
              </w:rPr>
              <w:t>7.支持多通道自由分组，可根据IPC点位部署的物理位置动态调整客流统计分组，同一个IPC点位支持被不同分组使用；最大支持4个客流组，每个客流组最大支持16个IPC；满足得1分，不满足不得分。</w:t>
            </w:r>
            <w:r>
              <w:rPr>
                <w:rFonts w:hint="eastAsia"/>
              </w:rPr>
              <w:br w:type="textWrapping"/>
            </w:r>
            <w:r>
              <w:rPr>
                <w:b/>
                <w:bCs/>
              </w:rPr>
              <w:t>评分依据：投标文件中提供公安部检测证明，不提供不得分。</w:t>
            </w:r>
          </w:p>
        </w:tc>
        <w:tc>
          <w:tcPr>
            <w:tcW w:w="250" w:type="pct"/>
            <w:tcBorders>
              <w:top w:val="single" w:color="auto" w:sz="4" w:space="0"/>
              <w:left w:val="single" w:color="000000" w:sz="4" w:space="0"/>
              <w:bottom w:val="single" w:color="auto" w:sz="4" w:space="0"/>
              <w:right w:val="single" w:color="auto" w:sz="4" w:space="0"/>
            </w:tcBorders>
            <w:shd w:val="clear" w:color="auto" w:fill="auto"/>
            <w:noWrap/>
            <w:vAlign w:val="center"/>
          </w:tcPr>
          <w:p w14:paraId="3DE73700">
            <w:r>
              <w:rPr>
                <w:rFonts w:hint="eastAsia"/>
              </w:rPr>
              <w:t>7</w:t>
            </w:r>
          </w:p>
        </w:tc>
      </w:tr>
      <w:tr w14:paraId="7B5CAE45">
        <w:tblPrEx>
          <w:tblCellMar>
            <w:top w:w="0" w:type="dxa"/>
            <w:left w:w="108" w:type="dxa"/>
            <w:bottom w:w="0" w:type="dxa"/>
            <w:right w:w="108" w:type="dxa"/>
          </w:tblCellMar>
        </w:tblPrEx>
        <w:trPr>
          <w:trHeight w:val="480" w:hRule="atLeast"/>
        </w:trPr>
        <w:tc>
          <w:tcPr>
            <w:tcW w:w="394" w:type="pct"/>
            <w:tcBorders>
              <w:top w:val="single" w:color="auto" w:sz="4" w:space="0"/>
              <w:left w:val="single" w:color="000000" w:sz="4" w:space="0"/>
              <w:bottom w:val="single" w:color="000000" w:sz="4" w:space="0"/>
              <w:right w:val="single" w:color="000000" w:sz="4" w:space="0"/>
            </w:tcBorders>
            <w:shd w:val="clear" w:color="auto" w:fill="auto"/>
            <w:vAlign w:val="center"/>
          </w:tcPr>
          <w:p w14:paraId="6FD327F1">
            <w:r>
              <w:rPr>
                <w:rFonts w:hint="eastAsia"/>
              </w:rPr>
              <w:t>9</w:t>
            </w:r>
          </w:p>
        </w:tc>
        <w:tc>
          <w:tcPr>
            <w:tcW w:w="411" w:type="pct"/>
            <w:tcBorders>
              <w:top w:val="single" w:color="auto" w:sz="4" w:space="0"/>
              <w:left w:val="single" w:color="000000" w:sz="4" w:space="0"/>
              <w:bottom w:val="single" w:color="000000" w:sz="4" w:space="0"/>
              <w:right w:val="single" w:color="000000" w:sz="4" w:space="0"/>
            </w:tcBorders>
            <w:shd w:val="clear" w:color="auto" w:fill="auto"/>
            <w:vAlign w:val="center"/>
          </w:tcPr>
          <w:p w14:paraId="74028234">
            <w:r>
              <w:rPr>
                <w:rFonts w:hint="eastAsia"/>
              </w:rPr>
              <w:t>时钟管理系统</w:t>
            </w:r>
          </w:p>
        </w:tc>
        <w:tc>
          <w:tcPr>
            <w:tcW w:w="3944" w:type="pct"/>
            <w:tcBorders>
              <w:top w:val="single" w:color="auto" w:sz="4" w:space="0"/>
              <w:left w:val="single" w:color="000000" w:sz="4" w:space="0"/>
              <w:bottom w:val="single" w:color="000000" w:sz="4" w:space="0"/>
              <w:right w:val="single" w:color="000000" w:sz="4" w:space="0"/>
            </w:tcBorders>
            <w:shd w:val="clear" w:color="auto" w:fill="auto"/>
            <w:vAlign w:val="bottom"/>
          </w:tcPr>
          <w:p w14:paraId="16AB6CD1">
            <w:r>
              <w:rPr>
                <w:rFonts w:hint="eastAsia"/>
              </w:rPr>
              <w:t>1.具有时钟系统管理软件计算机软件著作权登记证书。</w:t>
            </w:r>
            <w:r>
              <w:rPr>
                <w:b/>
                <w:bCs/>
              </w:rPr>
              <w:t>满足得1分，不满足不得分。</w:t>
            </w:r>
            <w:r>
              <w:br w:type="textWrapping"/>
            </w:r>
            <w:r>
              <w:rPr>
                <w:b/>
                <w:bCs/>
              </w:rPr>
              <w:t>评分依据：投标文件中提供证书复印件并加盖制造商公章</w:t>
            </w:r>
          </w:p>
        </w:tc>
        <w:tc>
          <w:tcPr>
            <w:tcW w:w="250" w:type="pct"/>
            <w:tcBorders>
              <w:top w:val="single" w:color="auto" w:sz="4" w:space="0"/>
              <w:left w:val="single" w:color="000000" w:sz="4" w:space="0"/>
              <w:bottom w:val="single" w:color="000000" w:sz="4" w:space="0"/>
              <w:right w:val="single" w:color="000000" w:sz="4" w:space="0"/>
            </w:tcBorders>
            <w:shd w:val="clear" w:color="auto" w:fill="auto"/>
            <w:noWrap/>
            <w:vAlign w:val="center"/>
          </w:tcPr>
          <w:p w14:paraId="20BD4B45">
            <w:r>
              <w:rPr>
                <w:rFonts w:hint="eastAsia"/>
              </w:rPr>
              <w:t>1</w:t>
            </w:r>
          </w:p>
        </w:tc>
      </w:tr>
      <w:tr w14:paraId="6815F41A">
        <w:tblPrEx>
          <w:tblCellMar>
            <w:top w:w="0" w:type="dxa"/>
            <w:left w:w="108" w:type="dxa"/>
            <w:bottom w:w="0" w:type="dxa"/>
            <w:right w:w="108" w:type="dxa"/>
          </w:tblCellMar>
        </w:tblPrEx>
        <w:trPr>
          <w:trHeight w:val="900" w:hRule="atLeast"/>
        </w:trPr>
        <w:tc>
          <w:tcPr>
            <w:tcW w:w="3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95322B">
            <w:r>
              <w:rPr>
                <w:rFonts w:hint="eastAsia"/>
              </w:rPr>
              <w:t>10</w:t>
            </w:r>
          </w:p>
        </w:tc>
        <w:tc>
          <w:tcPr>
            <w:tcW w:w="4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905BE0">
            <w:r>
              <w:rPr>
                <w:rFonts w:hint="eastAsia"/>
              </w:rPr>
              <w:t>NTP标准时间授时服务器</w:t>
            </w:r>
          </w:p>
        </w:tc>
        <w:tc>
          <w:tcPr>
            <w:tcW w:w="394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77DF3C">
            <w:r>
              <w:rPr>
                <w:rFonts w:hint="eastAsia"/>
              </w:rPr>
              <w:t>1.所投产品需通过：高温（GB/T 2423.2-2008）、低温（GB/T 2423.1-2008）、射频电磁场辐射抗扰度（GB/T 17626.3-2016）、恒定湿热（GB/T 2423.3-2016）、家用和类似用途电器安全（GB/T 4706.1-2005）同一份报告5项检测。</w:t>
            </w:r>
            <w:r>
              <w:rPr>
                <w:b/>
                <w:bCs/>
              </w:rPr>
              <w:t>满足得1分，不满足不得分。</w:t>
            </w:r>
            <w:r>
              <w:rPr>
                <w:b/>
                <w:bCs/>
              </w:rPr>
              <w:br w:type="textWrapping"/>
            </w:r>
            <w:r>
              <w:rPr>
                <w:b/>
                <w:bCs/>
              </w:rPr>
              <w:t>评分依据：投标文件中提供具有CMA、CNAS和ilac·MRA标志的产品质量检验机构出具的检验报告复印件，并加盖制造商公章</w:t>
            </w:r>
          </w:p>
        </w:tc>
        <w:tc>
          <w:tcPr>
            <w:tcW w:w="25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48BE6B">
            <w:r>
              <w:rPr>
                <w:rFonts w:hint="eastAsia"/>
              </w:rPr>
              <w:t>1</w:t>
            </w:r>
          </w:p>
        </w:tc>
      </w:tr>
      <w:tr w14:paraId="507F2B29">
        <w:tblPrEx>
          <w:tblCellMar>
            <w:top w:w="0" w:type="dxa"/>
            <w:left w:w="108" w:type="dxa"/>
            <w:bottom w:w="0" w:type="dxa"/>
            <w:right w:w="108" w:type="dxa"/>
          </w:tblCellMar>
        </w:tblPrEx>
        <w:trPr>
          <w:trHeight w:val="720" w:hRule="atLeast"/>
        </w:trPr>
        <w:tc>
          <w:tcPr>
            <w:tcW w:w="3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90CED9">
            <w:r>
              <w:rPr>
                <w:rFonts w:hint="eastAsia"/>
              </w:rPr>
              <w:t>11</w:t>
            </w:r>
          </w:p>
        </w:tc>
        <w:tc>
          <w:tcPr>
            <w:tcW w:w="4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1F20C6">
            <w:r>
              <w:rPr>
                <w:rFonts w:hint="eastAsia"/>
              </w:rPr>
              <w:t>双面3+1寸日历子钟</w:t>
            </w:r>
          </w:p>
        </w:tc>
        <w:tc>
          <w:tcPr>
            <w:tcW w:w="394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E8EC62">
            <w:r>
              <w:rPr>
                <w:rFonts w:hint="eastAsia"/>
              </w:rPr>
              <w:t>1.所投产品需通过：高温（GB/T 2423.2-2008）、低温（GB/T 2423.1-2008）、射频电磁场辐射抗扰度（GB/T 17626.3-2016）、恒定湿热（GB/T 2423.3-2016）、家用和类似用途电器安全（GB/T 4706.1-2005）同一份报告5项检测。</w:t>
            </w:r>
            <w:r>
              <w:rPr>
                <w:b/>
                <w:bCs/>
              </w:rPr>
              <w:t>满足得1分，不满足不得分。</w:t>
            </w:r>
            <w:r>
              <w:rPr>
                <w:b/>
                <w:bCs/>
              </w:rPr>
              <w:br w:type="textWrapping"/>
            </w:r>
            <w:r>
              <w:rPr>
                <w:b/>
                <w:bCs/>
              </w:rPr>
              <w:t>评分依据：投标文件中提供具有CMA、CNAS和ilac·MRA标志的产品质量检验机构出具的检验报告复印件，并加盖制造商公章</w:t>
            </w:r>
          </w:p>
        </w:tc>
        <w:tc>
          <w:tcPr>
            <w:tcW w:w="25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182C88">
            <w:r>
              <w:rPr>
                <w:rFonts w:hint="eastAsia"/>
              </w:rPr>
              <w:t>1</w:t>
            </w:r>
          </w:p>
        </w:tc>
      </w:tr>
      <w:tr w14:paraId="4858E671">
        <w:tblPrEx>
          <w:tblCellMar>
            <w:top w:w="0" w:type="dxa"/>
            <w:left w:w="108" w:type="dxa"/>
            <w:bottom w:w="0" w:type="dxa"/>
            <w:right w:w="108" w:type="dxa"/>
          </w:tblCellMar>
        </w:tblPrEx>
        <w:trPr>
          <w:trHeight w:val="1200" w:hRule="atLeast"/>
        </w:trPr>
        <w:tc>
          <w:tcPr>
            <w:tcW w:w="3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2C30AB">
            <w:r>
              <w:rPr>
                <w:rFonts w:hint="eastAsia"/>
              </w:rPr>
              <w:t>12</w:t>
            </w:r>
          </w:p>
        </w:tc>
        <w:tc>
          <w:tcPr>
            <w:tcW w:w="4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BE687E">
            <w:r>
              <w:rPr>
                <w:rFonts w:hint="eastAsia"/>
              </w:rPr>
              <w:t>护士站分诊台软件</w:t>
            </w:r>
          </w:p>
        </w:tc>
        <w:tc>
          <w:tcPr>
            <w:tcW w:w="3944" w:type="pct"/>
            <w:tcBorders>
              <w:top w:val="single" w:color="000000" w:sz="4" w:space="0"/>
              <w:left w:val="single" w:color="000000" w:sz="4" w:space="0"/>
              <w:bottom w:val="nil"/>
              <w:right w:val="single" w:color="000000" w:sz="4" w:space="0"/>
            </w:tcBorders>
            <w:shd w:val="clear" w:color="auto" w:fill="auto"/>
            <w:vAlign w:val="bottom"/>
          </w:tcPr>
          <w:p w14:paraId="1F952FCB">
            <w:r>
              <w:rPr>
                <w:rFonts w:hint="eastAsia"/>
              </w:rPr>
              <w:t>1.分诊台管理可以对医生/叫号器队列管理、报到/分诊管理、医生信息管理、广播管理、设备管理。</w:t>
            </w:r>
            <w:r>
              <w:rPr>
                <w:b/>
                <w:bCs/>
              </w:rPr>
              <w:t>满足得1分，不满足不得分。（评分依据：投标文件中须提供具有CMA或CNAS标志的产品质量检验机构出具的检验报告复印件，并加盖制造商公章）</w:t>
            </w:r>
            <w:r>
              <w:rPr>
                <w:rFonts w:hint="eastAsia"/>
              </w:rPr>
              <w:br w:type="textWrapping"/>
            </w:r>
            <w:r>
              <w:rPr>
                <w:rFonts w:hint="eastAsia"/>
              </w:rPr>
              <w:t>2.可以对当日医生或检查室进行排班。</w:t>
            </w:r>
            <w:r>
              <w:rPr>
                <w:b/>
                <w:bCs/>
              </w:rPr>
              <w:t>满足得1分，不满足不得分。（评分依据：投标文件中须提供具有CMA或CNAS标志的产品质量检验机构出具的检验报告复印件，并加盖制造商公章）</w:t>
            </w:r>
            <w:r>
              <w:rPr>
                <w:rFonts w:hint="eastAsia"/>
              </w:rPr>
              <w:br w:type="textWrapping"/>
            </w:r>
            <w:r>
              <w:rPr>
                <w:rFonts w:hint="eastAsia"/>
              </w:rPr>
              <w:t>3.分诊台管理软件具有计算机软件著作权登记证书。</w:t>
            </w:r>
            <w:r>
              <w:rPr>
                <w:b/>
                <w:bCs/>
              </w:rPr>
              <w:t>满足得1分，不满足不得分。（评分依据：投标文件中须提供证书复印件并加盖制造商公章）</w:t>
            </w:r>
          </w:p>
        </w:tc>
        <w:tc>
          <w:tcPr>
            <w:tcW w:w="25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806917">
            <w:r>
              <w:rPr>
                <w:rFonts w:hint="eastAsia"/>
              </w:rPr>
              <w:t>3</w:t>
            </w:r>
          </w:p>
        </w:tc>
      </w:tr>
      <w:tr w14:paraId="616CD49C">
        <w:tblPrEx>
          <w:tblCellMar>
            <w:top w:w="0" w:type="dxa"/>
            <w:left w:w="108" w:type="dxa"/>
            <w:bottom w:w="0" w:type="dxa"/>
            <w:right w:w="108" w:type="dxa"/>
          </w:tblCellMar>
        </w:tblPrEx>
        <w:trPr>
          <w:trHeight w:val="1200" w:hRule="atLeast"/>
        </w:trPr>
        <w:tc>
          <w:tcPr>
            <w:tcW w:w="3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BB39E0">
            <w:r>
              <w:rPr>
                <w:rFonts w:hint="eastAsia"/>
              </w:rPr>
              <w:t>13</w:t>
            </w:r>
          </w:p>
        </w:tc>
        <w:tc>
          <w:tcPr>
            <w:tcW w:w="4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6CB1DE">
            <w:r>
              <w:rPr>
                <w:rFonts w:hint="eastAsia"/>
              </w:rPr>
              <w:t>医护虚拟叫号软件</w:t>
            </w:r>
          </w:p>
        </w:tc>
        <w:tc>
          <w:tcPr>
            <w:tcW w:w="3944" w:type="pct"/>
            <w:tcBorders>
              <w:top w:val="single" w:color="000000" w:sz="4" w:space="0"/>
              <w:left w:val="single" w:color="000000" w:sz="4" w:space="0"/>
              <w:bottom w:val="single" w:color="auto" w:sz="4" w:space="0"/>
              <w:right w:val="single" w:color="000000" w:sz="4" w:space="0"/>
            </w:tcBorders>
            <w:shd w:val="clear" w:color="auto" w:fill="auto"/>
            <w:vAlign w:val="bottom"/>
          </w:tcPr>
          <w:p w14:paraId="2E7520E9">
            <w:r>
              <w:rPr>
                <w:rFonts w:hint="eastAsia"/>
              </w:rPr>
              <w:t>1.可以在诊室呼叫终端上设置服务器IP 地址、服务器端口号、呼叫器所属科室/诊室。</w:t>
            </w:r>
            <w:r>
              <w:rPr>
                <w:b/>
                <w:bCs/>
              </w:rPr>
              <w:t>满足得1分，不满足不得分。（评分依据：投标文件中须提供具有CMA或CNAS标志的产品质量检验机构出具的检验报告复印件，并加盖制造商公章）</w:t>
            </w:r>
            <w:r>
              <w:rPr>
                <w:rFonts w:hint="eastAsia"/>
              </w:rPr>
              <w:br w:type="textWrapping"/>
            </w:r>
            <w:r>
              <w:rPr>
                <w:rFonts w:hint="eastAsia"/>
              </w:rPr>
              <w:t>2.可以悬浮窗效果展示、只显示当前呼叫信息、下一位等待患者信息、诊结按钮、过号按钮、顺呼按钮、过号按钮。</w:t>
            </w:r>
            <w:r>
              <w:rPr>
                <w:b/>
                <w:bCs/>
              </w:rPr>
              <w:t>满足得1分，不满足不得分。（评分依据：投标文件中须提供具有CMA或CNAS标志的产品质量检验机构出具的检验报告复印件，并加盖制造商公章）</w:t>
            </w:r>
            <w:r>
              <w:rPr>
                <w:rFonts w:hint="eastAsia"/>
              </w:rPr>
              <w:br w:type="textWrapping"/>
            </w:r>
            <w:r>
              <w:rPr>
                <w:rFonts w:hint="eastAsia"/>
              </w:rPr>
              <w:t>3.叫号器客户端软件具有计算机软件著作权登记证书。</w:t>
            </w:r>
            <w:r>
              <w:rPr>
                <w:b/>
                <w:bCs/>
              </w:rPr>
              <w:t>满足得1分，不满足不得分。（评分依据：投标文件中须提供证书复印件并加盖制造商公章）</w:t>
            </w:r>
          </w:p>
        </w:tc>
        <w:tc>
          <w:tcPr>
            <w:tcW w:w="25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6971A1">
            <w:r>
              <w:rPr>
                <w:rFonts w:hint="eastAsia"/>
              </w:rPr>
              <w:t>3</w:t>
            </w:r>
          </w:p>
        </w:tc>
      </w:tr>
      <w:tr w14:paraId="10A4E8B3">
        <w:tblPrEx>
          <w:tblCellMar>
            <w:top w:w="0" w:type="dxa"/>
            <w:left w:w="108" w:type="dxa"/>
            <w:bottom w:w="0" w:type="dxa"/>
            <w:right w:w="108" w:type="dxa"/>
          </w:tblCellMar>
        </w:tblPrEx>
        <w:trPr>
          <w:trHeight w:val="787" w:hRule="atLeast"/>
        </w:trPr>
        <w:tc>
          <w:tcPr>
            <w:tcW w:w="3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7E10DB">
            <w:r>
              <w:rPr>
                <w:rFonts w:hint="eastAsia"/>
              </w:rPr>
              <w:t>14</w:t>
            </w:r>
          </w:p>
        </w:tc>
        <w:tc>
          <w:tcPr>
            <w:tcW w:w="411" w:type="pct"/>
            <w:tcBorders>
              <w:top w:val="single" w:color="000000" w:sz="4" w:space="0"/>
              <w:left w:val="single" w:color="000000" w:sz="4" w:space="0"/>
              <w:bottom w:val="single" w:color="000000" w:sz="4" w:space="0"/>
              <w:right w:val="single" w:color="auto" w:sz="4" w:space="0"/>
            </w:tcBorders>
            <w:shd w:val="clear" w:color="auto" w:fill="auto"/>
            <w:vAlign w:val="center"/>
          </w:tcPr>
          <w:p w14:paraId="02B1A509">
            <w:r>
              <w:rPr>
                <w:rFonts w:hint="eastAsia"/>
              </w:rPr>
              <w:t>导医分诊系统软件</w:t>
            </w:r>
          </w:p>
        </w:tc>
        <w:tc>
          <w:tcPr>
            <w:tcW w:w="3944" w:type="pct"/>
            <w:tcBorders>
              <w:top w:val="single" w:color="auto" w:sz="4" w:space="0"/>
              <w:left w:val="single" w:color="auto" w:sz="4" w:space="0"/>
              <w:bottom w:val="single" w:color="auto" w:sz="4" w:space="0"/>
              <w:right w:val="single" w:color="auto" w:sz="4" w:space="0"/>
            </w:tcBorders>
            <w:shd w:val="clear" w:color="auto" w:fill="auto"/>
            <w:vAlign w:val="bottom"/>
          </w:tcPr>
          <w:p w14:paraId="1B064C20">
            <w:r>
              <w:rPr>
                <w:rFonts w:hint="eastAsia"/>
              </w:rPr>
              <w:t>1.可以选择按预约时间排队、按挂号系统提供的排队号排队、按挂号时间排队、按报到时间排队。</w:t>
            </w:r>
            <w:r>
              <w:rPr>
                <w:b/>
                <w:bCs/>
              </w:rPr>
              <w:t>满足得1分，不满足不得分。（评分依据：投标文件中须提供具有CMA或CNAS标志的产品质量检验机构出具的检验报告复印件，并加盖制造商公章）</w:t>
            </w:r>
            <w:r>
              <w:rPr>
                <w:rFonts w:hint="eastAsia"/>
              </w:rPr>
              <w:br w:type="textWrapping"/>
            </w:r>
            <w:r>
              <w:rPr>
                <w:rFonts w:hint="eastAsia"/>
              </w:rPr>
              <w:t>2.系统可对接医院微信公众号，为推送到号提醒和在线查询排队进度提供数据支持。</w:t>
            </w:r>
            <w:r>
              <w:rPr>
                <w:b/>
                <w:bCs/>
              </w:rPr>
              <w:t>满足得1分，不满足不得分。（评分依据：投标文件中须提供具有CMA或CNAS标志的产品质量检验机构出具的检验报告复印件，并加盖制造商公章）</w:t>
            </w:r>
            <w:r>
              <w:rPr>
                <w:rFonts w:hint="eastAsia"/>
              </w:rPr>
              <w:br w:type="textWrapping"/>
            </w:r>
            <w:r>
              <w:rPr>
                <w:rFonts w:hint="eastAsia"/>
              </w:rPr>
              <w:t>3.智能导医分诊系统管理软件具有计算机软件著作权登记证书。</w:t>
            </w:r>
            <w:r>
              <w:rPr>
                <w:b/>
                <w:bCs/>
              </w:rPr>
              <w:t>满足得1分，不满足不得分。（评分依据：投标文件中须提供证书复印件并加盖制造商公章）</w:t>
            </w:r>
          </w:p>
        </w:tc>
        <w:tc>
          <w:tcPr>
            <w:tcW w:w="250" w:type="pct"/>
            <w:tcBorders>
              <w:top w:val="single" w:color="000000" w:sz="4" w:space="0"/>
              <w:left w:val="single" w:color="auto" w:sz="4" w:space="0"/>
              <w:bottom w:val="single" w:color="000000" w:sz="4" w:space="0"/>
              <w:right w:val="single" w:color="000000" w:sz="4" w:space="0"/>
            </w:tcBorders>
            <w:shd w:val="clear" w:color="auto" w:fill="auto"/>
            <w:noWrap/>
            <w:vAlign w:val="center"/>
          </w:tcPr>
          <w:p w14:paraId="5340DCEB">
            <w:r>
              <w:rPr>
                <w:rFonts w:hint="eastAsia"/>
              </w:rPr>
              <w:t>3</w:t>
            </w:r>
          </w:p>
        </w:tc>
      </w:tr>
      <w:tr w14:paraId="2599C32F">
        <w:tblPrEx>
          <w:tblCellMar>
            <w:top w:w="0" w:type="dxa"/>
            <w:left w:w="108" w:type="dxa"/>
            <w:bottom w:w="0" w:type="dxa"/>
            <w:right w:w="108" w:type="dxa"/>
          </w:tblCellMar>
        </w:tblPrEx>
        <w:trPr>
          <w:trHeight w:val="960" w:hRule="atLeast"/>
        </w:trPr>
        <w:tc>
          <w:tcPr>
            <w:tcW w:w="3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01DE95">
            <w:r>
              <w:rPr>
                <w:rFonts w:hint="eastAsia"/>
              </w:rPr>
              <w:t>15</w:t>
            </w:r>
          </w:p>
        </w:tc>
        <w:tc>
          <w:tcPr>
            <w:tcW w:w="4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25ECEE">
            <w:r>
              <w:rPr>
                <w:rFonts w:hint="eastAsia"/>
              </w:rPr>
              <w:t>多媒体信息发布系统</w:t>
            </w:r>
          </w:p>
        </w:tc>
        <w:tc>
          <w:tcPr>
            <w:tcW w:w="3944" w:type="pct"/>
            <w:tcBorders>
              <w:top w:val="single" w:color="auto" w:sz="4" w:space="0"/>
              <w:left w:val="single" w:color="000000" w:sz="4" w:space="0"/>
              <w:bottom w:val="nil"/>
              <w:right w:val="single" w:color="000000" w:sz="4" w:space="0"/>
            </w:tcBorders>
            <w:shd w:val="clear" w:color="auto" w:fill="auto"/>
            <w:vAlign w:val="bottom"/>
          </w:tcPr>
          <w:p w14:paraId="55AC328B">
            <w:r>
              <w:rPr>
                <w:rFonts w:hint="eastAsia"/>
              </w:rPr>
              <w:t>1.可远程终端系统升级，远程截屏，远程调节声音大小，远程开关机，远程查看设备在线状态。</w:t>
            </w:r>
            <w:r>
              <w:rPr>
                <w:b/>
                <w:bCs/>
              </w:rPr>
              <w:t>满足得1分，不满足不得分。（评分依据：投标文件中须提供具有CMA或CNAS标志的产品质量检验机构出具的检验报告复印件，并加盖制造商公章）</w:t>
            </w:r>
            <w:r>
              <w:rPr>
                <w:rFonts w:hint="eastAsia"/>
              </w:rPr>
              <w:br w:type="textWrapping"/>
            </w:r>
            <w:r>
              <w:rPr>
                <w:rFonts w:hint="eastAsia"/>
              </w:rPr>
              <w:t>2.节目更新过程中，原节目界面不变正常播放，节目更新完后才自动切换成新节目内容；以前节目自动清零。</w:t>
            </w:r>
            <w:r>
              <w:rPr>
                <w:b/>
                <w:bCs/>
              </w:rPr>
              <w:t>满足得1分，不满足不得分。（评分依据：投标文件中须提供具有CMA或CNAS标志的产品质量检验机构出具的检验报告复印件，并加盖制造商公章）</w:t>
            </w:r>
          </w:p>
        </w:tc>
        <w:tc>
          <w:tcPr>
            <w:tcW w:w="25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BB1CFA">
            <w:r>
              <w:rPr>
                <w:rFonts w:hint="eastAsia"/>
              </w:rPr>
              <w:t>2</w:t>
            </w:r>
          </w:p>
        </w:tc>
      </w:tr>
      <w:tr w14:paraId="13F434CB">
        <w:tblPrEx>
          <w:tblCellMar>
            <w:top w:w="0" w:type="dxa"/>
            <w:left w:w="108" w:type="dxa"/>
            <w:bottom w:w="0" w:type="dxa"/>
            <w:right w:w="108" w:type="dxa"/>
          </w:tblCellMar>
        </w:tblPrEx>
        <w:trPr>
          <w:trHeight w:val="1680" w:hRule="atLeast"/>
        </w:trPr>
        <w:tc>
          <w:tcPr>
            <w:tcW w:w="3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0F45EA">
            <w:r>
              <w:rPr>
                <w:rFonts w:hint="eastAsia"/>
              </w:rPr>
              <w:t>16</w:t>
            </w:r>
          </w:p>
        </w:tc>
        <w:tc>
          <w:tcPr>
            <w:tcW w:w="4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7528C9">
            <w:r>
              <w:rPr>
                <w:rFonts w:hint="eastAsia"/>
              </w:rPr>
              <w:t>医技排队软件</w:t>
            </w:r>
          </w:p>
        </w:tc>
        <w:tc>
          <w:tcPr>
            <w:tcW w:w="394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4A2712">
            <w:pPr>
              <w:numPr>
                <w:ilvl w:val="0"/>
                <w:numId w:val="18"/>
              </w:numPr>
              <w:rPr>
                <w:b/>
                <w:bCs/>
              </w:rPr>
            </w:pPr>
            <w:r>
              <w:rPr>
                <w:rFonts w:hint="eastAsia"/>
              </w:rPr>
              <w:t>支持和现有PACS管理系统共有一个分诊台管理软件、检查患者在登记窗口登记后无需再登陆一套分诊台管理软件重复操作。</w:t>
            </w:r>
            <w:r>
              <w:rPr>
                <w:b/>
                <w:bCs/>
              </w:rPr>
              <w:t>满足得1分，不满足不得分。（评分依据：投标文件中提供具有CMA或CNAS标志的产品质量检验机构出具的检验报告复印件，并加盖制造商公章）</w:t>
            </w:r>
            <w:r>
              <w:rPr>
                <w:rFonts w:hint="eastAsia"/>
              </w:rPr>
              <w:br w:type="textWrapping"/>
            </w:r>
            <w:r>
              <w:rPr>
                <w:rFonts w:hint="eastAsia"/>
              </w:rPr>
              <w:t>2.当不满足检查患者检查时可对当前患者挂起操作、当满足条件后可通过分诊台登记后自动激活、恢复到正常排队等候队列。</w:t>
            </w:r>
            <w:r>
              <w:rPr>
                <w:b/>
                <w:bCs/>
              </w:rPr>
              <w:t>满足得1分，不满足不得分。（评分依据：投标文件中提供具有CMA或CNAS标志的产品质量检验机构出具的检验报告复印件，并加盖制造商公章）</w:t>
            </w:r>
            <w:r>
              <w:rPr>
                <w:rFonts w:hint="eastAsia"/>
              </w:rPr>
              <w:br w:type="textWrapping"/>
            </w:r>
            <w:r>
              <w:rPr>
                <w:rFonts w:hint="eastAsia"/>
              </w:rPr>
              <w:t>3.检查排队叫号系统具有计算机软件著作权登记证书。</w:t>
            </w:r>
            <w:r>
              <w:rPr>
                <w:b/>
                <w:bCs/>
              </w:rPr>
              <w:t>满足得1分，不满足不得分。</w:t>
            </w:r>
          </w:p>
          <w:p w14:paraId="0C2C8DDC">
            <w:r>
              <w:rPr>
                <w:b/>
                <w:bCs/>
              </w:rPr>
              <w:t>（评分依据：投标文件中须提供证书复印件并加盖制造商或投标公司公章）</w:t>
            </w:r>
          </w:p>
        </w:tc>
        <w:tc>
          <w:tcPr>
            <w:tcW w:w="25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15AD9F">
            <w:r>
              <w:rPr>
                <w:rFonts w:hint="eastAsia"/>
              </w:rPr>
              <w:t>3</w:t>
            </w:r>
          </w:p>
        </w:tc>
      </w:tr>
      <w:tr w14:paraId="2C491527">
        <w:tblPrEx>
          <w:tblCellMar>
            <w:top w:w="0" w:type="dxa"/>
            <w:left w:w="108" w:type="dxa"/>
            <w:bottom w:w="0" w:type="dxa"/>
            <w:right w:w="108" w:type="dxa"/>
          </w:tblCellMar>
        </w:tblPrEx>
        <w:trPr>
          <w:trHeight w:val="1440" w:hRule="atLeast"/>
        </w:trPr>
        <w:tc>
          <w:tcPr>
            <w:tcW w:w="3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F1DF8B">
            <w:r>
              <w:rPr>
                <w:rFonts w:hint="eastAsia"/>
              </w:rPr>
              <w:t>17</w:t>
            </w:r>
          </w:p>
        </w:tc>
        <w:tc>
          <w:tcPr>
            <w:tcW w:w="4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16BB03">
            <w:r>
              <w:rPr>
                <w:rFonts w:hint="eastAsia"/>
              </w:rPr>
              <w:t>项目需求理解分析</w:t>
            </w:r>
          </w:p>
        </w:tc>
        <w:tc>
          <w:tcPr>
            <w:tcW w:w="3944" w:type="pct"/>
            <w:tcBorders>
              <w:top w:val="single" w:color="000000" w:sz="4" w:space="0"/>
              <w:left w:val="single" w:color="000000" w:sz="4" w:space="0"/>
              <w:bottom w:val="single" w:color="000000" w:sz="4" w:space="0"/>
              <w:right w:val="single" w:color="000000" w:sz="4" w:space="0"/>
            </w:tcBorders>
            <w:shd w:val="clear" w:color="auto" w:fill="auto"/>
            <w:vAlign w:val="bottom"/>
          </w:tcPr>
          <w:p w14:paraId="5A2C2281">
            <w:r>
              <w:rPr>
                <w:rFonts w:hint="eastAsia"/>
              </w:rPr>
              <w:t>根据招标文件要求，投标人需要非常了解项目建设需求，能够对提供组网方案架构，设备安装点位规划图，要详细描述与其他业务对接界面，包含安防监控、医疗专业的网络端口、设备安装地点、软件对接系统等，其中对组网方案架构、设备安装点位规划图及与其他业务对接界面，包含安防监控、医疗专业的网络端口、设备安装地点、软件对接系统情况的描述，无瑕疵且专业详细的得5分， 存在瑕疵的得3分，存在重大偏差的得1分，未提供的不得分。</w:t>
            </w:r>
          </w:p>
        </w:tc>
        <w:tc>
          <w:tcPr>
            <w:tcW w:w="25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CD42ED">
            <w:r>
              <w:rPr>
                <w:rFonts w:hint="eastAsia"/>
              </w:rPr>
              <w:t>5</w:t>
            </w:r>
          </w:p>
        </w:tc>
      </w:tr>
      <w:tr w14:paraId="1AC0DC9B">
        <w:tblPrEx>
          <w:tblCellMar>
            <w:top w:w="0" w:type="dxa"/>
            <w:left w:w="108" w:type="dxa"/>
            <w:bottom w:w="0" w:type="dxa"/>
            <w:right w:w="108" w:type="dxa"/>
          </w:tblCellMar>
        </w:tblPrEx>
        <w:trPr>
          <w:trHeight w:val="480" w:hRule="atLeast"/>
        </w:trPr>
        <w:tc>
          <w:tcPr>
            <w:tcW w:w="3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942B95">
            <w:r>
              <w:rPr>
                <w:rFonts w:hint="eastAsia"/>
              </w:rPr>
              <w:t>18</w:t>
            </w:r>
          </w:p>
        </w:tc>
        <w:tc>
          <w:tcPr>
            <w:tcW w:w="4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B8A74C">
            <w:r>
              <w:rPr>
                <w:rFonts w:hint="eastAsia"/>
              </w:rPr>
              <w:t>实施方案及组织措施</w:t>
            </w:r>
          </w:p>
        </w:tc>
        <w:tc>
          <w:tcPr>
            <w:tcW w:w="3944" w:type="pct"/>
            <w:tcBorders>
              <w:top w:val="single" w:color="000000" w:sz="4" w:space="0"/>
              <w:left w:val="single" w:color="000000" w:sz="4" w:space="0"/>
              <w:bottom w:val="single" w:color="000000" w:sz="4" w:space="0"/>
              <w:right w:val="single" w:color="000000" w:sz="4" w:space="0"/>
            </w:tcBorders>
            <w:shd w:val="clear" w:color="auto" w:fill="auto"/>
            <w:vAlign w:val="bottom"/>
          </w:tcPr>
          <w:p w14:paraId="111F7CF8">
            <w:pPr>
              <w:jc w:val="left"/>
            </w:pPr>
            <w:r>
              <w:rPr>
                <w:rFonts w:hint="eastAsia"/>
              </w:rPr>
              <w:t>投标人针对本项目制定的供货安装调试方案及组织措施分三项进行细化评审：A.供货安装调试总体方案；B.质量保证措施；C.进度保证措施。</w:t>
            </w:r>
            <w:r>
              <w:rPr>
                <w:rFonts w:hint="eastAsia"/>
              </w:rPr>
              <w:br w:type="textWrapping"/>
            </w:r>
            <w:r>
              <w:rPr>
                <w:b/>
                <w:bCs/>
              </w:rPr>
              <w:t>评分标准：满分</w:t>
            </w:r>
            <w:r>
              <w:rPr>
                <w:rFonts w:hint="eastAsia"/>
                <w:b/>
                <w:bCs/>
              </w:rPr>
              <w:t>3</w:t>
            </w:r>
            <w:r>
              <w:rPr>
                <w:b/>
                <w:bCs/>
              </w:rPr>
              <w:t>分，每缺一项扣</w:t>
            </w:r>
            <w:r>
              <w:rPr>
                <w:rFonts w:hint="eastAsia"/>
                <w:b/>
                <w:bCs/>
              </w:rPr>
              <w:t>1</w:t>
            </w:r>
            <w:r>
              <w:rPr>
                <w:b/>
                <w:bCs/>
              </w:rPr>
              <w:t>分，每项出现一处不完善或不合理减</w:t>
            </w:r>
            <w:r>
              <w:rPr>
                <w:rFonts w:hint="eastAsia"/>
                <w:b/>
                <w:bCs/>
              </w:rPr>
              <w:t>0.5</w:t>
            </w:r>
            <w:r>
              <w:rPr>
                <w:b/>
                <w:bCs/>
              </w:rPr>
              <w:t>分（每项最多减</w:t>
            </w:r>
            <w:r>
              <w:rPr>
                <w:rFonts w:hint="eastAsia"/>
                <w:b/>
                <w:bCs/>
              </w:rPr>
              <w:t>2</w:t>
            </w:r>
            <w:r>
              <w:rPr>
                <w:b/>
                <w:bCs/>
              </w:rPr>
              <w:t>分）。未进行描述的不得分。</w:t>
            </w:r>
          </w:p>
        </w:tc>
        <w:tc>
          <w:tcPr>
            <w:tcW w:w="25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8C8EA4">
            <w:r>
              <w:rPr>
                <w:rFonts w:hint="eastAsia"/>
              </w:rPr>
              <w:t>3</w:t>
            </w:r>
          </w:p>
        </w:tc>
      </w:tr>
      <w:tr w14:paraId="071A64A0">
        <w:tblPrEx>
          <w:tblCellMar>
            <w:top w:w="0" w:type="dxa"/>
            <w:left w:w="108" w:type="dxa"/>
            <w:bottom w:w="0" w:type="dxa"/>
            <w:right w:w="108" w:type="dxa"/>
          </w:tblCellMar>
        </w:tblPrEx>
        <w:trPr>
          <w:trHeight w:val="255" w:hRule="atLeast"/>
        </w:trPr>
        <w:tc>
          <w:tcPr>
            <w:tcW w:w="5000"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375F1DB6">
            <w:pPr>
              <w:rPr>
                <w:b/>
                <w:bCs/>
              </w:rPr>
            </w:pPr>
            <w:r>
              <w:rPr>
                <w:rFonts w:hint="eastAsia"/>
                <w:b/>
                <w:bCs/>
              </w:rPr>
              <w:t>（三）商务评分（  20 分）</w:t>
            </w:r>
          </w:p>
        </w:tc>
      </w:tr>
      <w:tr w14:paraId="12223432">
        <w:tblPrEx>
          <w:tblCellMar>
            <w:top w:w="0" w:type="dxa"/>
            <w:left w:w="108" w:type="dxa"/>
            <w:bottom w:w="0" w:type="dxa"/>
            <w:right w:w="108" w:type="dxa"/>
          </w:tblCellMar>
        </w:tblPrEx>
        <w:trPr>
          <w:trHeight w:val="838" w:hRule="atLeast"/>
        </w:trPr>
        <w:tc>
          <w:tcPr>
            <w:tcW w:w="3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5E8450">
            <w:r>
              <w:rPr>
                <w:rFonts w:hint="eastAsia"/>
              </w:rPr>
              <w:t>1</w:t>
            </w:r>
          </w:p>
        </w:tc>
        <w:tc>
          <w:tcPr>
            <w:tcW w:w="411" w:type="pct"/>
            <w:tcBorders>
              <w:top w:val="single" w:color="000000" w:sz="8" w:space="0"/>
              <w:left w:val="single" w:color="000000" w:sz="8" w:space="0"/>
              <w:bottom w:val="single" w:color="000000" w:sz="8" w:space="0"/>
              <w:right w:val="nil"/>
            </w:tcBorders>
            <w:shd w:val="clear" w:color="auto" w:fill="auto"/>
            <w:vAlign w:val="center"/>
          </w:tcPr>
          <w:p w14:paraId="2B42B722">
            <w:r>
              <w:rPr>
                <w:rFonts w:hint="eastAsia"/>
              </w:rPr>
              <w:t>投标人实力及相关资质评价</w:t>
            </w:r>
          </w:p>
        </w:tc>
        <w:tc>
          <w:tcPr>
            <w:tcW w:w="394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D26E45">
            <w:r>
              <w:rPr>
                <w:rFonts w:hint="eastAsia"/>
              </w:rPr>
              <w:t>投标人需提供以下有效的认证证书：</w:t>
            </w:r>
          </w:p>
          <w:p w14:paraId="0A1D5AEA">
            <w:r>
              <w:rPr>
                <w:rFonts w:hint="eastAsia"/>
              </w:rPr>
              <w:t>具有有效的电子与智能化工程专业承包壹级资质证书得1分，不提供不得分。具有有效的音视频集成工程企业能力认证证书得1分，不提供不得分；</w:t>
            </w:r>
          </w:p>
          <w:p w14:paraId="10713C98">
            <w:r>
              <w:rPr>
                <w:rFonts w:hint="eastAsia"/>
              </w:rPr>
              <w:t>具有有效的软件能力成熟度模型(CMMI5)集成证书的得1分，不提供不得分；</w:t>
            </w:r>
          </w:p>
          <w:p w14:paraId="0C0D8A29">
            <w:r>
              <w:rPr>
                <w:rFonts w:hint="eastAsia"/>
              </w:rPr>
              <w:t>具有有效的安防工程企业设计施工维护能力认证证书（信息系统安全集成服务二级或以上证书）的得1分，其他或不提供不得分</w:t>
            </w:r>
          </w:p>
          <w:p w14:paraId="749FB191">
            <w:r>
              <w:rPr>
                <w:rFonts w:hint="eastAsia"/>
                <w:b/>
                <w:bCs/>
              </w:rPr>
              <w:t>评分依据：投标人需在投标文件中提供有效的认证证书复印件并加盖公章，未按要求提供的不予认可。</w:t>
            </w:r>
          </w:p>
        </w:tc>
        <w:tc>
          <w:tcPr>
            <w:tcW w:w="25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436745">
            <w:r>
              <w:rPr>
                <w:rFonts w:hint="eastAsia"/>
              </w:rPr>
              <w:t>4</w:t>
            </w:r>
          </w:p>
        </w:tc>
      </w:tr>
      <w:tr w14:paraId="2BBDB619">
        <w:tblPrEx>
          <w:tblCellMar>
            <w:top w:w="0" w:type="dxa"/>
            <w:left w:w="108" w:type="dxa"/>
            <w:bottom w:w="0" w:type="dxa"/>
            <w:right w:w="108" w:type="dxa"/>
          </w:tblCellMar>
        </w:tblPrEx>
        <w:trPr>
          <w:trHeight w:val="975" w:hRule="atLeast"/>
        </w:trPr>
        <w:tc>
          <w:tcPr>
            <w:tcW w:w="3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250CBE">
            <w:r>
              <w:rPr>
                <w:rFonts w:hint="eastAsia"/>
              </w:rPr>
              <w:t>2</w:t>
            </w:r>
          </w:p>
        </w:tc>
        <w:tc>
          <w:tcPr>
            <w:tcW w:w="411" w:type="pct"/>
            <w:tcBorders>
              <w:top w:val="nil"/>
              <w:left w:val="single" w:color="000000" w:sz="8" w:space="0"/>
              <w:bottom w:val="single" w:color="000000" w:sz="8" w:space="0"/>
              <w:right w:val="nil"/>
            </w:tcBorders>
            <w:shd w:val="clear" w:color="auto" w:fill="auto"/>
            <w:vAlign w:val="center"/>
          </w:tcPr>
          <w:p w14:paraId="7D2630F1">
            <w:r>
              <w:rPr>
                <w:rFonts w:hint="eastAsia"/>
              </w:rPr>
              <w:t>近三年承担项目业绩的评价</w:t>
            </w:r>
          </w:p>
        </w:tc>
        <w:tc>
          <w:tcPr>
            <w:tcW w:w="394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6E8349">
            <w:r>
              <w:rPr>
                <w:rFonts w:hint="eastAsia"/>
              </w:rPr>
              <w:t>根据投标人近三年（2022年1月1日起至本采购活动公告发布前（以合同签订日期为准）投标人在中国境内承担信息化项目建设、信息系统集成安装调测开通项目的类似案例，每个项目得1分，最高得3分。</w:t>
            </w:r>
            <w:r>
              <w:rPr>
                <w:rFonts w:hint="eastAsia"/>
              </w:rPr>
              <w:br w:type="textWrapping"/>
            </w:r>
            <w:r>
              <w:rPr>
                <w:b/>
                <w:bCs/>
              </w:rPr>
              <w:t>评分依据：投标人需提供业绩采购合同复印件（至少应包括合同首页、内容页、签字盖章页）作为证明业绩证明材料，如未提供业绩证明材料或提供的材料不齐全的，业绩将不予认可。</w:t>
            </w:r>
          </w:p>
        </w:tc>
        <w:tc>
          <w:tcPr>
            <w:tcW w:w="25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10C4A4">
            <w:r>
              <w:rPr>
                <w:rFonts w:hint="eastAsia"/>
              </w:rPr>
              <w:t>3</w:t>
            </w:r>
          </w:p>
        </w:tc>
      </w:tr>
      <w:tr w14:paraId="46C4D624">
        <w:tblPrEx>
          <w:tblCellMar>
            <w:top w:w="0" w:type="dxa"/>
            <w:left w:w="108" w:type="dxa"/>
            <w:bottom w:w="0" w:type="dxa"/>
            <w:right w:w="108" w:type="dxa"/>
          </w:tblCellMar>
        </w:tblPrEx>
        <w:trPr>
          <w:trHeight w:val="720" w:hRule="atLeast"/>
        </w:trPr>
        <w:tc>
          <w:tcPr>
            <w:tcW w:w="3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3E4F90">
            <w:r>
              <w:rPr>
                <w:rFonts w:hint="eastAsia"/>
              </w:rPr>
              <w:t>3</w:t>
            </w:r>
          </w:p>
        </w:tc>
        <w:tc>
          <w:tcPr>
            <w:tcW w:w="4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52C68C">
            <w:r>
              <w:rPr>
                <w:rFonts w:hint="eastAsia"/>
              </w:rPr>
              <w:t>无线话筒</w:t>
            </w:r>
          </w:p>
        </w:tc>
        <w:tc>
          <w:tcPr>
            <w:tcW w:w="394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5339C3">
            <w:r>
              <w:rPr>
                <w:rFonts w:hint="eastAsia"/>
              </w:rPr>
              <w:t>投标人所投“无线话筒”产品制造商具有符合GB/T19001标准或ISO9001标准的《质量管理体系认证证书》（提供第三方认证机构颁发的在有效期内的证书复印件及证书编号在全国认证认可信息公共服务平台的查询结果截图作为证明材料）</w:t>
            </w:r>
            <w:r>
              <w:rPr>
                <w:rFonts w:hint="eastAsia"/>
              </w:rPr>
              <w:br w:type="textWrapping"/>
            </w:r>
            <w:r>
              <w:rPr>
                <w:b/>
                <w:bCs/>
              </w:rPr>
              <w:t>评分依据：投标文件中提供有效证书复印件并加盖投标人公章，不提供不得分。</w:t>
            </w:r>
          </w:p>
        </w:tc>
        <w:tc>
          <w:tcPr>
            <w:tcW w:w="25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857FDA">
            <w:r>
              <w:rPr>
                <w:rFonts w:hint="eastAsia"/>
              </w:rPr>
              <w:t>1</w:t>
            </w:r>
          </w:p>
        </w:tc>
      </w:tr>
      <w:tr w14:paraId="3E28DE0F">
        <w:tblPrEx>
          <w:tblCellMar>
            <w:top w:w="0" w:type="dxa"/>
            <w:left w:w="108" w:type="dxa"/>
            <w:bottom w:w="0" w:type="dxa"/>
            <w:right w:w="108" w:type="dxa"/>
          </w:tblCellMar>
        </w:tblPrEx>
        <w:trPr>
          <w:trHeight w:val="720" w:hRule="atLeast"/>
        </w:trPr>
        <w:tc>
          <w:tcPr>
            <w:tcW w:w="3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C5E17C">
            <w:r>
              <w:rPr>
                <w:rFonts w:hint="eastAsia"/>
              </w:rPr>
              <w:t>4</w:t>
            </w:r>
          </w:p>
        </w:tc>
        <w:tc>
          <w:tcPr>
            <w:tcW w:w="4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162A18">
            <w:r>
              <w:rPr>
                <w:rFonts w:hint="eastAsia"/>
              </w:rPr>
              <w:t>调音台</w:t>
            </w:r>
          </w:p>
        </w:tc>
        <w:tc>
          <w:tcPr>
            <w:tcW w:w="394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952FD3">
            <w:r>
              <w:rPr>
                <w:rFonts w:hint="eastAsia"/>
              </w:rPr>
              <w:t>投标人所投“调音台”</w:t>
            </w:r>
            <w:r>
              <w:t>投标产品制造商具有符合GB/T45001标准或ISO45001标准的《职业健康安全管理体系认证证书》（提供第三方认证机构颁发的在有效期内的证书复印件及证书编号在全国认证认可信息公共服务平台的查询结果截图作为证明材料）</w:t>
            </w:r>
            <w:r>
              <w:br w:type="textWrapping"/>
            </w:r>
            <w:r>
              <w:rPr>
                <w:b/>
                <w:bCs/>
              </w:rPr>
              <w:t>评分依据：投标文件中提供有效证书复印件并加盖投标人公章，不提供不得分。</w:t>
            </w:r>
          </w:p>
        </w:tc>
        <w:tc>
          <w:tcPr>
            <w:tcW w:w="25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C1A8F2">
            <w:r>
              <w:rPr>
                <w:rFonts w:hint="eastAsia"/>
              </w:rPr>
              <w:t>1</w:t>
            </w:r>
          </w:p>
        </w:tc>
      </w:tr>
      <w:tr w14:paraId="3D0C2EAA">
        <w:tblPrEx>
          <w:tblCellMar>
            <w:top w:w="0" w:type="dxa"/>
            <w:left w:w="108" w:type="dxa"/>
            <w:bottom w:w="0" w:type="dxa"/>
            <w:right w:w="108" w:type="dxa"/>
          </w:tblCellMar>
        </w:tblPrEx>
        <w:trPr>
          <w:trHeight w:val="720" w:hRule="atLeast"/>
        </w:trPr>
        <w:tc>
          <w:tcPr>
            <w:tcW w:w="3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6A86A1">
            <w:r>
              <w:rPr>
                <w:rFonts w:hint="eastAsia"/>
              </w:rPr>
              <w:t>5</w:t>
            </w:r>
          </w:p>
        </w:tc>
        <w:tc>
          <w:tcPr>
            <w:tcW w:w="4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CFE218">
            <w:r>
              <w:rPr>
                <w:rFonts w:hint="eastAsia"/>
              </w:rPr>
              <w:t>音频处理器</w:t>
            </w:r>
          </w:p>
        </w:tc>
        <w:tc>
          <w:tcPr>
            <w:tcW w:w="394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AA594E">
            <w:r>
              <w:rPr>
                <w:rFonts w:hint="eastAsia"/>
              </w:rPr>
              <w:t>投标人所投“音频处理器”产品制造商具有符合GB/T24001标准或ISO14001标准的《环境管理体系认证证书》（提供第三方认证机构颁发的在有效期内的证书复印件及证书编号在全国认证认可信息公共服务平台的查询结果截图作为证明材料）</w:t>
            </w:r>
            <w:r>
              <w:rPr>
                <w:rFonts w:hint="eastAsia"/>
              </w:rPr>
              <w:br w:type="textWrapping"/>
            </w:r>
            <w:r>
              <w:rPr>
                <w:b/>
                <w:bCs/>
              </w:rPr>
              <w:t>评分依据：投标文件中提供有效证书复印件并加盖投标人公章，不提供不得分。</w:t>
            </w:r>
          </w:p>
        </w:tc>
        <w:tc>
          <w:tcPr>
            <w:tcW w:w="25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9132EE">
            <w:r>
              <w:rPr>
                <w:rFonts w:hint="eastAsia"/>
              </w:rPr>
              <w:t>1</w:t>
            </w:r>
          </w:p>
        </w:tc>
      </w:tr>
      <w:tr w14:paraId="51A2244E">
        <w:tblPrEx>
          <w:tblCellMar>
            <w:top w:w="0" w:type="dxa"/>
            <w:left w:w="108" w:type="dxa"/>
            <w:bottom w:w="0" w:type="dxa"/>
            <w:right w:w="108" w:type="dxa"/>
          </w:tblCellMar>
        </w:tblPrEx>
        <w:trPr>
          <w:trHeight w:val="720" w:hRule="atLeast"/>
        </w:trPr>
        <w:tc>
          <w:tcPr>
            <w:tcW w:w="3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23DF5B">
            <w:r>
              <w:rPr>
                <w:rFonts w:hint="eastAsia"/>
              </w:rPr>
              <w:t>6</w:t>
            </w:r>
          </w:p>
        </w:tc>
        <w:tc>
          <w:tcPr>
            <w:tcW w:w="4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9BC4D6">
            <w:r>
              <w:rPr>
                <w:rFonts w:hint="eastAsia"/>
              </w:rPr>
              <w:t>智能混音器</w:t>
            </w:r>
          </w:p>
        </w:tc>
        <w:tc>
          <w:tcPr>
            <w:tcW w:w="394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4C7737">
            <w:r>
              <w:rPr>
                <w:rFonts w:hint="eastAsia"/>
              </w:rPr>
              <w:t>投标人所投“智能混音器”投标产品制造商具有符合GB/T22080标准或/ISO/IEC27001标准的《信息安全管理体系认证证书》（提供第三方认证机构颁发的在有效期内的证书复印件及证书编号在全国认证认可信息公共服务平台的查询结果截图作为证明材料）</w:t>
            </w:r>
            <w:r>
              <w:rPr>
                <w:rFonts w:hint="eastAsia"/>
              </w:rPr>
              <w:br w:type="textWrapping"/>
            </w:r>
            <w:r>
              <w:rPr>
                <w:b/>
                <w:bCs/>
              </w:rPr>
              <w:t>评分依据：投标文件中提供证明材料复印件并加盖投标人公章，不提供不得分。</w:t>
            </w:r>
          </w:p>
        </w:tc>
        <w:tc>
          <w:tcPr>
            <w:tcW w:w="25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FECA84">
            <w:r>
              <w:rPr>
                <w:rFonts w:hint="eastAsia"/>
              </w:rPr>
              <w:t>1</w:t>
            </w:r>
          </w:p>
        </w:tc>
      </w:tr>
      <w:tr w14:paraId="0CB55D9F">
        <w:tblPrEx>
          <w:tblCellMar>
            <w:top w:w="0" w:type="dxa"/>
            <w:left w:w="108" w:type="dxa"/>
            <w:bottom w:w="0" w:type="dxa"/>
            <w:right w:w="108" w:type="dxa"/>
          </w:tblCellMar>
        </w:tblPrEx>
        <w:trPr>
          <w:trHeight w:val="720" w:hRule="atLeast"/>
        </w:trPr>
        <w:tc>
          <w:tcPr>
            <w:tcW w:w="3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DA69B2">
            <w:r>
              <w:rPr>
                <w:rFonts w:hint="eastAsia"/>
              </w:rPr>
              <w:t>7</w:t>
            </w:r>
          </w:p>
        </w:tc>
        <w:tc>
          <w:tcPr>
            <w:tcW w:w="4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C00519">
            <w:r>
              <w:rPr>
                <w:rFonts w:hint="eastAsia"/>
              </w:rPr>
              <w:t>高清视频终端</w:t>
            </w:r>
          </w:p>
        </w:tc>
        <w:tc>
          <w:tcPr>
            <w:tcW w:w="394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53F2C9">
            <w:r>
              <w:rPr>
                <w:rFonts w:hint="eastAsia"/>
              </w:rPr>
              <w:t>投标人所投“高清视频终端”投标产品制造商具有符合GB/T19022标准或ISO10012标准的《测量管理体系认证（AAA)证书》（提供第三方认证机构颁发的在有效期内的证书复印件及证书编号在全国认证认可信息公共服务平台的查询结果截图作为证明材料）</w:t>
            </w:r>
            <w:r>
              <w:rPr>
                <w:rFonts w:hint="eastAsia"/>
              </w:rPr>
              <w:br w:type="textWrapping"/>
            </w:r>
            <w:r>
              <w:rPr>
                <w:b/>
                <w:bCs/>
              </w:rPr>
              <w:t>评分依据：投标文件中提供证明材料复印件并加盖投标人公章，不提供不得分。</w:t>
            </w:r>
          </w:p>
        </w:tc>
        <w:tc>
          <w:tcPr>
            <w:tcW w:w="25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149482">
            <w:r>
              <w:rPr>
                <w:rFonts w:hint="eastAsia"/>
              </w:rPr>
              <w:t>1</w:t>
            </w:r>
          </w:p>
        </w:tc>
      </w:tr>
      <w:tr w14:paraId="78463726">
        <w:tblPrEx>
          <w:tblCellMar>
            <w:top w:w="0" w:type="dxa"/>
            <w:left w:w="108" w:type="dxa"/>
            <w:bottom w:w="0" w:type="dxa"/>
            <w:right w:w="108" w:type="dxa"/>
          </w:tblCellMar>
        </w:tblPrEx>
        <w:trPr>
          <w:trHeight w:val="720" w:hRule="atLeast"/>
        </w:trPr>
        <w:tc>
          <w:tcPr>
            <w:tcW w:w="3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C8D3CF">
            <w:r>
              <w:rPr>
                <w:rFonts w:hint="eastAsia"/>
              </w:rPr>
              <w:t>8</w:t>
            </w:r>
          </w:p>
        </w:tc>
        <w:tc>
          <w:tcPr>
            <w:tcW w:w="4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5051D7">
            <w:r>
              <w:rPr>
                <w:rFonts w:hint="eastAsia"/>
              </w:rPr>
              <w:t>无缝高清矩阵切换器</w:t>
            </w:r>
          </w:p>
        </w:tc>
        <w:tc>
          <w:tcPr>
            <w:tcW w:w="394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101652">
            <w:r>
              <w:rPr>
                <w:rFonts w:hint="eastAsia"/>
              </w:rPr>
              <w:t>投标人所投“无缝高清矩阵切换器”投标产品制造商具有符合ISO/IEC20000标准的《信息技术服务管理体系认证证书》（提供第三方认证机构颁发的在有效期内的证书复印件及证书编号在全国认证认可信息公共服务平台的查询结果截图作为证明材料）</w:t>
            </w:r>
            <w:r>
              <w:rPr>
                <w:rFonts w:hint="eastAsia"/>
              </w:rPr>
              <w:br w:type="textWrapping"/>
            </w:r>
            <w:r>
              <w:rPr>
                <w:b/>
                <w:bCs/>
              </w:rPr>
              <w:t>评分依据：投标文件中提供证明材料复印件并加盖投标人公章，不提供不得分。</w:t>
            </w:r>
          </w:p>
        </w:tc>
        <w:tc>
          <w:tcPr>
            <w:tcW w:w="25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EBB2D4">
            <w:r>
              <w:rPr>
                <w:rFonts w:hint="eastAsia"/>
              </w:rPr>
              <w:t>1</w:t>
            </w:r>
          </w:p>
        </w:tc>
      </w:tr>
      <w:tr w14:paraId="2A7D5CF4">
        <w:tblPrEx>
          <w:tblCellMar>
            <w:top w:w="0" w:type="dxa"/>
            <w:left w:w="108" w:type="dxa"/>
            <w:bottom w:w="0" w:type="dxa"/>
            <w:right w:w="108" w:type="dxa"/>
          </w:tblCellMar>
        </w:tblPrEx>
        <w:trPr>
          <w:trHeight w:val="720" w:hRule="atLeast"/>
        </w:trPr>
        <w:tc>
          <w:tcPr>
            <w:tcW w:w="394" w:type="pct"/>
            <w:tcBorders>
              <w:top w:val="single" w:color="000000" w:sz="4" w:space="0"/>
              <w:left w:val="single" w:color="000000" w:sz="4" w:space="0"/>
              <w:bottom w:val="single" w:color="auto" w:sz="4" w:space="0"/>
              <w:right w:val="single" w:color="000000" w:sz="4" w:space="0"/>
            </w:tcBorders>
            <w:shd w:val="clear" w:color="auto" w:fill="auto"/>
            <w:vAlign w:val="center"/>
          </w:tcPr>
          <w:p w14:paraId="36E5ED8E">
            <w:r>
              <w:rPr>
                <w:rFonts w:hint="eastAsia"/>
              </w:rPr>
              <w:t>9</w:t>
            </w:r>
          </w:p>
        </w:tc>
        <w:tc>
          <w:tcPr>
            <w:tcW w:w="411" w:type="pct"/>
            <w:tcBorders>
              <w:top w:val="single" w:color="000000" w:sz="4" w:space="0"/>
              <w:left w:val="single" w:color="000000" w:sz="4" w:space="0"/>
              <w:bottom w:val="single" w:color="auto" w:sz="4" w:space="0"/>
              <w:right w:val="single" w:color="000000" w:sz="4" w:space="0"/>
            </w:tcBorders>
            <w:shd w:val="clear" w:color="auto" w:fill="auto"/>
            <w:vAlign w:val="center"/>
          </w:tcPr>
          <w:p w14:paraId="16536B55">
            <w:r>
              <w:rPr>
                <w:rFonts w:hint="eastAsia"/>
              </w:rPr>
              <w:t>售后服务方案及承诺</w:t>
            </w:r>
          </w:p>
        </w:tc>
        <w:tc>
          <w:tcPr>
            <w:tcW w:w="3944" w:type="pct"/>
            <w:tcBorders>
              <w:top w:val="single" w:color="000000" w:sz="4" w:space="0"/>
              <w:left w:val="single" w:color="000000" w:sz="4" w:space="0"/>
              <w:bottom w:val="single" w:color="auto" w:sz="4" w:space="0"/>
              <w:right w:val="single" w:color="000000" w:sz="4" w:space="0"/>
            </w:tcBorders>
            <w:shd w:val="clear" w:color="auto" w:fill="auto"/>
            <w:vAlign w:val="center"/>
          </w:tcPr>
          <w:p w14:paraId="3218EAAC">
            <w:r>
              <w:rPr>
                <w:rFonts w:hint="eastAsia"/>
              </w:rPr>
              <w:t>评标委员会根据投标人制定的售后服务方案及承诺是否完善、合理分四项进行细化评审，A.售后服务标准、售后服务体系及管理制度；B.售后服务响应时间及响应机制；C.售后服务团队人员配备及经验；D.故障维修方案、补救措施及技术支持与保障。</w:t>
            </w:r>
          </w:p>
          <w:p w14:paraId="7B67BE11">
            <w:r>
              <w:rPr>
                <w:rFonts w:hint="eastAsia"/>
                <w:b/>
                <w:bCs/>
              </w:rPr>
              <w:t>评分标准：满分4分。每缺一项扣1分，每项每出现一处不完善或不合理减0.5分（每项最多减1分）。未进行描述的，不得分。</w:t>
            </w:r>
          </w:p>
        </w:tc>
        <w:tc>
          <w:tcPr>
            <w:tcW w:w="250" w:type="pct"/>
            <w:tcBorders>
              <w:top w:val="single" w:color="000000" w:sz="4" w:space="0"/>
              <w:left w:val="single" w:color="000000" w:sz="4" w:space="0"/>
              <w:bottom w:val="single" w:color="auto" w:sz="4" w:space="0"/>
              <w:right w:val="single" w:color="000000" w:sz="4" w:space="0"/>
            </w:tcBorders>
            <w:shd w:val="clear" w:color="auto" w:fill="auto"/>
            <w:vAlign w:val="center"/>
          </w:tcPr>
          <w:p w14:paraId="152261B4">
            <w:r>
              <w:rPr>
                <w:rFonts w:hint="eastAsia"/>
              </w:rPr>
              <w:t>4</w:t>
            </w:r>
          </w:p>
        </w:tc>
      </w:tr>
      <w:tr w14:paraId="2C5A38A5">
        <w:tblPrEx>
          <w:tblCellMar>
            <w:top w:w="0" w:type="dxa"/>
            <w:left w:w="108" w:type="dxa"/>
            <w:bottom w:w="0" w:type="dxa"/>
            <w:right w:w="108" w:type="dxa"/>
          </w:tblCellMar>
        </w:tblPrEx>
        <w:trPr>
          <w:trHeight w:val="480" w:hRule="atLeast"/>
        </w:trPr>
        <w:tc>
          <w:tcPr>
            <w:tcW w:w="394" w:type="pct"/>
            <w:tcBorders>
              <w:top w:val="single" w:color="auto" w:sz="4" w:space="0"/>
              <w:left w:val="single" w:color="auto" w:sz="4" w:space="0"/>
              <w:bottom w:val="single" w:color="auto" w:sz="4" w:space="0"/>
              <w:right w:val="single" w:color="auto" w:sz="4" w:space="0"/>
            </w:tcBorders>
            <w:shd w:val="clear" w:color="auto" w:fill="auto"/>
            <w:vAlign w:val="center"/>
          </w:tcPr>
          <w:p w14:paraId="481D4570">
            <w:r>
              <w:rPr>
                <w:rFonts w:hint="eastAsia"/>
              </w:rPr>
              <w:t>10</w:t>
            </w:r>
          </w:p>
        </w:tc>
        <w:tc>
          <w:tcPr>
            <w:tcW w:w="411" w:type="pct"/>
            <w:tcBorders>
              <w:top w:val="single" w:color="auto" w:sz="4" w:space="0"/>
              <w:left w:val="single" w:color="auto" w:sz="4" w:space="0"/>
              <w:bottom w:val="single" w:color="auto" w:sz="4" w:space="0"/>
              <w:right w:val="single" w:color="auto" w:sz="4" w:space="0"/>
            </w:tcBorders>
            <w:shd w:val="clear" w:color="auto" w:fill="auto"/>
            <w:vAlign w:val="center"/>
          </w:tcPr>
          <w:p w14:paraId="4C549C2C">
            <w:r>
              <w:rPr>
                <w:rFonts w:hint="eastAsia"/>
              </w:rPr>
              <w:t>培训内容及培训计划</w:t>
            </w:r>
          </w:p>
        </w:tc>
        <w:tc>
          <w:tcPr>
            <w:tcW w:w="3944" w:type="pct"/>
            <w:tcBorders>
              <w:top w:val="single" w:color="auto" w:sz="4" w:space="0"/>
              <w:left w:val="single" w:color="auto" w:sz="4" w:space="0"/>
              <w:bottom w:val="single" w:color="auto" w:sz="4" w:space="0"/>
              <w:right w:val="single" w:color="auto" w:sz="4" w:space="0"/>
            </w:tcBorders>
            <w:shd w:val="clear" w:color="auto" w:fill="auto"/>
            <w:vAlign w:val="center"/>
          </w:tcPr>
          <w:p w14:paraId="50E43B89">
            <w:r>
              <w:rPr>
                <w:rFonts w:hint="eastAsia"/>
              </w:rPr>
              <w:t>评标委员会根据根据项目采购需求，对投标人提交的投标文件中描述的培训内容及培训计划进行独立评分：A.培训内容及目标；B.培训形式、方式；C.培训人员配备及经验。</w:t>
            </w:r>
          </w:p>
          <w:p w14:paraId="6BDB3752">
            <w:r>
              <w:rPr>
                <w:rFonts w:hint="eastAsia"/>
              </w:rPr>
              <w:t>评分标准：满分3分，每缺一小项减1分；出现一处不完善或不合理或 负偏离减0.5分，每小项最多减1分，减完为止。</w:t>
            </w:r>
          </w:p>
        </w:tc>
        <w:tc>
          <w:tcPr>
            <w:tcW w:w="250" w:type="pct"/>
            <w:tcBorders>
              <w:top w:val="single" w:color="auto" w:sz="4" w:space="0"/>
              <w:left w:val="single" w:color="auto" w:sz="4" w:space="0"/>
              <w:bottom w:val="single" w:color="auto" w:sz="4" w:space="0"/>
              <w:right w:val="single" w:color="auto" w:sz="4" w:space="0"/>
            </w:tcBorders>
            <w:shd w:val="clear" w:color="auto" w:fill="auto"/>
            <w:vAlign w:val="center"/>
          </w:tcPr>
          <w:p w14:paraId="1487C0F9">
            <w:r>
              <w:rPr>
                <w:rFonts w:hint="eastAsia"/>
              </w:rPr>
              <w:t>3</w:t>
            </w:r>
          </w:p>
        </w:tc>
      </w:tr>
      <w:tr w14:paraId="500F62F5">
        <w:tblPrEx>
          <w:tblCellMar>
            <w:top w:w="0" w:type="dxa"/>
            <w:left w:w="108" w:type="dxa"/>
            <w:bottom w:w="0" w:type="dxa"/>
            <w:right w:w="108" w:type="dxa"/>
          </w:tblCellMar>
        </w:tblPrEx>
        <w:trPr>
          <w:trHeight w:val="240" w:hRule="atLeast"/>
        </w:trPr>
        <w:tc>
          <w:tcPr>
            <w:tcW w:w="5000" w:type="pct"/>
            <w:gridSpan w:val="4"/>
            <w:tcBorders>
              <w:top w:val="single" w:color="auto" w:sz="4" w:space="0"/>
              <w:left w:val="nil"/>
              <w:bottom w:val="nil"/>
              <w:right w:val="nil"/>
            </w:tcBorders>
            <w:shd w:val="clear" w:color="auto" w:fill="auto"/>
            <w:vAlign w:val="center"/>
          </w:tcPr>
          <w:p w14:paraId="57B5C5F3">
            <w:r>
              <w:rPr>
                <w:rFonts w:hint="eastAsia"/>
              </w:rPr>
              <w:t>说明：</w:t>
            </w:r>
          </w:p>
        </w:tc>
      </w:tr>
      <w:tr w14:paraId="62A37892">
        <w:tblPrEx>
          <w:tblCellMar>
            <w:top w:w="0" w:type="dxa"/>
            <w:left w:w="108" w:type="dxa"/>
            <w:bottom w:w="0" w:type="dxa"/>
            <w:right w:w="108" w:type="dxa"/>
          </w:tblCellMar>
        </w:tblPrEx>
        <w:trPr>
          <w:trHeight w:val="240" w:hRule="atLeast"/>
        </w:trPr>
        <w:tc>
          <w:tcPr>
            <w:tcW w:w="5000" w:type="pct"/>
            <w:gridSpan w:val="4"/>
            <w:tcBorders>
              <w:top w:val="nil"/>
              <w:left w:val="nil"/>
              <w:bottom w:val="nil"/>
              <w:right w:val="nil"/>
            </w:tcBorders>
            <w:shd w:val="clear" w:color="auto" w:fill="auto"/>
            <w:vAlign w:val="center"/>
          </w:tcPr>
          <w:p w14:paraId="02557A03">
            <w:r>
              <w:rPr>
                <w:rFonts w:hint="eastAsia"/>
              </w:rPr>
              <w:t>1.评分标准中有分值区间的，包含区间上限本数，不含下限本数。</w:t>
            </w:r>
          </w:p>
        </w:tc>
      </w:tr>
      <w:tr w14:paraId="6F8EFFCB">
        <w:tblPrEx>
          <w:tblCellMar>
            <w:top w:w="0" w:type="dxa"/>
            <w:left w:w="108" w:type="dxa"/>
            <w:bottom w:w="0" w:type="dxa"/>
            <w:right w:w="108" w:type="dxa"/>
          </w:tblCellMar>
        </w:tblPrEx>
        <w:trPr>
          <w:trHeight w:val="240" w:hRule="atLeast"/>
        </w:trPr>
        <w:tc>
          <w:tcPr>
            <w:tcW w:w="5000" w:type="pct"/>
            <w:gridSpan w:val="4"/>
            <w:tcBorders>
              <w:top w:val="nil"/>
              <w:left w:val="nil"/>
              <w:bottom w:val="nil"/>
              <w:right w:val="nil"/>
            </w:tcBorders>
            <w:shd w:val="clear" w:color="auto" w:fill="auto"/>
            <w:vAlign w:val="center"/>
          </w:tcPr>
          <w:p w14:paraId="4907DE60">
            <w:r>
              <w:rPr>
                <w:rFonts w:hint="eastAsia"/>
              </w:rPr>
              <w:t>2.评分因素有时间限制（如投标截止日前三年内）的，所提供的合同、证书、证明等材料的时间，以签署日期、颁发日期或出具日期为准。</w:t>
            </w:r>
          </w:p>
        </w:tc>
      </w:tr>
    </w:tbl>
    <w:p w14:paraId="3D503729"/>
    <w:p w14:paraId="73F9E35D">
      <w:pPr>
        <w:spacing w:line="14" w:lineRule="exact"/>
      </w:pPr>
    </w:p>
    <w:p w14:paraId="43CBCDFA">
      <w:pPr>
        <w:pStyle w:val="30"/>
        <w:jc w:val="center"/>
        <w:rPr>
          <w:rStyle w:val="17"/>
          <w:rFonts w:hint="eastAsia" w:ascii="宋体" w:hAnsi="宋体" w:cs="宋体"/>
          <w:b w:val="0"/>
          <w:bCs w:val="0"/>
          <w:sz w:val="36"/>
          <w:szCs w:val="36"/>
        </w:rPr>
      </w:pPr>
      <w:r>
        <w:rPr>
          <w:rStyle w:val="17"/>
          <w:rFonts w:hint="eastAsia" w:ascii="宋体" w:hAnsi="宋体" w:cs="宋体"/>
          <w:kern w:val="0"/>
          <w:sz w:val="36"/>
          <w:szCs w:val="36"/>
        </w:rPr>
        <w:br w:type="page"/>
      </w:r>
      <w:r>
        <w:rPr>
          <w:rStyle w:val="17"/>
          <w:rFonts w:hint="eastAsia" w:ascii="宋体" w:hAnsi="宋体" w:cs="宋体"/>
          <w:sz w:val="36"/>
          <w:szCs w:val="36"/>
        </w:rPr>
        <w:t>第五章  投标人须知</w:t>
      </w:r>
    </w:p>
    <w:p w14:paraId="60D1C53A">
      <w:pPr>
        <w:spacing w:line="360" w:lineRule="auto"/>
        <w:jc w:val="center"/>
        <w:outlineLvl w:val="1"/>
        <w:rPr>
          <w:rFonts w:hint="eastAsia" w:ascii="宋体" w:hAnsi="宋体" w:cs="宋体"/>
          <w:sz w:val="24"/>
        </w:rPr>
      </w:pPr>
      <w:r>
        <w:rPr>
          <w:rFonts w:hint="eastAsia" w:ascii="宋体" w:hAnsi="宋体" w:cs="宋体"/>
          <w:kern w:val="0"/>
          <w:sz w:val="30"/>
          <w:szCs w:val="30"/>
          <w:lang w:val="zh-CN"/>
        </w:rPr>
        <w:t>一、总则</w:t>
      </w:r>
    </w:p>
    <w:p w14:paraId="1E7DEACB">
      <w:pPr>
        <w:adjustRightInd w:val="0"/>
        <w:snapToGrid w:val="0"/>
        <w:spacing w:line="360" w:lineRule="auto"/>
        <w:ind w:firstLine="441" w:firstLineChars="197"/>
        <w:rPr>
          <w:rFonts w:hint="eastAsia" w:ascii="宋体" w:hAnsi="宋体" w:cs="宋体"/>
          <w:b/>
          <w:bCs/>
          <w:sz w:val="24"/>
        </w:rPr>
      </w:pPr>
      <w:r>
        <w:rPr>
          <w:rFonts w:hint="eastAsia" w:ascii="宋体" w:hAnsi="宋体" w:cs="宋体"/>
          <w:b/>
          <w:bCs/>
          <w:sz w:val="24"/>
        </w:rPr>
        <w:t>1. 定义</w:t>
      </w:r>
    </w:p>
    <w:p w14:paraId="58C5E9B8">
      <w:pPr>
        <w:adjustRightInd w:val="0"/>
        <w:snapToGrid w:val="0"/>
        <w:spacing w:line="360" w:lineRule="auto"/>
        <w:ind w:firstLine="441" w:firstLineChars="197"/>
        <w:rPr>
          <w:rFonts w:hint="eastAsia" w:ascii="宋体" w:hAnsi="宋体" w:cs="宋体"/>
          <w:sz w:val="24"/>
        </w:rPr>
      </w:pPr>
      <w:r>
        <w:rPr>
          <w:rFonts w:hint="eastAsia" w:ascii="宋体" w:hAnsi="宋体" w:cs="宋体"/>
          <w:sz w:val="24"/>
        </w:rPr>
        <w:t xml:space="preserve">1.1 “采购人”是指依法进行政府采购的国家机关、事业单位、团体组织。本项目采购人详见本招标文件中第一章《投标邀请》。 </w:t>
      </w:r>
    </w:p>
    <w:p w14:paraId="2EFDAB23">
      <w:pPr>
        <w:adjustRightInd w:val="0"/>
        <w:snapToGrid w:val="0"/>
        <w:spacing w:line="360" w:lineRule="auto"/>
        <w:ind w:firstLine="441" w:firstLineChars="197"/>
        <w:rPr>
          <w:rFonts w:hint="eastAsia" w:ascii="宋体" w:hAnsi="宋体" w:cs="宋体"/>
          <w:sz w:val="24"/>
        </w:rPr>
      </w:pPr>
      <w:r>
        <w:rPr>
          <w:rFonts w:hint="eastAsia" w:ascii="宋体" w:hAnsi="宋体" w:cs="宋体"/>
          <w:sz w:val="24"/>
        </w:rPr>
        <w:t>1.2 “集中采购机构”是指依据《政府集中采购委托代理协议》，受采购人委托具体组织本次招标采购活动的单位，即通化市公共资源交易中心（通化市政府采购中心）。</w:t>
      </w:r>
    </w:p>
    <w:p w14:paraId="0F63339F">
      <w:pPr>
        <w:adjustRightInd w:val="0"/>
        <w:snapToGrid w:val="0"/>
        <w:spacing w:line="360" w:lineRule="auto"/>
        <w:ind w:firstLine="441" w:firstLineChars="197"/>
        <w:rPr>
          <w:rFonts w:hint="eastAsia" w:ascii="宋体" w:hAnsi="宋体" w:cs="宋体"/>
          <w:sz w:val="24"/>
        </w:rPr>
      </w:pPr>
      <w:r>
        <w:rPr>
          <w:rFonts w:hint="eastAsia" w:ascii="宋体" w:hAnsi="宋体" w:cs="宋体"/>
          <w:sz w:val="24"/>
        </w:rPr>
        <w:t>1.3“货物”是指本招标文件中所属产品及相关服务。</w:t>
      </w:r>
    </w:p>
    <w:p w14:paraId="378599B1">
      <w:pPr>
        <w:adjustRightInd w:val="0"/>
        <w:snapToGrid w:val="0"/>
        <w:spacing w:line="360" w:lineRule="auto"/>
        <w:ind w:firstLine="448" w:firstLineChars="200"/>
        <w:rPr>
          <w:rFonts w:hint="eastAsia" w:ascii="宋体" w:hAnsi="宋体" w:cs="宋体"/>
          <w:sz w:val="24"/>
        </w:rPr>
      </w:pPr>
      <w:r>
        <w:rPr>
          <w:rFonts w:hint="eastAsia" w:ascii="宋体" w:hAnsi="宋体" w:cs="宋体"/>
          <w:sz w:val="24"/>
        </w:rPr>
        <w:t>1.4 “投标人（供应商）”是指响应招标、参加投标竞争的法人、其他组织或者自然人。</w:t>
      </w:r>
    </w:p>
    <w:p w14:paraId="1B7E0E0E">
      <w:pPr>
        <w:adjustRightInd w:val="0"/>
        <w:snapToGrid w:val="0"/>
        <w:spacing w:line="360" w:lineRule="auto"/>
        <w:ind w:firstLine="441" w:firstLineChars="197"/>
        <w:rPr>
          <w:rFonts w:hint="eastAsia" w:ascii="宋体" w:hAnsi="宋体" w:cs="宋体"/>
          <w:sz w:val="24"/>
        </w:rPr>
      </w:pPr>
      <w:r>
        <w:rPr>
          <w:rFonts w:hint="eastAsia" w:ascii="宋体" w:hAnsi="宋体" w:cs="宋体"/>
          <w:sz w:val="24"/>
        </w:rPr>
        <w:t>1.5 “合格投标人”是指</w:t>
      </w:r>
      <w:r>
        <w:rPr>
          <w:rFonts w:hint="eastAsia" w:ascii="宋体" w:hAnsi="宋体" w:cs="宋体"/>
          <w:bCs/>
          <w:sz w:val="24"/>
        </w:rPr>
        <w:t>投标文件提交成功、解密成功、能正常导入电子开标系统，且</w:t>
      </w:r>
      <w:r>
        <w:rPr>
          <w:rFonts w:hint="eastAsia" w:ascii="宋体" w:hAnsi="宋体" w:cs="宋体"/>
          <w:sz w:val="24"/>
        </w:rPr>
        <w:t>资格审查和符合性审查合格的投标人。</w:t>
      </w:r>
    </w:p>
    <w:p w14:paraId="7E0D0C08">
      <w:pPr>
        <w:adjustRightInd w:val="0"/>
        <w:snapToGrid w:val="0"/>
        <w:spacing w:line="360" w:lineRule="auto"/>
        <w:ind w:firstLine="441" w:firstLineChars="197"/>
        <w:rPr>
          <w:rFonts w:hint="eastAsia" w:ascii="宋体" w:hAnsi="宋体" w:cs="宋体"/>
          <w:sz w:val="24"/>
        </w:rPr>
      </w:pPr>
      <w:r>
        <w:rPr>
          <w:rFonts w:hint="eastAsia" w:ascii="宋体" w:hAnsi="宋体" w:cs="宋体"/>
          <w:sz w:val="24"/>
        </w:rPr>
        <w:t>1.6 本招标文件各部分规定的期间以时、日、月、年计算。期间开始的时和日，不计算在期间内，而从次日开始计算。期间届满的最后一天是节假日的，以节假日后的第一日为期间届满的日期。</w:t>
      </w:r>
    </w:p>
    <w:p w14:paraId="17192037">
      <w:pPr>
        <w:pStyle w:val="29"/>
        <w:numPr>
          <w:ilvl w:val="0"/>
          <w:numId w:val="0"/>
        </w:numPr>
        <w:tabs>
          <w:tab w:val="left" w:pos="720"/>
          <w:tab w:val="clear" w:pos="709"/>
        </w:tabs>
        <w:spacing w:line="360" w:lineRule="auto"/>
        <w:ind w:firstLine="448" w:firstLineChars="200"/>
        <w:rPr>
          <w:rFonts w:hint="eastAsia" w:cs="宋体"/>
          <w:b/>
          <w:bCs/>
          <w:sz w:val="24"/>
          <w:szCs w:val="24"/>
        </w:rPr>
      </w:pPr>
      <w:r>
        <w:rPr>
          <w:rFonts w:hint="eastAsia" w:cs="宋体"/>
          <w:b/>
          <w:bCs/>
          <w:sz w:val="24"/>
          <w:szCs w:val="24"/>
        </w:rPr>
        <w:t>2.投标人参加政府采购的条件</w:t>
      </w:r>
    </w:p>
    <w:p w14:paraId="53AF51A9">
      <w:pPr>
        <w:spacing w:line="360" w:lineRule="auto"/>
        <w:ind w:firstLine="439" w:firstLineChars="196"/>
        <w:rPr>
          <w:rFonts w:hint="eastAsia" w:ascii="宋体" w:hAnsi="宋体" w:cs="宋体"/>
          <w:sz w:val="24"/>
        </w:rPr>
      </w:pPr>
      <w:r>
        <w:rPr>
          <w:rFonts w:hint="eastAsia" w:ascii="宋体" w:hAnsi="宋体" w:cs="宋体"/>
          <w:sz w:val="24"/>
        </w:rPr>
        <w:t>符合招标文件第一章《投标邀请》中规定的投标人资格条件。</w:t>
      </w:r>
    </w:p>
    <w:p w14:paraId="757C7590">
      <w:pPr>
        <w:pStyle w:val="29"/>
        <w:numPr>
          <w:ilvl w:val="0"/>
          <w:numId w:val="0"/>
        </w:numPr>
        <w:tabs>
          <w:tab w:val="left" w:pos="720"/>
          <w:tab w:val="clear" w:pos="709"/>
        </w:tabs>
        <w:spacing w:line="360" w:lineRule="auto"/>
        <w:ind w:firstLine="448" w:firstLineChars="200"/>
        <w:rPr>
          <w:rFonts w:hint="eastAsia" w:cs="宋体"/>
          <w:b/>
          <w:bCs/>
          <w:sz w:val="24"/>
          <w:szCs w:val="24"/>
        </w:rPr>
      </w:pPr>
      <w:r>
        <w:rPr>
          <w:rFonts w:hint="eastAsia" w:cs="宋体"/>
          <w:b/>
          <w:bCs/>
          <w:sz w:val="24"/>
          <w:szCs w:val="24"/>
        </w:rPr>
        <w:t>3.合格的货物及相关服务</w:t>
      </w:r>
    </w:p>
    <w:p w14:paraId="62224732">
      <w:pPr>
        <w:spacing w:line="360" w:lineRule="auto"/>
        <w:ind w:firstLine="441" w:firstLineChars="197"/>
        <w:rPr>
          <w:rFonts w:hint="eastAsia" w:ascii="宋体" w:hAnsi="宋体" w:cs="宋体"/>
          <w:sz w:val="24"/>
        </w:rPr>
      </w:pPr>
      <w:r>
        <w:rPr>
          <w:rFonts w:hint="eastAsia" w:ascii="宋体" w:hAnsi="宋体" w:cs="宋体"/>
          <w:sz w:val="24"/>
        </w:rPr>
        <w:t>3.1政府采购应当采购本国货物。按照财政部《政府采购进口产品管理办法》规定确需采购进口产品的，实行审核管理。经审核允许采购进口产品的，不得排斥符合要求的本国产品。在招标文件中未标明采购进口产品的，均为采购本国产品。投标人必须投标本国产品，投标进口产品的，投标文件无效。进口产品是指通过中国海关报关验放进入中国境内且产自关境外的产品。</w:t>
      </w:r>
    </w:p>
    <w:p w14:paraId="2E01BA33">
      <w:pPr>
        <w:spacing w:line="360" w:lineRule="auto"/>
        <w:ind w:firstLine="448" w:firstLineChars="200"/>
        <w:rPr>
          <w:rFonts w:hint="eastAsia" w:ascii="宋体" w:hAnsi="宋体" w:cs="宋体"/>
          <w:sz w:val="24"/>
        </w:rPr>
      </w:pPr>
      <w:r>
        <w:rPr>
          <w:rFonts w:hint="eastAsia" w:ascii="宋体" w:hAnsi="宋体" w:cs="宋体"/>
          <w:sz w:val="24"/>
        </w:rPr>
        <w:t xml:space="preserve">3.2.投标人所提供的货物应当没有侵犯任何第三方的知识产权、技术秘密等合法权利，不存在任何抵押、留置、查封等产权瑕疵。 </w:t>
      </w:r>
    </w:p>
    <w:p w14:paraId="3C8A3DC2">
      <w:pPr>
        <w:spacing w:line="360" w:lineRule="auto"/>
        <w:ind w:firstLine="441" w:firstLineChars="197"/>
        <w:rPr>
          <w:rFonts w:hint="eastAsia" w:ascii="宋体" w:hAnsi="宋体" w:cs="宋体"/>
          <w:sz w:val="24"/>
        </w:rPr>
      </w:pPr>
      <w:r>
        <w:rPr>
          <w:rFonts w:hint="eastAsia" w:ascii="宋体" w:hAnsi="宋体" w:cs="宋体"/>
          <w:sz w:val="24"/>
        </w:rPr>
        <w:t>3.3投标人提供的货物和相关服务应当符合招标文件的要求，并且其质量完全符合国家标准、行业标准或地方标准。</w:t>
      </w:r>
    </w:p>
    <w:p w14:paraId="2B32FC45">
      <w:pPr>
        <w:spacing w:line="360" w:lineRule="auto"/>
        <w:ind w:firstLine="448" w:firstLineChars="200"/>
        <w:rPr>
          <w:rFonts w:hint="eastAsia" w:ascii="宋体" w:hAnsi="宋体" w:cs="宋体"/>
          <w:sz w:val="24"/>
        </w:rPr>
      </w:pPr>
      <w:r>
        <w:rPr>
          <w:rFonts w:hint="eastAsia" w:ascii="宋体" w:hAnsi="宋体" w:cs="宋体"/>
          <w:sz w:val="24"/>
        </w:rPr>
        <w:t>3.4 本次投标产品类别属于政府强制采购产品类别的，须按照要求提供依据国家确定的认证机构出具的、处于有效期之内的节能产品或环境标志产品认证证书，否则投标无效；属于政府优先采购产品类别的，须按照要求提供依据国家确定的认证机构出具的、处于有效期之内的节能产品或环境标志产品认证证书，否则不予认定。</w:t>
      </w:r>
    </w:p>
    <w:p w14:paraId="218E2A47">
      <w:pPr>
        <w:adjustRightInd w:val="0"/>
        <w:snapToGrid w:val="0"/>
        <w:spacing w:line="360" w:lineRule="auto"/>
        <w:ind w:firstLine="441" w:firstLineChars="197"/>
        <w:rPr>
          <w:rFonts w:hint="eastAsia" w:ascii="宋体" w:hAnsi="宋体" w:cs="宋体"/>
          <w:sz w:val="24"/>
        </w:rPr>
      </w:pPr>
      <w:r>
        <w:rPr>
          <w:rFonts w:hint="eastAsia" w:ascii="宋体" w:hAnsi="宋体" w:cs="宋体"/>
          <w:b/>
          <w:bCs/>
          <w:sz w:val="24"/>
        </w:rPr>
        <w:t>4.联合体投标</w:t>
      </w:r>
    </w:p>
    <w:p w14:paraId="6FBCD9C8">
      <w:pPr>
        <w:spacing w:line="360" w:lineRule="auto"/>
        <w:ind w:firstLine="441" w:firstLineChars="197"/>
        <w:rPr>
          <w:rFonts w:hint="eastAsia" w:ascii="宋体" w:hAnsi="宋体" w:cs="宋体"/>
          <w:sz w:val="24"/>
        </w:rPr>
      </w:pPr>
      <w:r>
        <w:rPr>
          <w:rFonts w:hint="eastAsia" w:ascii="宋体" w:hAnsi="宋体" w:cs="宋体"/>
          <w:sz w:val="24"/>
        </w:rPr>
        <w:t>如果招标文件第一章《投标邀请》中没有特殊说明，本次招标允许由2个以上投标人组成1个联合体以1个投标人身份共同投标。联合体各方应符合下列要求：</w:t>
      </w:r>
    </w:p>
    <w:p w14:paraId="6F95F6A7">
      <w:pPr>
        <w:spacing w:line="360" w:lineRule="auto"/>
        <w:ind w:firstLine="441" w:firstLineChars="197"/>
        <w:rPr>
          <w:rFonts w:hint="eastAsia" w:ascii="宋体" w:hAnsi="宋体" w:cs="宋体"/>
          <w:sz w:val="24"/>
        </w:rPr>
      </w:pPr>
      <w:r>
        <w:rPr>
          <w:rFonts w:hint="eastAsia" w:ascii="宋体" w:hAnsi="宋体" w:cs="宋体"/>
          <w:sz w:val="24"/>
        </w:rPr>
        <w:t>4.1 《中华人民共和国政府采购法》第二十二条规定的条件。联合体中有同类资质的供应商按照联合体分工承担相同工作的，应当按照资质等级较低的供应商确定资质等级。联合体各方不得再单独参加或者与其他供应商另外组成联合体参加同一合同项下的政府采购活动。</w:t>
      </w:r>
    </w:p>
    <w:p w14:paraId="29CC6B11">
      <w:pPr>
        <w:spacing w:line="360" w:lineRule="auto"/>
        <w:ind w:firstLine="441" w:firstLineChars="197"/>
        <w:rPr>
          <w:rFonts w:hint="eastAsia" w:ascii="宋体" w:hAnsi="宋体" w:cs="宋体"/>
          <w:sz w:val="24"/>
        </w:rPr>
      </w:pPr>
      <w:r>
        <w:rPr>
          <w:rFonts w:hint="eastAsia" w:ascii="宋体" w:hAnsi="宋体" w:cs="宋体"/>
          <w:sz w:val="24"/>
        </w:rPr>
        <w:t>4.2 联合体各方之间应当签订《联合体协议书》并在投标文件内提交，明确约定联合体各方承担的工作和相应的责任。该协议书对联合体各方均具有法律约束力。</w:t>
      </w:r>
    </w:p>
    <w:p w14:paraId="0D0775B8">
      <w:pPr>
        <w:spacing w:line="360" w:lineRule="auto"/>
        <w:ind w:firstLine="448" w:firstLineChars="200"/>
        <w:rPr>
          <w:rFonts w:hint="eastAsia" w:ascii="宋体" w:hAnsi="宋体" w:cs="宋体"/>
          <w:sz w:val="24"/>
        </w:rPr>
      </w:pPr>
      <w:r>
        <w:rPr>
          <w:rFonts w:hint="eastAsia" w:ascii="宋体" w:hAnsi="宋体" w:cs="宋体"/>
          <w:sz w:val="24"/>
        </w:rPr>
        <w:t>4.3 联合体各方应按招标文件提供的格式签订《联合体协议书》，明确各方权利义务，并承诺就中标项目向采购人承担连带责任。</w:t>
      </w:r>
    </w:p>
    <w:p w14:paraId="32681F01">
      <w:pPr>
        <w:spacing w:line="360" w:lineRule="auto"/>
        <w:ind w:firstLine="441" w:firstLineChars="197"/>
        <w:rPr>
          <w:rFonts w:hint="eastAsia" w:ascii="宋体" w:hAnsi="宋体" w:cs="宋体"/>
          <w:sz w:val="24"/>
        </w:rPr>
      </w:pPr>
      <w:r>
        <w:rPr>
          <w:rFonts w:hint="eastAsia" w:ascii="宋体" w:hAnsi="宋体" w:cs="宋体"/>
          <w:sz w:val="24"/>
        </w:rPr>
        <w:t>4.4 联合体中标后，联合体各方应当共同与采购人签订采购合同，就采购合同约定的事项对采购人承担连带责任。</w:t>
      </w:r>
    </w:p>
    <w:p w14:paraId="3DD7CD1B">
      <w:pPr>
        <w:adjustRightInd w:val="0"/>
        <w:snapToGrid w:val="0"/>
        <w:spacing w:line="360" w:lineRule="auto"/>
        <w:ind w:firstLine="441" w:firstLineChars="197"/>
        <w:rPr>
          <w:rFonts w:hint="eastAsia" w:ascii="宋体" w:hAnsi="宋体" w:cs="宋体"/>
          <w:sz w:val="24"/>
        </w:rPr>
      </w:pPr>
      <w:r>
        <w:rPr>
          <w:rFonts w:hint="eastAsia" w:ascii="宋体" w:hAnsi="宋体" w:cs="宋体"/>
          <w:b/>
          <w:bCs/>
          <w:sz w:val="24"/>
        </w:rPr>
        <w:t>5.投标费用</w:t>
      </w:r>
    </w:p>
    <w:p w14:paraId="0FE9C7EA">
      <w:pPr>
        <w:adjustRightInd w:val="0"/>
        <w:snapToGrid w:val="0"/>
        <w:spacing w:line="360" w:lineRule="auto"/>
        <w:ind w:firstLine="441" w:firstLineChars="197"/>
        <w:rPr>
          <w:rFonts w:hint="eastAsia" w:ascii="宋体" w:hAnsi="宋体" w:cs="宋体"/>
          <w:sz w:val="24"/>
        </w:rPr>
      </w:pPr>
      <w:r>
        <w:rPr>
          <w:rFonts w:hint="eastAsia" w:ascii="宋体" w:hAnsi="宋体" w:cs="宋体"/>
          <w:sz w:val="24"/>
        </w:rPr>
        <w:t>投标人应承担所有与准备和参加投标有关的费用，采购人和集中采购机构在任何情况下均无义务和责任承担这些费用。</w:t>
      </w:r>
    </w:p>
    <w:p w14:paraId="7950BF07">
      <w:pPr>
        <w:adjustRightInd w:val="0"/>
        <w:snapToGrid w:val="0"/>
        <w:spacing w:line="360" w:lineRule="auto"/>
        <w:ind w:firstLine="441" w:firstLineChars="197"/>
        <w:rPr>
          <w:rFonts w:hint="eastAsia" w:ascii="宋体" w:hAnsi="宋体" w:cs="宋体"/>
          <w:sz w:val="24"/>
        </w:rPr>
      </w:pPr>
      <w:r>
        <w:rPr>
          <w:rFonts w:hint="eastAsia" w:ascii="宋体" w:hAnsi="宋体" w:cs="宋体"/>
          <w:b/>
          <w:bCs/>
          <w:sz w:val="24"/>
        </w:rPr>
        <w:t>6.信息发布</w:t>
      </w:r>
    </w:p>
    <w:p w14:paraId="200EB973">
      <w:pPr>
        <w:keepNext w:val="0"/>
        <w:keepLines w:val="0"/>
        <w:pageBreakBefore w:val="0"/>
        <w:widowControl w:val="0"/>
        <w:kinsoku/>
        <w:wordWrap/>
        <w:overflowPunct/>
        <w:topLinePunct w:val="0"/>
        <w:autoSpaceDE/>
        <w:autoSpaceDN/>
        <w:bidi w:val="0"/>
        <w:adjustRightInd w:val="0"/>
        <w:snapToGrid w:val="0"/>
        <w:spacing w:line="240" w:lineRule="atLeast"/>
        <w:ind w:firstLine="441" w:firstLineChars="197"/>
        <w:textAlignment w:val="auto"/>
        <w:rPr>
          <w:rFonts w:hint="eastAsia" w:ascii="宋体" w:hAnsi="宋体" w:eastAsia="宋体" w:cs="宋体"/>
          <w:color w:val="000000"/>
          <w:sz w:val="24"/>
          <w:szCs w:val="24"/>
          <w:shd w:val="clear" w:color="auto" w:fill="FFFFFF"/>
        </w:rPr>
      </w:pPr>
      <w:r>
        <w:rPr>
          <w:rFonts w:hint="eastAsia" w:ascii="宋体" w:hAnsi="宋体" w:eastAsia="宋体" w:cs="宋体"/>
          <w:color w:val="000000"/>
          <w:sz w:val="24"/>
          <w:szCs w:val="24"/>
        </w:rPr>
        <w:t>本采购项目需要公开的有关信息，包括采购公告、成交公告、更正公告等与采购活动有关的通知，采购代理机构将通过政采云平台（同步推送到吉林省政府采购网）、中国</w:t>
      </w:r>
      <w:r>
        <w:rPr>
          <w:rFonts w:hint="eastAsia" w:ascii="宋体" w:hAnsi="宋体" w:eastAsia="宋体" w:cs="宋体"/>
          <w:color w:val="000000"/>
          <w:sz w:val="24"/>
          <w:szCs w:val="24"/>
          <w:lang w:eastAsia="zh-CN"/>
        </w:rPr>
        <w:t>政府采购网</w:t>
      </w:r>
      <w:r>
        <w:rPr>
          <w:rFonts w:hint="eastAsia" w:ascii="宋体" w:hAnsi="宋体" w:eastAsia="宋体" w:cs="宋体"/>
          <w:color w:val="000000"/>
          <w:sz w:val="24"/>
          <w:szCs w:val="24"/>
        </w:rPr>
        <w:t>等政府采购信息发布媒体公开发布。供应商在参与本项目采购活动期间，请及时关注以上媒体上的相关信息，供应商因没有及时关注而未能如期获取相关信息，是供应商的风险，采购代理机构对此不承担任何责任。</w:t>
      </w:r>
    </w:p>
    <w:p w14:paraId="13647469">
      <w:pPr>
        <w:spacing w:line="360" w:lineRule="auto"/>
        <w:jc w:val="center"/>
        <w:outlineLvl w:val="1"/>
        <w:rPr>
          <w:rFonts w:hint="eastAsia" w:ascii="宋体" w:hAnsi="宋体" w:cs="宋体"/>
          <w:sz w:val="24"/>
          <w:shd w:val="clear" w:color="auto" w:fill="FFFFFF"/>
        </w:rPr>
      </w:pPr>
      <w:r>
        <w:rPr>
          <w:rFonts w:hint="eastAsia" w:ascii="宋体" w:hAnsi="宋体" w:cs="宋体"/>
          <w:kern w:val="0"/>
          <w:sz w:val="30"/>
          <w:szCs w:val="30"/>
          <w:lang w:val="zh-CN"/>
        </w:rPr>
        <w:t>二、招标文件</w:t>
      </w:r>
    </w:p>
    <w:p w14:paraId="2F2C1BEA">
      <w:pPr>
        <w:pStyle w:val="29"/>
        <w:numPr>
          <w:ilvl w:val="0"/>
          <w:numId w:val="0"/>
        </w:numPr>
        <w:tabs>
          <w:tab w:val="left" w:pos="900"/>
          <w:tab w:val="left" w:pos="1573"/>
        </w:tabs>
        <w:spacing w:line="360" w:lineRule="auto"/>
        <w:ind w:firstLine="441" w:firstLineChars="197"/>
        <w:rPr>
          <w:rFonts w:hint="eastAsia" w:cs="宋体"/>
          <w:b/>
          <w:sz w:val="24"/>
          <w:szCs w:val="24"/>
        </w:rPr>
      </w:pPr>
      <w:r>
        <w:rPr>
          <w:rFonts w:hint="eastAsia" w:cs="宋体"/>
          <w:b/>
          <w:sz w:val="24"/>
          <w:szCs w:val="24"/>
        </w:rPr>
        <w:t>7.招标文件</w:t>
      </w:r>
    </w:p>
    <w:p w14:paraId="6782967C">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 xml:space="preserve">招标文件包括下述内容：                           </w:t>
      </w:r>
    </w:p>
    <w:p w14:paraId="3D6DBF93">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第一章   投标邀请</w:t>
      </w:r>
    </w:p>
    <w:p w14:paraId="4CE29CC2">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第二章   项目招标需求</w:t>
      </w:r>
    </w:p>
    <w:p w14:paraId="6F21A5EB">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第三章   资格审查方法与标准</w:t>
      </w:r>
    </w:p>
    <w:p w14:paraId="76533CEF">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第四章   评标方法、程序与标准</w:t>
      </w:r>
    </w:p>
    <w:p w14:paraId="0CAE71A0">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第五章   投标人须知</w:t>
      </w:r>
    </w:p>
    <w:p w14:paraId="2D0338F1">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第六章   合同文本</w:t>
      </w:r>
    </w:p>
    <w:p w14:paraId="375A2245">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第七章   投标文件格式</w:t>
      </w:r>
    </w:p>
    <w:p w14:paraId="2F45BD6C">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 xml:space="preserve">第八章   附   件    </w:t>
      </w:r>
    </w:p>
    <w:p w14:paraId="23FB2428">
      <w:pPr>
        <w:pStyle w:val="29"/>
        <w:numPr>
          <w:ilvl w:val="0"/>
          <w:numId w:val="0"/>
        </w:numPr>
        <w:tabs>
          <w:tab w:val="left" w:pos="720"/>
          <w:tab w:val="clear" w:pos="709"/>
        </w:tabs>
        <w:snapToGrid w:val="0"/>
        <w:spacing w:line="360" w:lineRule="auto"/>
        <w:ind w:firstLine="441" w:firstLineChars="197"/>
        <w:rPr>
          <w:rFonts w:hint="eastAsia" w:eastAsia="宋体" w:cs="宋体"/>
          <w:b/>
          <w:sz w:val="24"/>
          <w:szCs w:val="24"/>
          <w:lang w:eastAsia="zh-CN"/>
        </w:rPr>
      </w:pPr>
      <w:r>
        <w:rPr>
          <w:rFonts w:hint="eastAsia" w:cs="宋体"/>
          <w:b/>
          <w:sz w:val="24"/>
          <w:szCs w:val="24"/>
        </w:rPr>
        <w:t>8.现场考察</w:t>
      </w:r>
      <w:r>
        <w:rPr>
          <w:rFonts w:hint="eastAsia" w:cs="宋体"/>
          <w:b/>
          <w:sz w:val="24"/>
          <w:szCs w:val="24"/>
          <w:lang w:eastAsia="zh-CN"/>
        </w:rPr>
        <w:t>（不组织）</w:t>
      </w:r>
    </w:p>
    <w:p w14:paraId="61D30483">
      <w:pPr>
        <w:adjustRightInd w:val="0"/>
        <w:snapToGrid w:val="0"/>
        <w:spacing w:line="360" w:lineRule="auto"/>
        <w:ind w:firstLine="448" w:firstLineChars="200"/>
        <w:rPr>
          <w:rFonts w:hint="eastAsia" w:ascii="宋体" w:hAnsi="宋体" w:cs="宋体"/>
          <w:bCs/>
          <w:sz w:val="24"/>
        </w:rPr>
      </w:pPr>
      <w:r>
        <w:rPr>
          <w:rFonts w:hint="eastAsia" w:ascii="宋体" w:hAnsi="宋体" w:cs="宋体"/>
          <w:bCs/>
          <w:sz w:val="24"/>
        </w:rPr>
        <w:t>8.1 招标文件第一章《投标邀请》中约定现场考察的，由采购人组织所有潜在投标人考察项目现场，但不得单独或者分别组织只有一个投标人参加的现场考察。所有投标人应按《投标邀请》规定的时间、地点前往参加现场考察活动。投标人如不参加，其风险由投标人自行承担，采购人与集中采购机构不承担任何责任，未参与现场考察不作为否定投标人资格的理由。</w:t>
      </w:r>
    </w:p>
    <w:p w14:paraId="7702C15C">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8.2 采购人向投标人口头介绍的情况及提供的有关现场的资料和数据，供投标人在编制投标文件时参考。采购人或集中采购机构不对投标人据此作出的判断和决策负责。</w:t>
      </w:r>
    </w:p>
    <w:p w14:paraId="50CC31C6">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8.3 各投标人应认真考察现场，熟悉现场情况以及周围环境，了解一切可能影响投标报价的资料。凡拟采取的竞争措施均应在投标文件中列明细目名称及相应的费用。一经中标，不得以不完全了解现场及周围环境情况等为借口而提出额外补偿或延长工期的要求，否则，由此引起的一切后果由中标人负责。</w:t>
      </w:r>
    </w:p>
    <w:p w14:paraId="2BA86EB7">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 xml:space="preserve">8.4 投标人现场考察所发生的费用自理。投标人现场考察时应注意人身、财产安全，否则责任自负。       </w:t>
      </w:r>
    </w:p>
    <w:p w14:paraId="65F2AD5F">
      <w:pPr>
        <w:pStyle w:val="29"/>
        <w:numPr>
          <w:ilvl w:val="0"/>
          <w:numId w:val="0"/>
        </w:numPr>
        <w:tabs>
          <w:tab w:val="left" w:pos="720"/>
          <w:tab w:val="clear" w:pos="709"/>
        </w:tabs>
        <w:snapToGrid w:val="0"/>
        <w:spacing w:line="360" w:lineRule="auto"/>
        <w:rPr>
          <w:rFonts w:hint="eastAsia" w:eastAsia="宋体" w:cs="宋体"/>
          <w:bCs/>
          <w:sz w:val="24"/>
          <w:szCs w:val="24"/>
          <w:lang w:eastAsia="zh-CN"/>
        </w:rPr>
      </w:pPr>
      <w:r>
        <w:rPr>
          <w:rFonts w:hint="eastAsia" w:cs="宋体"/>
          <w:bCs/>
          <w:sz w:val="24"/>
          <w:szCs w:val="24"/>
        </w:rPr>
        <w:t xml:space="preserve">    </w:t>
      </w:r>
      <w:r>
        <w:rPr>
          <w:rFonts w:hint="eastAsia" w:cs="宋体"/>
          <w:b/>
          <w:sz w:val="24"/>
          <w:szCs w:val="24"/>
        </w:rPr>
        <w:t>9.开标前答疑会</w:t>
      </w:r>
      <w:r>
        <w:rPr>
          <w:rFonts w:hint="eastAsia" w:cs="宋体"/>
          <w:b/>
          <w:sz w:val="24"/>
          <w:szCs w:val="24"/>
          <w:lang w:eastAsia="zh-CN"/>
        </w:rPr>
        <w:t>（不组织）</w:t>
      </w:r>
    </w:p>
    <w:p w14:paraId="0770DBEC">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9.1 开标前答疑会由集中采购机构负责组织。所有潜在投标人应按招标文件第一章投标邀请规定的时间、地点参加。投标人如不参加，其风险由投标人自行承担，采购人与集中采购机构不承担任何责任，未参加开标前答疑会不作为否定投标人资格的理由。</w:t>
      </w:r>
    </w:p>
    <w:p w14:paraId="488BDB6C">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 xml:space="preserve">9.2 采购人与集中采购机构对参加开标前答疑会的投标人就招标文件提出的询问做出答复。如果供应商对答复不满意的，可在法律规定期限内提出书面质疑。   </w:t>
      </w:r>
    </w:p>
    <w:p w14:paraId="7C8FDB07">
      <w:pPr>
        <w:pStyle w:val="29"/>
        <w:numPr>
          <w:ilvl w:val="0"/>
          <w:numId w:val="0"/>
        </w:numPr>
        <w:tabs>
          <w:tab w:val="left" w:pos="720"/>
          <w:tab w:val="clear" w:pos="709"/>
        </w:tabs>
        <w:snapToGrid w:val="0"/>
        <w:spacing w:line="360" w:lineRule="auto"/>
        <w:ind w:firstLine="441" w:firstLineChars="197"/>
        <w:rPr>
          <w:rFonts w:hint="eastAsia" w:cs="宋体"/>
          <w:b/>
          <w:sz w:val="24"/>
          <w:szCs w:val="24"/>
        </w:rPr>
      </w:pPr>
      <w:r>
        <w:rPr>
          <w:rFonts w:hint="eastAsia" w:cs="宋体"/>
          <w:b/>
          <w:sz w:val="24"/>
          <w:szCs w:val="24"/>
        </w:rPr>
        <w:t>10.招标文件的澄清、修改</w:t>
      </w:r>
    </w:p>
    <w:p w14:paraId="343000D4">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10.1 采购人或者集中采购机构可以对已发出的招标文件进行必要的澄清或者修改。澄清或者修改的内容可能影响投标文件编制的，采购人或者集中采购机构应当在投标截止时间至少15日前，通知所有获取招标文件的潜在投标人；不足15日的，采购人或者集中采购机构应当顺延提交投标文件的截止时间。</w:t>
      </w:r>
    </w:p>
    <w:p w14:paraId="15343CC2">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10.2 招标文件的澄清、修改均由集中采购机构通过本须知第6条约定的信息发布方式和渠道，以更正公告形式发布。更正公告的内容为招标文件的组成部分，当招标文件与更正公告就同一内容的表述不一致时，以最后发布的更正公告内容为准。延长提交投标文件截止时间的，延长后的具体提交投标文件截止时间以最后发布的更正公告中的规定为准。采购人或者集中采购机构和投标人的权利及义务将受到新的截止期的约束。如更正公告有重新发布电子招标文件的，供应商应下载最新发布的电子招标文件制作投标文件。未按照重新发布的招标文件编制投标文件的，是投标人的风险。</w:t>
      </w:r>
    </w:p>
    <w:p w14:paraId="762A10B6">
      <w:pPr>
        <w:autoSpaceDE w:val="0"/>
        <w:autoSpaceDN w:val="0"/>
        <w:adjustRightInd w:val="0"/>
        <w:spacing w:line="360" w:lineRule="auto"/>
        <w:ind w:firstLine="448" w:firstLineChars="200"/>
        <w:rPr>
          <w:rFonts w:hint="eastAsia" w:ascii="宋体" w:hAnsi="宋体" w:cs="宋体"/>
          <w:sz w:val="24"/>
          <w:shd w:val="clear" w:color="auto" w:fill="FFFFFF"/>
        </w:rPr>
      </w:pPr>
      <w:r>
        <w:rPr>
          <w:rFonts w:hint="eastAsia" w:ascii="宋体" w:hAnsi="宋体" w:cs="宋体"/>
          <w:bCs/>
          <w:sz w:val="24"/>
        </w:rPr>
        <w:t>10.3 除上述规定以外的其他任何澄清、修改方式及澄清、修改内容均属无效，不得作为投标的依据，否则，由此导致的风险由投标人自行承担，集中采购机构不承担任何责任。</w:t>
      </w:r>
    </w:p>
    <w:p w14:paraId="3B7123FD">
      <w:pPr>
        <w:spacing w:line="360" w:lineRule="auto"/>
        <w:jc w:val="center"/>
        <w:outlineLvl w:val="1"/>
        <w:rPr>
          <w:rFonts w:hint="eastAsia" w:ascii="宋体" w:hAnsi="宋体" w:cs="宋体"/>
          <w:sz w:val="24"/>
          <w:shd w:val="clear" w:color="auto" w:fill="FFFFFF"/>
        </w:rPr>
      </w:pPr>
      <w:r>
        <w:rPr>
          <w:rFonts w:hint="eastAsia" w:ascii="宋体" w:hAnsi="宋体" w:cs="宋体"/>
          <w:kern w:val="0"/>
          <w:sz w:val="30"/>
          <w:szCs w:val="30"/>
          <w:lang w:val="zh-CN"/>
        </w:rPr>
        <w:t>三、投标文件</w:t>
      </w:r>
    </w:p>
    <w:p w14:paraId="0A3A7DC9">
      <w:pPr>
        <w:pStyle w:val="29"/>
        <w:numPr>
          <w:ilvl w:val="0"/>
          <w:numId w:val="0"/>
        </w:numPr>
        <w:tabs>
          <w:tab w:val="left" w:pos="720"/>
          <w:tab w:val="clear" w:pos="709"/>
        </w:tabs>
        <w:snapToGrid w:val="0"/>
        <w:spacing w:line="360" w:lineRule="auto"/>
        <w:ind w:firstLine="441" w:firstLineChars="197"/>
        <w:rPr>
          <w:rFonts w:hint="eastAsia" w:cs="宋体"/>
          <w:b/>
          <w:sz w:val="24"/>
          <w:szCs w:val="24"/>
        </w:rPr>
      </w:pPr>
      <w:r>
        <w:rPr>
          <w:rFonts w:hint="eastAsia" w:cs="宋体"/>
          <w:b/>
          <w:sz w:val="24"/>
          <w:szCs w:val="24"/>
        </w:rPr>
        <w:t>11.投标文件的制作</w:t>
      </w:r>
    </w:p>
    <w:p w14:paraId="70ED2490">
      <w:pPr>
        <w:autoSpaceDE w:val="0"/>
        <w:autoSpaceDN w:val="0"/>
        <w:adjustRightInd w:val="0"/>
        <w:spacing w:line="360" w:lineRule="auto"/>
        <w:ind w:firstLine="448" w:firstLineChars="200"/>
        <w:rPr>
          <w:rFonts w:hint="eastAsia" w:ascii="宋体" w:hAnsi="宋体" w:cs="宋体"/>
          <w:bCs/>
          <w:color w:val="000000"/>
          <w:sz w:val="24"/>
          <w:szCs w:val="24"/>
        </w:rPr>
      </w:pPr>
      <w:r>
        <w:rPr>
          <w:rFonts w:hint="eastAsia" w:ascii="宋体" w:hAnsi="宋体" w:cs="宋体"/>
          <w:bCs/>
          <w:color w:val="000000"/>
          <w:sz w:val="24"/>
          <w:szCs w:val="24"/>
        </w:rPr>
        <w:t>11.1 供应商应当自行登录政府采购云平台下载“投标文件制作软件，通过软件制作、生成投标文件。</w:t>
      </w:r>
    </w:p>
    <w:p w14:paraId="1A809C8E">
      <w:pPr>
        <w:autoSpaceDE w:val="0"/>
        <w:autoSpaceDN w:val="0"/>
        <w:adjustRightInd w:val="0"/>
        <w:spacing w:line="360" w:lineRule="auto"/>
        <w:ind w:firstLine="448" w:firstLineChars="200"/>
        <w:rPr>
          <w:rFonts w:hint="eastAsia" w:ascii="宋体" w:hAnsi="宋体" w:cs="宋体"/>
          <w:bCs/>
          <w:color w:val="000000"/>
          <w:sz w:val="24"/>
          <w:szCs w:val="24"/>
        </w:rPr>
      </w:pPr>
      <w:r>
        <w:rPr>
          <w:rFonts w:hint="eastAsia" w:ascii="宋体" w:hAnsi="宋体" w:cs="宋体"/>
          <w:bCs/>
          <w:color w:val="000000"/>
          <w:sz w:val="24"/>
          <w:szCs w:val="24"/>
        </w:rPr>
        <w:t>11.2 供应商制作电子投标文件时应使用本单位CA数字证书（企业锁），按照</w:t>
      </w:r>
      <w:r>
        <w:rPr>
          <w:rFonts w:hint="eastAsia" w:ascii="宋体" w:hAnsi="宋体" w:cs="宋体"/>
          <w:bCs/>
          <w:color w:val="000000"/>
          <w:sz w:val="24"/>
          <w:szCs w:val="24"/>
          <w:lang w:eastAsia="zh-CN"/>
        </w:rPr>
        <w:t>招标</w:t>
      </w:r>
      <w:r>
        <w:rPr>
          <w:rFonts w:hint="eastAsia" w:ascii="宋体" w:hAnsi="宋体" w:cs="宋体"/>
          <w:bCs/>
          <w:color w:val="000000"/>
          <w:sz w:val="24"/>
          <w:szCs w:val="24"/>
        </w:rPr>
        <w:t>文件制作软件的要求编制电子响应文件，保证目录清晰、内容完整。未按</w:t>
      </w:r>
      <w:r>
        <w:rPr>
          <w:rFonts w:hint="eastAsia" w:ascii="宋体" w:hAnsi="宋体" w:cs="宋体"/>
          <w:bCs/>
          <w:color w:val="000000"/>
          <w:sz w:val="24"/>
          <w:szCs w:val="24"/>
          <w:lang w:eastAsia="zh-CN"/>
        </w:rPr>
        <w:t>招标</w:t>
      </w:r>
      <w:r>
        <w:rPr>
          <w:rFonts w:hint="eastAsia" w:ascii="宋体" w:hAnsi="宋体" w:cs="宋体"/>
          <w:bCs/>
          <w:color w:val="000000"/>
          <w:sz w:val="24"/>
          <w:szCs w:val="24"/>
        </w:rPr>
        <w:t>文件的要求编制响应文件的，是供应商的风险。</w:t>
      </w:r>
    </w:p>
    <w:p w14:paraId="0AC8D6D1">
      <w:pPr>
        <w:autoSpaceDE w:val="0"/>
        <w:autoSpaceDN w:val="0"/>
        <w:adjustRightInd w:val="0"/>
        <w:spacing w:line="360" w:lineRule="auto"/>
        <w:ind w:firstLine="448" w:firstLineChars="200"/>
        <w:rPr>
          <w:rFonts w:hint="eastAsia" w:ascii="宋体" w:hAnsi="宋体" w:cs="宋体"/>
          <w:bCs/>
          <w:sz w:val="24"/>
        </w:rPr>
      </w:pPr>
      <w:r>
        <w:rPr>
          <w:rFonts w:hint="eastAsia" w:ascii="宋体" w:hAnsi="宋体" w:cs="宋体"/>
          <w:bCs/>
          <w:sz w:val="24"/>
        </w:rPr>
        <w:t>11.3 招标内容分多个采购包的，投标人应当按采购包分别编制独立的投标文件，并按采购包分别提交投标文件。</w:t>
      </w:r>
    </w:p>
    <w:p w14:paraId="36B6EE38">
      <w:pPr>
        <w:autoSpaceDE w:val="0"/>
        <w:autoSpaceDN w:val="0"/>
        <w:adjustRightInd w:val="0"/>
        <w:spacing w:line="360" w:lineRule="auto"/>
        <w:ind w:firstLine="448" w:firstLineChars="200"/>
        <w:rPr>
          <w:rFonts w:hint="eastAsia" w:ascii="宋体" w:hAnsi="宋体" w:cs="宋体"/>
          <w:bCs/>
          <w:sz w:val="24"/>
        </w:rPr>
      </w:pPr>
      <w:r>
        <w:rPr>
          <w:rFonts w:hint="eastAsia" w:ascii="宋体" w:hAnsi="宋体" w:cs="宋体"/>
          <w:bCs/>
          <w:sz w:val="24"/>
        </w:rPr>
        <w:t>11.4 电子投标文件签章完成后，生成</w:t>
      </w:r>
      <w:r>
        <w:rPr>
          <w:rFonts w:hint="eastAsia" w:ascii="宋体" w:hAnsi="宋体" w:cs="宋体"/>
          <w:b/>
          <w:sz w:val="24"/>
        </w:rPr>
        <w:t>加密和非加密的</w:t>
      </w:r>
      <w:r>
        <w:rPr>
          <w:rFonts w:hint="eastAsia" w:ascii="宋体" w:hAnsi="宋体" w:cs="宋体"/>
          <w:bCs/>
          <w:sz w:val="24"/>
        </w:rPr>
        <w:t>电子投标文件。经CA数字证书（企业锁）加密的投标文件必须在投标截止时间前完成上传，加密和解密必须使用同一数字证书。</w:t>
      </w:r>
    </w:p>
    <w:p w14:paraId="7B5FB3BD">
      <w:pPr>
        <w:autoSpaceDE w:val="0"/>
        <w:autoSpaceDN w:val="0"/>
        <w:adjustRightInd w:val="0"/>
        <w:spacing w:line="360" w:lineRule="auto"/>
        <w:ind w:firstLine="448" w:firstLineChars="200"/>
        <w:rPr>
          <w:rFonts w:hint="eastAsia" w:ascii="宋体" w:hAnsi="宋体" w:cs="宋体"/>
          <w:bCs/>
          <w:sz w:val="24"/>
        </w:rPr>
      </w:pPr>
      <w:r>
        <w:rPr>
          <w:rFonts w:hint="eastAsia" w:ascii="宋体" w:hAnsi="宋体" w:cs="宋体"/>
          <w:bCs/>
          <w:sz w:val="24"/>
        </w:rPr>
        <w:t>11.5 提交电子投标文件截止时间前出现下列情形的，投标人必须对投标文件重新电子签章和生成投标文件，并在投标截止时间之前上传至系统，否则无法完成解密：</w:t>
      </w:r>
    </w:p>
    <w:p w14:paraId="53554899">
      <w:pPr>
        <w:autoSpaceDE w:val="0"/>
        <w:autoSpaceDN w:val="0"/>
        <w:adjustRightInd w:val="0"/>
        <w:spacing w:line="360" w:lineRule="auto"/>
        <w:ind w:firstLine="448" w:firstLineChars="200"/>
        <w:rPr>
          <w:rFonts w:hint="eastAsia" w:ascii="宋体" w:hAnsi="宋体" w:cs="宋体"/>
          <w:bCs/>
          <w:sz w:val="24"/>
        </w:rPr>
      </w:pPr>
      <w:r>
        <w:rPr>
          <w:rFonts w:hint="eastAsia" w:ascii="宋体" w:hAnsi="宋体" w:cs="宋体"/>
          <w:bCs/>
          <w:sz w:val="24"/>
        </w:rPr>
        <w:t>11.5.1 数字证书到期后重新续期；</w:t>
      </w:r>
    </w:p>
    <w:p w14:paraId="33653E42">
      <w:pPr>
        <w:autoSpaceDE w:val="0"/>
        <w:autoSpaceDN w:val="0"/>
        <w:adjustRightInd w:val="0"/>
        <w:spacing w:line="360" w:lineRule="auto"/>
        <w:ind w:firstLine="448" w:firstLineChars="200"/>
        <w:rPr>
          <w:rFonts w:hint="eastAsia" w:ascii="宋体" w:hAnsi="宋体" w:cs="宋体"/>
          <w:bCs/>
          <w:sz w:val="24"/>
        </w:rPr>
      </w:pPr>
      <w:r>
        <w:rPr>
          <w:rFonts w:hint="eastAsia" w:ascii="宋体" w:hAnsi="宋体" w:cs="宋体"/>
          <w:bCs/>
          <w:sz w:val="24"/>
        </w:rPr>
        <w:t>11.5.2 数字证书因遗失、损坏、企业信息变更等情况更换新证书。</w:t>
      </w:r>
    </w:p>
    <w:p w14:paraId="6A35460B">
      <w:pPr>
        <w:autoSpaceDE w:val="0"/>
        <w:autoSpaceDN w:val="0"/>
        <w:adjustRightInd w:val="0"/>
        <w:spacing w:line="360" w:lineRule="auto"/>
        <w:ind w:firstLine="448" w:firstLineChars="200"/>
        <w:rPr>
          <w:rFonts w:hint="eastAsia" w:ascii="宋体" w:hAnsi="宋体" w:cs="宋体"/>
          <w:b/>
          <w:sz w:val="24"/>
        </w:rPr>
      </w:pPr>
      <w:r>
        <w:rPr>
          <w:rFonts w:hint="eastAsia" w:ascii="宋体" w:hAnsi="宋体" w:cs="宋体"/>
          <w:bCs/>
          <w:sz w:val="24"/>
        </w:rPr>
        <w:t>投标人由于数字证书遗失、损坏、更换、续期等情况导致投标文件无法解密，由投标人自行承担责任。</w:t>
      </w:r>
    </w:p>
    <w:p w14:paraId="54965324">
      <w:pPr>
        <w:pStyle w:val="29"/>
        <w:numPr>
          <w:ilvl w:val="0"/>
          <w:numId w:val="0"/>
        </w:numPr>
        <w:tabs>
          <w:tab w:val="left" w:pos="720"/>
          <w:tab w:val="clear" w:pos="709"/>
        </w:tabs>
        <w:snapToGrid w:val="0"/>
        <w:spacing w:line="360" w:lineRule="auto"/>
        <w:ind w:firstLine="441" w:firstLineChars="197"/>
        <w:rPr>
          <w:rFonts w:hint="eastAsia" w:cs="宋体"/>
          <w:b/>
          <w:sz w:val="24"/>
          <w:szCs w:val="24"/>
        </w:rPr>
      </w:pPr>
      <w:r>
        <w:rPr>
          <w:rFonts w:hint="eastAsia" w:cs="宋体"/>
          <w:b/>
          <w:sz w:val="24"/>
          <w:szCs w:val="24"/>
        </w:rPr>
        <w:t>12.投标文件的语言和计量单位</w:t>
      </w:r>
    </w:p>
    <w:p w14:paraId="005053B3">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12.1 投标人提交的投标文件（包括技术文件和资料、图纸中的说明）以及投标人与集中采购机构就有关投标的所有来往函电均应使用中文简体字。</w:t>
      </w:r>
    </w:p>
    <w:p w14:paraId="6C07E1C1">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12.2 原版为外文的证书类文件，以及由外国人作出的本人签名、外国公司的名称或外国印章等可以是外文，但应当提供中文翻译文件并加盖投标人公章。原版为外文的证书类、证明类文件，与投标人名称或其它实际情况不符的，投标人应当提供相关证明文件。</w:t>
      </w:r>
    </w:p>
    <w:p w14:paraId="2083823C">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12.3 投标文件所使用的计量单位，应使用中华人民共和国法定计量单位。</w:t>
      </w:r>
    </w:p>
    <w:p w14:paraId="2DD234DC">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12.4 投标人违反上述规定的，导致评标委员会据此认定未实质性响应招标文件要求或对应评审因素得分受到影响的，是投标人的风险。</w:t>
      </w:r>
    </w:p>
    <w:p w14:paraId="55B99524">
      <w:pPr>
        <w:pStyle w:val="29"/>
        <w:numPr>
          <w:ilvl w:val="0"/>
          <w:numId w:val="0"/>
        </w:numPr>
        <w:tabs>
          <w:tab w:val="left" w:pos="720"/>
          <w:tab w:val="clear" w:pos="709"/>
        </w:tabs>
        <w:snapToGrid w:val="0"/>
        <w:spacing w:line="360" w:lineRule="auto"/>
        <w:ind w:firstLine="441" w:firstLineChars="197"/>
        <w:rPr>
          <w:rFonts w:hint="eastAsia" w:cs="宋体"/>
          <w:b/>
          <w:sz w:val="24"/>
          <w:szCs w:val="24"/>
        </w:rPr>
      </w:pPr>
      <w:r>
        <w:rPr>
          <w:rFonts w:hint="eastAsia" w:cs="宋体"/>
          <w:b/>
          <w:sz w:val="24"/>
          <w:szCs w:val="24"/>
        </w:rPr>
        <w:t>13.投标文件的组成及要求</w:t>
      </w:r>
    </w:p>
    <w:p w14:paraId="62EA819B">
      <w:pPr>
        <w:pStyle w:val="29"/>
        <w:numPr>
          <w:ilvl w:val="0"/>
          <w:numId w:val="0"/>
        </w:numPr>
        <w:tabs>
          <w:tab w:val="left" w:pos="720"/>
          <w:tab w:val="clear" w:pos="709"/>
        </w:tabs>
        <w:snapToGrid w:val="0"/>
        <w:spacing w:line="360" w:lineRule="auto"/>
        <w:ind w:firstLine="448" w:firstLineChars="200"/>
        <w:rPr>
          <w:rFonts w:hint="eastAsia" w:cs="宋体"/>
          <w:bCs/>
          <w:sz w:val="24"/>
          <w:szCs w:val="24"/>
        </w:rPr>
      </w:pPr>
      <w:r>
        <w:rPr>
          <w:rFonts w:hint="eastAsia" w:cs="宋体"/>
          <w:bCs/>
          <w:sz w:val="24"/>
          <w:szCs w:val="24"/>
        </w:rPr>
        <w:t>13.1 投标文件的组成</w:t>
      </w:r>
    </w:p>
    <w:p w14:paraId="5804FFF8">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投标人编制的投标文件应包括但不限于下列内容：</w:t>
      </w:r>
    </w:p>
    <w:p w14:paraId="389DC38E">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第一部分  资格审查文件</w:t>
      </w:r>
    </w:p>
    <w:p w14:paraId="1E2F1AB1">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第二部分  商务文件</w:t>
      </w:r>
    </w:p>
    <w:p w14:paraId="101916BE">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第三部分  技术文件</w:t>
      </w:r>
    </w:p>
    <w:p w14:paraId="670B5350">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第四部分  报价文件</w:t>
      </w:r>
    </w:p>
    <w:p w14:paraId="3F9DE257">
      <w:pPr>
        <w:pStyle w:val="29"/>
        <w:numPr>
          <w:ilvl w:val="0"/>
          <w:numId w:val="0"/>
        </w:numPr>
        <w:tabs>
          <w:tab w:val="left" w:pos="720"/>
          <w:tab w:val="clear" w:pos="709"/>
        </w:tabs>
        <w:snapToGrid w:val="0"/>
        <w:spacing w:line="360" w:lineRule="auto"/>
        <w:ind w:firstLine="441" w:firstLineChars="197"/>
        <w:rPr>
          <w:rFonts w:hint="eastAsia" w:cs="宋体"/>
          <w:bCs/>
          <w:sz w:val="24"/>
          <w:szCs w:val="24"/>
        </w:rPr>
      </w:pPr>
      <w:r>
        <w:rPr>
          <w:rFonts w:hint="eastAsia" w:cs="宋体"/>
          <w:bCs/>
          <w:sz w:val="24"/>
          <w:szCs w:val="24"/>
        </w:rPr>
        <w:t xml:space="preserve">上述各部分内容及格式详见招标文件第七章《投标文件格式》。      </w:t>
      </w:r>
    </w:p>
    <w:p w14:paraId="5685E910">
      <w:pPr>
        <w:pStyle w:val="29"/>
        <w:numPr>
          <w:ilvl w:val="0"/>
          <w:numId w:val="0"/>
        </w:numPr>
        <w:tabs>
          <w:tab w:val="left" w:pos="720"/>
          <w:tab w:val="clear" w:pos="709"/>
        </w:tabs>
        <w:snapToGrid w:val="0"/>
        <w:spacing w:line="360" w:lineRule="auto"/>
        <w:ind w:firstLine="448" w:firstLineChars="200"/>
        <w:rPr>
          <w:rFonts w:hint="eastAsia" w:cs="宋体"/>
          <w:bCs/>
          <w:sz w:val="24"/>
          <w:szCs w:val="24"/>
        </w:rPr>
      </w:pPr>
      <w:r>
        <w:rPr>
          <w:rFonts w:hint="eastAsia" w:cs="宋体"/>
          <w:bCs/>
          <w:sz w:val="24"/>
          <w:szCs w:val="24"/>
        </w:rPr>
        <w:t>13.2  投标保证金（无）</w:t>
      </w:r>
    </w:p>
    <w:p w14:paraId="4FEDAC01">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13.2.1 投标保证金是投标文件的一部分。</w:t>
      </w:r>
    </w:p>
    <w:p w14:paraId="3B4A0D57">
      <w:pPr>
        <w:wordWrap w:val="0"/>
        <w:autoSpaceDE w:val="0"/>
        <w:adjustRightInd w:val="0"/>
        <w:snapToGrid w:val="0"/>
        <w:spacing w:line="360" w:lineRule="auto"/>
        <w:ind w:firstLine="448" w:firstLineChars="200"/>
        <w:jc w:val="left"/>
        <w:rPr>
          <w:rFonts w:hint="eastAsia" w:ascii="宋体" w:hAnsi="宋体" w:cs="宋体"/>
          <w:bCs/>
          <w:sz w:val="24"/>
        </w:rPr>
      </w:pPr>
      <w:r>
        <w:rPr>
          <w:rFonts w:hint="eastAsia" w:ascii="宋体" w:hAnsi="宋体" w:cs="宋体"/>
          <w:bCs/>
          <w:sz w:val="24"/>
        </w:rPr>
        <w:t>13.2.2 投标保证金数额为采购项目预算金额的2%</w:t>
      </w:r>
      <w:r>
        <w:rPr>
          <w:rFonts w:hint="eastAsia" w:ascii="宋体" w:hAnsi="宋体" w:cs="宋体"/>
          <w:bCs/>
          <w:sz w:val="24"/>
          <w:lang w:val="zh-CN"/>
        </w:rPr>
        <w:t>（取整数到百），具体金额按照本采购项目</w:t>
      </w:r>
      <w:r>
        <w:rPr>
          <w:rFonts w:hint="eastAsia" w:ascii="宋体" w:hAnsi="宋体" w:cs="宋体"/>
          <w:bCs/>
          <w:sz w:val="24"/>
        </w:rPr>
        <w:t>招标公告中规定的投标保证金数额及账号提交。投标保证金应当在提交投标文件截止时间前，采用以下两种中的任何一种非现金形式提交：一是电汇、转账或者网银等，以资金到账为准；二是金融机构、担保机构出具的保函（格式见第八章）。</w:t>
      </w:r>
    </w:p>
    <w:p w14:paraId="42D98585">
      <w:pPr>
        <w:adjustRightInd w:val="0"/>
        <w:snapToGrid w:val="0"/>
        <w:spacing w:line="360" w:lineRule="auto"/>
        <w:ind w:firstLine="441" w:firstLineChars="197"/>
        <w:rPr>
          <w:rFonts w:hint="eastAsia" w:ascii="宋体" w:hAnsi="宋体" w:cs="宋体"/>
          <w:bCs/>
          <w:sz w:val="24"/>
        </w:rPr>
      </w:pPr>
      <w:r>
        <w:rPr>
          <w:rFonts w:hint="eastAsia" w:ascii="宋体" w:hAnsi="宋体" w:cs="宋体"/>
          <w:sz w:val="24"/>
        </w:rPr>
        <w:t>采用非保函方式的，投标人在提交投标保证金时</w:t>
      </w:r>
      <w:r>
        <w:rPr>
          <w:rFonts w:hint="eastAsia" w:ascii="宋体" w:hAnsi="宋体" w:cs="宋体"/>
          <w:sz w:val="24"/>
          <w:lang w:val="zh-CN"/>
        </w:rPr>
        <w:t>，须在</w:t>
      </w:r>
      <w:r>
        <w:rPr>
          <w:rFonts w:hint="eastAsia" w:ascii="宋体" w:hAnsi="宋体" w:cs="宋体"/>
          <w:sz w:val="24"/>
        </w:rPr>
        <w:t>存款单备注中注明本项目名称（可简写）、编号和投标保证金便于集中采购机构查询相关信息。</w:t>
      </w:r>
      <w:r>
        <w:rPr>
          <w:rFonts w:hint="eastAsia" w:ascii="宋体" w:hAnsi="宋体" w:cs="宋体"/>
          <w:bCs/>
          <w:sz w:val="24"/>
        </w:rPr>
        <w:t>采用保函形式的，投标人应当在提交投标文件截止时间前30分钟内，向集中采购机构递交保函原件。</w:t>
      </w:r>
    </w:p>
    <w:p w14:paraId="07FF48C5">
      <w:pPr>
        <w:adjustRightInd w:val="0"/>
        <w:snapToGrid w:val="0"/>
        <w:spacing w:line="360" w:lineRule="auto"/>
        <w:ind w:firstLine="441" w:firstLineChars="197"/>
        <w:rPr>
          <w:rFonts w:hint="eastAsia" w:ascii="宋体" w:hAnsi="宋体" w:cs="宋体"/>
          <w:b/>
          <w:bCs/>
          <w:sz w:val="24"/>
        </w:rPr>
      </w:pPr>
      <w:r>
        <w:rPr>
          <w:rFonts w:hint="eastAsia" w:ascii="宋体" w:hAnsi="宋体" w:cs="宋体"/>
          <w:bCs/>
          <w:sz w:val="24"/>
        </w:rPr>
        <w:t xml:space="preserve">13.2.3 </w:t>
      </w:r>
      <w:r>
        <w:rPr>
          <w:rFonts w:hint="eastAsia" w:ascii="宋体" w:hAnsi="宋体" w:cs="宋体"/>
          <w:b/>
          <w:bCs/>
          <w:sz w:val="24"/>
        </w:rPr>
        <w:t>投标人为联合体的，可以由联合体任何一方提交投标保证金，其提交的投标保证金对联合体各方均具有约束力。</w:t>
      </w:r>
    </w:p>
    <w:p w14:paraId="60E30EB7">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13.2.4 未按招标文件要求提交投标保证金，或提交保证金的账户名称与投标人名称不一致，或提交投标保证金的账号与注册会员时在系统中提供的账号</w:t>
      </w:r>
      <w:r>
        <w:rPr>
          <w:rFonts w:hint="eastAsia" w:ascii="宋体" w:hAnsi="宋体" w:cs="宋体"/>
          <w:kern w:val="0"/>
          <w:sz w:val="24"/>
          <w:shd w:val="clear" w:color="auto" w:fill="FFFFFF"/>
        </w:rPr>
        <w:t>（诚信库基本户）</w:t>
      </w:r>
      <w:r>
        <w:rPr>
          <w:rFonts w:hint="eastAsia" w:ascii="宋体" w:hAnsi="宋体" w:cs="宋体"/>
          <w:bCs/>
          <w:sz w:val="24"/>
        </w:rPr>
        <w:t>不一致的，按照无效投标处理。</w:t>
      </w:r>
    </w:p>
    <w:p w14:paraId="7F279848">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13.2.5 投标人在投标截止时间前撤回已提交的投标文件的，集中采购机构应当自收到投标人书面撤回通知之日起5个工作日内，退还已收取的投标保证金，但因投标人自身原因导致无法及时退还的除外。</w:t>
      </w:r>
    </w:p>
    <w:p w14:paraId="63F8F33D">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集中采购机构应当自中标通知书发出之日起5个工作日内退还未中标人的投标保证金；自供应商向集中采购机构提供采购合同原件、《投标保证金退还申请单》原件（格式见第八章）5个工作日内退还中标人的投标保证金，但因供应商自身原因导致无法及时退还的除外。</w:t>
      </w:r>
    </w:p>
    <w:p w14:paraId="2313A673">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13.2.6采用电汇、转账或者网银等方式提交的，投标保证金将直接退还至投标人提交时的账户，不以现金方式退还。</w:t>
      </w:r>
    </w:p>
    <w:p w14:paraId="486ACB93">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13.2.7投标人有下列情形之一的，集中采购机构不予退还其提交的投标保证金；情节严重的，由财政部门将其列入不良行为记录名单，在一至三年内禁止参加政府采购活动，并予以通报：</w:t>
      </w:r>
    </w:p>
    <w:p w14:paraId="2D66E260">
      <w:pPr>
        <w:adjustRightInd w:val="0"/>
        <w:snapToGrid w:val="0"/>
        <w:spacing w:line="360" w:lineRule="auto"/>
        <w:ind w:firstLine="448" w:firstLineChars="200"/>
        <w:rPr>
          <w:rFonts w:hint="eastAsia" w:ascii="宋体" w:hAnsi="宋体" w:cs="宋体"/>
          <w:bCs/>
          <w:sz w:val="24"/>
        </w:rPr>
      </w:pPr>
      <w:r>
        <w:rPr>
          <w:rFonts w:hint="eastAsia" w:ascii="宋体" w:hAnsi="宋体" w:cs="宋体"/>
          <w:bCs/>
          <w:sz w:val="24"/>
        </w:rPr>
        <w:t xml:space="preserve">（1）在投标文件有效期内撤销投标文件的； </w:t>
      </w:r>
    </w:p>
    <w:p w14:paraId="56F81125">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 xml:space="preserve">（2）在投标文件中提供虚假材料的； </w:t>
      </w:r>
    </w:p>
    <w:p w14:paraId="6378A0C9">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（3）中标后无正当理由不与采购人签订合同的；</w:t>
      </w:r>
    </w:p>
    <w:p w14:paraId="0B41FB80">
      <w:pPr>
        <w:adjustRightInd w:val="0"/>
        <w:snapToGrid w:val="0"/>
        <w:spacing w:line="360" w:lineRule="auto"/>
        <w:ind w:firstLine="441" w:firstLineChars="197"/>
        <w:rPr>
          <w:rFonts w:hint="eastAsia" w:ascii="宋体" w:hAnsi="宋体" w:cs="宋体"/>
        </w:rPr>
      </w:pPr>
      <w:r>
        <w:rPr>
          <w:rFonts w:hint="eastAsia" w:ascii="宋体" w:hAnsi="宋体" w:cs="宋体"/>
          <w:bCs/>
          <w:sz w:val="24"/>
        </w:rPr>
        <w:t>（4）法律、法规和本招标文件规定的其他情形。</w:t>
      </w:r>
    </w:p>
    <w:p w14:paraId="4B43913E">
      <w:pPr>
        <w:pStyle w:val="29"/>
        <w:numPr>
          <w:ilvl w:val="0"/>
          <w:numId w:val="0"/>
        </w:numPr>
        <w:tabs>
          <w:tab w:val="left" w:pos="900"/>
        </w:tabs>
        <w:snapToGrid w:val="0"/>
        <w:spacing w:line="360" w:lineRule="auto"/>
        <w:ind w:firstLine="448" w:firstLineChars="200"/>
        <w:rPr>
          <w:rFonts w:hint="eastAsia" w:cs="宋体"/>
          <w:bCs/>
          <w:sz w:val="24"/>
          <w:szCs w:val="24"/>
        </w:rPr>
      </w:pPr>
      <w:r>
        <w:rPr>
          <w:rFonts w:hint="eastAsia" w:cs="宋体"/>
          <w:bCs/>
          <w:sz w:val="24"/>
          <w:szCs w:val="24"/>
        </w:rPr>
        <w:t>13.3 投标报价</w:t>
      </w:r>
    </w:p>
    <w:p w14:paraId="2E60F84B">
      <w:pPr>
        <w:pStyle w:val="29"/>
        <w:numPr>
          <w:ilvl w:val="0"/>
          <w:numId w:val="0"/>
        </w:numPr>
        <w:tabs>
          <w:tab w:val="left" w:pos="900"/>
        </w:tabs>
        <w:snapToGrid w:val="0"/>
        <w:spacing w:line="360" w:lineRule="auto"/>
        <w:ind w:firstLine="448" w:firstLineChars="200"/>
        <w:rPr>
          <w:rFonts w:hint="eastAsia" w:cs="宋体"/>
          <w:bCs/>
          <w:sz w:val="24"/>
          <w:szCs w:val="24"/>
        </w:rPr>
      </w:pPr>
      <w:r>
        <w:rPr>
          <w:rFonts w:hint="eastAsia" w:cs="宋体"/>
          <w:bCs/>
          <w:sz w:val="24"/>
          <w:szCs w:val="24"/>
        </w:rPr>
        <w:t>13.3.1 所有投标报价均以</w:t>
      </w:r>
      <w:r>
        <w:rPr>
          <w:rFonts w:hint="eastAsia" w:cs="宋体"/>
          <w:b/>
          <w:sz w:val="24"/>
          <w:szCs w:val="24"/>
        </w:rPr>
        <w:t>人民币元</w:t>
      </w:r>
      <w:r>
        <w:rPr>
          <w:rFonts w:hint="eastAsia" w:cs="宋体"/>
          <w:bCs/>
          <w:sz w:val="24"/>
          <w:szCs w:val="24"/>
        </w:rPr>
        <w:t>为计算单位。投标人的报价应遵守《中华人民共和国价格法》。投标人应充分了解本项目的总体情况以及影响投标报价的其他因素，投标报价是履行合同的最终价格，应包含本招标内容全部工作所需的一切费用，包括各项成本、利润、税金等。对在合同实施过程中可能发生的其它费用（如：增加耗材、材料涨价、人工、运输成本增加等因素），采购人不予支付。</w:t>
      </w:r>
    </w:p>
    <w:p w14:paraId="5634743B">
      <w:pPr>
        <w:pStyle w:val="29"/>
        <w:numPr>
          <w:ilvl w:val="0"/>
          <w:numId w:val="0"/>
        </w:numPr>
        <w:tabs>
          <w:tab w:val="left" w:pos="900"/>
        </w:tabs>
        <w:snapToGrid w:val="0"/>
        <w:spacing w:line="360" w:lineRule="auto"/>
        <w:ind w:firstLine="448" w:firstLineChars="200"/>
        <w:rPr>
          <w:rFonts w:hint="eastAsia" w:cs="宋体"/>
          <w:bCs/>
          <w:sz w:val="24"/>
          <w:szCs w:val="24"/>
        </w:rPr>
      </w:pPr>
      <w:r>
        <w:rPr>
          <w:rFonts w:hint="eastAsia" w:cs="宋体"/>
          <w:bCs/>
          <w:sz w:val="24"/>
          <w:szCs w:val="24"/>
        </w:rPr>
        <w:t>13.3.2 投标人应按照《开标一览表》和《投标报价明细表》的格式进行报价。报价上的优惠应体现在《投标报价明细表》各分项报价中，投标总价应为优惠后的最终报价。如分项报价中存在缺漏项，则视为缺漏项价格已包含在其他分项报价之中。投标总价中不得包含招标文件要求以外的内容，否则，在评标时不予核减。</w:t>
      </w:r>
    </w:p>
    <w:p w14:paraId="6CA33E05">
      <w:pPr>
        <w:pStyle w:val="29"/>
        <w:numPr>
          <w:ilvl w:val="0"/>
          <w:numId w:val="0"/>
        </w:numPr>
        <w:tabs>
          <w:tab w:val="left" w:pos="900"/>
        </w:tabs>
        <w:snapToGrid w:val="0"/>
        <w:spacing w:line="360" w:lineRule="auto"/>
        <w:ind w:firstLine="448" w:firstLineChars="200"/>
        <w:rPr>
          <w:rFonts w:hint="eastAsia" w:cs="宋体"/>
          <w:bCs/>
          <w:sz w:val="24"/>
          <w:szCs w:val="24"/>
        </w:rPr>
      </w:pPr>
      <w:r>
        <w:rPr>
          <w:rFonts w:hint="eastAsia" w:cs="宋体"/>
          <w:bCs/>
          <w:sz w:val="24"/>
          <w:szCs w:val="24"/>
        </w:rPr>
        <w:t>13.3.3 如果招标文件第二章《项目招标需求》中没有特殊说明，本次招标将不接受可选择或可调整的投标和报价，任何有选择的或可调整的投标方案和报价将被视为非响应性投标，其投标无效。</w:t>
      </w:r>
    </w:p>
    <w:p w14:paraId="05464467">
      <w:pPr>
        <w:pStyle w:val="29"/>
        <w:numPr>
          <w:ilvl w:val="0"/>
          <w:numId w:val="0"/>
        </w:numPr>
        <w:tabs>
          <w:tab w:val="left" w:pos="900"/>
        </w:tabs>
        <w:snapToGrid w:val="0"/>
        <w:spacing w:line="360" w:lineRule="auto"/>
        <w:ind w:firstLine="448" w:firstLineChars="200"/>
        <w:rPr>
          <w:rFonts w:hint="eastAsia" w:cs="宋体"/>
          <w:bCs/>
          <w:sz w:val="24"/>
          <w:szCs w:val="24"/>
        </w:rPr>
      </w:pPr>
      <w:r>
        <w:rPr>
          <w:rFonts w:hint="eastAsia" w:cs="宋体"/>
          <w:bCs/>
          <w:sz w:val="24"/>
          <w:szCs w:val="24"/>
        </w:rPr>
        <w:t>13.4 分包</w:t>
      </w:r>
    </w:p>
    <w:p w14:paraId="3BA82CAB">
      <w:pPr>
        <w:pStyle w:val="29"/>
        <w:numPr>
          <w:ilvl w:val="0"/>
          <w:numId w:val="0"/>
        </w:numPr>
        <w:tabs>
          <w:tab w:val="left" w:pos="900"/>
        </w:tabs>
        <w:snapToGrid w:val="0"/>
        <w:spacing w:line="360" w:lineRule="auto"/>
        <w:ind w:firstLine="448" w:firstLineChars="200"/>
        <w:rPr>
          <w:rFonts w:hint="eastAsia" w:cs="宋体"/>
          <w:bCs/>
          <w:sz w:val="24"/>
          <w:szCs w:val="24"/>
          <w:lang w:val="zh-CN"/>
        </w:rPr>
      </w:pPr>
      <w:r>
        <w:rPr>
          <w:rFonts w:hint="eastAsia" w:cs="宋体"/>
          <w:bCs/>
          <w:sz w:val="24"/>
          <w:szCs w:val="24"/>
          <w:lang w:val="zh-CN"/>
        </w:rPr>
        <w:t>投标人根据招标文件的规定和采购项目的实际情况，拟在中标后将中标项目的非主体、非关键性工作分包的，应当在投标文件中载明分包承担主体，分包承担主体应当具备相应资质条件且不得再次分包。</w:t>
      </w:r>
    </w:p>
    <w:p w14:paraId="2720D411">
      <w:pPr>
        <w:pStyle w:val="29"/>
        <w:numPr>
          <w:ilvl w:val="0"/>
          <w:numId w:val="0"/>
        </w:numPr>
        <w:tabs>
          <w:tab w:val="left" w:pos="900"/>
        </w:tabs>
        <w:spacing w:line="360" w:lineRule="auto"/>
        <w:ind w:firstLine="448" w:firstLineChars="200"/>
        <w:rPr>
          <w:rFonts w:hint="eastAsia" w:cs="宋体"/>
          <w:bCs/>
          <w:sz w:val="24"/>
          <w:szCs w:val="24"/>
        </w:rPr>
      </w:pPr>
      <w:r>
        <w:rPr>
          <w:rFonts w:hint="eastAsia" w:cs="宋体"/>
          <w:b/>
          <w:sz w:val="24"/>
          <w:szCs w:val="24"/>
        </w:rPr>
        <w:t>14.投标文件的有效期</w:t>
      </w:r>
    </w:p>
    <w:p w14:paraId="676CF49E">
      <w:pPr>
        <w:pStyle w:val="29"/>
        <w:numPr>
          <w:ilvl w:val="0"/>
          <w:numId w:val="0"/>
        </w:numPr>
        <w:tabs>
          <w:tab w:val="left" w:pos="900"/>
        </w:tabs>
        <w:snapToGrid w:val="0"/>
        <w:spacing w:line="360" w:lineRule="auto"/>
        <w:ind w:firstLine="448" w:firstLineChars="200"/>
        <w:rPr>
          <w:rFonts w:hint="eastAsia" w:cs="宋体"/>
          <w:bCs/>
          <w:sz w:val="24"/>
          <w:szCs w:val="24"/>
        </w:rPr>
      </w:pPr>
      <w:r>
        <w:rPr>
          <w:rFonts w:hint="eastAsia" w:cs="宋体"/>
          <w:bCs/>
          <w:sz w:val="24"/>
          <w:szCs w:val="24"/>
        </w:rPr>
        <w:t>14.1 本项目投标有效期为90日。投标文件中承诺的投标有效期应当不少于招标文件中载明的投标有效期。投标有效期不足的，按照无效投标处理。</w:t>
      </w:r>
    </w:p>
    <w:p w14:paraId="4EA43FA9">
      <w:pPr>
        <w:pStyle w:val="29"/>
        <w:numPr>
          <w:ilvl w:val="0"/>
          <w:numId w:val="0"/>
        </w:numPr>
        <w:tabs>
          <w:tab w:val="left" w:pos="900"/>
        </w:tabs>
        <w:snapToGrid w:val="0"/>
        <w:spacing w:line="360" w:lineRule="auto"/>
        <w:ind w:firstLine="448" w:firstLineChars="200"/>
        <w:rPr>
          <w:rFonts w:hint="eastAsia" w:cs="宋体"/>
          <w:bCs/>
          <w:sz w:val="24"/>
          <w:szCs w:val="24"/>
        </w:rPr>
      </w:pPr>
      <w:r>
        <w:rPr>
          <w:rFonts w:hint="eastAsia" w:cs="宋体"/>
          <w:bCs/>
          <w:sz w:val="24"/>
          <w:szCs w:val="24"/>
        </w:rPr>
        <w:t>14.2 特殊情况下，在原投标有效期截止之前，集中采购机构或采购人可要求投标人延长投标有效期。这种要求与答复均应以书面形式提交。投标人可拒绝集中采购机构或采购人的这种要求，但其投标在原投标有效期期满后将不再有效。同意延长投标有效期的投标人不会被要求和允许修正其投标内容，而只会被要求相应地延长其投标保证金的有效期。在这种情况下，本章“投标保证金”的退还和不予退还的规定将在延长了的有效期内继续有效。</w:t>
      </w:r>
    </w:p>
    <w:p w14:paraId="3ED15D1B">
      <w:pPr>
        <w:pStyle w:val="29"/>
        <w:numPr>
          <w:ilvl w:val="0"/>
          <w:numId w:val="0"/>
        </w:numPr>
        <w:tabs>
          <w:tab w:val="left" w:pos="900"/>
        </w:tabs>
        <w:spacing w:line="360" w:lineRule="auto"/>
        <w:ind w:firstLine="448" w:firstLineChars="200"/>
        <w:rPr>
          <w:rFonts w:hint="eastAsia" w:cs="宋体"/>
          <w:b/>
          <w:sz w:val="24"/>
          <w:szCs w:val="24"/>
        </w:rPr>
      </w:pPr>
      <w:r>
        <w:rPr>
          <w:rFonts w:hint="eastAsia" w:cs="宋体"/>
          <w:b/>
          <w:sz w:val="24"/>
          <w:szCs w:val="24"/>
        </w:rPr>
        <w:t>15. 投标文件的签署及规定</w:t>
      </w:r>
    </w:p>
    <w:p w14:paraId="7D80AC1B">
      <w:pPr>
        <w:snapToGrid w:val="0"/>
        <w:spacing w:line="360" w:lineRule="auto"/>
        <w:ind w:left="-2" w:firstLine="448" w:firstLineChars="200"/>
        <w:rPr>
          <w:rFonts w:hint="eastAsia" w:ascii="宋体" w:hAnsi="宋体" w:cs="宋体"/>
          <w:bCs/>
          <w:sz w:val="24"/>
        </w:rPr>
      </w:pPr>
      <w:r>
        <w:rPr>
          <w:rFonts w:hint="eastAsia" w:ascii="宋体" w:hAnsi="宋体" w:cs="宋体"/>
          <w:bCs/>
          <w:sz w:val="24"/>
        </w:rPr>
        <w:t>15.1 投标文件的各项组成资料均应遵守本条规定。</w:t>
      </w:r>
    </w:p>
    <w:p w14:paraId="6137BC00">
      <w:pPr>
        <w:snapToGrid w:val="0"/>
        <w:spacing w:line="360" w:lineRule="auto"/>
        <w:ind w:left="-2" w:firstLine="448" w:firstLineChars="200"/>
        <w:rPr>
          <w:rFonts w:hint="eastAsia" w:ascii="宋体" w:hAnsi="宋体" w:cs="宋体"/>
          <w:b/>
          <w:bCs/>
          <w:sz w:val="24"/>
        </w:rPr>
      </w:pPr>
      <w:r>
        <w:rPr>
          <w:rFonts w:hint="eastAsia" w:ascii="宋体" w:hAnsi="宋体" w:cs="宋体"/>
          <w:bCs/>
          <w:sz w:val="24"/>
        </w:rPr>
        <w:t>15.2电子投标文件编制完成后，投标人应当加盖单位电子签章（CA数字证书）和法定代表人电子签章（红色CA数字证书）。</w:t>
      </w:r>
      <w:r>
        <w:rPr>
          <w:rFonts w:hint="eastAsia" w:ascii="宋体" w:hAnsi="宋体" w:cs="宋体"/>
          <w:b/>
          <w:bCs/>
          <w:sz w:val="24"/>
        </w:rPr>
        <w:t>联合体投标的，电子投标文件应由联合体各成员共同签章。</w:t>
      </w:r>
    </w:p>
    <w:p w14:paraId="21600527">
      <w:pPr>
        <w:snapToGrid w:val="0"/>
        <w:spacing w:line="360" w:lineRule="auto"/>
        <w:ind w:left="-2" w:firstLine="448" w:firstLineChars="200"/>
        <w:rPr>
          <w:rFonts w:hint="eastAsia" w:ascii="宋体" w:hAnsi="宋体" w:cs="宋体"/>
          <w:bCs/>
          <w:sz w:val="24"/>
        </w:rPr>
      </w:pPr>
      <w:r>
        <w:rPr>
          <w:rFonts w:hint="eastAsia" w:ascii="宋体" w:hAnsi="宋体" w:cs="宋体"/>
          <w:bCs/>
          <w:sz w:val="24"/>
        </w:rPr>
        <w:t>15.3投标人名称应填写投标人全称，同时加盖单位电子签章（蓝色CA数字证书）。</w:t>
      </w:r>
    </w:p>
    <w:p w14:paraId="7F0B33C2">
      <w:pPr>
        <w:snapToGrid w:val="0"/>
        <w:spacing w:line="360" w:lineRule="auto"/>
        <w:ind w:left="-2" w:firstLine="448" w:firstLineChars="200"/>
        <w:rPr>
          <w:rFonts w:hint="eastAsia" w:ascii="宋体" w:hAnsi="宋体" w:cs="宋体"/>
          <w:bCs/>
          <w:sz w:val="24"/>
        </w:rPr>
      </w:pPr>
      <w:r>
        <w:rPr>
          <w:rFonts w:hint="eastAsia" w:ascii="宋体" w:hAnsi="宋体" w:cs="宋体"/>
          <w:bCs/>
          <w:sz w:val="24"/>
        </w:rPr>
        <w:t>15.4投标文件必须由法定代表人或其授权代表签署。</w:t>
      </w:r>
    </w:p>
    <w:p w14:paraId="40EA7FE3">
      <w:pPr>
        <w:pStyle w:val="12"/>
        <w:tabs>
          <w:tab w:val="left" w:pos="573"/>
        </w:tabs>
        <w:adjustRightInd w:val="0"/>
        <w:snapToGrid w:val="0"/>
        <w:spacing w:line="360" w:lineRule="auto"/>
        <w:ind w:firstLine="0"/>
        <w:rPr>
          <w:rFonts w:hint="eastAsia" w:hAnsi="宋体" w:cs="宋体"/>
          <w:sz w:val="24"/>
          <w:szCs w:val="24"/>
          <w:shd w:val="clear" w:color="auto" w:fill="FFFFFF"/>
        </w:rPr>
      </w:pPr>
      <w:r>
        <w:rPr>
          <w:rFonts w:hint="eastAsia" w:hAnsi="宋体" w:cs="宋体"/>
          <w:bCs/>
          <w:sz w:val="24"/>
          <w:szCs w:val="24"/>
        </w:rPr>
        <w:t xml:space="preserve">  </w:t>
      </w:r>
    </w:p>
    <w:p w14:paraId="44B24FF7">
      <w:pPr>
        <w:pStyle w:val="4"/>
        <w:numPr>
          <w:ilvl w:val="1"/>
          <w:numId w:val="0"/>
        </w:numPr>
        <w:spacing w:line="360" w:lineRule="auto"/>
        <w:ind w:left="709"/>
        <w:rPr>
          <w:rFonts w:hint="eastAsia" w:ascii="宋体" w:hAnsi="宋体" w:eastAsia="宋体" w:cs="宋体"/>
          <w:lang w:val="zh-CN"/>
        </w:rPr>
      </w:pPr>
    </w:p>
    <w:p w14:paraId="2168F44E">
      <w:pPr>
        <w:pStyle w:val="29"/>
        <w:numPr>
          <w:ilvl w:val="0"/>
          <w:numId w:val="0"/>
        </w:numPr>
        <w:tabs>
          <w:tab w:val="left" w:pos="900"/>
        </w:tabs>
        <w:snapToGrid w:val="0"/>
        <w:spacing w:line="360" w:lineRule="auto"/>
        <w:ind w:firstLine="568" w:firstLineChars="200"/>
        <w:jc w:val="center"/>
        <w:rPr>
          <w:rFonts w:hint="eastAsia" w:cs="宋体"/>
          <w:sz w:val="24"/>
          <w:shd w:val="clear" w:color="auto" w:fill="FFFFFF"/>
        </w:rPr>
      </w:pPr>
      <w:r>
        <w:rPr>
          <w:rFonts w:hint="eastAsia" w:cs="宋体"/>
          <w:kern w:val="0"/>
          <w:sz w:val="30"/>
          <w:szCs w:val="30"/>
          <w:lang w:val="zh-CN"/>
        </w:rPr>
        <w:t>四、投标文件提交</w:t>
      </w:r>
    </w:p>
    <w:p w14:paraId="51B56744">
      <w:pPr>
        <w:pStyle w:val="29"/>
        <w:numPr>
          <w:ilvl w:val="0"/>
          <w:numId w:val="0"/>
        </w:numPr>
        <w:tabs>
          <w:tab w:val="left" w:pos="900"/>
        </w:tabs>
        <w:spacing w:line="360" w:lineRule="auto"/>
        <w:ind w:firstLine="448" w:firstLineChars="200"/>
        <w:rPr>
          <w:rFonts w:hint="eastAsia" w:cs="宋体"/>
          <w:b/>
          <w:sz w:val="24"/>
          <w:szCs w:val="24"/>
        </w:rPr>
      </w:pPr>
      <w:r>
        <w:rPr>
          <w:rFonts w:hint="eastAsia" w:cs="宋体"/>
          <w:b/>
          <w:sz w:val="24"/>
          <w:szCs w:val="24"/>
        </w:rPr>
        <w:t>16.投标文件提交</w:t>
      </w:r>
    </w:p>
    <w:p w14:paraId="35DF5301">
      <w:pPr>
        <w:pStyle w:val="29"/>
        <w:numPr>
          <w:ilvl w:val="0"/>
          <w:numId w:val="0"/>
        </w:numPr>
        <w:tabs>
          <w:tab w:val="left" w:pos="900"/>
        </w:tabs>
        <w:snapToGrid w:val="0"/>
        <w:spacing w:line="360" w:lineRule="auto"/>
        <w:ind w:firstLine="448" w:firstLineChars="200"/>
        <w:rPr>
          <w:rFonts w:hint="eastAsia" w:cs="宋体"/>
        </w:rPr>
      </w:pPr>
      <w:r>
        <w:rPr>
          <w:rFonts w:hint="eastAsia" w:cs="宋体"/>
          <w:sz w:val="24"/>
          <w:szCs w:val="24"/>
        </w:rPr>
        <w:t>投标人应在招标文件规定的投标截止时间前，通过</w:t>
      </w:r>
      <w:r>
        <w:rPr>
          <w:rFonts w:hint="eastAsia" w:cs="宋体"/>
          <w:sz w:val="24"/>
          <w:szCs w:val="24"/>
          <w:lang w:eastAsia="zh-CN"/>
        </w:rPr>
        <w:t>政采云平台</w:t>
      </w:r>
      <w:r>
        <w:rPr>
          <w:rFonts w:hint="eastAsia" w:cs="宋体"/>
          <w:sz w:val="24"/>
          <w:szCs w:val="24"/>
        </w:rPr>
        <w:t>上传加密电子投标文件，逾期系统自动关闭投标文件上传通道。投标人未在投标截止时间前上传的，责任由投标人自行承担。为防止系统堵塞，建议投标人于在投标截止</w:t>
      </w:r>
      <w:r>
        <w:rPr>
          <w:rFonts w:hint="eastAsia" w:cs="宋体"/>
          <w:b/>
          <w:bCs/>
          <w:sz w:val="24"/>
          <w:szCs w:val="24"/>
        </w:rPr>
        <w:t>1日</w:t>
      </w:r>
      <w:r>
        <w:rPr>
          <w:rFonts w:hint="eastAsia" w:cs="宋体"/>
          <w:sz w:val="24"/>
          <w:szCs w:val="24"/>
        </w:rPr>
        <w:t>前完成投标文件的提交。</w:t>
      </w:r>
    </w:p>
    <w:p w14:paraId="0757070D">
      <w:pPr>
        <w:pStyle w:val="29"/>
        <w:numPr>
          <w:ilvl w:val="0"/>
          <w:numId w:val="0"/>
        </w:numPr>
        <w:tabs>
          <w:tab w:val="left" w:pos="900"/>
        </w:tabs>
        <w:spacing w:line="360" w:lineRule="auto"/>
        <w:ind w:firstLine="441" w:firstLineChars="197"/>
        <w:rPr>
          <w:rFonts w:hint="eastAsia" w:cs="宋体"/>
          <w:b/>
          <w:sz w:val="24"/>
          <w:szCs w:val="24"/>
        </w:rPr>
      </w:pPr>
      <w:r>
        <w:rPr>
          <w:rFonts w:hint="eastAsia" w:cs="宋体"/>
          <w:b/>
          <w:sz w:val="24"/>
          <w:szCs w:val="24"/>
        </w:rPr>
        <w:t>17.投标文件的补充、修改和撤回</w:t>
      </w:r>
    </w:p>
    <w:p w14:paraId="7FD7F6C7">
      <w:pPr>
        <w:spacing w:line="360" w:lineRule="auto"/>
        <w:ind w:firstLine="448" w:firstLineChars="200"/>
        <w:jc w:val="left"/>
        <w:outlineLvl w:val="1"/>
        <w:rPr>
          <w:rFonts w:hint="eastAsia" w:ascii="宋体" w:hAnsi="宋体" w:cs="宋体"/>
          <w:sz w:val="24"/>
        </w:rPr>
      </w:pPr>
      <w:r>
        <w:rPr>
          <w:rFonts w:hint="eastAsia" w:ascii="宋体" w:hAnsi="宋体" w:cs="宋体"/>
          <w:sz w:val="24"/>
        </w:rPr>
        <w:t>17.1 投标人在招标文件规定的投标截止时间前，可以对已上传的投标文件进行补充、修改或撤回，且不影响其保证金的退回。</w:t>
      </w:r>
    </w:p>
    <w:p w14:paraId="1436C38C">
      <w:pPr>
        <w:spacing w:line="360" w:lineRule="auto"/>
        <w:jc w:val="left"/>
        <w:outlineLvl w:val="1"/>
        <w:rPr>
          <w:rFonts w:hint="eastAsia" w:ascii="宋体" w:hAnsi="宋体" w:cs="宋体"/>
          <w:sz w:val="24"/>
        </w:rPr>
      </w:pPr>
      <w:r>
        <w:rPr>
          <w:rFonts w:hint="eastAsia" w:ascii="宋体" w:hAnsi="宋体" w:cs="宋体"/>
          <w:b/>
          <w:sz w:val="24"/>
        </w:rPr>
        <w:t xml:space="preserve">  </w:t>
      </w:r>
      <w:r>
        <w:rPr>
          <w:rFonts w:hint="eastAsia" w:ascii="宋体" w:hAnsi="宋体" w:cs="宋体"/>
          <w:sz w:val="24"/>
        </w:rPr>
        <w:t xml:space="preserve">  17.2 投标人需要修改已上传投标文件的，应当先撤回投标文件，并在投标截止时间之前上传修改后的投标文件，投标人的投标文件以最后上传的为准。</w:t>
      </w:r>
    </w:p>
    <w:p w14:paraId="43C87824">
      <w:pPr>
        <w:spacing w:line="360" w:lineRule="auto"/>
        <w:ind w:firstLine="448" w:firstLineChars="200"/>
        <w:jc w:val="left"/>
        <w:outlineLvl w:val="1"/>
        <w:rPr>
          <w:rFonts w:hint="eastAsia" w:ascii="宋体" w:hAnsi="宋体" w:cs="宋体"/>
          <w:sz w:val="24"/>
          <w:lang w:val="zh-CN"/>
        </w:rPr>
      </w:pPr>
      <w:r>
        <w:rPr>
          <w:rFonts w:hint="eastAsia" w:ascii="宋体" w:hAnsi="宋体" w:cs="宋体"/>
          <w:sz w:val="24"/>
        </w:rPr>
        <w:t xml:space="preserve">17.3 </w:t>
      </w:r>
      <w:r>
        <w:rPr>
          <w:rFonts w:hint="eastAsia" w:ascii="宋体" w:hAnsi="宋体" w:cs="宋体"/>
          <w:kern w:val="0"/>
          <w:sz w:val="24"/>
          <w:shd w:val="clear" w:color="auto" w:fill="FFFFFF"/>
        </w:rPr>
        <w:t>已提交</w:t>
      </w:r>
      <w:r>
        <w:rPr>
          <w:rFonts w:hint="eastAsia" w:ascii="宋体" w:hAnsi="宋体" w:cs="宋体"/>
          <w:sz w:val="24"/>
        </w:rPr>
        <w:t>投标文件的供应商如果放弃参加本采购项目，须在提交投标文件截止时间前撤回已上传的投标文件。</w:t>
      </w:r>
    </w:p>
    <w:p w14:paraId="71C709A5">
      <w:pPr>
        <w:spacing w:line="360" w:lineRule="auto"/>
        <w:ind w:firstLine="568" w:firstLineChars="200"/>
        <w:jc w:val="center"/>
        <w:outlineLvl w:val="1"/>
        <w:rPr>
          <w:rFonts w:hint="eastAsia" w:ascii="宋体" w:hAnsi="宋体" w:cs="宋体"/>
          <w:kern w:val="0"/>
          <w:sz w:val="30"/>
          <w:szCs w:val="30"/>
          <w:lang w:val="zh-CN"/>
        </w:rPr>
      </w:pPr>
      <w:r>
        <w:rPr>
          <w:rFonts w:hint="eastAsia" w:ascii="宋体" w:hAnsi="宋体" w:cs="宋体"/>
          <w:kern w:val="0"/>
          <w:sz w:val="30"/>
          <w:szCs w:val="30"/>
          <w:lang w:val="zh-CN"/>
        </w:rPr>
        <w:t>五、开标与评标</w:t>
      </w:r>
    </w:p>
    <w:p w14:paraId="0AAFEFE2">
      <w:pPr>
        <w:pStyle w:val="29"/>
        <w:numPr>
          <w:ilvl w:val="0"/>
          <w:numId w:val="0"/>
        </w:numPr>
        <w:tabs>
          <w:tab w:val="left" w:pos="900"/>
        </w:tabs>
        <w:spacing w:line="360" w:lineRule="auto"/>
        <w:ind w:firstLine="441" w:firstLineChars="197"/>
        <w:rPr>
          <w:rFonts w:hint="eastAsia" w:cs="宋体"/>
          <w:b/>
          <w:sz w:val="24"/>
          <w:szCs w:val="24"/>
        </w:rPr>
      </w:pPr>
      <w:r>
        <w:rPr>
          <w:rFonts w:hint="eastAsia" w:cs="宋体"/>
          <w:b/>
          <w:sz w:val="24"/>
          <w:szCs w:val="24"/>
        </w:rPr>
        <w:t>18.开标</w:t>
      </w:r>
    </w:p>
    <w:p w14:paraId="3B546775">
      <w:pPr>
        <w:pStyle w:val="29"/>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 xml:space="preserve">18.1 </w:t>
      </w:r>
      <w:r>
        <w:rPr>
          <w:rFonts w:hint="eastAsia" w:cs="宋体"/>
          <w:kern w:val="0"/>
          <w:sz w:val="24"/>
          <w:szCs w:val="24"/>
          <w:shd w:val="clear" w:color="auto" w:fill="FFFFFF"/>
        </w:rPr>
        <w:t>集中采购机构按招标文件规定的时间、地点主持开标，邀请采购人、投标人代表及有关方面代表参加。</w:t>
      </w:r>
      <w:r>
        <w:rPr>
          <w:rFonts w:hint="eastAsia" w:cs="宋体"/>
          <w:sz w:val="24"/>
          <w:szCs w:val="24"/>
        </w:rPr>
        <w:t>投标人未参加开标的，视同认可开标结果。</w:t>
      </w:r>
    </w:p>
    <w:p w14:paraId="7B74ACE6">
      <w:pPr>
        <w:pStyle w:val="29"/>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18.2 投标人不足3家的，不得开标。</w:t>
      </w:r>
    </w:p>
    <w:p w14:paraId="61ED3D1A">
      <w:pPr>
        <w:pStyle w:val="29"/>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18.3 开标过程应当由集中采购机构负责记录。</w:t>
      </w:r>
    </w:p>
    <w:p w14:paraId="4AA0A29C">
      <w:pPr>
        <w:pStyle w:val="29"/>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投标人代表对开标过程和开标记录有疑义，以及认为采购人、集中采购机构相关工作人员有需要回避的情形的，应当场提出询问或者回避申请。采购人、集中采购机构对投标人代表提出的询问或者回避申请应当及时处理。</w:t>
      </w:r>
    </w:p>
    <w:p w14:paraId="452016E2">
      <w:pPr>
        <w:pStyle w:val="29"/>
        <w:numPr>
          <w:ilvl w:val="0"/>
          <w:numId w:val="0"/>
        </w:numPr>
        <w:tabs>
          <w:tab w:val="left" w:pos="900"/>
        </w:tabs>
        <w:spacing w:line="360" w:lineRule="auto"/>
        <w:ind w:left="382" w:leftChars="197" w:firstLine="112" w:firstLineChars="50"/>
        <w:rPr>
          <w:rFonts w:hint="eastAsia" w:cs="宋体"/>
          <w:b/>
          <w:sz w:val="24"/>
          <w:szCs w:val="24"/>
        </w:rPr>
      </w:pPr>
      <w:r>
        <w:rPr>
          <w:rFonts w:hint="eastAsia" w:cs="宋体"/>
          <w:b/>
          <w:sz w:val="24"/>
          <w:szCs w:val="24"/>
        </w:rPr>
        <w:t>19.投标文件解密</w:t>
      </w:r>
    </w:p>
    <w:p w14:paraId="4E680D8E">
      <w:pPr>
        <w:pStyle w:val="29"/>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19.1 投标人应当在招标文件规定的投标文件解密时间内对已上传的加密投标文件进行现场解密。如无特殊情况，解密工作须在投标截止时间后30分钟内完成。</w:t>
      </w:r>
    </w:p>
    <w:p w14:paraId="1395850C">
      <w:pPr>
        <w:pStyle w:val="29"/>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19.2投标人授权代表现场解密时应当使用制作加密电子投标文件的同一把数字证书对已上传的投标文件进行解密。</w:t>
      </w:r>
    </w:p>
    <w:p w14:paraId="4807A836">
      <w:pPr>
        <w:pStyle w:val="29"/>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19.3因投标人自身原因，逾期未能成功解密的，视为逾期未提交投标文件，其投标无效。</w:t>
      </w:r>
    </w:p>
    <w:p w14:paraId="3C62823B">
      <w:pPr>
        <w:pStyle w:val="29"/>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19.</w:t>
      </w:r>
      <w:r>
        <w:rPr>
          <w:rFonts w:hint="eastAsia" w:cs="宋体"/>
          <w:sz w:val="24"/>
          <w:szCs w:val="24"/>
          <w:lang w:val="en-US" w:eastAsia="zh-CN"/>
        </w:rPr>
        <w:t>4</w:t>
      </w:r>
      <w:r>
        <w:rPr>
          <w:rFonts w:hint="eastAsia" w:cs="宋体"/>
          <w:sz w:val="24"/>
          <w:szCs w:val="24"/>
        </w:rPr>
        <w:t xml:space="preserve"> 投标文件解密期间，因集中采购机构设备、网络等出现故障导致所有投标人无法正常完成投标文件解密的，集中采购机构有权采取措施如延期、接受无法从网上上传的非加密投标文件等，以保障政府采购活动的公开、公平和公正，投标人不得对此持有异议。投标人不接受上述规定的，视为投标无效。</w:t>
      </w:r>
    </w:p>
    <w:p w14:paraId="4FE61A77">
      <w:pPr>
        <w:pStyle w:val="29"/>
        <w:numPr>
          <w:ilvl w:val="0"/>
          <w:numId w:val="0"/>
        </w:numPr>
        <w:tabs>
          <w:tab w:val="left" w:pos="900"/>
        </w:tabs>
        <w:spacing w:line="360" w:lineRule="auto"/>
        <w:ind w:left="382" w:leftChars="197" w:firstLine="112" w:firstLineChars="50"/>
        <w:rPr>
          <w:rFonts w:hint="eastAsia" w:cs="宋体"/>
          <w:b/>
          <w:sz w:val="24"/>
          <w:szCs w:val="24"/>
        </w:rPr>
      </w:pPr>
      <w:r>
        <w:rPr>
          <w:rFonts w:hint="eastAsia" w:cs="宋体"/>
          <w:b/>
          <w:sz w:val="24"/>
          <w:szCs w:val="24"/>
        </w:rPr>
        <w:t>20. 组建评标委员会</w:t>
      </w:r>
    </w:p>
    <w:p w14:paraId="33B1E141">
      <w:pPr>
        <w:pStyle w:val="29"/>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20.1 评标委员会由集中采购机构依法组建，成员人数应当为5人及以上单数。采购预算金额在1000万元及以上、技术复杂或社会影响较大的项目，评标委员会成员人数应当为7人及以上单数。评标委员会成员名单在中标结果确定前保密。</w:t>
      </w:r>
    </w:p>
    <w:p w14:paraId="6A331C3E">
      <w:pPr>
        <w:pStyle w:val="29"/>
        <w:numPr>
          <w:ilvl w:val="0"/>
          <w:numId w:val="0"/>
        </w:numPr>
        <w:tabs>
          <w:tab w:val="left" w:pos="900"/>
        </w:tabs>
        <w:snapToGrid w:val="0"/>
        <w:spacing w:line="360" w:lineRule="auto"/>
        <w:ind w:firstLine="448" w:firstLineChars="200"/>
        <w:rPr>
          <w:rFonts w:hint="eastAsia" w:cs="宋体"/>
          <w:b/>
          <w:sz w:val="24"/>
          <w:szCs w:val="24"/>
        </w:rPr>
      </w:pPr>
      <w:r>
        <w:rPr>
          <w:rFonts w:hint="eastAsia" w:cs="宋体"/>
          <w:sz w:val="24"/>
          <w:szCs w:val="24"/>
        </w:rPr>
        <w:t>20.2 评标委员会成员依法从政府采购专家库中随机抽取。对技术复杂、专业性强的采购项目，通过随机方式难以确定合适评审专家的，经主管预算单位同意，采购人可以自行选定相应专业领域的评审专家。</w:t>
      </w:r>
    </w:p>
    <w:p w14:paraId="611852D2">
      <w:pPr>
        <w:pStyle w:val="29"/>
        <w:numPr>
          <w:ilvl w:val="0"/>
          <w:numId w:val="0"/>
        </w:numPr>
        <w:tabs>
          <w:tab w:val="left" w:pos="900"/>
        </w:tabs>
        <w:spacing w:line="360" w:lineRule="auto"/>
        <w:ind w:left="382" w:leftChars="197"/>
        <w:rPr>
          <w:rFonts w:hint="eastAsia" w:cs="宋体"/>
          <w:b/>
          <w:sz w:val="24"/>
          <w:szCs w:val="24"/>
        </w:rPr>
      </w:pPr>
      <w:r>
        <w:rPr>
          <w:rFonts w:hint="eastAsia" w:cs="宋体"/>
          <w:b/>
          <w:sz w:val="24"/>
          <w:szCs w:val="24"/>
        </w:rPr>
        <w:t>21. 资格审查</w:t>
      </w:r>
    </w:p>
    <w:p w14:paraId="4CFF2A32">
      <w:pPr>
        <w:pStyle w:val="29"/>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资格审查方法和标准详见招标文件第三章《资格审查方法和标准》。</w:t>
      </w:r>
    </w:p>
    <w:p w14:paraId="4C0797E5">
      <w:pPr>
        <w:pStyle w:val="29"/>
        <w:numPr>
          <w:ilvl w:val="0"/>
          <w:numId w:val="0"/>
        </w:numPr>
        <w:tabs>
          <w:tab w:val="left" w:pos="900"/>
        </w:tabs>
        <w:spacing w:line="360" w:lineRule="auto"/>
        <w:ind w:left="382" w:leftChars="197"/>
        <w:rPr>
          <w:rFonts w:hint="eastAsia" w:cs="宋体"/>
          <w:b/>
          <w:sz w:val="24"/>
          <w:szCs w:val="24"/>
        </w:rPr>
      </w:pPr>
      <w:r>
        <w:rPr>
          <w:rFonts w:hint="eastAsia" w:cs="宋体"/>
          <w:b/>
          <w:sz w:val="24"/>
          <w:szCs w:val="24"/>
        </w:rPr>
        <w:t>22. 评标方法、程序和标准</w:t>
      </w:r>
    </w:p>
    <w:p w14:paraId="1217E051">
      <w:pPr>
        <w:pStyle w:val="29"/>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评标方法、程序和标准详见招标文件第四章《评标方法、程序和标准》。</w:t>
      </w:r>
    </w:p>
    <w:p w14:paraId="76E42186">
      <w:pPr>
        <w:pStyle w:val="29"/>
        <w:numPr>
          <w:ilvl w:val="0"/>
          <w:numId w:val="0"/>
        </w:numPr>
        <w:tabs>
          <w:tab w:val="left" w:pos="900"/>
        </w:tabs>
        <w:snapToGrid w:val="0"/>
        <w:spacing w:line="360" w:lineRule="auto"/>
        <w:ind w:firstLine="448" w:firstLineChars="200"/>
        <w:rPr>
          <w:rFonts w:hint="eastAsia" w:cs="宋体"/>
          <w:b/>
          <w:bCs/>
          <w:sz w:val="24"/>
          <w:szCs w:val="24"/>
        </w:rPr>
      </w:pPr>
      <w:r>
        <w:rPr>
          <w:rFonts w:hint="eastAsia" w:cs="宋体"/>
          <w:b/>
          <w:bCs/>
          <w:sz w:val="24"/>
          <w:szCs w:val="24"/>
        </w:rPr>
        <w:t>23.确定中标人</w:t>
      </w:r>
    </w:p>
    <w:p w14:paraId="5F795D64">
      <w:pPr>
        <w:pStyle w:val="29"/>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确定中标人的方法详见招标文件第四章《评标方法、程序和标准》。</w:t>
      </w:r>
    </w:p>
    <w:p w14:paraId="416CCDDC">
      <w:pPr>
        <w:spacing w:line="360" w:lineRule="auto"/>
        <w:ind w:firstLine="3692" w:firstLineChars="1300"/>
        <w:jc w:val="left"/>
        <w:outlineLvl w:val="1"/>
        <w:rPr>
          <w:rFonts w:hint="eastAsia" w:ascii="宋体" w:hAnsi="宋体" w:cs="宋体"/>
          <w:kern w:val="0"/>
          <w:sz w:val="24"/>
          <w:lang w:val="zh-CN"/>
        </w:rPr>
      </w:pPr>
      <w:r>
        <w:rPr>
          <w:rFonts w:hint="eastAsia" w:ascii="宋体" w:hAnsi="宋体" w:cs="宋体"/>
          <w:kern w:val="0"/>
          <w:sz w:val="30"/>
          <w:szCs w:val="30"/>
          <w:lang w:val="zh-CN"/>
        </w:rPr>
        <w:t>六、签订合同</w:t>
      </w:r>
    </w:p>
    <w:p w14:paraId="118D1315">
      <w:pPr>
        <w:pStyle w:val="29"/>
        <w:numPr>
          <w:ilvl w:val="0"/>
          <w:numId w:val="0"/>
        </w:numPr>
        <w:tabs>
          <w:tab w:val="left" w:pos="900"/>
        </w:tabs>
        <w:snapToGrid w:val="0"/>
        <w:spacing w:line="360" w:lineRule="auto"/>
        <w:ind w:firstLine="444" w:firstLineChars="198"/>
        <w:rPr>
          <w:rFonts w:hint="eastAsia" w:cs="宋体"/>
          <w:sz w:val="24"/>
          <w:szCs w:val="24"/>
        </w:rPr>
      </w:pPr>
      <w:r>
        <w:rPr>
          <w:rFonts w:hint="eastAsia" w:cs="宋体"/>
          <w:b/>
          <w:sz w:val="24"/>
          <w:szCs w:val="24"/>
        </w:rPr>
        <w:t>24.中标通知</w:t>
      </w:r>
    </w:p>
    <w:p w14:paraId="07D3BB2F">
      <w:pPr>
        <w:pStyle w:val="29"/>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24.1 中标人确定后，集中采购机构应于2个工作日内，在刊登本次招标公告的媒体上发布中标公告，并发出中标通知书，但该中标结果的有效性不依赖于未中标的投标人是否已经收到该通知。</w:t>
      </w:r>
    </w:p>
    <w:p w14:paraId="2074A3CF">
      <w:pPr>
        <w:pStyle w:val="29"/>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24.2 中标通知书对采购人和中标人具有同等法律效力。中标通知书发出以后，采购人改变中标结果或者中标人放弃中标，应当承担相应的法律责任。</w:t>
      </w:r>
    </w:p>
    <w:p w14:paraId="63BAC38C">
      <w:pPr>
        <w:pStyle w:val="29"/>
        <w:numPr>
          <w:ilvl w:val="0"/>
          <w:numId w:val="0"/>
        </w:numPr>
        <w:tabs>
          <w:tab w:val="left" w:pos="900"/>
        </w:tabs>
        <w:snapToGrid w:val="0"/>
        <w:spacing w:line="360" w:lineRule="auto"/>
        <w:ind w:firstLine="444" w:firstLineChars="198"/>
        <w:rPr>
          <w:rFonts w:hint="eastAsia" w:cs="宋体"/>
          <w:b/>
          <w:sz w:val="24"/>
          <w:szCs w:val="24"/>
        </w:rPr>
      </w:pPr>
      <w:r>
        <w:rPr>
          <w:rFonts w:hint="eastAsia" w:cs="宋体"/>
          <w:b/>
          <w:sz w:val="24"/>
          <w:szCs w:val="24"/>
        </w:rPr>
        <w:t>25.履约保证金</w:t>
      </w:r>
    </w:p>
    <w:p w14:paraId="52905450">
      <w:pPr>
        <w:pStyle w:val="12"/>
        <w:tabs>
          <w:tab w:val="left" w:pos="573"/>
        </w:tabs>
        <w:adjustRightInd w:val="0"/>
        <w:snapToGrid w:val="0"/>
        <w:spacing w:line="360" w:lineRule="auto"/>
        <w:ind w:firstLine="448" w:firstLineChars="200"/>
        <w:rPr>
          <w:rFonts w:hint="eastAsia" w:hAnsi="宋体" w:cs="宋体"/>
          <w:bCs/>
          <w:sz w:val="24"/>
        </w:rPr>
      </w:pPr>
      <w:r>
        <w:rPr>
          <w:rFonts w:hint="eastAsia" w:hAnsi="宋体" w:cs="宋体"/>
          <w:sz w:val="24"/>
          <w:szCs w:val="24"/>
        </w:rPr>
        <w:t>25.1履约保证金数额为中标金额的10%</w:t>
      </w:r>
      <w:r>
        <w:rPr>
          <w:rFonts w:hint="eastAsia" w:hAnsi="宋体" w:cs="宋体"/>
          <w:sz w:val="24"/>
          <w:szCs w:val="24"/>
          <w:lang w:val="zh-CN"/>
        </w:rPr>
        <w:t>（取整数到百），具体金额按照本采购项目</w:t>
      </w:r>
      <w:r>
        <w:rPr>
          <w:rFonts w:hint="eastAsia" w:hAnsi="宋体" w:cs="宋体"/>
          <w:bCs/>
          <w:sz w:val="24"/>
          <w:szCs w:val="24"/>
        </w:rPr>
        <w:t>中标结果公告中规定的履约保证金数额及账号提交。</w:t>
      </w:r>
      <w:r>
        <w:rPr>
          <w:rFonts w:hint="eastAsia" w:hAnsi="宋体" w:cs="宋体"/>
          <w:sz w:val="24"/>
          <w:szCs w:val="24"/>
        </w:rPr>
        <w:t>中标人应在中标结果确定后签订政府采购合同前向集中采购机构提交履约保证金。履约保证金提交可</w:t>
      </w:r>
      <w:r>
        <w:rPr>
          <w:rFonts w:hint="eastAsia" w:hAnsi="宋体" w:cs="宋体"/>
          <w:bCs/>
          <w:sz w:val="24"/>
        </w:rPr>
        <w:t>采用以下两种中的任何一种非现金形式提交：一是电汇、转账或者网银等，以资金到账为准；二是金融机构、担保机构出具的保函（格式见第八章）。</w:t>
      </w:r>
    </w:p>
    <w:p w14:paraId="679C2301">
      <w:pPr>
        <w:pStyle w:val="29"/>
        <w:numPr>
          <w:ilvl w:val="0"/>
          <w:numId w:val="0"/>
        </w:numPr>
        <w:tabs>
          <w:tab w:val="left" w:pos="900"/>
        </w:tabs>
        <w:snapToGrid w:val="0"/>
        <w:spacing w:line="360" w:lineRule="auto"/>
        <w:ind w:firstLine="448" w:firstLineChars="200"/>
        <w:rPr>
          <w:rFonts w:hint="eastAsia" w:cs="宋体"/>
          <w:bCs/>
          <w:sz w:val="24"/>
        </w:rPr>
      </w:pPr>
      <w:r>
        <w:rPr>
          <w:rFonts w:hint="eastAsia" w:cs="宋体"/>
          <w:sz w:val="24"/>
          <w:szCs w:val="24"/>
        </w:rPr>
        <w:t>25.2 采用非保函方式的，中标人在提交履约保证金时</w:t>
      </w:r>
      <w:r>
        <w:rPr>
          <w:rFonts w:hint="eastAsia" w:cs="宋体"/>
          <w:sz w:val="24"/>
          <w:szCs w:val="24"/>
          <w:lang w:val="zh-CN"/>
        </w:rPr>
        <w:t>，须在</w:t>
      </w:r>
      <w:r>
        <w:rPr>
          <w:rFonts w:hint="eastAsia" w:cs="宋体"/>
          <w:sz w:val="24"/>
          <w:szCs w:val="24"/>
        </w:rPr>
        <w:t>存款单备注中注明本项目编号、名称(可简写）和履约保证金便于集中采购机构查询相关信息；采用保函方式的（格式见第八章），将保函原件送至</w:t>
      </w:r>
      <w:r>
        <w:rPr>
          <w:rFonts w:hint="eastAsia" w:cs="宋体"/>
          <w:bCs/>
          <w:sz w:val="24"/>
        </w:rPr>
        <w:t>集中采购机构</w:t>
      </w:r>
      <w:r>
        <w:rPr>
          <w:rFonts w:hint="eastAsia" w:cs="宋体"/>
          <w:sz w:val="24"/>
          <w:szCs w:val="24"/>
        </w:rPr>
        <w:t>。</w:t>
      </w:r>
    </w:p>
    <w:p w14:paraId="466BCFD1">
      <w:pPr>
        <w:pStyle w:val="12"/>
        <w:tabs>
          <w:tab w:val="left" w:pos="573"/>
        </w:tabs>
        <w:adjustRightInd w:val="0"/>
        <w:snapToGrid w:val="0"/>
        <w:spacing w:line="360" w:lineRule="auto"/>
        <w:ind w:firstLine="448" w:firstLineChars="200"/>
        <w:rPr>
          <w:rFonts w:hint="eastAsia" w:hAnsi="宋体" w:cs="宋体"/>
          <w:sz w:val="24"/>
          <w:szCs w:val="24"/>
        </w:rPr>
      </w:pPr>
      <w:r>
        <w:rPr>
          <w:rFonts w:hint="eastAsia" w:hAnsi="宋体" w:cs="宋体"/>
          <w:sz w:val="24"/>
          <w:szCs w:val="24"/>
        </w:rPr>
        <w:t>25.3 履约保证金付款账户名称应与中标人名称</w:t>
      </w:r>
      <w:r>
        <w:rPr>
          <w:rFonts w:hint="eastAsia" w:hAnsi="宋体" w:cs="宋体"/>
          <w:sz w:val="24"/>
        </w:rPr>
        <w:t>及</w:t>
      </w:r>
      <w:r>
        <w:rPr>
          <w:rFonts w:hint="eastAsia" w:hAnsi="宋体" w:cs="宋体"/>
          <w:bCs/>
          <w:sz w:val="24"/>
        </w:rPr>
        <w:t>注册会员时在系统中提供的账号</w:t>
      </w:r>
      <w:r>
        <w:rPr>
          <w:rFonts w:hint="eastAsia" w:hAnsi="宋体" w:cs="宋体"/>
          <w:kern w:val="0"/>
          <w:sz w:val="24"/>
          <w:shd w:val="clear" w:color="auto" w:fill="FFFFFF"/>
        </w:rPr>
        <w:t>（诚信库基本户）</w:t>
      </w:r>
      <w:r>
        <w:rPr>
          <w:rFonts w:hint="eastAsia" w:hAnsi="宋体" w:cs="宋体"/>
          <w:sz w:val="24"/>
          <w:szCs w:val="24"/>
        </w:rPr>
        <w:t>一致，以个人或其他组织名义提交履约保证金的，提交无效。中标人为联合体的，可以由联合体任何一方提交履约保证金，其提交的履约保证金对联合体各方均具有约束力。</w:t>
      </w:r>
    </w:p>
    <w:p w14:paraId="2130F7E3">
      <w:pPr>
        <w:pStyle w:val="29"/>
        <w:numPr>
          <w:ilvl w:val="0"/>
          <w:numId w:val="0"/>
        </w:numPr>
        <w:tabs>
          <w:tab w:val="left" w:pos="900"/>
        </w:tabs>
        <w:spacing w:line="360" w:lineRule="auto"/>
        <w:ind w:firstLine="448" w:firstLineChars="200"/>
        <w:rPr>
          <w:rFonts w:hint="eastAsia" w:cs="宋体"/>
          <w:sz w:val="24"/>
          <w:szCs w:val="24"/>
        </w:rPr>
      </w:pPr>
      <w:r>
        <w:rPr>
          <w:rFonts w:hint="eastAsia" w:cs="宋体"/>
          <w:sz w:val="24"/>
          <w:szCs w:val="24"/>
        </w:rPr>
        <w:t>25.4 中标人申请退还履约保证金时，应当向</w:t>
      </w:r>
      <w:r>
        <w:rPr>
          <w:rFonts w:hint="eastAsia" w:cs="宋体"/>
          <w:sz w:val="24"/>
          <w:szCs w:val="24"/>
          <w:lang w:eastAsia="zh-CN"/>
        </w:rPr>
        <w:t>采购人</w:t>
      </w:r>
      <w:r>
        <w:rPr>
          <w:rFonts w:hint="eastAsia" w:cs="宋体"/>
          <w:sz w:val="24"/>
          <w:szCs w:val="24"/>
        </w:rPr>
        <w:t>提供履约验收单原件和《履约保证金退还申请单》原件（格式见第八章）。</w:t>
      </w:r>
    </w:p>
    <w:p w14:paraId="5C445E38">
      <w:pPr>
        <w:pStyle w:val="29"/>
        <w:numPr>
          <w:ilvl w:val="0"/>
          <w:numId w:val="0"/>
        </w:numPr>
        <w:tabs>
          <w:tab w:val="left" w:pos="900"/>
        </w:tabs>
        <w:spacing w:line="360" w:lineRule="auto"/>
        <w:ind w:firstLine="448" w:firstLineChars="200"/>
        <w:rPr>
          <w:rFonts w:hint="eastAsia" w:cs="宋体"/>
          <w:sz w:val="24"/>
          <w:szCs w:val="24"/>
        </w:rPr>
      </w:pPr>
      <w:r>
        <w:rPr>
          <w:rFonts w:hint="eastAsia" w:cs="宋体"/>
          <w:b/>
          <w:sz w:val="24"/>
          <w:szCs w:val="24"/>
        </w:rPr>
        <w:t>26.签订合同</w:t>
      </w:r>
    </w:p>
    <w:p w14:paraId="43D50DB3">
      <w:pPr>
        <w:autoSpaceDE w:val="0"/>
        <w:autoSpaceDN w:val="0"/>
        <w:adjustRightInd w:val="0"/>
        <w:spacing w:line="360" w:lineRule="auto"/>
        <w:ind w:firstLine="448" w:firstLineChars="200"/>
        <w:rPr>
          <w:rFonts w:hint="eastAsia" w:ascii="宋体" w:hAnsi="宋体" w:cs="宋体"/>
          <w:sz w:val="24"/>
          <w:shd w:val="clear" w:color="auto" w:fill="FFFFFF"/>
        </w:rPr>
      </w:pPr>
      <w:r>
        <w:rPr>
          <w:rFonts w:hint="eastAsia" w:ascii="宋体" w:hAnsi="宋体" w:cs="宋体"/>
          <w:sz w:val="24"/>
        </w:rPr>
        <w:t xml:space="preserve">26.1 </w:t>
      </w:r>
      <w:r>
        <w:rPr>
          <w:rFonts w:hint="eastAsia" w:ascii="宋体" w:hAnsi="宋体" w:cs="宋体"/>
          <w:sz w:val="24"/>
          <w:shd w:val="clear" w:color="auto" w:fill="FFFFFF"/>
        </w:rPr>
        <w:t>采购人应当自中标通知书发出之日起30日内，按照招标文件和中标人投标文件的规定，与中标人签订书面合同。所签订的合同不得对招标文件确定的事项和中标人投标文件作实质性修改。采购人不得向中标人提出任何不合理的要求作为签订合同的条件。</w:t>
      </w:r>
      <w:r>
        <w:rPr>
          <w:rFonts w:hint="eastAsia" w:ascii="宋体" w:hAnsi="宋体" w:cs="宋体"/>
          <w:sz w:val="24"/>
        </w:rPr>
        <w:t>中标人不得再与采购人签订背离合同实质性内容的其他协议或声明。</w:t>
      </w:r>
    </w:p>
    <w:p w14:paraId="3B09E157">
      <w:pPr>
        <w:pStyle w:val="29"/>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26.2 采购人应当自政府采购合同签订之日起2个工作日内，将政府采购合同在省级以上人民政府财政部门指定的媒体上公告，但政府采购合同中涉及国家秘密、商业秘密的内容除外。</w:t>
      </w:r>
    </w:p>
    <w:p w14:paraId="779058B6">
      <w:pPr>
        <w:pStyle w:val="29"/>
        <w:numPr>
          <w:ilvl w:val="0"/>
          <w:numId w:val="0"/>
        </w:numPr>
        <w:tabs>
          <w:tab w:val="left" w:pos="900"/>
        </w:tabs>
        <w:snapToGrid w:val="0"/>
        <w:spacing w:line="360" w:lineRule="auto"/>
        <w:ind w:firstLine="448" w:firstLineChars="200"/>
        <w:rPr>
          <w:rFonts w:hint="eastAsia" w:cs="宋体"/>
          <w:sz w:val="24"/>
          <w:szCs w:val="24"/>
          <w:shd w:val="clear" w:color="auto" w:fill="FFFFFF"/>
        </w:rPr>
      </w:pPr>
      <w:r>
        <w:rPr>
          <w:rFonts w:hint="eastAsia" w:cs="宋体"/>
          <w:sz w:val="24"/>
          <w:szCs w:val="24"/>
        </w:rPr>
        <w:t>26.3 采购人应当自政府采购合同签订之日起7个工作日内，将政府采购合同副本报同级政府采购监督管理部门备案。</w:t>
      </w:r>
    </w:p>
    <w:p w14:paraId="6B8463F3">
      <w:pPr>
        <w:spacing w:line="360" w:lineRule="auto"/>
        <w:ind w:firstLine="3124" w:firstLineChars="1100"/>
        <w:jc w:val="left"/>
        <w:outlineLvl w:val="1"/>
        <w:rPr>
          <w:rFonts w:hint="eastAsia" w:ascii="宋体" w:hAnsi="宋体" w:cs="宋体"/>
          <w:sz w:val="24"/>
          <w:shd w:val="clear" w:color="auto" w:fill="FFFFFF"/>
        </w:rPr>
      </w:pPr>
      <w:r>
        <w:rPr>
          <w:rFonts w:hint="eastAsia" w:ascii="宋体" w:hAnsi="宋体" w:cs="宋体"/>
          <w:kern w:val="0"/>
          <w:sz w:val="30"/>
          <w:szCs w:val="30"/>
          <w:lang w:val="zh-CN"/>
        </w:rPr>
        <w:t>七、询问、质疑和投诉</w:t>
      </w:r>
    </w:p>
    <w:p w14:paraId="4C5144FC">
      <w:pPr>
        <w:pStyle w:val="29"/>
        <w:numPr>
          <w:ilvl w:val="0"/>
          <w:numId w:val="0"/>
        </w:numPr>
        <w:tabs>
          <w:tab w:val="left" w:pos="900"/>
        </w:tabs>
        <w:spacing w:line="360" w:lineRule="auto"/>
        <w:ind w:firstLine="448" w:firstLineChars="200"/>
        <w:rPr>
          <w:rFonts w:hint="eastAsia" w:cs="宋体"/>
          <w:b/>
          <w:sz w:val="24"/>
          <w:szCs w:val="24"/>
        </w:rPr>
      </w:pPr>
      <w:r>
        <w:rPr>
          <w:rFonts w:hint="eastAsia" w:cs="宋体"/>
          <w:b/>
          <w:sz w:val="24"/>
          <w:szCs w:val="24"/>
        </w:rPr>
        <w:t>27.询问</w:t>
      </w:r>
    </w:p>
    <w:p w14:paraId="2CC851EF">
      <w:pPr>
        <w:pStyle w:val="29"/>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供应商对政府采购活动事项有疑问的，可以向采购人提出询问，采购人应当在3个工作日内对投标人依法提出的询问作出答复，但答复的内容不得涉及商业秘密。</w:t>
      </w:r>
    </w:p>
    <w:p w14:paraId="76A84B97">
      <w:pPr>
        <w:pStyle w:val="29"/>
        <w:numPr>
          <w:ilvl w:val="0"/>
          <w:numId w:val="0"/>
        </w:numPr>
        <w:tabs>
          <w:tab w:val="left" w:pos="900"/>
        </w:tabs>
        <w:spacing w:line="360" w:lineRule="auto"/>
        <w:ind w:firstLine="448" w:firstLineChars="200"/>
        <w:rPr>
          <w:rFonts w:hint="eastAsia" w:cs="宋体"/>
          <w:b/>
          <w:sz w:val="24"/>
          <w:szCs w:val="24"/>
        </w:rPr>
      </w:pPr>
      <w:r>
        <w:rPr>
          <w:rFonts w:hint="eastAsia" w:cs="宋体"/>
          <w:b/>
          <w:sz w:val="24"/>
          <w:szCs w:val="24"/>
        </w:rPr>
        <w:t>28.质疑</w:t>
      </w:r>
    </w:p>
    <w:p w14:paraId="0E542C66">
      <w:pPr>
        <w:pStyle w:val="29"/>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28.1 供应商认为采购文件、采购过程、中标结果使自己的权益受到损害的，可以在知道或者应知其权益受到损害之日起7个工作日内，以书面形式向采购人提出质疑。</w:t>
      </w:r>
    </w:p>
    <w:p w14:paraId="15B2ECDB">
      <w:pPr>
        <w:pStyle w:val="29"/>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供应商应在法定质疑期内一次性提出针对同一采购程序环节的质疑。</w:t>
      </w:r>
    </w:p>
    <w:p w14:paraId="58E23357">
      <w:pPr>
        <w:pStyle w:val="29"/>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28.2 提出质疑的供应商（以下简称质疑供应商）应当是参与所质疑项目采购活动的供应商。</w:t>
      </w:r>
    </w:p>
    <w:p w14:paraId="5393CDEB">
      <w:pPr>
        <w:pStyle w:val="29"/>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潜在供应商已依法获取（是指使用CA登录</w:t>
      </w:r>
      <w:r>
        <w:rPr>
          <w:rFonts w:hint="eastAsia" w:cs="宋体"/>
          <w:sz w:val="24"/>
          <w:szCs w:val="24"/>
          <w:lang w:eastAsia="zh-CN"/>
        </w:rPr>
        <w:t>政采云平台</w:t>
      </w:r>
      <w:r>
        <w:rPr>
          <w:rFonts w:hint="eastAsia" w:cs="宋体"/>
          <w:sz w:val="24"/>
          <w:szCs w:val="24"/>
        </w:rPr>
        <w:t>下载采购文件）其可质疑的采购文件的，可以对该文件提出质疑。对采购文件提出质疑的，应当在获取采购文件或者采购文件公告期限届满之日起7个工作日内提出。</w:t>
      </w:r>
    </w:p>
    <w:p w14:paraId="6737A1E2">
      <w:pPr>
        <w:pStyle w:val="29"/>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28.3 供应商提出质疑应当提交质疑函和必要的证明材料。质疑函应当包括下列内容：</w:t>
      </w:r>
    </w:p>
    <w:p w14:paraId="330EC76D">
      <w:pPr>
        <w:pStyle w:val="29"/>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（1）供应商的姓名或者名称、地址、邮编、联系人及联系电话；</w:t>
      </w:r>
    </w:p>
    <w:p w14:paraId="12702AB1">
      <w:pPr>
        <w:pStyle w:val="29"/>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（2）质疑项目的名称、编号；</w:t>
      </w:r>
    </w:p>
    <w:p w14:paraId="36D7673B">
      <w:pPr>
        <w:pStyle w:val="29"/>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（3）具体、明确的质疑事项和与质疑事项相关的请求；</w:t>
      </w:r>
    </w:p>
    <w:p w14:paraId="59171007">
      <w:pPr>
        <w:pStyle w:val="29"/>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（4）事实依据；</w:t>
      </w:r>
    </w:p>
    <w:p w14:paraId="2AAEDED1">
      <w:pPr>
        <w:pStyle w:val="29"/>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（5）必要的法律依据；</w:t>
      </w:r>
    </w:p>
    <w:p w14:paraId="7E2BDC36">
      <w:pPr>
        <w:pStyle w:val="29"/>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（6）提出质疑的日期。</w:t>
      </w:r>
    </w:p>
    <w:p w14:paraId="6F574720">
      <w:pPr>
        <w:pStyle w:val="29"/>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供应商为自然人的，应当由本人签字；供应商为法人或者其他组织的，应当由法定代表人、主要负责人，或者其授权代表签字或者盖章，并加盖公章。</w:t>
      </w:r>
    </w:p>
    <w:p w14:paraId="7626F3E0">
      <w:pPr>
        <w:pStyle w:val="29"/>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28.4 采购人不得拒收质疑供应商在法定质疑期内发出的质疑函，应当在收到质疑函后7个工作日内作出答复，并以书面形式通知质疑供应商和其他有关供应商。</w:t>
      </w:r>
    </w:p>
    <w:p w14:paraId="76D1564A">
      <w:pPr>
        <w:pStyle w:val="29"/>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 xml:space="preserve">28.5政府采购评审专家应当配合采购人答复供应商的询问和质疑。        </w:t>
      </w:r>
    </w:p>
    <w:p w14:paraId="1D98FE30">
      <w:pPr>
        <w:pStyle w:val="29"/>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28.6询问或者质疑事项可能影响中标结果的，采购人应当暂停签订合同，已经签订合同的，应当中止履行合同。</w:t>
      </w:r>
    </w:p>
    <w:p w14:paraId="1D35450A">
      <w:pPr>
        <w:pStyle w:val="29"/>
        <w:numPr>
          <w:ilvl w:val="0"/>
          <w:numId w:val="0"/>
        </w:numPr>
        <w:tabs>
          <w:tab w:val="left" w:pos="900"/>
        </w:tabs>
        <w:spacing w:line="360" w:lineRule="auto"/>
        <w:ind w:left="384" w:leftChars="198" w:firstLine="112" w:firstLineChars="50"/>
        <w:rPr>
          <w:rFonts w:hint="eastAsia" w:cs="宋体"/>
          <w:b/>
          <w:sz w:val="24"/>
          <w:szCs w:val="24"/>
        </w:rPr>
      </w:pPr>
      <w:r>
        <w:rPr>
          <w:rFonts w:hint="eastAsia" w:cs="宋体"/>
          <w:b/>
          <w:sz w:val="24"/>
          <w:szCs w:val="24"/>
        </w:rPr>
        <w:t>29.投诉</w:t>
      </w:r>
    </w:p>
    <w:p w14:paraId="16486497">
      <w:pPr>
        <w:pStyle w:val="29"/>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29.1质疑供应商对采购人答复不满意，或者采购人未在规定时间内作出答复的，可以在答复期满后15个工作日内向</w:t>
      </w:r>
      <w:r>
        <w:rPr>
          <w:rFonts w:hint="eastAsia" w:cs="宋体"/>
          <w:sz w:val="24"/>
          <w:szCs w:val="24"/>
          <w:lang w:eastAsia="zh-CN"/>
        </w:rPr>
        <w:t>集安</w:t>
      </w:r>
      <w:r>
        <w:rPr>
          <w:rFonts w:hint="eastAsia" w:cs="宋体"/>
          <w:sz w:val="24"/>
          <w:szCs w:val="24"/>
        </w:rPr>
        <w:t>市财政局提起投诉。</w:t>
      </w:r>
    </w:p>
    <w:p w14:paraId="598EE726">
      <w:pPr>
        <w:pStyle w:val="29"/>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29.2供应商投诉的事项不得超出已质疑事项的范围，但基于质疑答复内容提出的投诉事项除外。</w:t>
      </w:r>
    </w:p>
    <w:p w14:paraId="67534BEE">
      <w:pPr>
        <w:spacing w:line="360" w:lineRule="auto"/>
        <w:ind w:firstLine="3692" w:firstLineChars="1300"/>
        <w:jc w:val="left"/>
        <w:outlineLvl w:val="1"/>
        <w:rPr>
          <w:rFonts w:hint="eastAsia" w:ascii="宋体" w:hAnsi="宋体" w:cs="宋体"/>
          <w:kern w:val="0"/>
          <w:sz w:val="30"/>
          <w:szCs w:val="30"/>
        </w:rPr>
      </w:pPr>
      <w:r>
        <w:rPr>
          <w:rFonts w:hint="eastAsia" w:ascii="宋体" w:hAnsi="宋体" w:cs="宋体"/>
          <w:kern w:val="0"/>
          <w:sz w:val="30"/>
          <w:szCs w:val="30"/>
          <w:lang w:val="zh-CN"/>
        </w:rPr>
        <w:t>八、保密和披露</w:t>
      </w:r>
    </w:p>
    <w:p w14:paraId="6709C495">
      <w:pPr>
        <w:pStyle w:val="29"/>
        <w:numPr>
          <w:ilvl w:val="0"/>
          <w:numId w:val="0"/>
        </w:numPr>
        <w:tabs>
          <w:tab w:val="left" w:pos="900"/>
        </w:tabs>
        <w:spacing w:line="360" w:lineRule="auto"/>
        <w:ind w:firstLine="448" w:firstLineChars="200"/>
        <w:rPr>
          <w:rFonts w:hint="eastAsia" w:cs="宋体"/>
          <w:b/>
          <w:sz w:val="24"/>
          <w:szCs w:val="24"/>
        </w:rPr>
      </w:pPr>
      <w:r>
        <w:rPr>
          <w:rFonts w:hint="eastAsia" w:cs="宋体"/>
          <w:b/>
          <w:sz w:val="24"/>
          <w:szCs w:val="24"/>
        </w:rPr>
        <w:t>30.保密和披露</w:t>
      </w:r>
    </w:p>
    <w:p w14:paraId="6CD24912">
      <w:pPr>
        <w:pStyle w:val="29"/>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30.1 投标人自下载招标文件之日起，须承诺承担本招标项目下保密义务，不得将因本次招标获得的信息外传。</w:t>
      </w:r>
    </w:p>
    <w:p w14:paraId="66551D70">
      <w:pPr>
        <w:pStyle w:val="29"/>
        <w:numPr>
          <w:ilvl w:val="0"/>
          <w:numId w:val="0"/>
        </w:numPr>
        <w:tabs>
          <w:tab w:val="left" w:pos="900"/>
        </w:tabs>
        <w:snapToGrid w:val="0"/>
        <w:spacing w:line="360" w:lineRule="auto"/>
        <w:ind w:firstLine="448" w:firstLineChars="200"/>
        <w:rPr>
          <w:rFonts w:hint="eastAsia" w:cs="宋体"/>
          <w:sz w:val="24"/>
          <w:szCs w:val="24"/>
          <w:shd w:val="clear" w:color="auto" w:fill="FFFFFF"/>
        </w:rPr>
      </w:pPr>
      <w:r>
        <w:rPr>
          <w:rFonts w:hint="eastAsia" w:cs="宋体"/>
          <w:sz w:val="24"/>
          <w:szCs w:val="24"/>
        </w:rPr>
        <w:t>30.2 在国家机关调查、审查、审计时以及其他符合法律规定的情形下，集中采购机构无须事先征求投标人同意而可以披露关于采购过程、签署情况的资料、投标人的名称及地址、投标文件的有关信息以及补充条款等。对任何已经公布过的内容或与之内容相同的资料，以及投标人已经泄露或公开的，无须再承担保密责任。</w:t>
      </w:r>
    </w:p>
    <w:p w14:paraId="11EFFF53">
      <w:pPr>
        <w:spacing w:line="360" w:lineRule="auto"/>
        <w:ind w:firstLine="3976" w:firstLineChars="1400"/>
        <w:jc w:val="left"/>
        <w:outlineLvl w:val="1"/>
        <w:rPr>
          <w:rFonts w:hint="eastAsia" w:ascii="宋体" w:hAnsi="宋体" w:cs="宋体"/>
          <w:sz w:val="24"/>
          <w:shd w:val="clear" w:color="auto" w:fill="FFFFFF"/>
        </w:rPr>
      </w:pPr>
      <w:r>
        <w:rPr>
          <w:rFonts w:hint="eastAsia" w:ascii="宋体" w:hAnsi="宋体" w:cs="宋体"/>
          <w:kern w:val="0"/>
          <w:sz w:val="30"/>
          <w:szCs w:val="30"/>
          <w:lang w:val="zh-CN"/>
        </w:rPr>
        <w:t>九、法律适用</w:t>
      </w:r>
    </w:p>
    <w:p w14:paraId="7DFDA5CC">
      <w:pPr>
        <w:pStyle w:val="29"/>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31.采购人、集中采购机构及投标人的一切招标投标活动均适用《中华人民共和国政府采购法》《中华人民共和国政府采购法实施条例》《政府采购货物和服务招标投标管理办法》</w:t>
      </w:r>
      <w:r>
        <w:rPr>
          <w:rFonts w:hint="eastAsia" w:cs="宋体"/>
          <w:sz w:val="24"/>
        </w:rPr>
        <w:t>(财政部令第87号)</w:t>
      </w:r>
      <w:r>
        <w:rPr>
          <w:rFonts w:hint="eastAsia" w:cs="宋体"/>
          <w:sz w:val="24"/>
          <w:szCs w:val="24"/>
        </w:rPr>
        <w:t>及相关法律法规。</w:t>
      </w:r>
    </w:p>
    <w:p w14:paraId="0AC59847">
      <w:pPr>
        <w:pStyle w:val="29"/>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32.政府采购合同的履行、违约责任和解决争议的方法等适用《中华人民共和国合同法》。</w:t>
      </w:r>
    </w:p>
    <w:p w14:paraId="47A31C14">
      <w:pPr>
        <w:spacing w:line="360" w:lineRule="auto"/>
        <w:ind w:firstLine="2556" w:firstLineChars="900"/>
        <w:jc w:val="left"/>
        <w:outlineLvl w:val="1"/>
        <w:rPr>
          <w:rFonts w:hint="eastAsia" w:ascii="宋体" w:hAnsi="宋体" w:cs="宋体"/>
          <w:sz w:val="24"/>
        </w:rPr>
      </w:pPr>
      <w:r>
        <w:rPr>
          <w:rFonts w:hint="eastAsia" w:ascii="宋体" w:hAnsi="宋体" w:cs="宋体"/>
          <w:kern w:val="0"/>
          <w:sz w:val="30"/>
          <w:szCs w:val="30"/>
          <w:lang w:val="zh-CN"/>
        </w:rPr>
        <w:t>十、招标文件的解释权</w:t>
      </w:r>
    </w:p>
    <w:p w14:paraId="6E76C7FF">
      <w:pPr>
        <w:pStyle w:val="29"/>
        <w:numPr>
          <w:ilvl w:val="0"/>
          <w:numId w:val="0"/>
        </w:numPr>
        <w:tabs>
          <w:tab w:val="left" w:pos="900"/>
        </w:tabs>
        <w:snapToGrid w:val="0"/>
        <w:spacing w:line="360" w:lineRule="auto"/>
        <w:ind w:firstLine="448" w:firstLineChars="200"/>
        <w:rPr>
          <w:rFonts w:hint="eastAsia" w:cs="宋体"/>
          <w:sz w:val="24"/>
        </w:rPr>
      </w:pPr>
      <w:r>
        <w:rPr>
          <w:rFonts w:hint="eastAsia" w:cs="宋体"/>
          <w:sz w:val="24"/>
        </w:rPr>
        <w:t>33. 招标文件各章就同一事项规定不一致的，按照第一章、第二章、第七章、第三章、第四章、第五章、第六章的优先顺序确定。</w:t>
      </w:r>
    </w:p>
    <w:p w14:paraId="644AA556">
      <w:pPr>
        <w:pStyle w:val="29"/>
        <w:numPr>
          <w:ilvl w:val="0"/>
          <w:numId w:val="0"/>
        </w:numPr>
        <w:tabs>
          <w:tab w:val="left" w:pos="900"/>
        </w:tabs>
        <w:snapToGrid w:val="0"/>
        <w:spacing w:line="360" w:lineRule="auto"/>
        <w:ind w:firstLine="448" w:firstLineChars="200"/>
        <w:rPr>
          <w:rStyle w:val="17"/>
          <w:rFonts w:hint="eastAsia" w:cs="宋体"/>
          <w:b w:val="0"/>
          <w:bCs w:val="0"/>
          <w:szCs w:val="24"/>
        </w:rPr>
      </w:pPr>
      <w:r>
        <w:rPr>
          <w:rFonts w:hint="eastAsia" w:cs="宋体"/>
          <w:sz w:val="24"/>
        </w:rPr>
        <w:t>34. 招标文件的最终解释权为采购人、集中采购机构所有。</w:t>
      </w:r>
    </w:p>
    <w:p w14:paraId="595BDC2D">
      <w:pPr>
        <w:pStyle w:val="29"/>
        <w:numPr>
          <w:ilvl w:val="0"/>
          <w:numId w:val="0"/>
        </w:numPr>
        <w:tabs>
          <w:tab w:val="left" w:pos="900"/>
        </w:tabs>
        <w:snapToGrid w:val="0"/>
        <w:spacing w:line="360" w:lineRule="auto"/>
        <w:ind w:firstLine="448" w:firstLineChars="200"/>
        <w:rPr>
          <w:rStyle w:val="17"/>
          <w:rFonts w:hint="eastAsia" w:cs="宋体"/>
          <w:b w:val="0"/>
          <w:bCs w:val="0"/>
          <w:sz w:val="24"/>
          <w:szCs w:val="24"/>
        </w:rPr>
      </w:pPr>
    </w:p>
    <w:p w14:paraId="0CACBAA9">
      <w:pPr>
        <w:pStyle w:val="3"/>
        <w:spacing w:line="360" w:lineRule="auto"/>
        <w:ind w:firstLine="0"/>
        <w:jc w:val="center"/>
        <w:rPr>
          <w:rFonts w:hint="eastAsia" w:ascii="宋体" w:hAnsi="宋体" w:cs="宋体"/>
          <w:sz w:val="24"/>
        </w:rPr>
      </w:pPr>
      <w:r>
        <w:rPr>
          <w:rStyle w:val="17"/>
          <w:rFonts w:hint="eastAsia" w:ascii="宋体" w:hAnsi="宋体" w:cs="宋体"/>
          <w:b/>
          <w:bCs/>
          <w:sz w:val="36"/>
          <w:szCs w:val="36"/>
        </w:rPr>
        <w:br w:type="page"/>
      </w:r>
      <w:r>
        <w:rPr>
          <w:rStyle w:val="17"/>
          <w:rFonts w:hint="eastAsia" w:ascii="宋体" w:hAnsi="宋体" w:cs="宋体"/>
          <w:b/>
          <w:bCs/>
          <w:sz w:val="36"/>
          <w:szCs w:val="36"/>
        </w:rPr>
        <w:t>第六章  合同文本</w:t>
      </w:r>
    </w:p>
    <w:p w14:paraId="2005DBB3">
      <w:pPr>
        <w:spacing w:line="360" w:lineRule="auto"/>
        <w:rPr>
          <w:rFonts w:hint="eastAsia" w:ascii="宋体" w:hAnsi="宋体" w:cs="宋体"/>
        </w:rPr>
      </w:pPr>
    </w:p>
    <w:p w14:paraId="6366ED0E">
      <w:pPr>
        <w:spacing w:line="360" w:lineRule="auto"/>
        <w:rPr>
          <w:rFonts w:hint="eastAsia" w:ascii="宋体" w:hAnsi="宋体" w:cs="宋体"/>
          <w:sz w:val="32"/>
          <w:szCs w:val="32"/>
        </w:rPr>
      </w:pPr>
      <w:r>
        <w:rPr>
          <w:rFonts w:hint="eastAsia" w:ascii="宋体" w:hAnsi="宋体" w:cs="宋体"/>
          <w:sz w:val="32"/>
          <w:szCs w:val="32"/>
        </w:rPr>
        <w:t xml:space="preserve">采购项目编号：                              </w:t>
      </w:r>
    </w:p>
    <w:p w14:paraId="186E88D1">
      <w:pPr>
        <w:spacing w:line="360" w:lineRule="auto"/>
        <w:rPr>
          <w:rFonts w:hint="eastAsia" w:ascii="宋体" w:hAnsi="宋体" w:cs="宋体"/>
          <w:sz w:val="32"/>
          <w:szCs w:val="32"/>
        </w:rPr>
      </w:pPr>
    </w:p>
    <w:p w14:paraId="3ADBB168">
      <w:pPr>
        <w:spacing w:line="360" w:lineRule="auto"/>
        <w:rPr>
          <w:rFonts w:hint="eastAsia" w:ascii="宋体" w:hAnsi="宋体" w:cs="宋体"/>
        </w:rPr>
      </w:pPr>
      <w:r>
        <w:rPr>
          <w:rFonts w:hint="eastAsia" w:ascii="宋体" w:hAnsi="宋体" w:cs="宋体"/>
          <w:sz w:val="32"/>
          <w:szCs w:val="32"/>
        </w:rPr>
        <w:t xml:space="preserve">采购项目名称：     </w:t>
      </w:r>
      <w:r>
        <w:rPr>
          <w:rFonts w:hint="eastAsia" w:ascii="宋体" w:hAnsi="宋体" w:cs="宋体"/>
        </w:rPr>
        <w:t xml:space="preserve">                             </w:t>
      </w:r>
    </w:p>
    <w:p w14:paraId="6BDD76FB">
      <w:pPr>
        <w:spacing w:line="360" w:lineRule="auto"/>
        <w:rPr>
          <w:rFonts w:hint="eastAsia" w:ascii="宋体" w:hAnsi="宋体" w:cs="宋体"/>
        </w:rPr>
      </w:pPr>
    </w:p>
    <w:p w14:paraId="49287C16">
      <w:pPr>
        <w:spacing w:line="360" w:lineRule="auto"/>
        <w:rPr>
          <w:rFonts w:hint="eastAsia" w:ascii="宋体" w:hAnsi="宋体" w:cs="宋体"/>
        </w:rPr>
      </w:pPr>
      <w:r>
        <w:rPr>
          <w:rFonts w:hint="eastAsia" w:ascii="宋体" w:hAnsi="宋体" w:cs="宋体"/>
        </w:rPr>
        <w:t xml:space="preserve">                              </w:t>
      </w:r>
    </w:p>
    <w:p w14:paraId="14DFDEFF">
      <w:pPr>
        <w:spacing w:line="360" w:lineRule="auto"/>
        <w:rPr>
          <w:rFonts w:hint="eastAsia" w:ascii="宋体" w:hAnsi="宋体" w:cs="宋体"/>
        </w:rPr>
      </w:pPr>
    </w:p>
    <w:p w14:paraId="72BF7295">
      <w:pPr>
        <w:spacing w:line="360" w:lineRule="auto"/>
        <w:rPr>
          <w:rFonts w:hint="eastAsia" w:ascii="宋体" w:hAnsi="宋体" w:cs="宋体"/>
        </w:rPr>
      </w:pPr>
    </w:p>
    <w:p w14:paraId="2C723A50">
      <w:pPr>
        <w:spacing w:line="360" w:lineRule="auto"/>
        <w:rPr>
          <w:rFonts w:hint="eastAsia" w:ascii="宋体" w:hAnsi="宋体" w:cs="宋体"/>
        </w:rPr>
      </w:pPr>
    </w:p>
    <w:p w14:paraId="56207DD3">
      <w:pPr>
        <w:spacing w:line="360" w:lineRule="auto"/>
        <w:rPr>
          <w:rFonts w:hint="eastAsia" w:ascii="宋体" w:hAnsi="宋体" w:cs="宋体"/>
        </w:rPr>
      </w:pPr>
    </w:p>
    <w:p w14:paraId="0EF0FDE3">
      <w:pPr>
        <w:spacing w:line="360" w:lineRule="auto"/>
        <w:rPr>
          <w:rFonts w:hint="eastAsia" w:ascii="宋体" w:hAnsi="宋体" w:cs="宋体"/>
        </w:rPr>
      </w:pPr>
    </w:p>
    <w:p w14:paraId="6FC6B913">
      <w:pPr>
        <w:spacing w:line="360" w:lineRule="auto"/>
        <w:rPr>
          <w:rFonts w:hint="eastAsia" w:ascii="宋体" w:hAnsi="宋体" w:cs="宋体"/>
        </w:rPr>
      </w:pPr>
    </w:p>
    <w:p w14:paraId="3A8D256C">
      <w:pPr>
        <w:spacing w:line="360" w:lineRule="auto"/>
        <w:rPr>
          <w:rFonts w:hint="eastAsia" w:ascii="宋体" w:hAnsi="宋体" w:cs="宋体"/>
        </w:rPr>
      </w:pPr>
    </w:p>
    <w:p w14:paraId="5FC386A2">
      <w:pPr>
        <w:spacing w:line="360" w:lineRule="auto"/>
        <w:rPr>
          <w:rFonts w:hint="eastAsia" w:ascii="宋体" w:hAnsi="宋体" w:cs="宋体"/>
        </w:rPr>
      </w:pPr>
    </w:p>
    <w:p w14:paraId="3941AA86">
      <w:pPr>
        <w:spacing w:line="360" w:lineRule="auto"/>
        <w:rPr>
          <w:rFonts w:hint="eastAsia" w:ascii="宋体" w:hAnsi="宋体" w:cs="宋体"/>
        </w:rPr>
      </w:pPr>
    </w:p>
    <w:p w14:paraId="6B6757E8">
      <w:pPr>
        <w:spacing w:line="360" w:lineRule="auto"/>
        <w:rPr>
          <w:rFonts w:hint="eastAsia" w:ascii="宋体" w:hAnsi="宋体" w:cs="宋体"/>
        </w:rPr>
      </w:pPr>
    </w:p>
    <w:p w14:paraId="09948A93">
      <w:pPr>
        <w:spacing w:line="360" w:lineRule="auto"/>
        <w:rPr>
          <w:rFonts w:hint="eastAsia" w:ascii="宋体" w:hAnsi="宋体" w:cs="宋体"/>
          <w:sz w:val="32"/>
          <w:szCs w:val="32"/>
        </w:rPr>
      </w:pPr>
      <w:r>
        <w:rPr>
          <w:rFonts w:hint="eastAsia" w:ascii="宋体" w:hAnsi="宋体" w:cs="宋体"/>
          <w:sz w:val="32"/>
          <w:szCs w:val="32"/>
        </w:rPr>
        <w:t xml:space="preserve">买    方：                                 </w:t>
      </w:r>
    </w:p>
    <w:p w14:paraId="11CF2E8E">
      <w:pPr>
        <w:spacing w:line="360" w:lineRule="auto"/>
        <w:rPr>
          <w:rFonts w:hint="eastAsia" w:ascii="宋体" w:hAnsi="宋体" w:cs="宋体"/>
          <w:sz w:val="32"/>
          <w:szCs w:val="32"/>
        </w:rPr>
      </w:pPr>
    </w:p>
    <w:p w14:paraId="4D6E0AEF">
      <w:pPr>
        <w:spacing w:line="360" w:lineRule="auto"/>
        <w:rPr>
          <w:rFonts w:hint="eastAsia" w:ascii="宋体" w:hAnsi="宋体" w:cs="宋体"/>
          <w:sz w:val="32"/>
          <w:szCs w:val="32"/>
        </w:rPr>
      </w:pPr>
      <w:r>
        <w:rPr>
          <w:rFonts w:hint="eastAsia" w:ascii="宋体" w:hAnsi="宋体" w:cs="宋体"/>
          <w:sz w:val="32"/>
          <w:szCs w:val="32"/>
        </w:rPr>
        <w:t xml:space="preserve">卖    方：                                 </w:t>
      </w:r>
    </w:p>
    <w:p w14:paraId="20E74B6C">
      <w:pPr>
        <w:spacing w:line="360" w:lineRule="auto"/>
        <w:rPr>
          <w:rFonts w:hint="eastAsia" w:ascii="宋体" w:hAnsi="宋体" w:cs="宋体"/>
          <w:sz w:val="32"/>
          <w:szCs w:val="32"/>
        </w:rPr>
      </w:pPr>
    </w:p>
    <w:p w14:paraId="21BA65E3">
      <w:pPr>
        <w:spacing w:line="360" w:lineRule="auto"/>
        <w:rPr>
          <w:rFonts w:hint="eastAsia" w:ascii="宋体" w:hAnsi="宋体" w:cs="宋体"/>
        </w:rPr>
      </w:pPr>
      <w:r>
        <w:rPr>
          <w:rFonts w:hint="eastAsia" w:ascii="宋体" w:hAnsi="宋体" w:cs="宋体"/>
          <w:sz w:val="32"/>
          <w:szCs w:val="32"/>
        </w:rPr>
        <w:t>签署日期：</w:t>
      </w:r>
      <w:r>
        <w:rPr>
          <w:rFonts w:hint="eastAsia" w:ascii="宋体" w:hAnsi="宋体" w:cs="宋体"/>
        </w:rPr>
        <w:t xml:space="preserve">                                 </w:t>
      </w:r>
    </w:p>
    <w:p w14:paraId="5B5F2B4A">
      <w:pPr>
        <w:spacing w:line="360" w:lineRule="auto"/>
        <w:rPr>
          <w:rFonts w:hint="eastAsia" w:ascii="宋体" w:hAnsi="宋体" w:cs="宋体"/>
        </w:rPr>
      </w:pPr>
    </w:p>
    <w:p w14:paraId="49ABF6E1">
      <w:pPr>
        <w:spacing w:line="360" w:lineRule="auto"/>
        <w:rPr>
          <w:rFonts w:hint="eastAsia" w:ascii="宋体" w:hAnsi="宋体" w:cs="宋体"/>
        </w:rPr>
      </w:pPr>
    </w:p>
    <w:p w14:paraId="2DAF0185">
      <w:pPr>
        <w:spacing w:line="360" w:lineRule="auto"/>
        <w:rPr>
          <w:rFonts w:hint="eastAsia" w:ascii="宋体" w:hAnsi="宋体" w:cs="宋体"/>
        </w:rPr>
      </w:pPr>
    </w:p>
    <w:p w14:paraId="3AB5FCC5">
      <w:pPr>
        <w:rPr>
          <w:rFonts w:hint="eastAsia" w:ascii="宋体" w:hAnsi="宋体" w:cs="宋体"/>
          <w:b/>
          <w:bCs/>
          <w:sz w:val="36"/>
          <w:szCs w:val="36"/>
        </w:rPr>
      </w:pPr>
      <w:r>
        <w:rPr>
          <w:rFonts w:hint="eastAsia" w:ascii="宋体" w:hAnsi="宋体" w:cs="宋体"/>
          <w:b/>
          <w:bCs/>
          <w:sz w:val="36"/>
          <w:szCs w:val="36"/>
        </w:rPr>
        <w:br w:type="page"/>
      </w:r>
    </w:p>
    <w:p w14:paraId="378269AC">
      <w:pPr>
        <w:autoSpaceDE w:val="0"/>
        <w:autoSpaceDN w:val="0"/>
        <w:adjustRightInd w:val="0"/>
        <w:spacing w:line="312" w:lineRule="auto"/>
        <w:ind w:firstLine="448" w:firstLineChars="200"/>
        <w:rPr>
          <w:rFonts w:hint="eastAsia" w:cs="宋体" w:asciiTheme="minorEastAsia" w:hAnsiTheme="minorEastAsia"/>
          <w:sz w:val="24"/>
          <w:lang w:val="zh-CN"/>
        </w:rPr>
      </w:pPr>
      <w:r>
        <w:rPr>
          <w:rFonts w:cs="宋体" w:asciiTheme="minorEastAsia" w:hAnsiTheme="minorEastAsia"/>
          <w:sz w:val="24"/>
          <w:u w:val="single"/>
          <w:lang w:val="zh-CN"/>
        </w:rPr>
        <w:t xml:space="preserve">           </w:t>
      </w:r>
      <w:r>
        <w:rPr>
          <w:rFonts w:hint="eastAsia" w:cs="宋体" w:asciiTheme="minorEastAsia" w:hAnsiTheme="minorEastAsia"/>
          <w:sz w:val="24"/>
          <w:u w:val="single"/>
          <w:lang w:val="zh-CN"/>
        </w:rPr>
        <w:t xml:space="preserve"> </w:t>
      </w:r>
      <w:r>
        <w:rPr>
          <w:rFonts w:hint="eastAsia" w:cs="宋体" w:asciiTheme="minorEastAsia" w:hAnsiTheme="minorEastAsia"/>
          <w:sz w:val="24"/>
          <w:lang w:val="zh-CN"/>
        </w:rPr>
        <w:t>（需方）需求的</w:t>
      </w:r>
      <w:r>
        <w:rPr>
          <w:rFonts w:cs="宋体" w:asciiTheme="minorEastAsia" w:hAnsiTheme="minorEastAsia"/>
          <w:sz w:val="24"/>
          <w:u w:val="single"/>
          <w:lang w:val="zh-CN"/>
        </w:rPr>
        <w:t xml:space="preserve">      </w:t>
      </w:r>
      <w:r>
        <w:rPr>
          <w:rFonts w:hint="eastAsia" w:cs="宋体" w:asciiTheme="minorEastAsia" w:hAnsiTheme="minorEastAsia"/>
          <w:sz w:val="24"/>
          <w:u w:val="single"/>
          <w:lang w:val="zh-CN"/>
        </w:rPr>
        <w:t xml:space="preserve"> </w:t>
      </w:r>
      <w:r>
        <w:rPr>
          <w:rFonts w:cs="宋体" w:asciiTheme="minorEastAsia" w:hAnsiTheme="minorEastAsia"/>
          <w:sz w:val="24"/>
          <w:u w:val="single"/>
          <w:lang w:val="zh-CN"/>
        </w:rPr>
        <w:t xml:space="preserve">    </w:t>
      </w:r>
      <w:r>
        <w:rPr>
          <w:rFonts w:hint="eastAsia" w:cs="宋体" w:asciiTheme="minorEastAsia" w:hAnsiTheme="minorEastAsia"/>
          <w:sz w:val="24"/>
          <w:lang w:val="zh-CN"/>
        </w:rPr>
        <w:t>（货物名称）经集安市政府采购中心以编号为</w:t>
      </w:r>
      <w:r>
        <w:rPr>
          <w:rFonts w:cs="宋体" w:asciiTheme="minorEastAsia" w:hAnsiTheme="minorEastAsia"/>
          <w:sz w:val="24"/>
          <w:u w:val="single"/>
          <w:lang w:val="zh-CN"/>
        </w:rPr>
        <w:t xml:space="preserve"> </w:t>
      </w:r>
      <w:r>
        <w:rPr>
          <w:rFonts w:hint="eastAsia" w:cs="宋体" w:asciiTheme="minorEastAsia" w:hAnsiTheme="minorEastAsia"/>
          <w:sz w:val="24"/>
          <w:u w:val="single"/>
          <w:lang w:val="zh-CN"/>
        </w:rPr>
        <w:t xml:space="preserve">  </w:t>
      </w:r>
      <w:r>
        <w:rPr>
          <w:rFonts w:cs="宋体" w:asciiTheme="minorEastAsia" w:hAnsiTheme="minorEastAsia"/>
          <w:sz w:val="24"/>
          <w:u w:val="single"/>
          <w:lang w:val="zh-CN"/>
        </w:rPr>
        <w:t xml:space="preserve">  </w:t>
      </w:r>
      <w:r>
        <w:rPr>
          <w:rFonts w:hint="eastAsia" w:cs="宋体" w:asciiTheme="minorEastAsia" w:hAnsiTheme="minorEastAsia"/>
          <w:sz w:val="24"/>
          <w:lang w:val="zh-CN"/>
        </w:rPr>
        <w:t>的磋商文件在国内公开招标，招标小组评定</w:t>
      </w:r>
      <w:r>
        <w:rPr>
          <w:rFonts w:cs="宋体" w:asciiTheme="minorEastAsia" w:hAnsiTheme="minorEastAsia"/>
          <w:sz w:val="24"/>
          <w:u w:val="single"/>
          <w:lang w:val="zh-CN"/>
        </w:rPr>
        <w:t xml:space="preserve">       </w:t>
      </w:r>
      <w:r>
        <w:rPr>
          <w:rFonts w:hint="eastAsia" w:cs="宋体" w:asciiTheme="minorEastAsia" w:hAnsiTheme="minorEastAsia"/>
          <w:sz w:val="24"/>
          <w:u w:val="single"/>
          <w:lang w:val="zh-CN"/>
        </w:rPr>
        <w:t xml:space="preserve"> </w:t>
      </w:r>
      <w:r>
        <w:rPr>
          <w:rFonts w:cs="宋体" w:asciiTheme="minorEastAsia" w:hAnsiTheme="minorEastAsia"/>
          <w:sz w:val="24"/>
          <w:u w:val="single"/>
          <w:lang w:val="zh-CN"/>
        </w:rPr>
        <w:t xml:space="preserve">    </w:t>
      </w:r>
      <w:r>
        <w:rPr>
          <w:rFonts w:hint="eastAsia" w:cs="宋体" w:asciiTheme="minorEastAsia" w:hAnsiTheme="minorEastAsia"/>
          <w:sz w:val="24"/>
          <w:lang w:val="zh-CN"/>
        </w:rPr>
        <w:t>（供方）为成交供应商。供需双方和集安市政府采购中心按照《中华人民共和国合同法》和有关法律法规，遵循平等、自愿、公平和诚实信用原则，同意按照下面的条款和条件订立本合同，共同信守。</w:t>
      </w:r>
    </w:p>
    <w:p w14:paraId="26C5CEA3">
      <w:pPr>
        <w:autoSpaceDE w:val="0"/>
        <w:autoSpaceDN w:val="0"/>
        <w:adjustRightInd w:val="0"/>
        <w:spacing w:line="312" w:lineRule="auto"/>
        <w:ind w:firstLine="448" w:firstLineChars="200"/>
        <w:rPr>
          <w:rFonts w:hint="eastAsia" w:cs="宋体" w:asciiTheme="minorEastAsia" w:hAnsiTheme="minorEastAsia"/>
          <w:sz w:val="24"/>
          <w:lang w:val="zh-CN"/>
        </w:rPr>
      </w:pPr>
      <w:r>
        <w:rPr>
          <w:rFonts w:cs="宋体" w:asciiTheme="minorEastAsia" w:hAnsiTheme="minorEastAsia"/>
          <w:bCs/>
          <w:sz w:val="24"/>
          <w:lang w:val="zh-CN"/>
        </w:rPr>
        <w:t>1.</w:t>
      </w:r>
      <w:r>
        <w:rPr>
          <w:rFonts w:hint="eastAsia" w:cs="宋体" w:asciiTheme="minorEastAsia" w:hAnsiTheme="minorEastAsia"/>
          <w:bCs/>
          <w:sz w:val="24"/>
          <w:lang w:val="zh-CN"/>
        </w:rPr>
        <w:t>合同标的</w:t>
      </w:r>
      <w:r>
        <w:rPr>
          <w:rFonts w:hint="eastAsia" w:cs="宋体" w:asciiTheme="minorEastAsia" w:hAnsiTheme="minorEastAsia"/>
          <w:sz w:val="24"/>
          <w:lang w:val="zh-CN"/>
        </w:rPr>
        <w:t>：</w:t>
      </w:r>
      <w:r>
        <w:rPr>
          <w:rFonts w:cs="宋体" w:asciiTheme="minorEastAsia" w:hAnsiTheme="minorEastAsia"/>
          <w:sz w:val="24"/>
          <w:lang w:val="zh-CN"/>
        </w:rPr>
        <w:t xml:space="preserve"> </w:t>
      </w:r>
    </w:p>
    <w:tbl>
      <w:tblPr>
        <w:tblStyle w:val="15"/>
        <w:tblW w:w="9355" w:type="dxa"/>
        <w:jc w:val="center"/>
        <w:tblLayout w:type="fixed"/>
        <w:tblCellMar>
          <w:top w:w="0" w:type="dxa"/>
          <w:left w:w="10" w:type="dxa"/>
          <w:bottom w:w="0" w:type="dxa"/>
          <w:right w:w="10" w:type="dxa"/>
        </w:tblCellMar>
      </w:tblPr>
      <w:tblGrid>
        <w:gridCol w:w="1276"/>
        <w:gridCol w:w="1559"/>
        <w:gridCol w:w="2993"/>
        <w:gridCol w:w="850"/>
        <w:gridCol w:w="1260"/>
        <w:gridCol w:w="1417"/>
      </w:tblGrid>
      <w:tr w14:paraId="29D4CCD8">
        <w:tblPrEx>
          <w:tblCellMar>
            <w:top w:w="0" w:type="dxa"/>
            <w:left w:w="10" w:type="dxa"/>
            <w:bottom w:w="0" w:type="dxa"/>
            <w:right w:w="10" w:type="dxa"/>
          </w:tblCellMar>
        </w:tblPrEx>
        <w:trPr>
          <w:jc w:val="center"/>
        </w:trPr>
        <w:tc>
          <w:tcPr>
            <w:tcW w:w="1276" w:type="dxa"/>
            <w:tcBorders>
              <w:top w:val="single" w:color="000000" w:sz="6" w:space="0"/>
              <w:left w:val="single" w:color="000000" w:sz="6" w:space="0"/>
              <w:bottom w:val="single" w:color="000000" w:sz="6" w:space="0"/>
              <w:right w:val="single" w:color="000000" w:sz="6" w:space="0"/>
            </w:tcBorders>
            <w:vAlign w:val="center"/>
          </w:tcPr>
          <w:p w14:paraId="0FCD1CC3">
            <w:pPr>
              <w:jc w:val="center"/>
              <w:rPr>
                <w:rFonts w:hint="eastAsia" w:asciiTheme="minorEastAsia" w:hAnsiTheme="minorEastAsia"/>
                <w:sz w:val="24"/>
              </w:rPr>
            </w:pPr>
            <w:r>
              <w:rPr>
                <w:rFonts w:hint="eastAsia" w:asciiTheme="minorEastAsia" w:hAnsiTheme="minorEastAsia"/>
                <w:sz w:val="24"/>
              </w:rPr>
              <w:t>项目名称</w:t>
            </w:r>
          </w:p>
        </w:tc>
        <w:tc>
          <w:tcPr>
            <w:tcW w:w="1559" w:type="dxa"/>
            <w:tcBorders>
              <w:top w:val="single" w:color="000000" w:sz="6" w:space="0"/>
              <w:left w:val="single" w:color="000000" w:sz="6" w:space="0"/>
              <w:bottom w:val="single" w:color="000000" w:sz="6" w:space="0"/>
              <w:right w:val="single" w:color="000000" w:sz="6" w:space="0"/>
            </w:tcBorders>
            <w:vAlign w:val="center"/>
          </w:tcPr>
          <w:p w14:paraId="0EAF78E8">
            <w:pPr>
              <w:jc w:val="center"/>
              <w:rPr>
                <w:rFonts w:hint="eastAsia" w:asciiTheme="minorEastAsia" w:hAnsiTheme="minorEastAsia"/>
                <w:sz w:val="24"/>
              </w:rPr>
            </w:pPr>
            <w:r>
              <w:rPr>
                <w:rFonts w:hint="eastAsia" w:asciiTheme="minorEastAsia" w:hAnsiTheme="minorEastAsia"/>
                <w:sz w:val="24"/>
              </w:rPr>
              <w:t>品牌型号/</w:t>
            </w:r>
          </w:p>
          <w:p w14:paraId="11A8E57F">
            <w:pPr>
              <w:jc w:val="center"/>
              <w:rPr>
                <w:rFonts w:hint="eastAsia" w:asciiTheme="minorEastAsia" w:hAnsiTheme="minorEastAsia"/>
                <w:sz w:val="24"/>
              </w:rPr>
            </w:pPr>
            <w:r>
              <w:rPr>
                <w:rFonts w:hint="eastAsia" w:asciiTheme="minorEastAsia" w:hAnsiTheme="minorEastAsia"/>
                <w:sz w:val="24"/>
              </w:rPr>
              <w:t>服务内容</w:t>
            </w:r>
          </w:p>
        </w:tc>
        <w:tc>
          <w:tcPr>
            <w:tcW w:w="2993" w:type="dxa"/>
            <w:tcBorders>
              <w:top w:val="single" w:color="000000" w:sz="6" w:space="0"/>
              <w:left w:val="single" w:color="000000" w:sz="6" w:space="0"/>
              <w:bottom w:val="single" w:color="000000" w:sz="6" w:space="0"/>
              <w:right w:val="single" w:color="000000" w:sz="6" w:space="0"/>
            </w:tcBorders>
            <w:vAlign w:val="center"/>
          </w:tcPr>
          <w:p w14:paraId="59724FE0">
            <w:pPr>
              <w:jc w:val="center"/>
              <w:rPr>
                <w:rFonts w:hint="eastAsia" w:asciiTheme="minorEastAsia" w:hAnsiTheme="minorEastAsia"/>
                <w:sz w:val="24"/>
              </w:rPr>
            </w:pPr>
            <w:r>
              <w:rPr>
                <w:rFonts w:hint="eastAsia" w:asciiTheme="minorEastAsia" w:hAnsiTheme="minorEastAsia"/>
                <w:sz w:val="24"/>
              </w:rPr>
              <w:t>详细配置及主要技术参数</w:t>
            </w:r>
          </w:p>
          <w:p w14:paraId="4B0EBC75">
            <w:pPr>
              <w:jc w:val="center"/>
              <w:rPr>
                <w:rFonts w:hint="eastAsia" w:asciiTheme="minorEastAsia" w:hAnsiTheme="minorEastAsia"/>
                <w:sz w:val="24"/>
              </w:rPr>
            </w:pPr>
            <w:r>
              <w:rPr>
                <w:rFonts w:hint="eastAsia" w:asciiTheme="minorEastAsia" w:hAnsiTheme="minorEastAsia"/>
                <w:sz w:val="24"/>
              </w:rPr>
              <w:t>（服务具体要求）</w:t>
            </w:r>
          </w:p>
        </w:tc>
        <w:tc>
          <w:tcPr>
            <w:tcW w:w="850" w:type="dxa"/>
            <w:tcBorders>
              <w:top w:val="single" w:color="000000" w:sz="6" w:space="0"/>
              <w:left w:val="single" w:color="000000" w:sz="6" w:space="0"/>
              <w:bottom w:val="single" w:color="000000" w:sz="6" w:space="0"/>
              <w:right w:val="single" w:color="000000" w:sz="6" w:space="0"/>
            </w:tcBorders>
            <w:vAlign w:val="center"/>
          </w:tcPr>
          <w:p w14:paraId="7E66EC73">
            <w:pPr>
              <w:jc w:val="center"/>
              <w:rPr>
                <w:rFonts w:hint="eastAsia" w:asciiTheme="minorEastAsia" w:hAnsiTheme="minorEastAsia"/>
                <w:sz w:val="24"/>
              </w:rPr>
            </w:pPr>
            <w:r>
              <w:rPr>
                <w:rFonts w:hint="eastAsia" w:asciiTheme="minorEastAsia" w:hAnsiTheme="minorEastAsia"/>
                <w:sz w:val="24"/>
              </w:rPr>
              <w:t>数量</w:t>
            </w:r>
          </w:p>
        </w:tc>
        <w:tc>
          <w:tcPr>
            <w:tcW w:w="1260" w:type="dxa"/>
            <w:tcBorders>
              <w:top w:val="single" w:color="000000" w:sz="6" w:space="0"/>
              <w:left w:val="single" w:color="000000" w:sz="6" w:space="0"/>
              <w:bottom w:val="single" w:color="000000" w:sz="6" w:space="0"/>
              <w:right w:val="single" w:color="000000" w:sz="6" w:space="0"/>
            </w:tcBorders>
            <w:vAlign w:val="center"/>
          </w:tcPr>
          <w:p w14:paraId="25AD790A">
            <w:pPr>
              <w:jc w:val="center"/>
              <w:rPr>
                <w:rFonts w:hint="eastAsia" w:asciiTheme="minorEastAsia" w:hAnsiTheme="minorEastAsia"/>
                <w:sz w:val="24"/>
              </w:rPr>
            </w:pPr>
            <w:r>
              <w:rPr>
                <w:rFonts w:hint="eastAsia" w:asciiTheme="minorEastAsia" w:hAnsiTheme="minorEastAsia"/>
                <w:sz w:val="24"/>
              </w:rPr>
              <w:t>单价</w:t>
            </w:r>
            <w:r>
              <w:rPr>
                <w:rFonts w:asciiTheme="minorEastAsia" w:hAnsiTheme="minorEastAsia"/>
                <w:sz w:val="24"/>
              </w:rPr>
              <w:t>(</w:t>
            </w:r>
            <w:r>
              <w:rPr>
                <w:rFonts w:hint="eastAsia" w:asciiTheme="minorEastAsia" w:hAnsiTheme="minorEastAsia"/>
                <w:sz w:val="24"/>
              </w:rPr>
              <w:t>元</w:t>
            </w:r>
            <w:r>
              <w:rPr>
                <w:rFonts w:asciiTheme="minorEastAsia" w:hAnsiTheme="minorEastAsia"/>
                <w:sz w:val="24"/>
              </w:rPr>
              <w:t>)</w:t>
            </w:r>
          </w:p>
        </w:tc>
        <w:tc>
          <w:tcPr>
            <w:tcW w:w="1417" w:type="dxa"/>
            <w:tcBorders>
              <w:top w:val="single" w:color="000000" w:sz="6" w:space="0"/>
              <w:left w:val="single" w:color="000000" w:sz="6" w:space="0"/>
              <w:bottom w:val="single" w:color="000000" w:sz="6" w:space="0"/>
              <w:right w:val="single" w:color="000000" w:sz="6" w:space="0"/>
            </w:tcBorders>
            <w:vAlign w:val="center"/>
          </w:tcPr>
          <w:p w14:paraId="76A5F7E8">
            <w:pPr>
              <w:jc w:val="center"/>
              <w:rPr>
                <w:rFonts w:hint="eastAsia" w:asciiTheme="minorEastAsia" w:hAnsiTheme="minorEastAsia"/>
                <w:sz w:val="24"/>
              </w:rPr>
            </w:pPr>
            <w:r>
              <w:rPr>
                <w:rFonts w:hint="eastAsia" w:asciiTheme="minorEastAsia" w:hAnsiTheme="minorEastAsia"/>
                <w:sz w:val="24"/>
              </w:rPr>
              <w:t>小计金额</w:t>
            </w:r>
            <w:r>
              <w:rPr>
                <w:rFonts w:asciiTheme="minorEastAsia" w:hAnsiTheme="minorEastAsia"/>
                <w:sz w:val="24"/>
              </w:rPr>
              <w:t>(</w:t>
            </w:r>
            <w:r>
              <w:rPr>
                <w:rFonts w:hint="eastAsia" w:asciiTheme="minorEastAsia" w:hAnsiTheme="minorEastAsia"/>
                <w:sz w:val="24"/>
              </w:rPr>
              <w:t>元</w:t>
            </w:r>
            <w:r>
              <w:rPr>
                <w:rFonts w:asciiTheme="minorEastAsia" w:hAnsiTheme="minorEastAsia"/>
                <w:sz w:val="24"/>
              </w:rPr>
              <w:t>)</w:t>
            </w:r>
          </w:p>
        </w:tc>
      </w:tr>
      <w:tr w14:paraId="217407A2">
        <w:tblPrEx>
          <w:tblCellMar>
            <w:top w:w="0" w:type="dxa"/>
            <w:left w:w="10" w:type="dxa"/>
            <w:bottom w:w="0" w:type="dxa"/>
            <w:right w:w="10" w:type="dxa"/>
          </w:tblCellMar>
        </w:tblPrEx>
        <w:trPr>
          <w:trHeight w:val="484" w:hRule="atLeast"/>
          <w:jc w:val="center"/>
        </w:trPr>
        <w:tc>
          <w:tcPr>
            <w:tcW w:w="1276" w:type="dxa"/>
            <w:tcBorders>
              <w:top w:val="single" w:color="000000" w:sz="6" w:space="0"/>
              <w:left w:val="single" w:color="000000" w:sz="6" w:space="0"/>
              <w:bottom w:val="single" w:color="000000" w:sz="6" w:space="0"/>
              <w:right w:val="single" w:color="000000" w:sz="6" w:space="0"/>
            </w:tcBorders>
            <w:vAlign w:val="center"/>
          </w:tcPr>
          <w:p w14:paraId="261671F6">
            <w:pPr>
              <w:jc w:val="center"/>
              <w:rPr>
                <w:rFonts w:hint="eastAsia" w:asciiTheme="minorEastAsia" w:hAnsiTheme="minorEastAsia"/>
                <w:sz w:val="24"/>
              </w:rPr>
            </w:pPr>
          </w:p>
        </w:tc>
        <w:tc>
          <w:tcPr>
            <w:tcW w:w="1559" w:type="dxa"/>
            <w:tcBorders>
              <w:top w:val="single" w:color="000000" w:sz="6" w:space="0"/>
              <w:left w:val="single" w:color="000000" w:sz="6" w:space="0"/>
              <w:bottom w:val="single" w:color="000000" w:sz="6" w:space="0"/>
              <w:right w:val="single" w:color="000000" w:sz="6" w:space="0"/>
            </w:tcBorders>
            <w:vAlign w:val="center"/>
          </w:tcPr>
          <w:p w14:paraId="0B920D5B">
            <w:pPr>
              <w:jc w:val="center"/>
              <w:rPr>
                <w:rFonts w:hint="eastAsia" w:asciiTheme="minorEastAsia" w:hAnsiTheme="minorEastAsia"/>
                <w:sz w:val="24"/>
              </w:rPr>
            </w:pPr>
          </w:p>
        </w:tc>
        <w:tc>
          <w:tcPr>
            <w:tcW w:w="2993" w:type="dxa"/>
            <w:tcBorders>
              <w:top w:val="single" w:color="000000" w:sz="6" w:space="0"/>
              <w:left w:val="single" w:color="000000" w:sz="6" w:space="0"/>
              <w:bottom w:val="single" w:color="000000" w:sz="6" w:space="0"/>
              <w:right w:val="single" w:color="000000" w:sz="6" w:space="0"/>
            </w:tcBorders>
            <w:vAlign w:val="center"/>
          </w:tcPr>
          <w:p w14:paraId="261AFEB8">
            <w:pPr>
              <w:jc w:val="center"/>
              <w:rPr>
                <w:rFonts w:hint="eastAsia" w:asciiTheme="minorEastAsia" w:hAnsiTheme="minorEastAsia"/>
                <w:sz w:val="24"/>
              </w:rPr>
            </w:pPr>
          </w:p>
        </w:tc>
        <w:tc>
          <w:tcPr>
            <w:tcW w:w="850" w:type="dxa"/>
            <w:tcBorders>
              <w:top w:val="single" w:color="000000" w:sz="6" w:space="0"/>
              <w:left w:val="single" w:color="000000" w:sz="6" w:space="0"/>
              <w:bottom w:val="single" w:color="000000" w:sz="6" w:space="0"/>
              <w:right w:val="single" w:color="000000" w:sz="6" w:space="0"/>
            </w:tcBorders>
            <w:vAlign w:val="center"/>
          </w:tcPr>
          <w:p w14:paraId="259FAF7F">
            <w:pPr>
              <w:jc w:val="center"/>
              <w:rPr>
                <w:rFonts w:hint="eastAsia" w:asciiTheme="minorEastAsia" w:hAnsiTheme="minorEastAsia"/>
                <w:sz w:val="24"/>
              </w:rPr>
            </w:pPr>
          </w:p>
        </w:tc>
        <w:tc>
          <w:tcPr>
            <w:tcW w:w="1260" w:type="dxa"/>
            <w:tcBorders>
              <w:top w:val="single" w:color="000000" w:sz="6" w:space="0"/>
              <w:left w:val="single" w:color="000000" w:sz="6" w:space="0"/>
              <w:bottom w:val="single" w:color="000000" w:sz="6" w:space="0"/>
              <w:right w:val="single" w:color="000000" w:sz="6" w:space="0"/>
            </w:tcBorders>
            <w:vAlign w:val="center"/>
          </w:tcPr>
          <w:p w14:paraId="297EE2FE">
            <w:pPr>
              <w:jc w:val="center"/>
              <w:rPr>
                <w:rFonts w:hint="eastAsia" w:asciiTheme="minorEastAsia" w:hAnsiTheme="minorEastAsia"/>
                <w:sz w:val="24"/>
              </w:rPr>
            </w:pPr>
          </w:p>
        </w:tc>
        <w:tc>
          <w:tcPr>
            <w:tcW w:w="1417" w:type="dxa"/>
            <w:tcBorders>
              <w:top w:val="single" w:color="000000" w:sz="6" w:space="0"/>
              <w:left w:val="single" w:color="000000" w:sz="6" w:space="0"/>
              <w:bottom w:val="single" w:color="000000" w:sz="6" w:space="0"/>
              <w:right w:val="single" w:color="000000" w:sz="6" w:space="0"/>
            </w:tcBorders>
            <w:vAlign w:val="center"/>
          </w:tcPr>
          <w:p w14:paraId="7BBA3CF5">
            <w:pPr>
              <w:jc w:val="center"/>
              <w:rPr>
                <w:rFonts w:hint="eastAsia" w:asciiTheme="minorEastAsia" w:hAnsiTheme="minorEastAsia"/>
                <w:sz w:val="24"/>
              </w:rPr>
            </w:pPr>
          </w:p>
        </w:tc>
      </w:tr>
      <w:tr w14:paraId="6A52CC9D">
        <w:tblPrEx>
          <w:tblCellMar>
            <w:top w:w="0" w:type="dxa"/>
            <w:left w:w="10" w:type="dxa"/>
            <w:bottom w:w="0" w:type="dxa"/>
            <w:right w:w="10" w:type="dxa"/>
          </w:tblCellMar>
        </w:tblPrEx>
        <w:trPr>
          <w:trHeight w:val="458" w:hRule="atLeast"/>
          <w:jc w:val="center"/>
        </w:trPr>
        <w:tc>
          <w:tcPr>
            <w:tcW w:w="1276" w:type="dxa"/>
            <w:tcBorders>
              <w:top w:val="single" w:color="000000" w:sz="6" w:space="0"/>
              <w:left w:val="single" w:color="000000" w:sz="6" w:space="0"/>
              <w:bottom w:val="single" w:color="000000" w:sz="6" w:space="0"/>
              <w:right w:val="single" w:color="000000" w:sz="6" w:space="0"/>
            </w:tcBorders>
            <w:vAlign w:val="center"/>
          </w:tcPr>
          <w:p w14:paraId="088F3C00">
            <w:pPr>
              <w:jc w:val="center"/>
              <w:rPr>
                <w:rFonts w:hint="eastAsia" w:asciiTheme="minorEastAsia" w:hAnsiTheme="minorEastAsia"/>
                <w:sz w:val="24"/>
              </w:rPr>
            </w:pPr>
          </w:p>
        </w:tc>
        <w:tc>
          <w:tcPr>
            <w:tcW w:w="1559" w:type="dxa"/>
            <w:tcBorders>
              <w:top w:val="single" w:color="000000" w:sz="6" w:space="0"/>
              <w:left w:val="single" w:color="000000" w:sz="6" w:space="0"/>
              <w:bottom w:val="single" w:color="000000" w:sz="6" w:space="0"/>
              <w:right w:val="single" w:color="000000" w:sz="6" w:space="0"/>
            </w:tcBorders>
            <w:vAlign w:val="center"/>
          </w:tcPr>
          <w:p w14:paraId="35291A7A">
            <w:pPr>
              <w:jc w:val="center"/>
              <w:rPr>
                <w:rFonts w:hint="eastAsia" w:asciiTheme="minorEastAsia" w:hAnsiTheme="minorEastAsia"/>
                <w:sz w:val="24"/>
              </w:rPr>
            </w:pPr>
          </w:p>
        </w:tc>
        <w:tc>
          <w:tcPr>
            <w:tcW w:w="2993" w:type="dxa"/>
            <w:tcBorders>
              <w:top w:val="single" w:color="000000" w:sz="6" w:space="0"/>
              <w:left w:val="single" w:color="000000" w:sz="6" w:space="0"/>
              <w:bottom w:val="single" w:color="000000" w:sz="6" w:space="0"/>
              <w:right w:val="single" w:color="000000" w:sz="6" w:space="0"/>
            </w:tcBorders>
            <w:vAlign w:val="center"/>
          </w:tcPr>
          <w:p w14:paraId="7163A5BC">
            <w:pPr>
              <w:jc w:val="center"/>
              <w:rPr>
                <w:rFonts w:hint="eastAsia" w:asciiTheme="minorEastAsia" w:hAnsiTheme="minorEastAsia"/>
                <w:sz w:val="24"/>
              </w:rPr>
            </w:pPr>
          </w:p>
        </w:tc>
        <w:tc>
          <w:tcPr>
            <w:tcW w:w="850" w:type="dxa"/>
            <w:tcBorders>
              <w:top w:val="single" w:color="000000" w:sz="6" w:space="0"/>
              <w:left w:val="single" w:color="000000" w:sz="6" w:space="0"/>
              <w:bottom w:val="single" w:color="000000" w:sz="6" w:space="0"/>
              <w:right w:val="single" w:color="000000" w:sz="6" w:space="0"/>
            </w:tcBorders>
            <w:vAlign w:val="center"/>
          </w:tcPr>
          <w:p w14:paraId="0C56CD37">
            <w:pPr>
              <w:jc w:val="center"/>
              <w:rPr>
                <w:rFonts w:hint="eastAsia" w:asciiTheme="minorEastAsia" w:hAnsiTheme="minorEastAsia"/>
                <w:sz w:val="24"/>
              </w:rPr>
            </w:pPr>
          </w:p>
        </w:tc>
        <w:tc>
          <w:tcPr>
            <w:tcW w:w="1260" w:type="dxa"/>
            <w:tcBorders>
              <w:top w:val="single" w:color="000000" w:sz="6" w:space="0"/>
              <w:left w:val="single" w:color="000000" w:sz="6" w:space="0"/>
              <w:bottom w:val="single" w:color="000000" w:sz="6" w:space="0"/>
              <w:right w:val="single" w:color="000000" w:sz="6" w:space="0"/>
            </w:tcBorders>
            <w:vAlign w:val="center"/>
          </w:tcPr>
          <w:p w14:paraId="3B10B5B1">
            <w:pPr>
              <w:jc w:val="center"/>
              <w:rPr>
                <w:rFonts w:hint="eastAsia" w:asciiTheme="minorEastAsia" w:hAnsiTheme="minorEastAsia"/>
                <w:sz w:val="24"/>
              </w:rPr>
            </w:pPr>
          </w:p>
        </w:tc>
        <w:tc>
          <w:tcPr>
            <w:tcW w:w="1417" w:type="dxa"/>
            <w:tcBorders>
              <w:top w:val="single" w:color="000000" w:sz="6" w:space="0"/>
              <w:left w:val="single" w:color="000000" w:sz="6" w:space="0"/>
              <w:bottom w:val="single" w:color="000000" w:sz="6" w:space="0"/>
              <w:right w:val="single" w:color="000000" w:sz="6" w:space="0"/>
            </w:tcBorders>
            <w:vAlign w:val="center"/>
          </w:tcPr>
          <w:p w14:paraId="35962979">
            <w:pPr>
              <w:jc w:val="center"/>
              <w:rPr>
                <w:rFonts w:hint="eastAsia" w:asciiTheme="minorEastAsia" w:hAnsiTheme="minorEastAsia"/>
                <w:sz w:val="24"/>
              </w:rPr>
            </w:pPr>
          </w:p>
        </w:tc>
      </w:tr>
    </w:tbl>
    <w:p w14:paraId="472A788E">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bCs/>
          <w:sz w:val="24"/>
          <w:lang w:val="zh-CN"/>
        </w:rPr>
        <w:t xml:space="preserve">2. </w:t>
      </w:r>
      <w:r>
        <w:rPr>
          <w:rFonts w:hint="eastAsia" w:cs="宋体" w:asciiTheme="minorEastAsia" w:hAnsiTheme="minorEastAsia"/>
          <w:bCs/>
          <w:sz w:val="24"/>
          <w:lang w:val="zh-CN"/>
        </w:rPr>
        <w:t>合同价格：</w:t>
      </w:r>
      <w:r>
        <w:rPr>
          <w:rFonts w:hint="eastAsia" w:cs="宋体" w:asciiTheme="minorEastAsia" w:hAnsiTheme="minorEastAsia"/>
          <w:sz w:val="24"/>
          <w:lang w:val="zh-CN"/>
        </w:rPr>
        <w:t>人民币（大写）</w:t>
      </w:r>
      <w:r>
        <w:rPr>
          <w:rFonts w:cs="宋体" w:asciiTheme="minorEastAsia" w:hAnsiTheme="minorEastAsia"/>
          <w:sz w:val="24"/>
          <w:lang w:val="zh-CN"/>
        </w:rPr>
        <w:t xml:space="preserve">             </w:t>
      </w:r>
      <w:r>
        <w:rPr>
          <w:rFonts w:hint="eastAsia" w:cs="宋体" w:asciiTheme="minorEastAsia" w:hAnsiTheme="minorEastAsia"/>
          <w:sz w:val="24"/>
          <w:lang w:val="zh-CN"/>
        </w:rPr>
        <w:t>元，（小写）￥</w:t>
      </w:r>
      <w:r>
        <w:rPr>
          <w:rFonts w:cs="宋体" w:asciiTheme="minorEastAsia" w:hAnsiTheme="minorEastAsia"/>
          <w:sz w:val="24"/>
          <w:lang w:val="zh-CN"/>
        </w:rPr>
        <w:t xml:space="preserve">:            </w:t>
      </w:r>
      <w:r>
        <w:rPr>
          <w:rFonts w:hint="eastAsia" w:cs="宋体" w:asciiTheme="minorEastAsia" w:hAnsiTheme="minorEastAsia"/>
          <w:sz w:val="24"/>
          <w:lang w:val="zh-CN"/>
        </w:rPr>
        <w:t>元。</w:t>
      </w:r>
    </w:p>
    <w:p w14:paraId="0B512BE2">
      <w:pPr>
        <w:autoSpaceDE w:val="0"/>
        <w:autoSpaceDN w:val="0"/>
        <w:adjustRightInd w:val="0"/>
        <w:spacing w:line="312" w:lineRule="auto"/>
        <w:ind w:firstLine="448" w:firstLineChars="200"/>
        <w:rPr>
          <w:rFonts w:hint="eastAsia" w:asciiTheme="minorEastAsia" w:hAnsiTheme="minorEastAsia"/>
          <w:bCs/>
          <w:sz w:val="24"/>
          <w:lang w:val="zh-CN"/>
        </w:rPr>
      </w:pPr>
      <w:r>
        <w:rPr>
          <w:rFonts w:cs="宋体" w:asciiTheme="minorEastAsia" w:hAnsiTheme="minorEastAsia"/>
          <w:bCs/>
          <w:sz w:val="24"/>
          <w:lang w:val="zh-CN"/>
        </w:rPr>
        <w:t xml:space="preserve">3. </w:t>
      </w:r>
      <w:r>
        <w:rPr>
          <w:rFonts w:hint="eastAsia" w:cs="宋体" w:asciiTheme="minorEastAsia" w:hAnsiTheme="minorEastAsia"/>
          <w:bCs/>
          <w:sz w:val="24"/>
          <w:lang w:val="zh-CN"/>
        </w:rPr>
        <w:t>交货/服务时间、地点、方式</w:t>
      </w:r>
    </w:p>
    <w:p w14:paraId="2678038D">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sz w:val="24"/>
          <w:lang w:val="zh-CN"/>
        </w:rPr>
        <w:t>3.1</w:t>
      </w:r>
      <w:r>
        <w:rPr>
          <w:rFonts w:hint="eastAsia" w:cs="宋体" w:asciiTheme="minorEastAsia" w:hAnsiTheme="minorEastAsia"/>
          <w:sz w:val="24"/>
          <w:lang w:val="zh-CN"/>
        </w:rPr>
        <w:t>交货/服务时间：合同订立后</w:t>
      </w:r>
      <w:r>
        <w:rPr>
          <w:rFonts w:cs="宋体" w:asciiTheme="minorEastAsia" w:hAnsiTheme="minorEastAsia"/>
          <w:sz w:val="24"/>
          <w:u w:val="single"/>
          <w:lang w:val="zh-CN"/>
        </w:rPr>
        <w:t xml:space="preserve">   </w:t>
      </w:r>
      <w:r>
        <w:rPr>
          <w:rFonts w:hint="eastAsia" w:cs="宋体" w:asciiTheme="minorEastAsia" w:hAnsiTheme="minorEastAsia"/>
          <w:sz w:val="24"/>
          <w:lang w:val="zh-CN"/>
        </w:rPr>
        <w:t>天。所有货物安装调试完毕、验收合格并交付给需方的日期为交货时间。</w:t>
      </w:r>
    </w:p>
    <w:p w14:paraId="0FE367BD">
      <w:pPr>
        <w:autoSpaceDE w:val="0"/>
        <w:autoSpaceDN w:val="0"/>
        <w:adjustRightInd w:val="0"/>
        <w:spacing w:line="312" w:lineRule="auto"/>
        <w:ind w:firstLine="448" w:firstLineChars="200"/>
        <w:rPr>
          <w:rFonts w:hint="eastAsia" w:cs="宋体" w:asciiTheme="minorEastAsia" w:hAnsiTheme="minorEastAsia"/>
          <w:sz w:val="24"/>
          <w:lang w:val="zh-CN"/>
        </w:rPr>
      </w:pPr>
      <w:r>
        <w:rPr>
          <w:rFonts w:cs="宋体" w:asciiTheme="minorEastAsia" w:hAnsiTheme="minorEastAsia"/>
          <w:sz w:val="24"/>
          <w:lang w:val="zh-CN"/>
        </w:rPr>
        <w:t>3.2</w:t>
      </w:r>
      <w:r>
        <w:rPr>
          <w:rFonts w:hint="eastAsia" w:cs="宋体" w:asciiTheme="minorEastAsia" w:hAnsiTheme="minorEastAsia"/>
          <w:sz w:val="24"/>
          <w:lang w:val="zh-CN"/>
        </w:rPr>
        <w:t>交货/服务地点：</w:t>
      </w:r>
      <w:r>
        <w:rPr>
          <w:rFonts w:cs="宋体" w:asciiTheme="minorEastAsia" w:hAnsiTheme="minorEastAsia"/>
          <w:sz w:val="24"/>
          <w:lang w:val="zh-CN"/>
        </w:rPr>
        <w:t xml:space="preserve"> </w:t>
      </w:r>
    </w:p>
    <w:p w14:paraId="5D9E2CE1">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sz w:val="24"/>
          <w:lang w:val="zh-CN"/>
        </w:rPr>
        <w:t>3.3</w:t>
      </w:r>
      <w:r>
        <w:rPr>
          <w:rFonts w:hint="eastAsia" w:cs="宋体" w:asciiTheme="minorEastAsia" w:hAnsiTheme="minorEastAsia"/>
          <w:sz w:val="24"/>
          <w:lang w:val="zh-CN"/>
        </w:rPr>
        <w:t>交货/服务方式：供方负责将货物安全完好运抵交货地点、安装调试并保证验收合格（供方负责按需方要求提供全部服务并保证验收合格）。</w:t>
      </w:r>
    </w:p>
    <w:p w14:paraId="2D968AEE">
      <w:pPr>
        <w:autoSpaceDE w:val="0"/>
        <w:autoSpaceDN w:val="0"/>
        <w:adjustRightInd w:val="0"/>
        <w:spacing w:line="312" w:lineRule="auto"/>
        <w:ind w:firstLine="448" w:firstLineChars="200"/>
        <w:rPr>
          <w:rFonts w:hint="eastAsia" w:cs="宋体" w:asciiTheme="minorEastAsia" w:hAnsiTheme="minorEastAsia"/>
          <w:bCs/>
          <w:sz w:val="24"/>
          <w:lang w:val="zh-CN"/>
        </w:rPr>
      </w:pPr>
      <w:r>
        <w:rPr>
          <w:rFonts w:cs="宋体" w:asciiTheme="minorEastAsia" w:hAnsiTheme="minorEastAsia"/>
          <w:bCs/>
          <w:sz w:val="24"/>
          <w:lang w:val="zh-CN"/>
        </w:rPr>
        <w:t xml:space="preserve">4. </w:t>
      </w:r>
      <w:r>
        <w:rPr>
          <w:rFonts w:hint="eastAsia" w:cs="宋体" w:asciiTheme="minorEastAsia" w:hAnsiTheme="minorEastAsia"/>
          <w:bCs/>
          <w:sz w:val="24"/>
          <w:lang w:val="zh-CN"/>
        </w:rPr>
        <w:t>付款方式</w:t>
      </w:r>
      <w:r>
        <w:rPr>
          <w:rFonts w:cs="宋体" w:asciiTheme="minorEastAsia" w:hAnsiTheme="minorEastAsia"/>
          <w:bCs/>
          <w:sz w:val="24"/>
          <w:lang w:val="zh-CN"/>
        </w:rPr>
        <w:t xml:space="preserve"> </w:t>
      </w:r>
    </w:p>
    <w:p w14:paraId="1AFA34E1">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sz w:val="24"/>
          <w:lang w:val="zh-CN"/>
        </w:rPr>
        <w:t>4.1</w:t>
      </w:r>
      <w:r>
        <w:rPr>
          <w:rFonts w:hint="eastAsia" w:cs="宋体" w:asciiTheme="minorEastAsia" w:hAnsiTheme="minorEastAsia"/>
          <w:sz w:val="24"/>
          <w:lang w:val="zh-CN"/>
        </w:rPr>
        <w:t>供方交货/提供服务时应提交下列文件：销售发票</w:t>
      </w:r>
      <w:r>
        <w:rPr>
          <w:rFonts w:cs="宋体" w:asciiTheme="minorEastAsia" w:hAnsiTheme="minorEastAsia"/>
          <w:sz w:val="24"/>
          <w:lang w:val="zh-CN"/>
        </w:rPr>
        <w:t>[</w:t>
      </w:r>
      <w:r>
        <w:rPr>
          <w:rFonts w:hint="eastAsia" w:cs="宋体" w:asciiTheme="minorEastAsia" w:hAnsiTheme="minorEastAsia"/>
          <w:sz w:val="24"/>
          <w:lang w:val="zh-CN"/>
        </w:rPr>
        <w:t>发票抬头格式：需方单位名称，国家有关质检机构出具的检验报告或证书（如果合同约定有的话），进口产品的报关文件（如果合同约定有的话），制造厂商出具的质量检验证书、产品合格证等。</w:t>
      </w:r>
    </w:p>
    <w:p w14:paraId="5E7FDE91">
      <w:pPr>
        <w:spacing w:line="312" w:lineRule="auto"/>
        <w:ind w:firstLine="448" w:firstLineChars="200"/>
        <w:rPr>
          <w:rFonts w:hint="eastAsia" w:cs="宋体" w:asciiTheme="minorEastAsia" w:hAnsiTheme="minorEastAsia"/>
          <w:sz w:val="24"/>
          <w:lang w:val="zh-CN"/>
        </w:rPr>
      </w:pPr>
      <w:r>
        <w:rPr>
          <w:rFonts w:cs="宋体" w:asciiTheme="minorEastAsia" w:hAnsiTheme="minorEastAsia"/>
          <w:sz w:val="24"/>
          <w:lang w:val="zh-CN"/>
        </w:rPr>
        <w:t>4.2</w:t>
      </w:r>
      <w:r>
        <w:rPr>
          <w:rFonts w:hint="eastAsia" w:cs="宋体" w:asciiTheme="minorEastAsia" w:hAnsiTheme="minorEastAsia"/>
          <w:bCs/>
          <w:sz w:val="24"/>
          <w:lang w:val="zh-CN"/>
        </w:rPr>
        <w:t>财政付款：政府采购项目资金支付程序，按照国家有关财政资金支付管理的规定执行。</w:t>
      </w:r>
    </w:p>
    <w:p w14:paraId="467DC45C">
      <w:pPr>
        <w:spacing w:line="312" w:lineRule="auto"/>
        <w:ind w:firstLine="448" w:firstLineChars="200"/>
        <w:rPr>
          <w:rFonts w:hint="eastAsia" w:cs="宋体" w:asciiTheme="minorEastAsia" w:hAnsiTheme="minorEastAsia"/>
          <w:sz w:val="24"/>
          <w:lang w:val="zh-CN"/>
        </w:rPr>
      </w:pPr>
      <w:r>
        <w:rPr>
          <w:rFonts w:cs="宋体" w:asciiTheme="minorEastAsia" w:hAnsiTheme="minorEastAsia"/>
          <w:sz w:val="24"/>
          <w:lang w:val="zh-CN"/>
        </w:rPr>
        <w:t>4.3</w:t>
      </w:r>
      <w:r>
        <w:rPr>
          <w:rFonts w:hint="eastAsia" w:cs="宋体" w:asciiTheme="minorEastAsia" w:hAnsiTheme="minorEastAsia"/>
          <w:bCs/>
          <w:sz w:val="24"/>
          <w:lang w:val="zh-CN"/>
        </w:rPr>
        <w:t>需方自行付款：</w:t>
      </w:r>
      <w:r>
        <w:rPr>
          <w:rFonts w:hint="eastAsia" w:cs="宋体" w:asciiTheme="minorEastAsia" w:hAnsiTheme="minorEastAsia"/>
          <w:sz w:val="24"/>
          <w:lang w:val="zh-CN"/>
        </w:rPr>
        <w:t>本合同总价款中由需方自行支付</w:t>
      </w:r>
      <w:r>
        <w:rPr>
          <w:rFonts w:cs="宋体" w:asciiTheme="minorEastAsia" w:hAnsiTheme="minorEastAsia"/>
          <w:sz w:val="24"/>
          <w:u w:val="single"/>
          <w:lang w:val="zh-CN"/>
        </w:rPr>
        <w:t xml:space="preserve">     </w:t>
      </w:r>
      <w:r>
        <w:rPr>
          <w:rFonts w:hint="eastAsia" w:cs="宋体" w:asciiTheme="minorEastAsia" w:hAnsiTheme="minorEastAsia"/>
          <w:sz w:val="24"/>
          <w:lang w:val="zh-CN"/>
        </w:rPr>
        <w:t>元。需方承诺在</w:t>
      </w:r>
      <w:r>
        <w:rPr>
          <w:rFonts w:cs="宋体" w:asciiTheme="minorEastAsia" w:hAnsiTheme="minorEastAsia"/>
          <w:sz w:val="24"/>
          <w:u w:val="single"/>
          <w:lang w:val="zh-CN"/>
        </w:rPr>
        <w:t xml:space="preserve">    </w:t>
      </w:r>
      <w:r>
        <w:rPr>
          <w:rFonts w:hint="eastAsia" w:cs="宋体" w:asciiTheme="minorEastAsia" w:hAnsiTheme="minorEastAsia"/>
          <w:sz w:val="24"/>
          <w:lang w:val="zh-CN"/>
        </w:rPr>
        <w:t>年</w:t>
      </w:r>
      <w:r>
        <w:rPr>
          <w:rFonts w:cs="宋体" w:asciiTheme="minorEastAsia" w:hAnsiTheme="minorEastAsia"/>
          <w:sz w:val="24"/>
          <w:lang w:val="zh-CN"/>
        </w:rPr>
        <w:t xml:space="preserve">  </w:t>
      </w:r>
      <w:r>
        <w:rPr>
          <w:rFonts w:hint="eastAsia" w:cs="宋体" w:asciiTheme="minorEastAsia" w:hAnsiTheme="minorEastAsia"/>
          <w:sz w:val="24"/>
          <w:lang w:val="zh-CN"/>
        </w:rPr>
        <w:t>月前支付。如果需方届时不能支付或者不能全额支付，由需方承担违约责任，供方承担全部收款责任，与采购中心无关。</w:t>
      </w:r>
    </w:p>
    <w:p w14:paraId="1C1FB129">
      <w:pPr>
        <w:autoSpaceDE w:val="0"/>
        <w:autoSpaceDN w:val="0"/>
        <w:adjustRightInd w:val="0"/>
        <w:spacing w:line="312" w:lineRule="auto"/>
        <w:ind w:firstLine="448" w:firstLineChars="200"/>
        <w:rPr>
          <w:rFonts w:hint="eastAsia" w:asciiTheme="minorEastAsia" w:hAnsiTheme="minorEastAsia"/>
          <w:bCs/>
          <w:sz w:val="24"/>
          <w:lang w:val="zh-CN"/>
        </w:rPr>
      </w:pPr>
      <w:r>
        <w:rPr>
          <w:rFonts w:cs="宋体" w:asciiTheme="minorEastAsia" w:hAnsiTheme="minorEastAsia"/>
          <w:bCs/>
          <w:sz w:val="24"/>
          <w:lang w:val="zh-CN"/>
        </w:rPr>
        <w:t>5</w:t>
      </w:r>
      <w:r>
        <w:rPr>
          <w:rFonts w:hint="eastAsia" w:cs="宋体" w:asciiTheme="minorEastAsia" w:hAnsiTheme="minorEastAsia"/>
          <w:bCs/>
          <w:sz w:val="24"/>
          <w:lang w:val="zh-CN"/>
        </w:rPr>
        <w:t>．履约保证金</w:t>
      </w:r>
    </w:p>
    <w:p w14:paraId="60DFECDF">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sz w:val="24"/>
          <w:lang w:val="zh-CN"/>
        </w:rPr>
        <w:t xml:space="preserve">5.1 </w:t>
      </w:r>
      <w:r>
        <w:rPr>
          <w:rFonts w:hint="eastAsia" w:cs="宋体" w:asciiTheme="minorEastAsia" w:hAnsiTheme="minorEastAsia"/>
          <w:sz w:val="24"/>
          <w:lang w:val="zh-CN"/>
        </w:rPr>
        <w:t>在签署本合同之前，供方应向</w:t>
      </w:r>
      <w:r>
        <w:rPr>
          <w:rFonts w:hint="eastAsia" w:cs="宋体" w:asciiTheme="minorEastAsia" w:hAnsiTheme="minorEastAsia"/>
          <w:bCs/>
          <w:sz w:val="24"/>
          <w:lang w:val="zh-CN"/>
        </w:rPr>
        <w:t>需方</w:t>
      </w:r>
      <w:r>
        <w:rPr>
          <w:rFonts w:hint="eastAsia" w:cs="宋体" w:asciiTheme="minorEastAsia" w:hAnsiTheme="minorEastAsia"/>
          <w:sz w:val="24"/>
          <w:lang w:val="zh-CN"/>
        </w:rPr>
        <w:t>提交合同总价</w:t>
      </w:r>
      <w:r>
        <w:rPr>
          <w:rFonts w:hint="eastAsia" w:cs="宋体" w:asciiTheme="minorEastAsia" w:hAnsiTheme="minorEastAsia"/>
          <w:sz w:val="24"/>
        </w:rPr>
        <w:t>10</w:t>
      </w:r>
      <w:r>
        <w:rPr>
          <w:rFonts w:cs="宋体" w:asciiTheme="minorEastAsia" w:hAnsiTheme="minorEastAsia"/>
          <w:sz w:val="24"/>
          <w:lang w:val="zh-CN"/>
        </w:rPr>
        <w:t>%</w:t>
      </w:r>
      <w:r>
        <w:rPr>
          <w:rFonts w:hint="eastAsia" w:cs="宋体" w:asciiTheme="minorEastAsia" w:hAnsiTheme="minorEastAsia"/>
          <w:sz w:val="24"/>
          <w:lang w:val="zh-CN"/>
        </w:rPr>
        <w:t>的履约保证金（人民币，取整数位到百元）。履约保证金可以采用银行转帐或者现金的方式提交。</w:t>
      </w:r>
    </w:p>
    <w:p w14:paraId="64A87EB4">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sz w:val="24"/>
          <w:lang w:val="zh-CN"/>
        </w:rPr>
        <w:t xml:space="preserve">5.2 </w:t>
      </w:r>
      <w:r>
        <w:rPr>
          <w:rFonts w:hint="eastAsia" w:cs="宋体" w:asciiTheme="minorEastAsia" w:hAnsiTheme="minorEastAsia"/>
          <w:sz w:val="24"/>
          <w:lang w:val="zh-CN"/>
        </w:rPr>
        <w:t>履约保证金的有效期到供方提交的货物经需方验收合格并交付给需方之日止，以银行转帐方式返还，不计利息。</w:t>
      </w:r>
    </w:p>
    <w:p w14:paraId="73DD6DF3">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sz w:val="24"/>
          <w:lang w:val="zh-CN"/>
        </w:rPr>
        <w:t xml:space="preserve">5.3 </w:t>
      </w:r>
      <w:r>
        <w:rPr>
          <w:rFonts w:hint="eastAsia" w:cs="宋体" w:asciiTheme="minorEastAsia" w:hAnsiTheme="minorEastAsia"/>
          <w:sz w:val="24"/>
          <w:lang w:val="zh-CN"/>
        </w:rPr>
        <w:t>履约保证金由需方在货物验收合格交付后</w:t>
      </w:r>
      <w:r>
        <w:rPr>
          <w:rFonts w:cs="宋体" w:asciiTheme="minorEastAsia" w:hAnsiTheme="minorEastAsia"/>
          <w:sz w:val="24"/>
          <w:lang w:val="zh-CN"/>
        </w:rPr>
        <w:t>10</w:t>
      </w:r>
      <w:r>
        <w:rPr>
          <w:rFonts w:hint="eastAsia" w:cs="宋体" w:asciiTheme="minorEastAsia" w:hAnsiTheme="minorEastAsia"/>
          <w:sz w:val="24"/>
          <w:lang w:val="zh-CN"/>
        </w:rPr>
        <w:t>个工作日内返还。</w:t>
      </w:r>
    </w:p>
    <w:p w14:paraId="4586E0F4">
      <w:pPr>
        <w:autoSpaceDE w:val="0"/>
        <w:autoSpaceDN w:val="0"/>
        <w:adjustRightInd w:val="0"/>
        <w:spacing w:line="312" w:lineRule="auto"/>
        <w:ind w:firstLine="448" w:firstLineChars="200"/>
        <w:rPr>
          <w:rFonts w:hint="eastAsia" w:asciiTheme="minorEastAsia" w:hAnsiTheme="minorEastAsia"/>
          <w:bCs/>
          <w:sz w:val="24"/>
          <w:lang w:val="zh-CN"/>
        </w:rPr>
      </w:pPr>
      <w:r>
        <w:rPr>
          <w:rFonts w:cs="宋体" w:asciiTheme="minorEastAsia" w:hAnsiTheme="minorEastAsia"/>
          <w:bCs/>
          <w:sz w:val="24"/>
          <w:lang w:val="zh-CN"/>
        </w:rPr>
        <w:t>6.</w:t>
      </w:r>
      <w:r>
        <w:rPr>
          <w:rFonts w:hint="eastAsia" w:cs="宋体" w:asciiTheme="minorEastAsia" w:hAnsiTheme="minorEastAsia"/>
          <w:bCs/>
          <w:sz w:val="24"/>
          <w:lang w:val="zh-CN"/>
        </w:rPr>
        <w:t>质量保证金：履约保证金到期后自动转为质量保证金。</w:t>
      </w:r>
    </w:p>
    <w:p w14:paraId="75C118B1">
      <w:pPr>
        <w:autoSpaceDE w:val="0"/>
        <w:autoSpaceDN w:val="0"/>
        <w:adjustRightInd w:val="0"/>
        <w:spacing w:line="312" w:lineRule="auto"/>
        <w:ind w:firstLine="448" w:firstLineChars="200"/>
        <w:rPr>
          <w:rFonts w:hint="eastAsia" w:asciiTheme="minorEastAsia" w:hAnsiTheme="minorEastAsia"/>
          <w:bCs/>
          <w:sz w:val="24"/>
          <w:lang w:val="zh-CN"/>
        </w:rPr>
      </w:pPr>
      <w:r>
        <w:rPr>
          <w:rFonts w:cs="宋体" w:asciiTheme="minorEastAsia" w:hAnsiTheme="minorEastAsia"/>
          <w:bCs/>
          <w:sz w:val="24"/>
          <w:lang w:val="zh-CN"/>
        </w:rPr>
        <w:t>7.</w:t>
      </w:r>
      <w:r>
        <w:rPr>
          <w:rFonts w:hint="eastAsia" w:cs="宋体" w:asciiTheme="minorEastAsia" w:hAnsiTheme="minorEastAsia"/>
          <w:bCs/>
          <w:sz w:val="24"/>
          <w:lang w:val="zh-CN"/>
        </w:rPr>
        <w:t>合同补充条款：</w:t>
      </w:r>
    </w:p>
    <w:p w14:paraId="6492B430">
      <w:pPr>
        <w:autoSpaceDE w:val="0"/>
        <w:autoSpaceDN w:val="0"/>
        <w:adjustRightInd w:val="0"/>
        <w:spacing w:line="312" w:lineRule="auto"/>
        <w:ind w:firstLine="448" w:firstLineChars="200"/>
        <w:rPr>
          <w:rFonts w:hint="eastAsia" w:asciiTheme="minorEastAsia" w:hAnsiTheme="minorEastAsia"/>
          <w:bCs/>
          <w:sz w:val="24"/>
          <w:lang w:val="zh-CN"/>
        </w:rPr>
      </w:pPr>
      <w:r>
        <w:rPr>
          <w:rFonts w:cs="宋体" w:asciiTheme="minorEastAsia" w:hAnsiTheme="minorEastAsia"/>
          <w:bCs/>
          <w:sz w:val="24"/>
          <w:lang w:val="zh-CN"/>
        </w:rPr>
        <w:t>8.</w:t>
      </w:r>
      <w:r>
        <w:rPr>
          <w:rFonts w:hint="eastAsia" w:cs="宋体" w:asciiTheme="minorEastAsia" w:hAnsiTheme="minorEastAsia"/>
          <w:bCs/>
          <w:sz w:val="24"/>
          <w:lang w:val="zh-CN"/>
        </w:rPr>
        <w:t>争议解决方式：</w:t>
      </w:r>
      <w:r>
        <w:rPr>
          <w:rFonts w:hint="eastAsia" w:cs="宋体" w:asciiTheme="minorEastAsia" w:hAnsiTheme="minorEastAsia"/>
          <w:sz w:val="24"/>
          <w:lang w:val="zh-CN"/>
        </w:rPr>
        <w:t>供需双方达成仲裁协议，向集安市仲裁委员会申请仲裁（向合同签定地人民法院提起诉讼）。</w:t>
      </w:r>
    </w:p>
    <w:p w14:paraId="600B741F">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bCs/>
          <w:sz w:val="24"/>
          <w:lang w:val="zh-CN"/>
        </w:rPr>
        <w:t>9</w:t>
      </w:r>
      <w:r>
        <w:rPr>
          <w:rFonts w:hint="eastAsia" w:cs="宋体" w:asciiTheme="minorEastAsia" w:hAnsiTheme="minorEastAsia"/>
          <w:bCs/>
          <w:sz w:val="24"/>
          <w:lang w:val="zh-CN"/>
        </w:rPr>
        <w:t>．合同构成：</w:t>
      </w:r>
      <w:r>
        <w:rPr>
          <w:rFonts w:hint="eastAsia" w:cs="宋体" w:asciiTheme="minorEastAsia" w:hAnsiTheme="minorEastAsia"/>
          <w:sz w:val="24"/>
          <w:lang w:val="zh-CN"/>
        </w:rPr>
        <w:t>下列文件构成本合同不可分割的组成部分，与本合同具有同等法律效力：</w:t>
      </w:r>
    </w:p>
    <w:p w14:paraId="59D68987">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sz w:val="24"/>
          <w:lang w:val="zh-CN"/>
        </w:rPr>
        <w:t>9.1</w:t>
      </w:r>
      <w:r>
        <w:rPr>
          <w:rFonts w:hint="eastAsia" w:cs="宋体" w:asciiTheme="minorEastAsia" w:hAnsiTheme="minorEastAsia"/>
          <w:sz w:val="24"/>
          <w:lang w:val="zh-CN"/>
        </w:rPr>
        <w:t>本合同书；</w:t>
      </w:r>
    </w:p>
    <w:p w14:paraId="0D17B31D">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sz w:val="24"/>
          <w:lang w:val="zh-CN"/>
        </w:rPr>
        <w:t>9.2</w:t>
      </w:r>
      <w:r>
        <w:rPr>
          <w:rFonts w:hint="eastAsia" w:cs="宋体" w:asciiTheme="minorEastAsia" w:hAnsiTheme="minorEastAsia"/>
          <w:sz w:val="24"/>
          <w:lang w:val="zh-CN"/>
        </w:rPr>
        <w:t>中标通知书；</w:t>
      </w:r>
    </w:p>
    <w:p w14:paraId="12AB7642">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sz w:val="24"/>
          <w:lang w:val="zh-CN"/>
        </w:rPr>
        <w:t>9.3</w:t>
      </w:r>
      <w:r>
        <w:rPr>
          <w:rFonts w:hint="eastAsia" w:cs="宋体" w:asciiTheme="minorEastAsia" w:hAnsiTheme="minorEastAsia"/>
          <w:sz w:val="24"/>
          <w:lang w:val="zh-CN"/>
        </w:rPr>
        <w:t>磋商文件及澄清、修改、补遗文件；</w:t>
      </w:r>
    </w:p>
    <w:p w14:paraId="3929C957">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sz w:val="24"/>
          <w:lang w:val="zh-CN"/>
        </w:rPr>
        <w:t>9.4</w:t>
      </w:r>
      <w:r>
        <w:rPr>
          <w:rFonts w:hint="eastAsia" w:cs="宋体" w:asciiTheme="minorEastAsia" w:hAnsiTheme="minorEastAsia"/>
          <w:sz w:val="24"/>
          <w:lang w:val="zh-CN"/>
        </w:rPr>
        <w:t>供方的响应文件及书面澄清、说明、补正文件；</w:t>
      </w:r>
    </w:p>
    <w:p w14:paraId="4F0AE4B1">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sz w:val="24"/>
          <w:lang w:val="zh-CN"/>
        </w:rPr>
        <w:t>9.5</w:t>
      </w:r>
      <w:r>
        <w:rPr>
          <w:rFonts w:hint="eastAsia" w:cs="宋体" w:asciiTheme="minorEastAsia" w:hAnsiTheme="minorEastAsia"/>
          <w:sz w:val="24"/>
          <w:lang w:val="zh-CN"/>
        </w:rPr>
        <w:t>产品样本、样品（样机）、说明书、图纸等有关资料；</w:t>
      </w:r>
    </w:p>
    <w:p w14:paraId="1DDADD34">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sz w:val="24"/>
          <w:lang w:val="zh-CN"/>
        </w:rPr>
        <w:t>9.6</w:t>
      </w:r>
      <w:r>
        <w:rPr>
          <w:rFonts w:hint="eastAsia" w:cs="宋体" w:asciiTheme="minorEastAsia" w:hAnsiTheme="minorEastAsia"/>
          <w:sz w:val="24"/>
          <w:lang w:val="zh-CN"/>
        </w:rPr>
        <w:t>集安市政府采购验收报告单；</w:t>
      </w:r>
    </w:p>
    <w:p w14:paraId="7C7E76E5">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sz w:val="24"/>
          <w:lang w:val="zh-CN"/>
        </w:rPr>
        <w:t>9.7</w:t>
      </w:r>
      <w:r>
        <w:rPr>
          <w:rFonts w:hint="eastAsia" w:cs="宋体" w:asciiTheme="minorEastAsia" w:hAnsiTheme="minorEastAsia"/>
          <w:sz w:val="24"/>
          <w:lang w:val="zh-CN"/>
        </w:rPr>
        <w:t>合同的其它附件。</w:t>
      </w:r>
    </w:p>
    <w:p w14:paraId="52A2FBBD">
      <w:pPr>
        <w:autoSpaceDE w:val="0"/>
        <w:autoSpaceDN w:val="0"/>
        <w:adjustRightInd w:val="0"/>
        <w:spacing w:line="312" w:lineRule="auto"/>
        <w:ind w:firstLine="448" w:firstLineChars="200"/>
        <w:rPr>
          <w:rFonts w:hint="eastAsia" w:asciiTheme="minorEastAsia" w:hAnsiTheme="minorEastAsia"/>
          <w:sz w:val="24"/>
          <w:lang w:val="zh-CN"/>
        </w:rPr>
      </w:pPr>
      <w:r>
        <w:rPr>
          <w:rFonts w:hint="eastAsia" w:cs="宋体" w:asciiTheme="minorEastAsia" w:hAnsiTheme="minorEastAsia"/>
          <w:sz w:val="24"/>
          <w:lang w:val="zh-CN"/>
        </w:rPr>
        <w:t>上述组成合同的文件如有不一致之处，以日期在后的为准。</w:t>
      </w:r>
    </w:p>
    <w:p w14:paraId="04BD5B21">
      <w:pPr>
        <w:autoSpaceDE w:val="0"/>
        <w:autoSpaceDN w:val="0"/>
        <w:adjustRightInd w:val="0"/>
        <w:spacing w:line="312" w:lineRule="auto"/>
        <w:ind w:firstLine="448" w:firstLineChars="200"/>
        <w:rPr>
          <w:rFonts w:hint="eastAsia" w:cs="宋体" w:asciiTheme="minorEastAsia" w:hAnsiTheme="minorEastAsia"/>
          <w:sz w:val="24"/>
          <w:lang w:val="zh-CN"/>
        </w:rPr>
      </w:pPr>
      <w:r>
        <w:rPr>
          <w:rFonts w:cs="宋体" w:asciiTheme="minorEastAsia" w:hAnsiTheme="minorEastAsia"/>
          <w:bCs/>
          <w:sz w:val="24"/>
          <w:lang w:val="zh-CN"/>
        </w:rPr>
        <w:t>10.</w:t>
      </w:r>
      <w:r>
        <w:rPr>
          <w:rFonts w:hint="eastAsia" w:cs="宋体" w:asciiTheme="minorEastAsia" w:hAnsiTheme="minorEastAsia"/>
          <w:bCs/>
          <w:sz w:val="24"/>
          <w:lang w:val="zh-CN"/>
        </w:rPr>
        <w:t>合同份数：</w:t>
      </w:r>
      <w:r>
        <w:rPr>
          <w:rFonts w:hint="eastAsia" w:cs="宋体" w:asciiTheme="minorEastAsia" w:hAnsiTheme="minorEastAsia"/>
          <w:sz w:val="24"/>
          <w:lang w:val="zh-CN"/>
        </w:rPr>
        <w:t>本合同一式三份，供需双方和采购中心各执一份。</w:t>
      </w:r>
      <w:r>
        <w:rPr>
          <w:rFonts w:cs="宋体" w:asciiTheme="minorEastAsia" w:hAnsiTheme="minorEastAsia"/>
          <w:sz w:val="24"/>
          <w:lang w:val="zh-CN"/>
        </w:rPr>
        <w:t xml:space="preserve"> </w:t>
      </w:r>
    </w:p>
    <w:p w14:paraId="01CFEE77">
      <w:pPr>
        <w:autoSpaceDE w:val="0"/>
        <w:autoSpaceDN w:val="0"/>
        <w:adjustRightInd w:val="0"/>
        <w:spacing w:line="312" w:lineRule="auto"/>
        <w:ind w:firstLine="448" w:firstLineChars="200"/>
        <w:rPr>
          <w:rFonts w:hint="eastAsia" w:asciiTheme="minorEastAsia" w:hAnsiTheme="minorEastAsia"/>
          <w:sz w:val="24"/>
          <w:lang w:val="zh-CN"/>
        </w:rPr>
      </w:pPr>
      <w:r>
        <w:rPr>
          <w:rFonts w:cs="黑体" w:asciiTheme="minorEastAsia" w:hAnsiTheme="minorEastAsia"/>
          <w:bCs/>
          <w:sz w:val="24"/>
          <w:lang w:val="zh-CN"/>
        </w:rPr>
        <w:t>11.</w:t>
      </w:r>
      <w:r>
        <w:rPr>
          <w:rFonts w:hint="eastAsia" w:cs="黑体" w:asciiTheme="minorEastAsia" w:hAnsiTheme="minorEastAsia"/>
          <w:bCs/>
          <w:sz w:val="24"/>
          <w:lang w:val="zh-CN"/>
        </w:rPr>
        <w:t>合同生效：本合同在供需双方法定代表人或其授权代理人签字、加盖双方公章或者合同专用章，采购中心加盖公章，并且需方收到供方提交的履约保证金后生效。</w:t>
      </w:r>
    </w:p>
    <w:p w14:paraId="03961AA9">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bCs/>
          <w:sz w:val="24"/>
          <w:lang w:val="zh-CN"/>
        </w:rPr>
        <w:t>12.</w:t>
      </w:r>
      <w:r>
        <w:rPr>
          <w:rFonts w:hint="eastAsia" w:cs="宋体" w:asciiTheme="minorEastAsia" w:hAnsiTheme="minorEastAsia"/>
          <w:bCs/>
          <w:sz w:val="24"/>
          <w:lang w:val="zh-CN"/>
        </w:rPr>
        <w:t>合同修改：</w:t>
      </w:r>
      <w:r>
        <w:rPr>
          <w:rFonts w:hint="eastAsia" w:cs="宋体" w:asciiTheme="minorEastAsia" w:hAnsiTheme="minorEastAsia"/>
          <w:sz w:val="24"/>
          <w:lang w:val="zh-CN"/>
        </w:rPr>
        <w:t>除供需双方和采购中心签署书面修改、补充协议外，本合同条件不得有任何变化或修改。</w:t>
      </w:r>
    </w:p>
    <w:p w14:paraId="30C2B0EF">
      <w:pPr>
        <w:autoSpaceDE w:val="0"/>
        <w:autoSpaceDN w:val="0"/>
        <w:adjustRightInd w:val="0"/>
        <w:spacing w:line="360" w:lineRule="exact"/>
        <w:rPr>
          <w:rFonts w:hint="eastAsia" w:ascii="宋体" w:hAnsi="宋体"/>
          <w:lang w:val="zh-CN"/>
        </w:rPr>
      </w:pPr>
    </w:p>
    <w:p w14:paraId="111615F8">
      <w:pPr>
        <w:autoSpaceDE w:val="0"/>
        <w:autoSpaceDN w:val="0"/>
        <w:adjustRightInd w:val="0"/>
        <w:spacing w:line="300" w:lineRule="auto"/>
        <w:ind w:firstLine="672" w:firstLineChars="300"/>
        <w:rPr>
          <w:rFonts w:hint="eastAsia" w:ascii="宋体" w:hAnsi="宋体"/>
          <w:sz w:val="24"/>
          <w:highlight w:val="none"/>
          <w:lang w:val="zh-CN"/>
        </w:rPr>
      </w:pPr>
      <w:r>
        <w:rPr>
          <w:rFonts w:ascii="宋体" w:hAnsi="宋体" w:cs="宋体"/>
          <w:sz w:val="24"/>
          <w:highlight w:val="none"/>
          <w:lang w:val="zh-CN"/>
        </w:rPr>
        <w:t xml:space="preserve"> </w:t>
      </w:r>
      <w:r>
        <w:rPr>
          <w:rFonts w:hint="eastAsia" w:ascii="宋体" w:hAnsi="宋体" w:cs="宋体"/>
          <w:sz w:val="24"/>
          <w:highlight w:val="none"/>
          <w:lang w:val="zh-CN"/>
        </w:rPr>
        <w:t>需方：</w:t>
      </w:r>
      <w:r>
        <w:rPr>
          <w:rFonts w:ascii="宋体" w:hAnsi="宋体" w:cs="宋体"/>
          <w:sz w:val="24"/>
          <w:highlight w:val="none"/>
          <w:lang w:val="zh-CN"/>
        </w:rPr>
        <w:t xml:space="preserve">                   </w:t>
      </w:r>
      <w:r>
        <w:rPr>
          <w:rFonts w:hint="eastAsia" w:ascii="宋体" w:hAnsi="宋体" w:cs="宋体"/>
          <w:sz w:val="24"/>
          <w:highlight w:val="none"/>
          <w:lang w:val="zh-CN"/>
        </w:rPr>
        <w:t>供方：</w:t>
      </w:r>
    </w:p>
    <w:p w14:paraId="1521E01B">
      <w:pPr>
        <w:autoSpaceDE w:val="0"/>
        <w:autoSpaceDN w:val="0"/>
        <w:adjustRightInd w:val="0"/>
        <w:spacing w:line="300" w:lineRule="auto"/>
        <w:rPr>
          <w:rFonts w:hint="eastAsia" w:ascii="宋体" w:hAnsi="宋体"/>
          <w:sz w:val="24"/>
          <w:highlight w:val="none"/>
          <w:lang w:val="zh-CN"/>
        </w:rPr>
      </w:pPr>
      <w:r>
        <w:rPr>
          <w:rFonts w:ascii="宋体" w:hAnsi="宋体" w:cs="宋体"/>
          <w:sz w:val="24"/>
          <w:highlight w:val="none"/>
          <w:lang w:val="zh-CN"/>
        </w:rPr>
        <w:t xml:space="preserve">     </w:t>
      </w:r>
      <w:r>
        <w:rPr>
          <w:rFonts w:hint="eastAsia" w:ascii="宋体" w:hAnsi="宋体" w:cs="宋体"/>
          <w:sz w:val="24"/>
          <w:highlight w:val="none"/>
          <w:lang w:val="zh-CN"/>
        </w:rPr>
        <w:t>（加盖公章或合同专用章）</w:t>
      </w:r>
      <w:r>
        <w:rPr>
          <w:rFonts w:ascii="宋体" w:hAnsi="宋体" w:cs="宋体"/>
          <w:sz w:val="24"/>
          <w:highlight w:val="none"/>
          <w:lang w:val="zh-CN"/>
        </w:rPr>
        <w:t xml:space="preserve">  </w:t>
      </w:r>
      <w:r>
        <w:rPr>
          <w:rFonts w:hint="eastAsia" w:ascii="宋体" w:hAnsi="宋体" w:cs="宋体"/>
          <w:sz w:val="24"/>
          <w:highlight w:val="none"/>
          <w:lang w:val="zh-CN"/>
        </w:rPr>
        <w:t>（加盖公章或合同专用章）</w:t>
      </w:r>
    </w:p>
    <w:p w14:paraId="338A2836">
      <w:pPr>
        <w:autoSpaceDE w:val="0"/>
        <w:autoSpaceDN w:val="0"/>
        <w:adjustRightInd w:val="0"/>
        <w:spacing w:line="300" w:lineRule="auto"/>
        <w:rPr>
          <w:rFonts w:hint="eastAsia" w:ascii="宋体" w:hAnsi="宋体"/>
          <w:sz w:val="24"/>
          <w:highlight w:val="none"/>
          <w:lang w:val="zh-CN"/>
        </w:rPr>
      </w:pPr>
      <w:r>
        <w:rPr>
          <w:rFonts w:ascii="宋体" w:hAnsi="宋体" w:cs="宋体"/>
          <w:sz w:val="24"/>
          <w:highlight w:val="none"/>
          <w:lang w:val="zh-CN"/>
        </w:rPr>
        <w:t xml:space="preserve"> </w:t>
      </w:r>
      <w:r>
        <w:rPr>
          <w:rFonts w:hint="eastAsia" w:ascii="宋体" w:hAnsi="宋体" w:cs="宋体"/>
          <w:sz w:val="24"/>
          <w:highlight w:val="none"/>
          <w:lang w:val="en-US" w:eastAsia="zh-CN"/>
        </w:rPr>
        <w:t xml:space="preserve">    </w:t>
      </w:r>
      <w:r>
        <w:rPr>
          <w:rFonts w:ascii="宋体" w:hAnsi="宋体" w:cs="宋体"/>
          <w:sz w:val="24"/>
          <w:highlight w:val="none"/>
          <w:lang w:val="zh-CN"/>
        </w:rPr>
        <w:t xml:space="preserve"> </w:t>
      </w:r>
      <w:r>
        <w:rPr>
          <w:rFonts w:hint="eastAsia" w:ascii="宋体" w:hAnsi="宋体" w:cs="宋体"/>
          <w:sz w:val="24"/>
          <w:highlight w:val="none"/>
          <w:lang w:val="zh-CN"/>
        </w:rPr>
        <w:t>地址：</w:t>
      </w:r>
      <w:r>
        <w:rPr>
          <w:rFonts w:ascii="宋体" w:hAnsi="宋体" w:cs="宋体"/>
          <w:sz w:val="24"/>
          <w:highlight w:val="none"/>
          <w:lang w:val="zh-CN"/>
        </w:rPr>
        <w:t xml:space="preserve">                   </w:t>
      </w:r>
      <w:r>
        <w:rPr>
          <w:rFonts w:hint="eastAsia" w:ascii="宋体" w:hAnsi="宋体" w:cs="宋体"/>
          <w:sz w:val="24"/>
          <w:highlight w:val="none"/>
          <w:lang w:val="zh-CN"/>
        </w:rPr>
        <w:t>地址：</w:t>
      </w:r>
    </w:p>
    <w:p w14:paraId="79220D08">
      <w:pPr>
        <w:autoSpaceDE w:val="0"/>
        <w:autoSpaceDN w:val="0"/>
        <w:adjustRightInd w:val="0"/>
        <w:spacing w:line="300" w:lineRule="auto"/>
        <w:rPr>
          <w:rFonts w:hint="eastAsia" w:ascii="宋体" w:hAnsi="宋体" w:cs="宋体"/>
          <w:sz w:val="24"/>
          <w:highlight w:val="none"/>
          <w:lang w:val="zh-CN"/>
        </w:rPr>
      </w:pPr>
      <w:r>
        <w:rPr>
          <w:rFonts w:ascii="宋体" w:hAnsi="宋体" w:cs="宋体"/>
          <w:sz w:val="24"/>
          <w:highlight w:val="none"/>
          <w:lang w:val="zh-CN"/>
        </w:rPr>
        <w:t xml:space="preserve">      </w:t>
      </w:r>
      <w:r>
        <w:rPr>
          <w:rFonts w:hint="eastAsia" w:ascii="宋体" w:hAnsi="宋体" w:cs="宋体"/>
          <w:sz w:val="24"/>
          <w:highlight w:val="none"/>
          <w:lang w:val="zh-CN"/>
        </w:rPr>
        <w:t>法定代表人</w:t>
      </w:r>
      <w:r>
        <w:rPr>
          <w:rFonts w:ascii="宋体" w:hAnsi="宋体" w:cs="宋体"/>
          <w:sz w:val="24"/>
          <w:highlight w:val="none"/>
          <w:lang w:val="zh-CN"/>
        </w:rPr>
        <w:t xml:space="preserve">               </w:t>
      </w:r>
      <w:r>
        <w:rPr>
          <w:rFonts w:hint="eastAsia" w:ascii="宋体" w:hAnsi="宋体" w:cs="宋体"/>
          <w:sz w:val="24"/>
          <w:highlight w:val="none"/>
          <w:lang w:val="zh-CN"/>
        </w:rPr>
        <w:t>法定代表人</w:t>
      </w:r>
      <w:r>
        <w:rPr>
          <w:rFonts w:ascii="宋体" w:hAnsi="宋体" w:cs="宋体"/>
          <w:sz w:val="24"/>
          <w:highlight w:val="none"/>
          <w:lang w:val="zh-CN"/>
        </w:rPr>
        <w:t xml:space="preserve">               </w:t>
      </w:r>
    </w:p>
    <w:p w14:paraId="1AEAB6C2">
      <w:pPr>
        <w:autoSpaceDE w:val="0"/>
        <w:autoSpaceDN w:val="0"/>
        <w:adjustRightInd w:val="0"/>
        <w:spacing w:line="300" w:lineRule="auto"/>
        <w:rPr>
          <w:rFonts w:hint="eastAsia" w:ascii="宋体" w:hAnsi="宋体"/>
          <w:sz w:val="24"/>
          <w:highlight w:val="none"/>
          <w:lang w:val="zh-CN"/>
        </w:rPr>
      </w:pPr>
      <w:r>
        <w:rPr>
          <w:rFonts w:ascii="宋体" w:hAnsi="宋体" w:cs="宋体"/>
          <w:sz w:val="24"/>
          <w:highlight w:val="none"/>
          <w:lang w:val="zh-CN"/>
        </w:rPr>
        <w:t xml:space="preserve">      </w:t>
      </w:r>
      <w:r>
        <w:rPr>
          <w:rFonts w:hint="eastAsia" w:ascii="宋体" w:hAnsi="宋体" w:cs="宋体"/>
          <w:sz w:val="24"/>
          <w:highlight w:val="none"/>
          <w:lang w:val="zh-CN"/>
        </w:rPr>
        <w:t>或授权代理人签字：</w:t>
      </w:r>
      <w:r>
        <w:rPr>
          <w:rFonts w:ascii="宋体" w:hAnsi="宋体" w:cs="宋体"/>
          <w:sz w:val="24"/>
          <w:highlight w:val="none"/>
          <w:lang w:val="zh-CN"/>
        </w:rPr>
        <w:t xml:space="preserve">       </w:t>
      </w:r>
      <w:r>
        <w:rPr>
          <w:rFonts w:hint="eastAsia" w:ascii="宋体" w:hAnsi="宋体" w:cs="宋体"/>
          <w:sz w:val="24"/>
          <w:highlight w:val="none"/>
          <w:lang w:val="zh-CN"/>
        </w:rPr>
        <w:t>或授权代理人签字：</w:t>
      </w:r>
    </w:p>
    <w:p w14:paraId="1FA1B979">
      <w:pPr>
        <w:autoSpaceDE w:val="0"/>
        <w:autoSpaceDN w:val="0"/>
        <w:adjustRightInd w:val="0"/>
        <w:spacing w:line="300" w:lineRule="auto"/>
        <w:ind w:firstLine="672" w:firstLineChars="300"/>
        <w:rPr>
          <w:rFonts w:hint="eastAsia" w:ascii="宋体" w:hAnsi="宋体" w:cs="宋体"/>
          <w:sz w:val="24"/>
          <w:highlight w:val="none"/>
          <w:lang w:val="zh-CN"/>
        </w:rPr>
      </w:pPr>
      <w:r>
        <w:rPr>
          <w:rFonts w:ascii="宋体" w:hAnsi="宋体" w:cs="宋体"/>
          <w:sz w:val="24"/>
          <w:highlight w:val="none"/>
          <w:lang w:val="zh-CN"/>
        </w:rPr>
        <w:t xml:space="preserve"> </w:t>
      </w:r>
      <w:r>
        <w:rPr>
          <w:rFonts w:hint="eastAsia" w:ascii="宋体" w:hAnsi="宋体" w:cs="宋体"/>
          <w:sz w:val="24"/>
          <w:highlight w:val="none"/>
          <w:lang w:val="zh-CN"/>
        </w:rPr>
        <w:t>签字日期：</w:t>
      </w:r>
      <w:r>
        <w:rPr>
          <w:rFonts w:ascii="宋体" w:hAnsi="宋体" w:cs="宋体"/>
          <w:sz w:val="24"/>
          <w:highlight w:val="none"/>
          <w:lang w:val="zh-CN"/>
        </w:rPr>
        <w:t xml:space="preserve">               </w:t>
      </w:r>
      <w:r>
        <w:rPr>
          <w:rFonts w:hint="eastAsia" w:ascii="宋体" w:hAnsi="宋体" w:cs="宋体"/>
          <w:sz w:val="24"/>
          <w:highlight w:val="none"/>
          <w:lang w:val="zh-CN"/>
        </w:rPr>
        <w:t>签字日期</w:t>
      </w:r>
    </w:p>
    <w:p w14:paraId="200A9580">
      <w:pPr>
        <w:autoSpaceDE w:val="0"/>
        <w:autoSpaceDN w:val="0"/>
        <w:adjustRightInd w:val="0"/>
        <w:spacing w:line="300" w:lineRule="auto"/>
        <w:ind w:firstLine="672" w:firstLineChars="300"/>
        <w:rPr>
          <w:rFonts w:hint="eastAsia" w:ascii="宋体" w:hAnsi="宋体"/>
          <w:sz w:val="24"/>
          <w:highlight w:val="none"/>
          <w:lang w:val="zh-CN"/>
        </w:rPr>
      </w:pPr>
      <w:r>
        <w:rPr>
          <w:rFonts w:hint="eastAsia" w:ascii="宋体" w:hAnsi="宋体" w:cs="宋体"/>
          <w:sz w:val="24"/>
          <w:highlight w:val="none"/>
          <w:lang w:val="zh-CN"/>
        </w:rPr>
        <w:t>邮政编码：</w:t>
      </w:r>
      <w:r>
        <w:rPr>
          <w:rFonts w:ascii="宋体" w:hAnsi="宋体" w:cs="宋体"/>
          <w:sz w:val="24"/>
          <w:highlight w:val="none"/>
          <w:lang w:val="zh-CN"/>
        </w:rPr>
        <w:t xml:space="preserve">               </w:t>
      </w:r>
      <w:r>
        <w:rPr>
          <w:rFonts w:hint="eastAsia" w:ascii="宋体" w:hAnsi="宋体" w:cs="宋体"/>
          <w:sz w:val="24"/>
          <w:highlight w:val="none"/>
          <w:lang w:val="zh-CN"/>
        </w:rPr>
        <w:t>邮政编码：</w:t>
      </w:r>
    </w:p>
    <w:p w14:paraId="5C4E792D">
      <w:pPr>
        <w:autoSpaceDE w:val="0"/>
        <w:autoSpaceDN w:val="0"/>
        <w:adjustRightInd w:val="0"/>
        <w:spacing w:line="300" w:lineRule="auto"/>
        <w:ind w:firstLine="480"/>
        <w:rPr>
          <w:rFonts w:hint="eastAsia" w:ascii="宋体" w:hAnsi="宋体" w:cs="宋体"/>
          <w:sz w:val="24"/>
          <w:highlight w:val="none"/>
          <w:lang w:val="zh-CN"/>
        </w:rPr>
      </w:pPr>
      <w:r>
        <w:rPr>
          <w:rFonts w:ascii="宋体" w:hAnsi="宋体" w:cs="宋体"/>
          <w:sz w:val="24"/>
          <w:highlight w:val="none"/>
          <w:lang w:val="zh-CN"/>
        </w:rPr>
        <w:t xml:space="preserve">  </w:t>
      </w:r>
      <w:r>
        <w:rPr>
          <w:rFonts w:hint="eastAsia" w:ascii="宋体" w:hAnsi="宋体" w:cs="宋体"/>
          <w:sz w:val="24"/>
          <w:highlight w:val="none"/>
          <w:lang w:val="zh-CN"/>
        </w:rPr>
        <w:t>电话：                   电话：</w:t>
      </w:r>
    </w:p>
    <w:p w14:paraId="758407DA">
      <w:pPr>
        <w:pStyle w:val="61"/>
        <w:spacing w:before="0" w:after="0"/>
        <w:ind w:right="142" w:firstLine="0" w:firstLineChars="0"/>
        <w:jc w:val="both"/>
        <w:rPr>
          <w:rFonts w:hint="eastAsia" w:ascii="微软雅黑" w:hAnsi="微软雅黑"/>
          <w:color w:val="000000"/>
          <w:sz w:val="18"/>
          <w:szCs w:val="18"/>
        </w:rPr>
      </w:pPr>
    </w:p>
    <w:p w14:paraId="3793A067">
      <w:pPr>
        <w:rPr>
          <w:rFonts w:hint="eastAsia" w:hAnsi="宋体"/>
          <w:sz w:val="24"/>
        </w:rPr>
      </w:pPr>
      <w:r>
        <w:rPr>
          <w:rFonts w:hAnsi="宋体"/>
          <w:szCs w:val="21"/>
        </w:rPr>
        <w:t xml:space="preserve">         </w:t>
      </w:r>
      <w:r>
        <w:rPr>
          <w:rFonts w:hAnsi="宋体"/>
          <w:sz w:val="24"/>
        </w:rPr>
        <w:br w:type="page"/>
      </w:r>
    </w:p>
    <w:p w14:paraId="4646A3FB">
      <w:pPr>
        <w:pStyle w:val="12"/>
        <w:tabs>
          <w:tab w:val="left" w:pos="573"/>
        </w:tabs>
        <w:adjustRightInd w:val="0"/>
        <w:snapToGrid w:val="0"/>
        <w:spacing w:line="360" w:lineRule="auto"/>
        <w:ind w:firstLine="2064" w:firstLineChars="600"/>
        <w:rPr>
          <w:rStyle w:val="17"/>
          <w:rFonts w:hint="eastAsia" w:hAnsi="宋体" w:cs="宋体"/>
          <w:b w:val="0"/>
          <w:bCs w:val="0"/>
          <w:sz w:val="24"/>
          <w:szCs w:val="24"/>
        </w:rPr>
      </w:pPr>
      <w:r>
        <w:rPr>
          <w:rStyle w:val="17"/>
          <w:rFonts w:hint="eastAsia" w:hAnsi="宋体" w:cs="宋体"/>
          <w:sz w:val="36"/>
          <w:szCs w:val="36"/>
        </w:rPr>
        <w:t>第七章  投标文件格式</w:t>
      </w:r>
    </w:p>
    <w:p w14:paraId="611669B8">
      <w:pPr>
        <w:pStyle w:val="26"/>
        <w:shd w:val="clear" w:color="auto" w:fill="FFFFFF"/>
        <w:spacing w:beforeAutospacing="0" w:afterAutospacing="0" w:line="360" w:lineRule="auto"/>
        <w:rPr>
          <w:rStyle w:val="17"/>
          <w:rFonts w:hint="eastAsia"/>
          <w:b w:val="0"/>
        </w:rPr>
      </w:pPr>
    </w:p>
    <w:p w14:paraId="1DE1D715">
      <w:pPr>
        <w:pStyle w:val="4"/>
        <w:numPr>
          <w:ilvl w:val="0"/>
          <w:numId w:val="0"/>
        </w:numPr>
        <w:spacing w:line="360" w:lineRule="auto"/>
        <w:rPr>
          <w:rFonts w:hint="eastAsia" w:ascii="宋体" w:hAnsi="宋体" w:eastAsia="宋体" w:cs="宋体"/>
          <w:bCs w:val="0"/>
          <w:sz w:val="24"/>
          <w:szCs w:val="24"/>
        </w:rPr>
      </w:pPr>
      <w:r>
        <w:rPr>
          <w:rFonts w:hint="eastAsia" w:ascii="宋体" w:hAnsi="宋体" w:eastAsia="宋体" w:cs="宋体"/>
          <w:bCs w:val="0"/>
          <w:sz w:val="24"/>
          <w:szCs w:val="24"/>
        </w:rPr>
        <w:t>（注：1.请供应商按照以下要求的格式、内容、顺序及要求制作投标文件，并编制目录及页码，否则可能影响评审专家对投标文件的评价。2. 投标文件提供格式的，按格式填写；未提供格式的，供应商自拟格式。）</w:t>
      </w:r>
    </w:p>
    <w:p w14:paraId="4ADF394B">
      <w:pPr>
        <w:pStyle w:val="26"/>
        <w:shd w:val="clear" w:color="auto" w:fill="FFFFFF"/>
        <w:spacing w:beforeAutospacing="0" w:afterAutospacing="0" w:line="360" w:lineRule="auto"/>
        <w:rPr>
          <w:rFonts w:hint="eastAsia"/>
          <w:bCs/>
        </w:rPr>
      </w:pPr>
    </w:p>
    <w:p w14:paraId="74935339">
      <w:pPr>
        <w:spacing w:line="360" w:lineRule="auto"/>
        <w:rPr>
          <w:rFonts w:hint="eastAsia" w:ascii="宋体" w:hAnsi="宋体" w:cs="宋体"/>
        </w:rPr>
      </w:pPr>
    </w:p>
    <w:p w14:paraId="11573ED7">
      <w:pPr>
        <w:spacing w:before="312" w:beforeLines="100" w:after="780" w:afterLines="250" w:line="360" w:lineRule="auto"/>
        <w:rPr>
          <w:rFonts w:hint="eastAsia" w:ascii="宋体" w:hAnsi="宋体" w:cs="宋体"/>
          <w:b/>
          <w:sz w:val="44"/>
          <w:szCs w:val="44"/>
        </w:rPr>
      </w:pPr>
      <w:r>
        <w:rPr>
          <w:rFonts w:hint="eastAsia" w:ascii="宋体" w:hAnsi="宋体" w:cs="宋体"/>
          <w:b/>
          <w:sz w:val="44"/>
          <w:szCs w:val="44"/>
        </w:rPr>
        <w:br w:type="page"/>
      </w:r>
    </w:p>
    <w:p w14:paraId="3F236A8A">
      <w:pPr>
        <w:spacing w:after="624" w:afterLines="200" w:line="360" w:lineRule="auto"/>
        <w:jc w:val="center"/>
        <w:rPr>
          <w:rFonts w:hint="eastAsia" w:ascii="宋体" w:hAnsi="宋体" w:cs="宋体"/>
          <w:b/>
          <w:sz w:val="72"/>
          <w:szCs w:val="72"/>
        </w:rPr>
      </w:pPr>
      <w:r>
        <w:rPr>
          <w:rFonts w:hint="eastAsia" w:ascii="宋体" w:hAnsi="宋体" w:cs="宋体"/>
          <w:b/>
          <w:sz w:val="72"/>
          <w:szCs w:val="72"/>
        </w:rPr>
        <w:t>投 标 文 件</w:t>
      </w:r>
    </w:p>
    <w:p w14:paraId="005A0419">
      <w:pPr>
        <w:spacing w:line="360" w:lineRule="auto"/>
        <w:rPr>
          <w:rFonts w:hint="eastAsia" w:ascii="宋体" w:hAnsi="宋体" w:cs="宋体"/>
        </w:rPr>
      </w:pPr>
    </w:p>
    <w:p w14:paraId="561823F7">
      <w:pPr>
        <w:spacing w:line="360" w:lineRule="auto"/>
        <w:rPr>
          <w:rFonts w:hint="eastAsia" w:ascii="宋体" w:hAnsi="宋体" w:cs="宋体"/>
        </w:rPr>
      </w:pPr>
    </w:p>
    <w:p w14:paraId="29EB9DB6">
      <w:pPr>
        <w:spacing w:line="360" w:lineRule="auto"/>
        <w:ind w:left="1919" w:leftChars="619" w:right="1200" w:rightChars="619" w:hanging="719" w:hangingChars="209"/>
        <w:rPr>
          <w:rFonts w:hint="eastAsia" w:ascii="宋体" w:hAnsi="宋体" w:cs="宋体"/>
          <w:bCs/>
          <w:sz w:val="36"/>
        </w:rPr>
      </w:pPr>
      <w:r>
        <w:rPr>
          <w:rFonts w:hint="eastAsia" w:ascii="宋体" w:hAnsi="宋体" w:cs="宋体"/>
          <w:b/>
          <w:bCs/>
          <w:sz w:val="36"/>
        </w:rPr>
        <w:t>项目编号：</w:t>
      </w:r>
      <w:r>
        <w:rPr>
          <w:rFonts w:hint="eastAsia" w:ascii="宋体" w:hAnsi="宋体" w:cs="宋体"/>
          <w:sz w:val="36"/>
          <w:szCs w:val="36"/>
          <w:u w:val="single"/>
        </w:rPr>
        <w:t xml:space="preserve">                            </w:t>
      </w:r>
    </w:p>
    <w:p w14:paraId="58C89154">
      <w:pPr>
        <w:spacing w:line="360" w:lineRule="auto"/>
        <w:ind w:left="1919" w:leftChars="619" w:right="1200" w:rightChars="619" w:hanging="719" w:hangingChars="209"/>
        <w:rPr>
          <w:rFonts w:hint="eastAsia" w:ascii="宋体" w:hAnsi="宋体" w:cs="宋体"/>
          <w:bCs/>
          <w:sz w:val="36"/>
        </w:rPr>
      </w:pPr>
      <w:r>
        <w:rPr>
          <w:rFonts w:hint="eastAsia" w:ascii="宋体" w:hAnsi="宋体" w:cs="宋体"/>
          <w:b/>
          <w:bCs/>
          <w:sz w:val="36"/>
        </w:rPr>
        <w:t>项目名称：</w:t>
      </w:r>
      <w:r>
        <w:rPr>
          <w:rFonts w:hint="eastAsia" w:ascii="宋体" w:hAnsi="宋体" w:cs="宋体"/>
          <w:sz w:val="36"/>
          <w:szCs w:val="36"/>
          <w:u w:val="single"/>
        </w:rPr>
        <w:t xml:space="preserve">                            </w:t>
      </w:r>
    </w:p>
    <w:p w14:paraId="59D579D1">
      <w:pPr>
        <w:spacing w:line="360" w:lineRule="auto"/>
        <w:ind w:left="1919" w:leftChars="619" w:right="1200" w:rightChars="619" w:hanging="719" w:hangingChars="209"/>
        <w:rPr>
          <w:rFonts w:hint="eastAsia" w:ascii="宋体" w:hAnsi="宋体" w:cs="宋体"/>
          <w:sz w:val="36"/>
          <w:szCs w:val="36"/>
        </w:rPr>
      </w:pPr>
      <w:r>
        <w:rPr>
          <w:rFonts w:hint="eastAsia" w:ascii="宋体" w:hAnsi="宋体" w:cs="宋体"/>
          <w:b/>
          <w:bCs/>
          <w:sz w:val="36"/>
        </w:rPr>
        <w:t>包    号</w:t>
      </w:r>
      <w:r>
        <w:rPr>
          <w:rFonts w:hint="eastAsia" w:ascii="宋体" w:hAnsi="宋体" w:cs="宋体"/>
          <w:sz w:val="36"/>
          <w:szCs w:val="36"/>
        </w:rPr>
        <w:t>：</w:t>
      </w:r>
      <w:r>
        <w:rPr>
          <w:rFonts w:hint="eastAsia" w:ascii="宋体" w:hAnsi="宋体" w:cs="宋体"/>
          <w:sz w:val="36"/>
          <w:szCs w:val="36"/>
          <w:u w:val="single"/>
        </w:rPr>
        <w:t xml:space="preserve">                         </w:t>
      </w:r>
    </w:p>
    <w:p w14:paraId="59CFF0DE">
      <w:pPr>
        <w:spacing w:after="1560" w:afterLines="500" w:line="360" w:lineRule="auto"/>
        <w:ind w:right="525" w:rightChars="271"/>
        <w:rPr>
          <w:rFonts w:hint="eastAsia" w:ascii="宋体" w:hAnsi="宋体" w:cs="宋体"/>
          <w:sz w:val="36"/>
          <w:szCs w:val="36"/>
        </w:rPr>
      </w:pPr>
    </w:p>
    <w:p w14:paraId="35FA6047">
      <w:pPr>
        <w:spacing w:line="360" w:lineRule="auto"/>
        <w:ind w:right="1189" w:rightChars="613" w:firstLine="792" w:firstLineChars="300"/>
        <w:rPr>
          <w:rFonts w:hint="eastAsia" w:ascii="宋体" w:hAnsi="宋体" w:cs="宋体"/>
          <w:b/>
          <w:bCs/>
          <w:sz w:val="28"/>
          <w:szCs w:val="28"/>
        </w:rPr>
      </w:pPr>
      <w:r>
        <w:rPr>
          <w:rFonts w:hint="eastAsia" w:ascii="宋体" w:hAnsi="宋体" w:cs="宋体"/>
          <w:b/>
          <w:bCs/>
          <w:sz w:val="28"/>
          <w:szCs w:val="28"/>
        </w:rPr>
        <w:t>投 标 人 名 称（签章）：</w:t>
      </w:r>
      <w:r>
        <w:rPr>
          <w:rFonts w:hint="eastAsia" w:ascii="宋体" w:hAnsi="宋体" w:cs="宋体"/>
          <w:b/>
          <w:bCs/>
          <w:sz w:val="28"/>
          <w:szCs w:val="28"/>
          <w:u w:val="single"/>
        </w:rPr>
        <w:t xml:space="preserve">                        </w:t>
      </w:r>
    </w:p>
    <w:p w14:paraId="61DE2DA5">
      <w:pPr>
        <w:spacing w:line="360" w:lineRule="auto"/>
        <w:ind w:right="1189" w:rightChars="613" w:firstLine="792" w:firstLineChars="300"/>
        <w:rPr>
          <w:rFonts w:hint="eastAsia" w:ascii="宋体" w:hAnsi="宋体" w:cs="宋体"/>
          <w:b/>
          <w:bCs/>
          <w:sz w:val="28"/>
          <w:szCs w:val="28"/>
        </w:rPr>
      </w:pPr>
      <w:r>
        <w:rPr>
          <w:rFonts w:hint="eastAsia" w:ascii="宋体" w:hAnsi="宋体" w:cs="宋体"/>
          <w:b/>
          <w:bCs/>
          <w:sz w:val="28"/>
          <w:szCs w:val="28"/>
        </w:rPr>
        <w:t>法定代表人（单位负责人）（签章）：</w:t>
      </w:r>
      <w:r>
        <w:rPr>
          <w:rFonts w:hint="eastAsia" w:ascii="宋体" w:hAnsi="宋体" w:cs="宋体"/>
          <w:b/>
          <w:bCs/>
          <w:sz w:val="28"/>
          <w:szCs w:val="28"/>
          <w:u w:val="single"/>
        </w:rPr>
        <w:t xml:space="preserve">    </w:t>
      </w:r>
      <w:r>
        <w:rPr>
          <w:rFonts w:hint="eastAsia" w:ascii="宋体" w:hAnsi="宋体" w:cs="宋体"/>
          <w:b/>
          <w:bCs/>
          <w:sz w:val="32"/>
          <w:szCs w:val="32"/>
          <w:u w:val="single"/>
        </w:rPr>
        <w:t xml:space="preserve">                </w:t>
      </w:r>
    </w:p>
    <w:p w14:paraId="22BFEC54">
      <w:pPr>
        <w:spacing w:before="312" w:beforeLines="100" w:after="312" w:afterLines="100" w:line="360" w:lineRule="auto"/>
        <w:ind w:left="2126" w:leftChars="466" w:right="466" w:hanging="1222" w:hangingChars="355"/>
        <w:jc w:val="center"/>
        <w:rPr>
          <w:rStyle w:val="17"/>
          <w:rFonts w:hint="eastAsia" w:ascii="宋体" w:hAnsi="宋体" w:cs="宋体"/>
          <w:bCs w:val="0"/>
          <w:sz w:val="36"/>
          <w:szCs w:val="36"/>
        </w:rPr>
      </w:pPr>
      <w:r>
        <w:rPr>
          <w:rFonts w:hint="eastAsia" w:ascii="宋体" w:hAnsi="宋体" w:cs="宋体"/>
          <w:b/>
          <w:bCs/>
          <w:sz w:val="36"/>
          <w:szCs w:val="36"/>
        </w:rPr>
        <w:t xml:space="preserve">2025 </w:t>
      </w:r>
      <w:r>
        <w:rPr>
          <w:rFonts w:hint="eastAsia" w:ascii="宋体" w:hAnsi="宋体" w:cs="宋体"/>
          <w:b/>
          <w:sz w:val="36"/>
          <w:szCs w:val="36"/>
        </w:rPr>
        <w:t>年  月  日</w:t>
      </w:r>
    </w:p>
    <w:p w14:paraId="3A8710CA">
      <w:pPr>
        <w:spacing w:line="360" w:lineRule="auto"/>
        <w:rPr>
          <w:rStyle w:val="17"/>
          <w:rFonts w:hint="eastAsia" w:ascii="宋体" w:hAnsi="宋体" w:cs="宋体"/>
          <w:sz w:val="36"/>
          <w:szCs w:val="36"/>
        </w:rPr>
      </w:pPr>
    </w:p>
    <w:p w14:paraId="73396111">
      <w:pPr>
        <w:pStyle w:val="26"/>
        <w:shd w:val="clear" w:color="auto" w:fill="FFFFFF"/>
        <w:spacing w:beforeAutospacing="0" w:afterAutospacing="0" w:line="360" w:lineRule="auto"/>
        <w:jc w:val="center"/>
        <w:rPr>
          <w:rStyle w:val="17"/>
          <w:rFonts w:hint="eastAsia"/>
          <w:sz w:val="36"/>
          <w:szCs w:val="36"/>
        </w:rPr>
      </w:pPr>
      <w:r>
        <w:rPr>
          <w:rStyle w:val="17"/>
          <w:rFonts w:hint="eastAsia"/>
          <w:sz w:val="36"/>
          <w:szCs w:val="36"/>
        </w:rPr>
        <w:br w:type="page"/>
      </w:r>
      <w:r>
        <w:rPr>
          <w:rStyle w:val="17"/>
          <w:rFonts w:hint="eastAsia"/>
          <w:sz w:val="36"/>
          <w:szCs w:val="36"/>
        </w:rPr>
        <w:t>目  录</w:t>
      </w:r>
    </w:p>
    <w:p w14:paraId="03F10B9E">
      <w:pPr>
        <w:pStyle w:val="26"/>
        <w:shd w:val="clear" w:color="auto" w:fill="FFFFFF"/>
        <w:spacing w:beforeAutospacing="0" w:afterAutospacing="0" w:line="360" w:lineRule="auto"/>
        <w:rPr>
          <w:rStyle w:val="17"/>
          <w:rFonts w:hint="eastAsia"/>
          <w:sz w:val="30"/>
          <w:szCs w:val="36"/>
        </w:rPr>
      </w:pPr>
    </w:p>
    <w:tbl>
      <w:tblPr>
        <w:tblStyle w:val="15"/>
        <w:tblW w:w="9975" w:type="dxa"/>
        <w:tblInd w:w="-83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90"/>
        <w:gridCol w:w="5955"/>
        <w:gridCol w:w="1665"/>
        <w:gridCol w:w="1665"/>
      </w:tblGrid>
      <w:tr w14:paraId="741AD36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4F6DBCDF">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sz w:val="24"/>
                <w:lang w:val="zh-CN"/>
              </w:rPr>
              <w:t>序号</w:t>
            </w:r>
          </w:p>
        </w:tc>
        <w:tc>
          <w:tcPr>
            <w:tcW w:w="5955" w:type="dxa"/>
            <w:vAlign w:val="center"/>
          </w:tcPr>
          <w:p w14:paraId="204AC0E4">
            <w:pPr>
              <w:autoSpaceDE w:val="0"/>
              <w:autoSpaceDN w:val="0"/>
              <w:adjustRightInd w:val="0"/>
              <w:spacing w:line="360" w:lineRule="auto"/>
              <w:jc w:val="center"/>
              <w:rPr>
                <w:rFonts w:hint="eastAsia" w:ascii="宋体" w:hAnsi="宋体" w:cs="宋体"/>
                <w:kern w:val="0"/>
                <w:sz w:val="24"/>
              </w:rPr>
            </w:pPr>
            <w:r>
              <w:rPr>
                <w:rFonts w:hint="eastAsia" w:ascii="宋体" w:hAnsi="宋体" w:cs="宋体"/>
                <w:sz w:val="24"/>
                <w:lang w:val="zh-CN"/>
              </w:rPr>
              <w:t>文件内容</w:t>
            </w:r>
          </w:p>
        </w:tc>
        <w:tc>
          <w:tcPr>
            <w:tcW w:w="1665" w:type="dxa"/>
            <w:vAlign w:val="center"/>
          </w:tcPr>
          <w:p w14:paraId="6B006187">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盖章要求</w:t>
            </w:r>
          </w:p>
        </w:tc>
        <w:tc>
          <w:tcPr>
            <w:tcW w:w="1665" w:type="dxa"/>
            <w:vAlign w:val="center"/>
          </w:tcPr>
          <w:p w14:paraId="58382643">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在投标文件中的对应页码</w:t>
            </w:r>
          </w:p>
        </w:tc>
      </w:tr>
      <w:tr w14:paraId="34E236B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vAlign w:val="center"/>
          </w:tcPr>
          <w:p w14:paraId="4766B861">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bCs/>
                <w:kern w:val="0"/>
                <w:sz w:val="30"/>
              </w:rPr>
              <w:t>第一部分  资格证明文件</w:t>
            </w:r>
          </w:p>
        </w:tc>
      </w:tr>
      <w:tr w14:paraId="1A4E77B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145C51B1">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bCs/>
                <w:sz w:val="24"/>
                <w:lang w:val="zh-CN"/>
              </w:rPr>
              <w:t>1</w:t>
            </w:r>
          </w:p>
        </w:tc>
        <w:tc>
          <w:tcPr>
            <w:tcW w:w="5955" w:type="dxa"/>
            <w:vAlign w:val="center"/>
          </w:tcPr>
          <w:p w14:paraId="2269E27F">
            <w:pPr>
              <w:autoSpaceDE w:val="0"/>
              <w:autoSpaceDN w:val="0"/>
              <w:adjustRightInd w:val="0"/>
              <w:spacing w:line="360" w:lineRule="auto"/>
              <w:rPr>
                <w:rFonts w:hint="eastAsia" w:ascii="宋体" w:hAnsi="宋体" w:cs="宋体"/>
                <w:kern w:val="0"/>
                <w:sz w:val="24"/>
              </w:rPr>
            </w:pPr>
            <w:r>
              <w:rPr>
                <w:rFonts w:hint="eastAsia" w:ascii="宋体" w:hAnsi="宋体" w:cs="宋体"/>
                <w:kern w:val="0"/>
                <w:sz w:val="24"/>
              </w:rPr>
              <w:t>法人或者其他组织的营业执照等证明文件或自然人的身份证明</w:t>
            </w:r>
          </w:p>
        </w:tc>
        <w:tc>
          <w:tcPr>
            <w:tcW w:w="1665" w:type="dxa"/>
          </w:tcPr>
          <w:p w14:paraId="16BC4455">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57C65B1A">
            <w:pPr>
              <w:autoSpaceDE w:val="0"/>
              <w:autoSpaceDN w:val="0"/>
              <w:adjustRightInd w:val="0"/>
              <w:spacing w:line="360" w:lineRule="auto"/>
              <w:jc w:val="center"/>
              <w:rPr>
                <w:rFonts w:hint="eastAsia" w:ascii="宋体" w:hAnsi="宋体" w:cs="宋体"/>
                <w:b/>
                <w:sz w:val="24"/>
                <w:lang w:val="zh-CN"/>
              </w:rPr>
            </w:pPr>
          </w:p>
        </w:tc>
      </w:tr>
      <w:tr w14:paraId="2E6AC34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2FFC4045">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bCs/>
                <w:sz w:val="24"/>
                <w:lang w:val="zh-CN"/>
              </w:rPr>
              <w:t>2</w:t>
            </w:r>
          </w:p>
        </w:tc>
        <w:tc>
          <w:tcPr>
            <w:tcW w:w="5955" w:type="dxa"/>
            <w:vAlign w:val="center"/>
          </w:tcPr>
          <w:p w14:paraId="060F53CA">
            <w:pPr>
              <w:autoSpaceDE w:val="0"/>
              <w:autoSpaceDN w:val="0"/>
              <w:adjustRightInd w:val="0"/>
              <w:spacing w:line="360" w:lineRule="auto"/>
              <w:rPr>
                <w:rFonts w:hint="eastAsia" w:ascii="宋体" w:hAnsi="宋体" w:cs="宋体"/>
                <w:b/>
                <w:sz w:val="24"/>
                <w:lang w:val="zh-CN"/>
              </w:rPr>
            </w:pPr>
            <w:r>
              <w:rPr>
                <w:rFonts w:hint="eastAsia" w:ascii="宋体" w:hAnsi="宋体" w:cs="宋体"/>
                <w:bCs/>
                <w:sz w:val="24"/>
              </w:rPr>
              <w:t>经审计的财务报告或资信证明</w:t>
            </w:r>
          </w:p>
        </w:tc>
        <w:tc>
          <w:tcPr>
            <w:tcW w:w="1665" w:type="dxa"/>
          </w:tcPr>
          <w:p w14:paraId="3DF32199">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6742C8C8">
            <w:pPr>
              <w:autoSpaceDE w:val="0"/>
              <w:autoSpaceDN w:val="0"/>
              <w:adjustRightInd w:val="0"/>
              <w:spacing w:line="360" w:lineRule="auto"/>
              <w:jc w:val="center"/>
              <w:rPr>
                <w:rFonts w:hint="eastAsia" w:ascii="宋体" w:hAnsi="宋体" w:cs="宋体"/>
                <w:b/>
                <w:sz w:val="24"/>
                <w:lang w:val="zh-CN"/>
              </w:rPr>
            </w:pPr>
          </w:p>
        </w:tc>
      </w:tr>
      <w:tr w14:paraId="57B88DE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1D8BFB0D">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bCs/>
                <w:sz w:val="24"/>
                <w:lang w:val="zh-CN"/>
              </w:rPr>
              <w:t>3</w:t>
            </w:r>
          </w:p>
        </w:tc>
        <w:tc>
          <w:tcPr>
            <w:tcW w:w="5955" w:type="dxa"/>
            <w:vAlign w:val="center"/>
          </w:tcPr>
          <w:p w14:paraId="6ABF7BD2">
            <w:pPr>
              <w:autoSpaceDE w:val="0"/>
              <w:autoSpaceDN w:val="0"/>
              <w:adjustRightInd w:val="0"/>
              <w:spacing w:line="360" w:lineRule="auto"/>
              <w:rPr>
                <w:rFonts w:hint="eastAsia" w:ascii="宋体" w:hAnsi="宋体" w:cs="宋体"/>
                <w:b/>
                <w:sz w:val="24"/>
                <w:lang w:val="zh-CN"/>
              </w:rPr>
            </w:pPr>
            <w:r>
              <w:rPr>
                <w:rFonts w:hint="eastAsia" w:ascii="宋体" w:hAnsi="宋体" w:cs="宋体"/>
                <w:bCs/>
                <w:sz w:val="24"/>
              </w:rPr>
              <w:t>缴税凭据或完税证明或免税证明材料</w:t>
            </w:r>
          </w:p>
        </w:tc>
        <w:tc>
          <w:tcPr>
            <w:tcW w:w="1665" w:type="dxa"/>
          </w:tcPr>
          <w:p w14:paraId="0195C180">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1C99C407">
            <w:pPr>
              <w:autoSpaceDE w:val="0"/>
              <w:autoSpaceDN w:val="0"/>
              <w:adjustRightInd w:val="0"/>
              <w:spacing w:line="360" w:lineRule="auto"/>
              <w:jc w:val="center"/>
              <w:rPr>
                <w:rFonts w:hint="eastAsia" w:ascii="宋体" w:hAnsi="宋体" w:cs="宋体"/>
                <w:b/>
                <w:sz w:val="24"/>
                <w:lang w:val="zh-CN"/>
              </w:rPr>
            </w:pPr>
          </w:p>
        </w:tc>
      </w:tr>
      <w:tr w14:paraId="2303ED6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319EB7C3">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bCs/>
                <w:sz w:val="24"/>
                <w:lang w:val="zh-CN"/>
              </w:rPr>
              <w:t>4</w:t>
            </w:r>
          </w:p>
        </w:tc>
        <w:tc>
          <w:tcPr>
            <w:tcW w:w="5955" w:type="dxa"/>
            <w:vAlign w:val="center"/>
          </w:tcPr>
          <w:p w14:paraId="79BBB606">
            <w:pPr>
              <w:autoSpaceDE w:val="0"/>
              <w:autoSpaceDN w:val="0"/>
              <w:adjustRightInd w:val="0"/>
              <w:spacing w:line="360" w:lineRule="auto"/>
              <w:rPr>
                <w:rFonts w:hint="eastAsia" w:ascii="宋体" w:hAnsi="宋体" w:cs="宋体"/>
                <w:bCs/>
                <w:sz w:val="24"/>
              </w:rPr>
            </w:pPr>
            <w:r>
              <w:rPr>
                <w:rFonts w:hint="eastAsia" w:ascii="宋体" w:hAnsi="宋体" w:cs="宋体"/>
                <w:bCs/>
                <w:sz w:val="24"/>
              </w:rPr>
              <w:t>缴纳社会保险的凭据或不需要缴纳社会保险的证明文件</w:t>
            </w:r>
          </w:p>
        </w:tc>
        <w:tc>
          <w:tcPr>
            <w:tcW w:w="1665" w:type="dxa"/>
          </w:tcPr>
          <w:p w14:paraId="5F4C46AC">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27D1754F">
            <w:pPr>
              <w:autoSpaceDE w:val="0"/>
              <w:autoSpaceDN w:val="0"/>
              <w:adjustRightInd w:val="0"/>
              <w:spacing w:line="360" w:lineRule="auto"/>
              <w:jc w:val="center"/>
              <w:rPr>
                <w:rFonts w:hint="eastAsia" w:ascii="宋体" w:hAnsi="宋体" w:cs="宋体"/>
                <w:b/>
                <w:sz w:val="24"/>
                <w:lang w:val="zh-CN"/>
              </w:rPr>
            </w:pPr>
          </w:p>
        </w:tc>
      </w:tr>
      <w:tr w14:paraId="24902D9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3698635">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bCs/>
                <w:sz w:val="24"/>
                <w:lang w:val="zh-CN"/>
              </w:rPr>
              <w:t>5</w:t>
            </w:r>
          </w:p>
        </w:tc>
        <w:tc>
          <w:tcPr>
            <w:tcW w:w="5955" w:type="dxa"/>
            <w:vAlign w:val="center"/>
          </w:tcPr>
          <w:p w14:paraId="123C988D">
            <w:pPr>
              <w:autoSpaceDE w:val="0"/>
              <w:autoSpaceDN w:val="0"/>
              <w:adjustRightInd w:val="0"/>
              <w:spacing w:line="360" w:lineRule="auto"/>
              <w:rPr>
                <w:rFonts w:hint="eastAsia" w:ascii="宋体" w:hAnsi="宋体" w:cs="宋体"/>
                <w:bCs/>
                <w:sz w:val="24"/>
              </w:rPr>
            </w:pPr>
            <w:r>
              <w:rPr>
                <w:rFonts w:hint="eastAsia" w:ascii="宋体" w:hAnsi="宋体" w:cs="宋体"/>
                <w:bCs/>
                <w:sz w:val="24"/>
              </w:rPr>
              <w:t>三年内在经营活动中没有重大违法记录的声明</w:t>
            </w:r>
          </w:p>
        </w:tc>
        <w:tc>
          <w:tcPr>
            <w:tcW w:w="1665" w:type="dxa"/>
          </w:tcPr>
          <w:p w14:paraId="37DBBE02">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3A710012">
            <w:pPr>
              <w:autoSpaceDE w:val="0"/>
              <w:autoSpaceDN w:val="0"/>
              <w:adjustRightInd w:val="0"/>
              <w:spacing w:line="360" w:lineRule="auto"/>
              <w:jc w:val="center"/>
              <w:rPr>
                <w:rFonts w:hint="eastAsia" w:ascii="宋体" w:hAnsi="宋体" w:cs="宋体"/>
                <w:b/>
                <w:sz w:val="24"/>
                <w:lang w:val="zh-CN"/>
              </w:rPr>
            </w:pPr>
          </w:p>
        </w:tc>
      </w:tr>
      <w:tr w14:paraId="1AAE1CB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1C8706B1">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bCs/>
                <w:sz w:val="24"/>
                <w:lang w:val="zh-CN"/>
              </w:rPr>
              <w:t>6</w:t>
            </w:r>
          </w:p>
        </w:tc>
        <w:tc>
          <w:tcPr>
            <w:tcW w:w="5955" w:type="dxa"/>
            <w:vAlign w:val="center"/>
          </w:tcPr>
          <w:p w14:paraId="66899AC7">
            <w:pPr>
              <w:autoSpaceDE w:val="0"/>
              <w:autoSpaceDN w:val="0"/>
              <w:adjustRightInd w:val="0"/>
              <w:spacing w:line="360" w:lineRule="auto"/>
              <w:rPr>
                <w:rFonts w:hint="eastAsia" w:ascii="宋体" w:hAnsi="宋体" w:cs="宋体"/>
                <w:bCs/>
                <w:sz w:val="24"/>
              </w:rPr>
            </w:pPr>
            <w:r>
              <w:rPr>
                <w:rFonts w:hint="eastAsia" w:ascii="宋体" w:hAnsi="宋体" w:cs="宋体"/>
                <w:bCs/>
                <w:sz w:val="24"/>
              </w:rPr>
              <w:t>投标人特定资格条件的证明材料（如果有，提供）</w:t>
            </w:r>
          </w:p>
        </w:tc>
        <w:tc>
          <w:tcPr>
            <w:tcW w:w="1665" w:type="dxa"/>
          </w:tcPr>
          <w:p w14:paraId="02458177">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3CE4F2DF">
            <w:pPr>
              <w:autoSpaceDE w:val="0"/>
              <w:autoSpaceDN w:val="0"/>
              <w:adjustRightInd w:val="0"/>
              <w:spacing w:line="360" w:lineRule="auto"/>
              <w:jc w:val="center"/>
              <w:rPr>
                <w:rFonts w:hint="eastAsia" w:ascii="宋体" w:hAnsi="宋体" w:cs="宋体"/>
                <w:b/>
                <w:sz w:val="24"/>
                <w:lang w:val="zh-CN"/>
              </w:rPr>
            </w:pPr>
          </w:p>
        </w:tc>
      </w:tr>
      <w:tr w14:paraId="6F52133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221EEFB">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bCs/>
                <w:sz w:val="24"/>
                <w:lang w:val="zh-CN"/>
              </w:rPr>
              <w:t>7</w:t>
            </w:r>
          </w:p>
        </w:tc>
        <w:tc>
          <w:tcPr>
            <w:tcW w:w="5955" w:type="dxa"/>
            <w:vAlign w:val="center"/>
          </w:tcPr>
          <w:p w14:paraId="44B46B59">
            <w:pPr>
              <w:autoSpaceDE w:val="0"/>
              <w:autoSpaceDN w:val="0"/>
              <w:adjustRightInd w:val="0"/>
              <w:spacing w:line="360" w:lineRule="auto"/>
              <w:rPr>
                <w:rFonts w:hint="eastAsia" w:ascii="宋体" w:hAnsi="宋体" w:cs="宋体"/>
                <w:bCs/>
                <w:sz w:val="24"/>
              </w:rPr>
            </w:pPr>
            <w:r>
              <w:rPr>
                <w:rFonts w:hint="eastAsia" w:ascii="宋体" w:hAnsi="宋体" w:cs="宋体"/>
                <w:bCs/>
                <w:sz w:val="24"/>
              </w:rPr>
              <w:t>联合体协议书（如果是，提供）</w:t>
            </w:r>
          </w:p>
        </w:tc>
        <w:tc>
          <w:tcPr>
            <w:tcW w:w="1665" w:type="dxa"/>
          </w:tcPr>
          <w:p w14:paraId="3A052068">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125CA05F">
            <w:pPr>
              <w:autoSpaceDE w:val="0"/>
              <w:autoSpaceDN w:val="0"/>
              <w:adjustRightInd w:val="0"/>
              <w:spacing w:line="360" w:lineRule="auto"/>
              <w:jc w:val="center"/>
              <w:rPr>
                <w:rFonts w:hint="eastAsia" w:ascii="宋体" w:hAnsi="宋体" w:cs="宋体"/>
                <w:b/>
                <w:sz w:val="24"/>
                <w:lang w:val="zh-CN"/>
              </w:rPr>
            </w:pPr>
          </w:p>
        </w:tc>
      </w:tr>
      <w:tr w14:paraId="0013609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E7F8453">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bCs/>
                <w:sz w:val="24"/>
                <w:lang w:val="zh-CN"/>
              </w:rPr>
              <w:t>8</w:t>
            </w:r>
          </w:p>
        </w:tc>
        <w:tc>
          <w:tcPr>
            <w:tcW w:w="5955" w:type="dxa"/>
            <w:vAlign w:val="center"/>
          </w:tcPr>
          <w:p w14:paraId="5FAECB14">
            <w:pPr>
              <w:autoSpaceDE w:val="0"/>
              <w:autoSpaceDN w:val="0"/>
              <w:adjustRightInd w:val="0"/>
              <w:spacing w:line="360" w:lineRule="auto"/>
              <w:rPr>
                <w:rFonts w:hint="eastAsia" w:ascii="宋体" w:hAnsi="宋体" w:cs="宋体"/>
                <w:bCs/>
                <w:sz w:val="24"/>
              </w:rPr>
            </w:pPr>
            <w:r>
              <w:rPr>
                <w:rFonts w:hint="eastAsia" w:ascii="宋体" w:hAnsi="宋体" w:cs="宋体"/>
                <w:bCs/>
                <w:sz w:val="24"/>
              </w:rPr>
              <w:t>投标人有关资格条件声明函</w:t>
            </w:r>
          </w:p>
        </w:tc>
        <w:tc>
          <w:tcPr>
            <w:tcW w:w="1665" w:type="dxa"/>
          </w:tcPr>
          <w:p w14:paraId="4FF1785D">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67128332">
            <w:pPr>
              <w:autoSpaceDE w:val="0"/>
              <w:autoSpaceDN w:val="0"/>
              <w:adjustRightInd w:val="0"/>
              <w:spacing w:line="360" w:lineRule="auto"/>
              <w:jc w:val="center"/>
              <w:rPr>
                <w:rFonts w:hint="eastAsia" w:ascii="宋体" w:hAnsi="宋体" w:cs="宋体"/>
                <w:b/>
                <w:sz w:val="24"/>
                <w:lang w:val="zh-CN"/>
              </w:rPr>
            </w:pPr>
          </w:p>
        </w:tc>
      </w:tr>
      <w:tr w14:paraId="0448D07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144A50A4">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bCs/>
                <w:sz w:val="24"/>
                <w:lang w:val="zh-CN"/>
              </w:rPr>
              <w:t>9</w:t>
            </w:r>
          </w:p>
        </w:tc>
        <w:tc>
          <w:tcPr>
            <w:tcW w:w="5955" w:type="dxa"/>
            <w:vAlign w:val="center"/>
          </w:tcPr>
          <w:p w14:paraId="4E49F962">
            <w:pPr>
              <w:autoSpaceDE w:val="0"/>
              <w:autoSpaceDN w:val="0"/>
              <w:adjustRightInd w:val="0"/>
              <w:spacing w:line="360" w:lineRule="auto"/>
              <w:rPr>
                <w:rFonts w:hint="eastAsia" w:ascii="宋体" w:hAnsi="宋体" w:cs="宋体"/>
                <w:sz w:val="24"/>
              </w:rPr>
            </w:pPr>
            <w:r>
              <w:rPr>
                <w:rFonts w:hint="eastAsia" w:ascii="宋体" w:hAnsi="宋体" w:cs="宋体"/>
                <w:sz w:val="24"/>
              </w:rPr>
              <w:t>投标人认为需提供的其它相关资格证明材料（如果有，提供）</w:t>
            </w:r>
          </w:p>
        </w:tc>
        <w:tc>
          <w:tcPr>
            <w:tcW w:w="1665" w:type="dxa"/>
          </w:tcPr>
          <w:p w14:paraId="24DFA0F2">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39FD89E0">
            <w:pPr>
              <w:autoSpaceDE w:val="0"/>
              <w:autoSpaceDN w:val="0"/>
              <w:adjustRightInd w:val="0"/>
              <w:spacing w:line="360" w:lineRule="auto"/>
              <w:jc w:val="center"/>
              <w:rPr>
                <w:rFonts w:hint="eastAsia" w:ascii="宋体" w:hAnsi="宋体" w:cs="宋体"/>
                <w:b/>
                <w:sz w:val="24"/>
                <w:lang w:val="zh-CN"/>
              </w:rPr>
            </w:pPr>
          </w:p>
        </w:tc>
      </w:tr>
      <w:tr w14:paraId="258DECD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vAlign w:val="center"/>
          </w:tcPr>
          <w:p w14:paraId="78465AC8">
            <w:pPr>
              <w:autoSpaceDE w:val="0"/>
              <w:autoSpaceDN w:val="0"/>
              <w:adjustRightInd w:val="0"/>
              <w:spacing w:line="360" w:lineRule="auto"/>
              <w:jc w:val="center"/>
              <w:rPr>
                <w:rFonts w:hint="eastAsia" w:ascii="宋体" w:hAnsi="宋体" w:cs="宋体"/>
                <w:sz w:val="30"/>
              </w:rPr>
            </w:pPr>
            <w:r>
              <w:rPr>
                <w:rFonts w:hint="eastAsia" w:ascii="宋体" w:hAnsi="宋体" w:cs="宋体"/>
                <w:sz w:val="30"/>
              </w:rPr>
              <w:t>第二部分  商务文件</w:t>
            </w:r>
          </w:p>
        </w:tc>
      </w:tr>
      <w:tr w14:paraId="3C9DC4D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2303A1C8">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1</w:t>
            </w:r>
          </w:p>
        </w:tc>
        <w:tc>
          <w:tcPr>
            <w:tcW w:w="5955" w:type="dxa"/>
            <w:vAlign w:val="center"/>
          </w:tcPr>
          <w:p w14:paraId="6F46136F">
            <w:pPr>
              <w:autoSpaceDE w:val="0"/>
              <w:autoSpaceDN w:val="0"/>
              <w:adjustRightInd w:val="0"/>
              <w:spacing w:line="360" w:lineRule="auto"/>
              <w:rPr>
                <w:rFonts w:hint="eastAsia" w:ascii="宋体" w:hAnsi="宋体" w:cs="宋体"/>
                <w:b/>
                <w:sz w:val="24"/>
                <w:lang w:val="zh-CN"/>
              </w:rPr>
            </w:pPr>
            <w:r>
              <w:rPr>
                <w:rFonts w:hint="eastAsia" w:ascii="宋体" w:hAnsi="宋体" w:cs="宋体"/>
                <w:kern w:val="0"/>
                <w:sz w:val="24"/>
              </w:rPr>
              <w:t>投标函</w:t>
            </w:r>
          </w:p>
        </w:tc>
        <w:tc>
          <w:tcPr>
            <w:tcW w:w="1665" w:type="dxa"/>
          </w:tcPr>
          <w:p w14:paraId="0F9AA55E">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1B699CCE">
            <w:pPr>
              <w:autoSpaceDE w:val="0"/>
              <w:autoSpaceDN w:val="0"/>
              <w:adjustRightInd w:val="0"/>
              <w:spacing w:line="360" w:lineRule="auto"/>
              <w:jc w:val="center"/>
              <w:rPr>
                <w:rFonts w:hint="eastAsia" w:ascii="宋体" w:hAnsi="宋体" w:cs="宋体"/>
                <w:b/>
                <w:sz w:val="24"/>
                <w:lang w:val="zh-CN"/>
              </w:rPr>
            </w:pPr>
          </w:p>
        </w:tc>
      </w:tr>
      <w:tr w14:paraId="31488D1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33619B5">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2</w:t>
            </w:r>
          </w:p>
        </w:tc>
        <w:tc>
          <w:tcPr>
            <w:tcW w:w="5955" w:type="dxa"/>
            <w:vAlign w:val="center"/>
          </w:tcPr>
          <w:p w14:paraId="46FA4696">
            <w:pPr>
              <w:autoSpaceDE w:val="0"/>
              <w:autoSpaceDN w:val="0"/>
              <w:adjustRightInd w:val="0"/>
              <w:spacing w:line="360" w:lineRule="auto"/>
              <w:rPr>
                <w:rFonts w:hint="eastAsia" w:ascii="宋体" w:hAnsi="宋体" w:cs="宋体"/>
                <w:kern w:val="0"/>
                <w:sz w:val="24"/>
              </w:rPr>
            </w:pPr>
            <w:r>
              <w:rPr>
                <w:rFonts w:hint="eastAsia" w:ascii="宋体" w:hAnsi="宋体" w:cs="宋体"/>
                <w:kern w:val="0"/>
                <w:sz w:val="24"/>
              </w:rPr>
              <w:t>法定代表人授权书</w:t>
            </w:r>
          </w:p>
        </w:tc>
        <w:tc>
          <w:tcPr>
            <w:tcW w:w="1665" w:type="dxa"/>
          </w:tcPr>
          <w:p w14:paraId="1E3A2DB2">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387AEB9C">
            <w:pPr>
              <w:autoSpaceDE w:val="0"/>
              <w:autoSpaceDN w:val="0"/>
              <w:adjustRightInd w:val="0"/>
              <w:spacing w:line="360" w:lineRule="auto"/>
              <w:jc w:val="center"/>
              <w:rPr>
                <w:rFonts w:hint="eastAsia" w:ascii="宋体" w:hAnsi="宋体" w:cs="宋体"/>
                <w:b/>
                <w:sz w:val="24"/>
                <w:lang w:val="zh-CN"/>
              </w:rPr>
            </w:pPr>
          </w:p>
        </w:tc>
      </w:tr>
      <w:tr w14:paraId="4755161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2C90730B">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3</w:t>
            </w:r>
          </w:p>
        </w:tc>
        <w:tc>
          <w:tcPr>
            <w:tcW w:w="5955" w:type="dxa"/>
            <w:vAlign w:val="center"/>
          </w:tcPr>
          <w:p w14:paraId="7242BC64">
            <w:pPr>
              <w:autoSpaceDE w:val="0"/>
              <w:autoSpaceDN w:val="0"/>
              <w:adjustRightInd w:val="0"/>
              <w:spacing w:line="360" w:lineRule="auto"/>
              <w:rPr>
                <w:rFonts w:hint="eastAsia" w:ascii="宋体" w:hAnsi="宋体" w:cs="宋体"/>
                <w:kern w:val="0"/>
                <w:sz w:val="24"/>
              </w:rPr>
            </w:pPr>
            <w:r>
              <w:rPr>
                <w:rFonts w:hint="eastAsia" w:ascii="宋体" w:hAnsi="宋体" w:cs="宋体"/>
                <w:kern w:val="0"/>
                <w:sz w:val="24"/>
              </w:rPr>
              <w:t>商务条款偏离表</w:t>
            </w:r>
          </w:p>
        </w:tc>
        <w:tc>
          <w:tcPr>
            <w:tcW w:w="1665" w:type="dxa"/>
          </w:tcPr>
          <w:p w14:paraId="586205AD">
            <w:pPr>
              <w:autoSpaceDE w:val="0"/>
              <w:autoSpaceDN w:val="0"/>
              <w:adjustRightInd w:val="0"/>
              <w:spacing w:line="360" w:lineRule="auto"/>
              <w:ind w:firstLine="224" w:firstLineChars="100"/>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783BF729">
            <w:pPr>
              <w:autoSpaceDE w:val="0"/>
              <w:autoSpaceDN w:val="0"/>
              <w:adjustRightInd w:val="0"/>
              <w:spacing w:line="360" w:lineRule="auto"/>
              <w:rPr>
                <w:rFonts w:hint="eastAsia" w:ascii="宋体" w:hAnsi="宋体" w:cs="宋体"/>
                <w:b/>
                <w:sz w:val="24"/>
                <w:lang w:val="zh-CN"/>
              </w:rPr>
            </w:pPr>
          </w:p>
        </w:tc>
      </w:tr>
      <w:tr w14:paraId="27F18AB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58F53DC8">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4</w:t>
            </w:r>
          </w:p>
        </w:tc>
        <w:tc>
          <w:tcPr>
            <w:tcW w:w="5955" w:type="dxa"/>
            <w:vAlign w:val="center"/>
          </w:tcPr>
          <w:p w14:paraId="356BD964">
            <w:pPr>
              <w:autoSpaceDE w:val="0"/>
              <w:autoSpaceDN w:val="0"/>
              <w:adjustRightInd w:val="0"/>
              <w:spacing w:line="360" w:lineRule="auto"/>
              <w:rPr>
                <w:rFonts w:hint="eastAsia" w:ascii="宋体" w:hAnsi="宋体" w:cs="宋体"/>
                <w:kern w:val="0"/>
                <w:sz w:val="24"/>
              </w:rPr>
            </w:pPr>
            <w:r>
              <w:rPr>
                <w:rFonts w:hint="eastAsia" w:ascii="宋体" w:hAnsi="宋体" w:cs="宋体"/>
                <w:kern w:val="0"/>
                <w:sz w:val="24"/>
              </w:rPr>
              <w:t>项目负责人、管理及技术人员一览表（如果有，提供）</w:t>
            </w:r>
          </w:p>
        </w:tc>
        <w:tc>
          <w:tcPr>
            <w:tcW w:w="1665" w:type="dxa"/>
          </w:tcPr>
          <w:p w14:paraId="277302ED">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7565C578">
            <w:pPr>
              <w:autoSpaceDE w:val="0"/>
              <w:autoSpaceDN w:val="0"/>
              <w:adjustRightInd w:val="0"/>
              <w:spacing w:line="360" w:lineRule="auto"/>
              <w:jc w:val="center"/>
              <w:rPr>
                <w:rFonts w:hint="eastAsia" w:ascii="宋体" w:hAnsi="宋体" w:cs="宋体"/>
                <w:b/>
                <w:sz w:val="24"/>
                <w:lang w:val="zh-CN"/>
              </w:rPr>
            </w:pPr>
          </w:p>
        </w:tc>
      </w:tr>
      <w:tr w14:paraId="0785283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334D9319">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5</w:t>
            </w:r>
          </w:p>
        </w:tc>
        <w:tc>
          <w:tcPr>
            <w:tcW w:w="5955" w:type="dxa"/>
            <w:vAlign w:val="center"/>
          </w:tcPr>
          <w:p w14:paraId="7C8D6A73">
            <w:pPr>
              <w:autoSpaceDE w:val="0"/>
              <w:autoSpaceDN w:val="0"/>
              <w:adjustRightInd w:val="0"/>
              <w:spacing w:line="360" w:lineRule="auto"/>
              <w:rPr>
                <w:rFonts w:hint="eastAsia" w:ascii="宋体" w:hAnsi="宋体" w:cs="宋体"/>
                <w:kern w:val="0"/>
                <w:sz w:val="24"/>
              </w:rPr>
            </w:pPr>
            <w:r>
              <w:rPr>
                <w:rFonts w:hint="eastAsia" w:ascii="宋体" w:hAnsi="宋体" w:cs="宋体"/>
                <w:kern w:val="0"/>
                <w:sz w:val="24"/>
              </w:rPr>
              <w:t>类似项目业绩一览表（如果有，提供）</w:t>
            </w:r>
          </w:p>
        </w:tc>
        <w:tc>
          <w:tcPr>
            <w:tcW w:w="1665" w:type="dxa"/>
          </w:tcPr>
          <w:p w14:paraId="0A1899DE">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71ADB88E">
            <w:pPr>
              <w:autoSpaceDE w:val="0"/>
              <w:autoSpaceDN w:val="0"/>
              <w:adjustRightInd w:val="0"/>
              <w:spacing w:line="360" w:lineRule="auto"/>
              <w:jc w:val="center"/>
              <w:rPr>
                <w:rFonts w:hint="eastAsia" w:ascii="宋体" w:hAnsi="宋体" w:cs="宋体"/>
                <w:b/>
                <w:sz w:val="24"/>
                <w:lang w:val="zh-CN"/>
              </w:rPr>
            </w:pPr>
          </w:p>
        </w:tc>
      </w:tr>
      <w:tr w14:paraId="38614E4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40B68AE">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6</w:t>
            </w:r>
          </w:p>
        </w:tc>
        <w:tc>
          <w:tcPr>
            <w:tcW w:w="5955" w:type="dxa"/>
            <w:vAlign w:val="center"/>
          </w:tcPr>
          <w:p w14:paraId="5DB656AC">
            <w:pPr>
              <w:autoSpaceDE w:val="0"/>
              <w:autoSpaceDN w:val="0"/>
              <w:adjustRightInd w:val="0"/>
              <w:spacing w:line="360" w:lineRule="auto"/>
              <w:rPr>
                <w:rFonts w:hint="eastAsia" w:ascii="宋体" w:hAnsi="宋体" w:cs="宋体"/>
                <w:kern w:val="0"/>
                <w:sz w:val="24"/>
              </w:rPr>
            </w:pPr>
            <w:r>
              <w:rPr>
                <w:rFonts w:hint="eastAsia" w:ascii="宋体" w:hAnsi="宋体" w:cs="宋体"/>
                <w:kern w:val="0"/>
                <w:sz w:val="24"/>
              </w:rPr>
              <w:t>商务评审类证书一览表（如果有，提供）</w:t>
            </w:r>
          </w:p>
        </w:tc>
        <w:tc>
          <w:tcPr>
            <w:tcW w:w="1665" w:type="dxa"/>
          </w:tcPr>
          <w:p w14:paraId="369C5DBD">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2B7687C0">
            <w:pPr>
              <w:autoSpaceDE w:val="0"/>
              <w:autoSpaceDN w:val="0"/>
              <w:adjustRightInd w:val="0"/>
              <w:spacing w:line="360" w:lineRule="auto"/>
              <w:jc w:val="center"/>
              <w:rPr>
                <w:rFonts w:hint="eastAsia" w:ascii="宋体" w:hAnsi="宋体" w:cs="宋体"/>
                <w:b/>
                <w:sz w:val="24"/>
                <w:lang w:val="zh-CN"/>
              </w:rPr>
            </w:pPr>
          </w:p>
        </w:tc>
      </w:tr>
      <w:tr w14:paraId="6373954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442DCBC3">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7</w:t>
            </w:r>
          </w:p>
        </w:tc>
        <w:tc>
          <w:tcPr>
            <w:tcW w:w="5955" w:type="dxa"/>
            <w:vAlign w:val="center"/>
          </w:tcPr>
          <w:p w14:paraId="38F97932">
            <w:pPr>
              <w:autoSpaceDE w:val="0"/>
              <w:autoSpaceDN w:val="0"/>
              <w:adjustRightInd w:val="0"/>
              <w:spacing w:line="360" w:lineRule="auto"/>
              <w:rPr>
                <w:rFonts w:hint="eastAsia" w:ascii="宋体" w:hAnsi="宋体" w:cs="宋体"/>
                <w:kern w:val="0"/>
                <w:sz w:val="24"/>
              </w:rPr>
            </w:pPr>
            <w:r>
              <w:rPr>
                <w:rFonts w:hint="eastAsia" w:ascii="宋体" w:hAnsi="宋体" w:cs="宋体"/>
                <w:kern w:val="0"/>
                <w:sz w:val="24"/>
              </w:rPr>
              <w:t>招标文件要求提供或投标人认为需要提供的其它商务材料（如果有，提供）</w:t>
            </w:r>
          </w:p>
        </w:tc>
        <w:tc>
          <w:tcPr>
            <w:tcW w:w="1665" w:type="dxa"/>
          </w:tcPr>
          <w:p w14:paraId="3626FAE9">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2B1AE019">
            <w:pPr>
              <w:autoSpaceDE w:val="0"/>
              <w:autoSpaceDN w:val="0"/>
              <w:adjustRightInd w:val="0"/>
              <w:spacing w:line="360" w:lineRule="auto"/>
              <w:jc w:val="center"/>
              <w:rPr>
                <w:rFonts w:hint="eastAsia" w:ascii="宋体" w:hAnsi="宋体" w:cs="宋体"/>
                <w:b/>
                <w:sz w:val="24"/>
                <w:lang w:val="zh-CN"/>
              </w:rPr>
            </w:pPr>
          </w:p>
        </w:tc>
      </w:tr>
      <w:tr w14:paraId="4B2FDBA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vAlign w:val="center"/>
          </w:tcPr>
          <w:p w14:paraId="0FD7F6CD">
            <w:pPr>
              <w:autoSpaceDE w:val="0"/>
              <w:autoSpaceDN w:val="0"/>
              <w:adjustRightInd w:val="0"/>
              <w:spacing w:line="360" w:lineRule="auto"/>
              <w:jc w:val="center"/>
              <w:rPr>
                <w:rFonts w:hint="eastAsia" w:ascii="宋体" w:hAnsi="宋体" w:cs="宋体"/>
                <w:kern w:val="0"/>
                <w:sz w:val="30"/>
              </w:rPr>
            </w:pPr>
            <w:r>
              <w:rPr>
                <w:rFonts w:hint="eastAsia" w:ascii="宋体" w:hAnsi="宋体" w:cs="宋体"/>
                <w:kern w:val="0"/>
                <w:sz w:val="30"/>
              </w:rPr>
              <w:t>第三部分  技术文件</w:t>
            </w:r>
          </w:p>
        </w:tc>
      </w:tr>
      <w:tr w14:paraId="64501CC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14D0E7C0">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1</w:t>
            </w:r>
          </w:p>
        </w:tc>
        <w:tc>
          <w:tcPr>
            <w:tcW w:w="5955" w:type="dxa"/>
            <w:vAlign w:val="center"/>
          </w:tcPr>
          <w:p w14:paraId="093284DB">
            <w:pPr>
              <w:autoSpaceDE w:val="0"/>
              <w:autoSpaceDN w:val="0"/>
              <w:adjustRightInd w:val="0"/>
              <w:spacing w:line="360" w:lineRule="auto"/>
              <w:rPr>
                <w:rFonts w:hint="eastAsia" w:ascii="宋体" w:hAnsi="宋体" w:cs="宋体"/>
                <w:kern w:val="0"/>
                <w:sz w:val="24"/>
              </w:rPr>
            </w:pPr>
            <w:r>
              <w:rPr>
                <w:rFonts w:hint="eastAsia" w:ascii="宋体" w:hAnsi="宋体" w:cs="宋体"/>
                <w:kern w:val="0"/>
                <w:sz w:val="24"/>
              </w:rPr>
              <w:t>技术条款偏离表</w:t>
            </w:r>
          </w:p>
        </w:tc>
        <w:tc>
          <w:tcPr>
            <w:tcW w:w="1665" w:type="dxa"/>
          </w:tcPr>
          <w:p w14:paraId="31272941">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4BA7C68C">
            <w:pPr>
              <w:autoSpaceDE w:val="0"/>
              <w:autoSpaceDN w:val="0"/>
              <w:adjustRightInd w:val="0"/>
              <w:spacing w:line="360" w:lineRule="auto"/>
              <w:jc w:val="center"/>
              <w:rPr>
                <w:rFonts w:hint="eastAsia" w:ascii="宋体" w:hAnsi="宋体" w:cs="宋体"/>
                <w:b/>
                <w:sz w:val="24"/>
                <w:lang w:val="zh-CN"/>
              </w:rPr>
            </w:pPr>
          </w:p>
        </w:tc>
      </w:tr>
      <w:tr w14:paraId="5051BF7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43" w:hRule="atLeast"/>
        </w:trPr>
        <w:tc>
          <w:tcPr>
            <w:tcW w:w="690" w:type="dxa"/>
            <w:vAlign w:val="center"/>
          </w:tcPr>
          <w:p w14:paraId="183B71E6">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2</w:t>
            </w:r>
          </w:p>
        </w:tc>
        <w:tc>
          <w:tcPr>
            <w:tcW w:w="5955" w:type="dxa"/>
            <w:vAlign w:val="center"/>
          </w:tcPr>
          <w:p w14:paraId="3419F233">
            <w:pPr>
              <w:autoSpaceDE w:val="0"/>
              <w:autoSpaceDN w:val="0"/>
              <w:adjustRightInd w:val="0"/>
              <w:spacing w:line="360" w:lineRule="auto"/>
              <w:rPr>
                <w:rFonts w:hint="eastAsia" w:ascii="宋体" w:hAnsi="宋体" w:cs="宋体"/>
                <w:bCs/>
                <w:sz w:val="24"/>
              </w:rPr>
            </w:pPr>
            <w:r>
              <w:rPr>
                <w:rFonts w:hint="eastAsia" w:ascii="宋体" w:hAnsi="宋体" w:cs="宋体"/>
                <w:kern w:val="0"/>
                <w:sz w:val="24"/>
              </w:rPr>
              <w:t>进口产品说明（如果是，提供）</w:t>
            </w:r>
          </w:p>
        </w:tc>
        <w:tc>
          <w:tcPr>
            <w:tcW w:w="1665" w:type="dxa"/>
          </w:tcPr>
          <w:p w14:paraId="4A1BF481">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701F78C5">
            <w:pPr>
              <w:autoSpaceDE w:val="0"/>
              <w:autoSpaceDN w:val="0"/>
              <w:adjustRightInd w:val="0"/>
              <w:spacing w:line="360" w:lineRule="auto"/>
              <w:jc w:val="center"/>
              <w:rPr>
                <w:rFonts w:hint="eastAsia" w:ascii="宋体" w:hAnsi="宋体" w:cs="宋体"/>
                <w:b/>
                <w:sz w:val="24"/>
                <w:lang w:val="zh-CN"/>
              </w:rPr>
            </w:pPr>
          </w:p>
        </w:tc>
      </w:tr>
      <w:tr w14:paraId="6A0BBD9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43" w:hRule="atLeast"/>
        </w:trPr>
        <w:tc>
          <w:tcPr>
            <w:tcW w:w="690" w:type="dxa"/>
            <w:vAlign w:val="center"/>
          </w:tcPr>
          <w:p w14:paraId="16E7AA0A">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3</w:t>
            </w:r>
          </w:p>
        </w:tc>
        <w:tc>
          <w:tcPr>
            <w:tcW w:w="5955" w:type="dxa"/>
            <w:vAlign w:val="center"/>
          </w:tcPr>
          <w:p w14:paraId="73485D1F">
            <w:pPr>
              <w:autoSpaceDE w:val="0"/>
              <w:autoSpaceDN w:val="0"/>
              <w:adjustRightInd w:val="0"/>
              <w:spacing w:line="360" w:lineRule="auto"/>
              <w:rPr>
                <w:rFonts w:hint="eastAsia" w:ascii="宋体" w:hAnsi="宋体" w:cs="宋体"/>
                <w:kern w:val="0"/>
                <w:sz w:val="24"/>
              </w:rPr>
            </w:pPr>
            <w:r>
              <w:rPr>
                <w:rFonts w:hint="eastAsia" w:ascii="宋体" w:hAnsi="宋体" w:cs="宋体"/>
                <w:bCs/>
                <w:sz w:val="24"/>
              </w:rPr>
              <w:t>节能产品、环境标志产品政府强制采购认证证书一览表（</w:t>
            </w:r>
            <w:r>
              <w:rPr>
                <w:rFonts w:hint="eastAsia" w:ascii="宋体" w:hAnsi="宋体" w:cs="宋体"/>
                <w:sz w:val="24"/>
              </w:rPr>
              <w:t>如果有，提供）</w:t>
            </w:r>
          </w:p>
        </w:tc>
        <w:tc>
          <w:tcPr>
            <w:tcW w:w="1665" w:type="dxa"/>
          </w:tcPr>
          <w:p w14:paraId="32CB2278">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101ED707">
            <w:pPr>
              <w:autoSpaceDE w:val="0"/>
              <w:autoSpaceDN w:val="0"/>
              <w:adjustRightInd w:val="0"/>
              <w:spacing w:line="360" w:lineRule="auto"/>
              <w:jc w:val="center"/>
              <w:rPr>
                <w:rFonts w:hint="eastAsia" w:ascii="宋体" w:hAnsi="宋体" w:cs="宋体"/>
                <w:b/>
                <w:sz w:val="24"/>
                <w:lang w:val="zh-CN"/>
              </w:rPr>
            </w:pPr>
          </w:p>
        </w:tc>
      </w:tr>
      <w:tr w14:paraId="45B5A6C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42A365CF">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4</w:t>
            </w:r>
          </w:p>
        </w:tc>
        <w:tc>
          <w:tcPr>
            <w:tcW w:w="5955" w:type="dxa"/>
            <w:vAlign w:val="center"/>
          </w:tcPr>
          <w:p w14:paraId="501E5F7B">
            <w:pPr>
              <w:autoSpaceDE w:val="0"/>
              <w:autoSpaceDN w:val="0"/>
              <w:adjustRightInd w:val="0"/>
              <w:spacing w:line="360" w:lineRule="auto"/>
              <w:rPr>
                <w:rFonts w:hint="eastAsia" w:ascii="宋体" w:hAnsi="宋体" w:cs="宋体"/>
                <w:bCs/>
                <w:sz w:val="24"/>
              </w:rPr>
            </w:pPr>
            <w:r>
              <w:rPr>
                <w:rFonts w:hint="eastAsia" w:ascii="宋体" w:hAnsi="宋体" w:cs="宋体"/>
                <w:bCs/>
                <w:sz w:val="24"/>
              </w:rPr>
              <w:t>节能产品、环境标志产品政府优先采购认证证书一览表（</w:t>
            </w:r>
            <w:r>
              <w:rPr>
                <w:rFonts w:hint="eastAsia" w:ascii="宋体" w:hAnsi="宋体" w:cs="宋体"/>
                <w:sz w:val="24"/>
              </w:rPr>
              <w:t>如果有，提供）</w:t>
            </w:r>
          </w:p>
        </w:tc>
        <w:tc>
          <w:tcPr>
            <w:tcW w:w="1665" w:type="dxa"/>
          </w:tcPr>
          <w:p w14:paraId="2AB8303C">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16A90C03">
            <w:pPr>
              <w:autoSpaceDE w:val="0"/>
              <w:autoSpaceDN w:val="0"/>
              <w:adjustRightInd w:val="0"/>
              <w:spacing w:line="360" w:lineRule="auto"/>
              <w:jc w:val="center"/>
              <w:rPr>
                <w:rFonts w:hint="eastAsia" w:ascii="宋体" w:hAnsi="宋体" w:cs="宋体"/>
                <w:b/>
                <w:sz w:val="24"/>
                <w:lang w:val="zh-CN"/>
              </w:rPr>
            </w:pPr>
          </w:p>
        </w:tc>
      </w:tr>
      <w:tr w14:paraId="0725EC7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52ACB6CE">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5</w:t>
            </w:r>
          </w:p>
        </w:tc>
        <w:tc>
          <w:tcPr>
            <w:tcW w:w="5955" w:type="dxa"/>
            <w:vAlign w:val="center"/>
          </w:tcPr>
          <w:p w14:paraId="5376BC9F">
            <w:pPr>
              <w:autoSpaceDE w:val="0"/>
              <w:autoSpaceDN w:val="0"/>
              <w:adjustRightInd w:val="0"/>
              <w:spacing w:line="360" w:lineRule="auto"/>
              <w:rPr>
                <w:rFonts w:hint="eastAsia" w:ascii="宋体" w:hAnsi="宋体" w:cs="宋体"/>
                <w:kern w:val="0"/>
                <w:sz w:val="24"/>
              </w:rPr>
            </w:pPr>
            <w:r>
              <w:rPr>
                <w:rFonts w:hint="eastAsia" w:ascii="宋体" w:hAnsi="宋体" w:cs="宋体"/>
                <w:kern w:val="0"/>
                <w:sz w:val="24"/>
              </w:rPr>
              <w:t>招标文件要求提供或投标人认为需要提供的其它技术材料</w:t>
            </w:r>
            <w:r>
              <w:rPr>
                <w:rFonts w:hint="eastAsia" w:ascii="宋体" w:hAnsi="宋体" w:cs="宋体"/>
                <w:bCs/>
                <w:sz w:val="24"/>
              </w:rPr>
              <w:t>（</w:t>
            </w:r>
            <w:r>
              <w:rPr>
                <w:rFonts w:hint="eastAsia" w:ascii="宋体" w:hAnsi="宋体" w:cs="宋体"/>
                <w:sz w:val="24"/>
              </w:rPr>
              <w:t>如果有，提供）</w:t>
            </w:r>
          </w:p>
        </w:tc>
        <w:tc>
          <w:tcPr>
            <w:tcW w:w="1665" w:type="dxa"/>
          </w:tcPr>
          <w:p w14:paraId="53C2C136">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7103B875">
            <w:pPr>
              <w:autoSpaceDE w:val="0"/>
              <w:autoSpaceDN w:val="0"/>
              <w:adjustRightInd w:val="0"/>
              <w:spacing w:line="360" w:lineRule="auto"/>
              <w:jc w:val="center"/>
              <w:rPr>
                <w:rFonts w:hint="eastAsia" w:ascii="宋体" w:hAnsi="宋体" w:cs="宋体"/>
                <w:b/>
                <w:sz w:val="24"/>
                <w:lang w:val="zh-CN"/>
              </w:rPr>
            </w:pPr>
          </w:p>
        </w:tc>
      </w:tr>
      <w:tr w14:paraId="092A899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tcPr>
          <w:p w14:paraId="212FE446">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kern w:val="0"/>
                <w:sz w:val="30"/>
              </w:rPr>
              <w:t>第四部分  报价文件</w:t>
            </w:r>
          </w:p>
        </w:tc>
      </w:tr>
      <w:tr w14:paraId="6857DA2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7C14B58">
            <w:pPr>
              <w:autoSpaceDE w:val="0"/>
              <w:autoSpaceDN w:val="0"/>
              <w:adjustRightInd w:val="0"/>
              <w:spacing w:line="360" w:lineRule="auto"/>
              <w:jc w:val="center"/>
              <w:rPr>
                <w:rFonts w:hint="eastAsia" w:ascii="宋体" w:hAnsi="宋体" w:cs="宋体"/>
                <w:bCs/>
                <w:sz w:val="24"/>
              </w:rPr>
            </w:pPr>
            <w:r>
              <w:rPr>
                <w:rFonts w:hint="eastAsia" w:ascii="宋体" w:hAnsi="宋体" w:cs="宋体"/>
                <w:bCs/>
                <w:sz w:val="24"/>
              </w:rPr>
              <w:t>1</w:t>
            </w:r>
          </w:p>
        </w:tc>
        <w:tc>
          <w:tcPr>
            <w:tcW w:w="5955" w:type="dxa"/>
            <w:vAlign w:val="center"/>
          </w:tcPr>
          <w:p w14:paraId="61A51880">
            <w:pPr>
              <w:autoSpaceDE w:val="0"/>
              <w:autoSpaceDN w:val="0"/>
              <w:adjustRightInd w:val="0"/>
              <w:spacing w:line="360" w:lineRule="auto"/>
              <w:rPr>
                <w:rFonts w:hint="eastAsia" w:ascii="宋体" w:hAnsi="宋体" w:cs="宋体"/>
                <w:bCs/>
                <w:sz w:val="24"/>
              </w:rPr>
            </w:pPr>
            <w:r>
              <w:rPr>
                <w:rFonts w:hint="eastAsia" w:ascii="宋体" w:hAnsi="宋体" w:cs="宋体"/>
                <w:bCs/>
                <w:sz w:val="24"/>
              </w:rPr>
              <w:t>开标一览表</w:t>
            </w:r>
          </w:p>
        </w:tc>
        <w:tc>
          <w:tcPr>
            <w:tcW w:w="1665" w:type="dxa"/>
          </w:tcPr>
          <w:p w14:paraId="447DD4F2">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30219CF7">
            <w:pPr>
              <w:autoSpaceDE w:val="0"/>
              <w:autoSpaceDN w:val="0"/>
              <w:adjustRightInd w:val="0"/>
              <w:spacing w:line="360" w:lineRule="auto"/>
              <w:jc w:val="center"/>
              <w:rPr>
                <w:rFonts w:hint="eastAsia" w:ascii="宋体" w:hAnsi="宋体" w:cs="宋体"/>
                <w:b/>
                <w:sz w:val="24"/>
                <w:lang w:val="zh-CN"/>
              </w:rPr>
            </w:pPr>
          </w:p>
        </w:tc>
      </w:tr>
      <w:tr w14:paraId="7F8940E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6A04ECF8">
            <w:pPr>
              <w:autoSpaceDE w:val="0"/>
              <w:autoSpaceDN w:val="0"/>
              <w:adjustRightInd w:val="0"/>
              <w:spacing w:line="360" w:lineRule="auto"/>
              <w:jc w:val="center"/>
              <w:rPr>
                <w:rFonts w:hint="eastAsia" w:ascii="宋体" w:hAnsi="宋体" w:cs="宋体"/>
                <w:bCs/>
                <w:sz w:val="24"/>
              </w:rPr>
            </w:pPr>
            <w:r>
              <w:rPr>
                <w:rFonts w:hint="eastAsia" w:ascii="宋体" w:hAnsi="宋体" w:cs="宋体"/>
                <w:bCs/>
                <w:sz w:val="24"/>
              </w:rPr>
              <w:t>2</w:t>
            </w:r>
          </w:p>
        </w:tc>
        <w:tc>
          <w:tcPr>
            <w:tcW w:w="5955" w:type="dxa"/>
            <w:vAlign w:val="center"/>
          </w:tcPr>
          <w:p w14:paraId="1D1E4A9C">
            <w:pPr>
              <w:autoSpaceDE w:val="0"/>
              <w:autoSpaceDN w:val="0"/>
              <w:adjustRightInd w:val="0"/>
              <w:spacing w:line="360" w:lineRule="auto"/>
              <w:rPr>
                <w:rFonts w:hint="eastAsia" w:ascii="宋体" w:hAnsi="宋体" w:cs="宋体"/>
                <w:bCs/>
                <w:sz w:val="24"/>
              </w:rPr>
            </w:pPr>
            <w:r>
              <w:rPr>
                <w:rFonts w:hint="eastAsia" w:ascii="宋体" w:hAnsi="宋体" w:cs="宋体"/>
                <w:bCs/>
                <w:sz w:val="24"/>
              </w:rPr>
              <w:t>投标报价明细表</w:t>
            </w:r>
          </w:p>
        </w:tc>
        <w:tc>
          <w:tcPr>
            <w:tcW w:w="1665" w:type="dxa"/>
          </w:tcPr>
          <w:p w14:paraId="0F86C962">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7218A337">
            <w:pPr>
              <w:autoSpaceDE w:val="0"/>
              <w:autoSpaceDN w:val="0"/>
              <w:adjustRightInd w:val="0"/>
              <w:spacing w:line="360" w:lineRule="auto"/>
              <w:jc w:val="center"/>
              <w:rPr>
                <w:rFonts w:hint="eastAsia" w:ascii="宋体" w:hAnsi="宋体" w:cs="宋体"/>
                <w:b/>
                <w:sz w:val="24"/>
                <w:lang w:val="zh-CN"/>
              </w:rPr>
            </w:pPr>
          </w:p>
        </w:tc>
      </w:tr>
      <w:tr w14:paraId="7E741C4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3430FB66">
            <w:pPr>
              <w:autoSpaceDE w:val="0"/>
              <w:autoSpaceDN w:val="0"/>
              <w:adjustRightInd w:val="0"/>
              <w:spacing w:line="360" w:lineRule="auto"/>
              <w:jc w:val="center"/>
              <w:rPr>
                <w:rFonts w:hint="eastAsia" w:ascii="宋体" w:hAnsi="宋体" w:cs="宋体"/>
                <w:bCs/>
                <w:sz w:val="24"/>
              </w:rPr>
            </w:pPr>
            <w:r>
              <w:rPr>
                <w:rFonts w:hint="eastAsia" w:ascii="宋体" w:hAnsi="宋体" w:cs="宋体"/>
                <w:bCs/>
                <w:sz w:val="24"/>
              </w:rPr>
              <w:t>3</w:t>
            </w:r>
          </w:p>
        </w:tc>
        <w:tc>
          <w:tcPr>
            <w:tcW w:w="5955" w:type="dxa"/>
            <w:vAlign w:val="center"/>
          </w:tcPr>
          <w:p w14:paraId="42BED42E">
            <w:pPr>
              <w:autoSpaceDE w:val="0"/>
              <w:autoSpaceDN w:val="0"/>
              <w:adjustRightInd w:val="0"/>
              <w:spacing w:line="360" w:lineRule="auto"/>
              <w:rPr>
                <w:rFonts w:hint="eastAsia" w:ascii="宋体" w:hAnsi="宋体" w:cs="宋体"/>
                <w:bCs/>
                <w:sz w:val="24"/>
              </w:rPr>
            </w:pPr>
            <w:r>
              <w:rPr>
                <w:rFonts w:hint="eastAsia" w:ascii="宋体" w:hAnsi="宋体" w:cs="宋体"/>
                <w:bCs/>
                <w:sz w:val="24"/>
              </w:rPr>
              <w:t>中小企业声明函</w:t>
            </w:r>
            <w:r>
              <w:rPr>
                <w:rFonts w:hint="eastAsia" w:ascii="宋体" w:hAnsi="宋体" w:cs="宋体"/>
                <w:kern w:val="0"/>
                <w:sz w:val="24"/>
              </w:rPr>
              <w:t>（如果是，提供）</w:t>
            </w:r>
          </w:p>
        </w:tc>
        <w:tc>
          <w:tcPr>
            <w:tcW w:w="1665" w:type="dxa"/>
          </w:tcPr>
          <w:p w14:paraId="57A89F54">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1D3BEFED">
            <w:pPr>
              <w:autoSpaceDE w:val="0"/>
              <w:autoSpaceDN w:val="0"/>
              <w:adjustRightInd w:val="0"/>
              <w:spacing w:line="360" w:lineRule="auto"/>
              <w:jc w:val="center"/>
              <w:rPr>
                <w:rFonts w:hint="eastAsia" w:ascii="宋体" w:hAnsi="宋体" w:cs="宋体"/>
                <w:b/>
                <w:sz w:val="24"/>
                <w:lang w:val="zh-CN"/>
              </w:rPr>
            </w:pPr>
          </w:p>
        </w:tc>
      </w:tr>
      <w:tr w14:paraId="4581420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46736B83">
            <w:pPr>
              <w:autoSpaceDE w:val="0"/>
              <w:autoSpaceDN w:val="0"/>
              <w:adjustRightInd w:val="0"/>
              <w:spacing w:line="360" w:lineRule="auto"/>
              <w:jc w:val="center"/>
              <w:rPr>
                <w:rFonts w:hint="eastAsia" w:ascii="宋体" w:hAnsi="宋体" w:cs="宋体"/>
                <w:bCs/>
                <w:sz w:val="24"/>
              </w:rPr>
            </w:pPr>
            <w:r>
              <w:rPr>
                <w:rFonts w:hint="eastAsia" w:ascii="宋体" w:hAnsi="宋体" w:cs="宋体"/>
                <w:bCs/>
                <w:sz w:val="24"/>
              </w:rPr>
              <w:t>4</w:t>
            </w:r>
          </w:p>
        </w:tc>
        <w:tc>
          <w:tcPr>
            <w:tcW w:w="5955" w:type="dxa"/>
            <w:vAlign w:val="center"/>
          </w:tcPr>
          <w:p w14:paraId="1EFDC7EC">
            <w:pPr>
              <w:autoSpaceDE w:val="0"/>
              <w:autoSpaceDN w:val="0"/>
              <w:adjustRightInd w:val="0"/>
              <w:spacing w:line="360" w:lineRule="auto"/>
              <w:rPr>
                <w:rFonts w:hint="eastAsia" w:ascii="宋体" w:hAnsi="宋体" w:cs="宋体"/>
                <w:bCs/>
                <w:sz w:val="24"/>
              </w:rPr>
            </w:pPr>
            <w:r>
              <w:rPr>
                <w:rFonts w:hint="eastAsia" w:ascii="宋体" w:hAnsi="宋体" w:cs="宋体"/>
                <w:bCs/>
                <w:sz w:val="24"/>
              </w:rPr>
              <w:t>残疾人福利性单位声明函（</w:t>
            </w:r>
            <w:r>
              <w:rPr>
                <w:rFonts w:hint="eastAsia" w:ascii="宋体" w:hAnsi="宋体" w:cs="宋体"/>
                <w:sz w:val="24"/>
              </w:rPr>
              <w:t>如果是，提供）</w:t>
            </w:r>
          </w:p>
        </w:tc>
        <w:tc>
          <w:tcPr>
            <w:tcW w:w="1665" w:type="dxa"/>
          </w:tcPr>
          <w:p w14:paraId="2950B3EE">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30169959">
            <w:pPr>
              <w:autoSpaceDE w:val="0"/>
              <w:autoSpaceDN w:val="0"/>
              <w:adjustRightInd w:val="0"/>
              <w:spacing w:line="360" w:lineRule="auto"/>
              <w:jc w:val="center"/>
              <w:rPr>
                <w:rFonts w:hint="eastAsia" w:ascii="宋体" w:hAnsi="宋体" w:cs="宋体"/>
                <w:b/>
                <w:sz w:val="24"/>
                <w:lang w:val="zh-CN"/>
              </w:rPr>
            </w:pPr>
          </w:p>
        </w:tc>
      </w:tr>
      <w:tr w14:paraId="63E8D73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65A871A">
            <w:pPr>
              <w:autoSpaceDE w:val="0"/>
              <w:autoSpaceDN w:val="0"/>
              <w:adjustRightInd w:val="0"/>
              <w:spacing w:line="360" w:lineRule="auto"/>
              <w:jc w:val="center"/>
              <w:rPr>
                <w:rFonts w:hint="eastAsia" w:ascii="宋体" w:hAnsi="宋体" w:cs="宋体"/>
                <w:bCs/>
                <w:sz w:val="24"/>
              </w:rPr>
            </w:pPr>
            <w:r>
              <w:rPr>
                <w:rFonts w:hint="eastAsia" w:ascii="宋体" w:hAnsi="宋体" w:cs="宋体"/>
                <w:bCs/>
                <w:sz w:val="24"/>
              </w:rPr>
              <w:t>5</w:t>
            </w:r>
          </w:p>
        </w:tc>
        <w:tc>
          <w:tcPr>
            <w:tcW w:w="5955" w:type="dxa"/>
            <w:vAlign w:val="center"/>
          </w:tcPr>
          <w:p w14:paraId="4C82C79E">
            <w:pPr>
              <w:autoSpaceDE w:val="0"/>
              <w:autoSpaceDN w:val="0"/>
              <w:adjustRightInd w:val="0"/>
              <w:spacing w:line="360" w:lineRule="auto"/>
              <w:rPr>
                <w:rFonts w:hint="eastAsia" w:ascii="宋体" w:hAnsi="宋体" w:cs="宋体"/>
                <w:bCs/>
                <w:sz w:val="24"/>
              </w:rPr>
            </w:pPr>
            <w:r>
              <w:rPr>
                <w:rFonts w:hint="eastAsia" w:ascii="宋体" w:hAnsi="宋体" w:cs="宋体"/>
                <w:bCs/>
                <w:sz w:val="24"/>
              </w:rPr>
              <w:t>省级以上监狱管理局、戒毒管理局（含新疆生产建设兵团）出具的属于监狱企业的证明文件（</w:t>
            </w:r>
            <w:r>
              <w:rPr>
                <w:rFonts w:hint="eastAsia" w:ascii="宋体" w:hAnsi="宋体" w:cs="宋体"/>
                <w:sz w:val="24"/>
              </w:rPr>
              <w:t>如果是，提供）</w:t>
            </w:r>
          </w:p>
        </w:tc>
        <w:tc>
          <w:tcPr>
            <w:tcW w:w="1665" w:type="dxa"/>
          </w:tcPr>
          <w:p w14:paraId="2F4785B8">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0C0823D8">
            <w:pPr>
              <w:autoSpaceDE w:val="0"/>
              <w:autoSpaceDN w:val="0"/>
              <w:adjustRightInd w:val="0"/>
              <w:spacing w:line="360" w:lineRule="auto"/>
              <w:jc w:val="center"/>
              <w:rPr>
                <w:rFonts w:hint="eastAsia" w:ascii="宋体" w:hAnsi="宋体" w:cs="宋体"/>
                <w:b/>
                <w:sz w:val="24"/>
                <w:lang w:val="zh-CN"/>
              </w:rPr>
            </w:pPr>
          </w:p>
        </w:tc>
      </w:tr>
      <w:tr w14:paraId="7CF7E9C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90" w:type="dxa"/>
            <w:vAlign w:val="center"/>
          </w:tcPr>
          <w:p w14:paraId="2538B31E">
            <w:pPr>
              <w:autoSpaceDE w:val="0"/>
              <w:autoSpaceDN w:val="0"/>
              <w:adjustRightInd w:val="0"/>
              <w:spacing w:line="360" w:lineRule="auto"/>
              <w:jc w:val="center"/>
              <w:rPr>
                <w:rFonts w:hint="eastAsia" w:ascii="宋体" w:hAnsi="宋体" w:cs="宋体"/>
                <w:bCs/>
                <w:sz w:val="24"/>
              </w:rPr>
            </w:pPr>
            <w:r>
              <w:rPr>
                <w:rFonts w:hint="eastAsia" w:ascii="宋体" w:hAnsi="宋体" w:cs="宋体"/>
                <w:bCs/>
                <w:sz w:val="24"/>
              </w:rPr>
              <w:t>6</w:t>
            </w:r>
          </w:p>
        </w:tc>
        <w:tc>
          <w:tcPr>
            <w:tcW w:w="5955" w:type="dxa"/>
            <w:vAlign w:val="center"/>
          </w:tcPr>
          <w:p w14:paraId="4F9F7ACE">
            <w:pPr>
              <w:autoSpaceDE w:val="0"/>
              <w:autoSpaceDN w:val="0"/>
              <w:adjustRightInd w:val="0"/>
              <w:spacing w:line="360" w:lineRule="auto"/>
              <w:rPr>
                <w:rFonts w:hint="eastAsia" w:ascii="宋体" w:hAnsi="宋体" w:cs="宋体"/>
                <w:bCs/>
                <w:sz w:val="24"/>
              </w:rPr>
            </w:pPr>
            <w:r>
              <w:rPr>
                <w:rFonts w:hint="eastAsia" w:ascii="宋体" w:hAnsi="宋体" w:cs="宋体"/>
                <w:kern w:val="0"/>
                <w:sz w:val="24"/>
              </w:rPr>
              <w:t>招标文件要求提供或投标人认为需要提供的其它材料</w:t>
            </w:r>
            <w:r>
              <w:rPr>
                <w:rFonts w:hint="eastAsia" w:ascii="宋体" w:hAnsi="宋体" w:cs="宋体"/>
                <w:bCs/>
                <w:sz w:val="24"/>
              </w:rPr>
              <w:t>（</w:t>
            </w:r>
            <w:r>
              <w:rPr>
                <w:rFonts w:hint="eastAsia" w:ascii="宋体" w:hAnsi="宋体" w:cs="宋体"/>
                <w:sz w:val="24"/>
              </w:rPr>
              <w:t>如果有，提供）</w:t>
            </w:r>
          </w:p>
        </w:tc>
        <w:tc>
          <w:tcPr>
            <w:tcW w:w="1665" w:type="dxa"/>
          </w:tcPr>
          <w:p w14:paraId="1CC6B4D9">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6ADEF514">
            <w:pPr>
              <w:autoSpaceDE w:val="0"/>
              <w:autoSpaceDN w:val="0"/>
              <w:adjustRightInd w:val="0"/>
              <w:spacing w:line="360" w:lineRule="auto"/>
              <w:jc w:val="center"/>
              <w:rPr>
                <w:rFonts w:hint="eastAsia" w:ascii="宋体" w:hAnsi="宋体" w:cs="宋体"/>
                <w:b/>
                <w:sz w:val="24"/>
                <w:lang w:val="zh-CN"/>
              </w:rPr>
            </w:pPr>
          </w:p>
        </w:tc>
      </w:tr>
    </w:tbl>
    <w:p w14:paraId="708B0D3D">
      <w:pPr>
        <w:autoSpaceDE w:val="0"/>
        <w:autoSpaceDN w:val="0"/>
        <w:adjustRightInd w:val="0"/>
        <w:spacing w:before="156" w:beforeLines="50" w:after="156" w:afterLines="50" w:line="360" w:lineRule="auto"/>
        <w:jc w:val="center"/>
        <w:rPr>
          <w:rFonts w:hint="eastAsia" w:ascii="宋体" w:hAnsi="宋体" w:cs="宋体"/>
          <w:kern w:val="0"/>
          <w:szCs w:val="21"/>
        </w:rPr>
      </w:pPr>
    </w:p>
    <w:p w14:paraId="6FFDDD3E">
      <w:pPr>
        <w:autoSpaceDE w:val="0"/>
        <w:autoSpaceDN w:val="0"/>
        <w:adjustRightInd w:val="0"/>
        <w:spacing w:before="156" w:beforeLines="50" w:after="156" w:afterLines="50" w:line="360" w:lineRule="auto"/>
        <w:jc w:val="center"/>
        <w:rPr>
          <w:rFonts w:hint="eastAsia" w:ascii="宋体" w:hAnsi="宋体" w:cs="宋体"/>
          <w:kern w:val="0"/>
          <w:sz w:val="24"/>
        </w:rPr>
      </w:pPr>
    </w:p>
    <w:p w14:paraId="68CD7E30">
      <w:pPr>
        <w:autoSpaceDE w:val="0"/>
        <w:autoSpaceDN w:val="0"/>
        <w:adjustRightInd w:val="0"/>
        <w:spacing w:before="156" w:beforeLines="50" w:after="156" w:afterLines="50" w:line="360" w:lineRule="auto"/>
        <w:jc w:val="center"/>
        <w:rPr>
          <w:rFonts w:hint="eastAsia" w:ascii="宋体" w:hAnsi="宋体" w:cs="宋体"/>
          <w:kern w:val="0"/>
          <w:sz w:val="24"/>
        </w:rPr>
      </w:pPr>
    </w:p>
    <w:p w14:paraId="7BA51F2D">
      <w:pPr>
        <w:autoSpaceDE w:val="0"/>
        <w:autoSpaceDN w:val="0"/>
        <w:adjustRightInd w:val="0"/>
        <w:spacing w:before="156" w:beforeLines="50" w:after="156" w:afterLines="50" w:line="360" w:lineRule="auto"/>
        <w:rPr>
          <w:rFonts w:hint="eastAsia" w:ascii="宋体" w:hAnsi="宋体" w:cs="宋体"/>
          <w:kern w:val="0"/>
          <w:sz w:val="24"/>
        </w:rPr>
      </w:pPr>
    </w:p>
    <w:p w14:paraId="60D40F70">
      <w:pPr>
        <w:spacing w:line="360" w:lineRule="auto"/>
        <w:rPr>
          <w:rStyle w:val="17"/>
          <w:rFonts w:hint="eastAsia" w:ascii="宋体" w:hAnsi="宋体" w:cs="宋体"/>
          <w:b w:val="0"/>
          <w:bCs w:val="0"/>
          <w:kern w:val="0"/>
          <w:sz w:val="30"/>
          <w:szCs w:val="30"/>
        </w:rPr>
      </w:pPr>
    </w:p>
    <w:p w14:paraId="1992CFDD">
      <w:pPr>
        <w:autoSpaceDE w:val="0"/>
        <w:autoSpaceDN w:val="0"/>
        <w:adjustRightInd w:val="0"/>
        <w:spacing w:before="156" w:beforeLines="50" w:after="156" w:afterLines="50" w:line="360" w:lineRule="auto"/>
        <w:jc w:val="center"/>
        <w:rPr>
          <w:rStyle w:val="17"/>
          <w:rFonts w:hint="eastAsia" w:ascii="宋体" w:hAnsi="宋体" w:cs="宋体"/>
          <w:b w:val="0"/>
          <w:bCs w:val="0"/>
          <w:kern w:val="0"/>
          <w:sz w:val="30"/>
          <w:szCs w:val="30"/>
        </w:rPr>
      </w:pPr>
    </w:p>
    <w:p w14:paraId="6ABD0FC7">
      <w:pPr>
        <w:autoSpaceDE w:val="0"/>
        <w:autoSpaceDN w:val="0"/>
        <w:adjustRightInd w:val="0"/>
        <w:spacing w:before="156" w:beforeLines="50" w:after="156" w:afterLines="50" w:line="360" w:lineRule="auto"/>
        <w:jc w:val="center"/>
        <w:rPr>
          <w:rStyle w:val="17"/>
          <w:rFonts w:hint="eastAsia" w:ascii="宋体" w:hAnsi="宋体" w:cs="宋体"/>
          <w:bCs w:val="0"/>
          <w:kern w:val="0"/>
          <w:sz w:val="36"/>
          <w:szCs w:val="36"/>
        </w:rPr>
      </w:pPr>
    </w:p>
    <w:p w14:paraId="5B870A81">
      <w:pPr>
        <w:autoSpaceDE w:val="0"/>
        <w:autoSpaceDN w:val="0"/>
        <w:adjustRightInd w:val="0"/>
        <w:spacing w:before="156" w:beforeLines="50" w:after="156" w:afterLines="50" w:line="360" w:lineRule="auto"/>
        <w:jc w:val="center"/>
        <w:rPr>
          <w:rStyle w:val="17"/>
          <w:rFonts w:hint="eastAsia" w:ascii="宋体" w:hAnsi="宋体" w:cs="宋体"/>
          <w:bCs w:val="0"/>
          <w:kern w:val="0"/>
          <w:sz w:val="36"/>
          <w:szCs w:val="36"/>
        </w:rPr>
      </w:pPr>
      <w:r>
        <w:rPr>
          <w:rStyle w:val="17"/>
          <w:rFonts w:hint="eastAsia" w:ascii="宋体" w:hAnsi="宋体" w:cs="宋体"/>
          <w:bCs w:val="0"/>
          <w:kern w:val="0"/>
          <w:sz w:val="36"/>
          <w:szCs w:val="36"/>
        </w:rPr>
        <w:t>评审因素索引表</w:t>
      </w:r>
    </w:p>
    <w:tbl>
      <w:tblPr>
        <w:tblStyle w:val="15"/>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51"/>
        <w:gridCol w:w="1843"/>
        <w:gridCol w:w="3685"/>
        <w:gridCol w:w="1985"/>
      </w:tblGrid>
      <w:tr w14:paraId="3DE135A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375814AB">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序号</w:t>
            </w:r>
          </w:p>
        </w:tc>
        <w:tc>
          <w:tcPr>
            <w:tcW w:w="1843" w:type="dxa"/>
            <w:vAlign w:val="center"/>
          </w:tcPr>
          <w:p w14:paraId="1EA77E1B">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评审因素</w:t>
            </w:r>
          </w:p>
        </w:tc>
        <w:tc>
          <w:tcPr>
            <w:tcW w:w="3685" w:type="dxa"/>
            <w:vAlign w:val="center"/>
          </w:tcPr>
          <w:p w14:paraId="05209537">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评审因素对应的内容</w:t>
            </w:r>
          </w:p>
        </w:tc>
        <w:tc>
          <w:tcPr>
            <w:tcW w:w="1985" w:type="dxa"/>
            <w:vAlign w:val="center"/>
          </w:tcPr>
          <w:p w14:paraId="65257B78">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评审因素对应  内容所在页码</w:t>
            </w:r>
          </w:p>
        </w:tc>
      </w:tr>
      <w:tr w14:paraId="6009CEE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4"/>
            <w:vAlign w:val="center"/>
          </w:tcPr>
          <w:p w14:paraId="5D226A99">
            <w:pPr>
              <w:autoSpaceDE w:val="0"/>
              <w:autoSpaceDN w:val="0"/>
              <w:adjustRightInd w:val="0"/>
              <w:spacing w:line="360" w:lineRule="auto"/>
              <w:rPr>
                <w:rFonts w:hint="eastAsia" w:ascii="宋体" w:hAnsi="宋体" w:cs="宋体"/>
                <w:sz w:val="24"/>
              </w:rPr>
            </w:pPr>
            <w:r>
              <w:rPr>
                <w:rFonts w:hint="eastAsia" w:ascii="宋体" w:hAnsi="宋体" w:cs="宋体"/>
                <w:b/>
                <w:bCs/>
                <w:sz w:val="24"/>
                <w:lang w:val="zh-CN"/>
              </w:rPr>
              <w:t>（一）价格评分</w:t>
            </w:r>
          </w:p>
        </w:tc>
      </w:tr>
      <w:tr w14:paraId="0A990A20">
        <w:tblPrEx>
          <w:tblCellMar>
            <w:top w:w="0" w:type="dxa"/>
            <w:left w:w="108" w:type="dxa"/>
            <w:bottom w:w="0" w:type="dxa"/>
            <w:right w:w="108" w:type="dxa"/>
          </w:tblCellMar>
        </w:tblPrEx>
        <w:trPr>
          <w:trHeight w:val="567" w:hRule="atLeast"/>
        </w:trPr>
        <w:tc>
          <w:tcPr>
            <w:tcW w:w="851" w:type="dxa"/>
            <w:vAlign w:val="center"/>
          </w:tcPr>
          <w:p w14:paraId="2C81F532">
            <w:pPr>
              <w:spacing w:line="360" w:lineRule="auto"/>
              <w:jc w:val="center"/>
              <w:rPr>
                <w:rFonts w:hint="eastAsia" w:ascii="宋体" w:hAnsi="宋体" w:cs="宋体"/>
                <w:sz w:val="24"/>
              </w:rPr>
            </w:pPr>
            <w:r>
              <w:rPr>
                <w:rFonts w:hint="eastAsia" w:ascii="宋体" w:hAnsi="宋体" w:cs="宋体"/>
                <w:sz w:val="24"/>
              </w:rPr>
              <w:t>1</w:t>
            </w:r>
          </w:p>
        </w:tc>
        <w:tc>
          <w:tcPr>
            <w:tcW w:w="1843" w:type="dxa"/>
            <w:vAlign w:val="center"/>
          </w:tcPr>
          <w:p w14:paraId="27ADDD1E">
            <w:pPr>
              <w:spacing w:line="360" w:lineRule="auto"/>
              <w:jc w:val="center"/>
              <w:rPr>
                <w:rFonts w:hint="eastAsia" w:ascii="宋体" w:hAnsi="宋体" w:cs="宋体"/>
                <w:sz w:val="24"/>
              </w:rPr>
            </w:pPr>
          </w:p>
        </w:tc>
        <w:tc>
          <w:tcPr>
            <w:tcW w:w="3685" w:type="dxa"/>
            <w:vAlign w:val="center"/>
          </w:tcPr>
          <w:p w14:paraId="6B51B0DF">
            <w:pPr>
              <w:spacing w:line="360" w:lineRule="auto"/>
              <w:jc w:val="center"/>
              <w:rPr>
                <w:rFonts w:hint="eastAsia" w:ascii="宋体" w:hAnsi="宋体" w:cs="宋体"/>
                <w:sz w:val="24"/>
              </w:rPr>
            </w:pPr>
          </w:p>
        </w:tc>
        <w:tc>
          <w:tcPr>
            <w:tcW w:w="1985" w:type="dxa"/>
          </w:tcPr>
          <w:p w14:paraId="4093E754">
            <w:pPr>
              <w:spacing w:line="360" w:lineRule="auto"/>
              <w:jc w:val="center"/>
              <w:rPr>
                <w:rFonts w:hint="eastAsia" w:ascii="宋体" w:hAnsi="宋体" w:cs="宋体"/>
                <w:sz w:val="24"/>
              </w:rPr>
            </w:pPr>
          </w:p>
        </w:tc>
      </w:tr>
      <w:tr w14:paraId="7F28EA4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4"/>
            <w:vAlign w:val="center"/>
          </w:tcPr>
          <w:p w14:paraId="24712528">
            <w:pPr>
              <w:autoSpaceDE w:val="0"/>
              <w:autoSpaceDN w:val="0"/>
              <w:adjustRightInd w:val="0"/>
              <w:spacing w:line="360" w:lineRule="auto"/>
              <w:rPr>
                <w:rFonts w:hint="eastAsia" w:ascii="宋体" w:hAnsi="宋体" w:cs="宋体"/>
                <w:sz w:val="24"/>
              </w:rPr>
            </w:pPr>
            <w:r>
              <w:rPr>
                <w:rFonts w:hint="eastAsia" w:ascii="宋体" w:hAnsi="宋体" w:cs="宋体"/>
                <w:b/>
                <w:bCs/>
                <w:sz w:val="24"/>
                <w:lang w:val="zh-CN"/>
              </w:rPr>
              <w:t>（二）技术评分</w:t>
            </w:r>
          </w:p>
        </w:tc>
      </w:tr>
      <w:tr w14:paraId="54B9F1E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4E007FE8">
            <w:pPr>
              <w:spacing w:line="360" w:lineRule="auto"/>
              <w:jc w:val="center"/>
              <w:rPr>
                <w:rFonts w:hint="eastAsia" w:ascii="宋体" w:hAnsi="宋体" w:cs="宋体"/>
                <w:sz w:val="24"/>
              </w:rPr>
            </w:pPr>
            <w:r>
              <w:rPr>
                <w:rFonts w:hint="eastAsia" w:ascii="宋体" w:hAnsi="宋体" w:cs="宋体"/>
                <w:sz w:val="24"/>
              </w:rPr>
              <w:t>1</w:t>
            </w:r>
          </w:p>
        </w:tc>
        <w:tc>
          <w:tcPr>
            <w:tcW w:w="1843" w:type="dxa"/>
            <w:vAlign w:val="center"/>
          </w:tcPr>
          <w:p w14:paraId="535F63AB">
            <w:pPr>
              <w:spacing w:line="360" w:lineRule="auto"/>
              <w:jc w:val="center"/>
              <w:rPr>
                <w:rFonts w:hint="eastAsia" w:ascii="宋体" w:hAnsi="宋体" w:cs="宋体"/>
                <w:sz w:val="24"/>
              </w:rPr>
            </w:pPr>
          </w:p>
        </w:tc>
        <w:tc>
          <w:tcPr>
            <w:tcW w:w="3685" w:type="dxa"/>
            <w:vAlign w:val="center"/>
          </w:tcPr>
          <w:p w14:paraId="2293298F">
            <w:pPr>
              <w:spacing w:line="360" w:lineRule="auto"/>
              <w:jc w:val="center"/>
              <w:rPr>
                <w:rFonts w:hint="eastAsia" w:ascii="宋体" w:hAnsi="宋体" w:cs="宋体"/>
                <w:sz w:val="24"/>
              </w:rPr>
            </w:pPr>
          </w:p>
        </w:tc>
        <w:tc>
          <w:tcPr>
            <w:tcW w:w="1985" w:type="dxa"/>
          </w:tcPr>
          <w:p w14:paraId="0D892AB1">
            <w:pPr>
              <w:spacing w:line="360" w:lineRule="auto"/>
              <w:jc w:val="center"/>
              <w:rPr>
                <w:rFonts w:hint="eastAsia" w:ascii="宋体" w:hAnsi="宋体" w:cs="宋体"/>
                <w:sz w:val="24"/>
              </w:rPr>
            </w:pPr>
          </w:p>
        </w:tc>
      </w:tr>
      <w:tr w14:paraId="6F6FF17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73F106DA">
            <w:pPr>
              <w:spacing w:line="360" w:lineRule="auto"/>
              <w:jc w:val="center"/>
              <w:rPr>
                <w:rFonts w:hint="eastAsia" w:ascii="宋体" w:hAnsi="宋体" w:cs="宋体"/>
                <w:sz w:val="24"/>
              </w:rPr>
            </w:pPr>
            <w:r>
              <w:rPr>
                <w:rFonts w:hint="eastAsia" w:ascii="宋体" w:hAnsi="宋体" w:cs="宋体"/>
                <w:sz w:val="24"/>
              </w:rPr>
              <w:t>2</w:t>
            </w:r>
          </w:p>
        </w:tc>
        <w:tc>
          <w:tcPr>
            <w:tcW w:w="1843" w:type="dxa"/>
            <w:vAlign w:val="center"/>
          </w:tcPr>
          <w:p w14:paraId="04567A5F">
            <w:pPr>
              <w:spacing w:line="360" w:lineRule="auto"/>
              <w:jc w:val="center"/>
              <w:rPr>
                <w:rFonts w:hint="eastAsia" w:ascii="宋体" w:hAnsi="宋体" w:cs="宋体"/>
                <w:sz w:val="24"/>
              </w:rPr>
            </w:pPr>
          </w:p>
        </w:tc>
        <w:tc>
          <w:tcPr>
            <w:tcW w:w="3685" w:type="dxa"/>
            <w:vAlign w:val="center"/>
          </w:tcPr>
          <w:p w14:paraId="17CEBED8">
            <w:pPr>
              <w:spacing w:line="360" w:lineRule="auto"/>
              <w:jc w:val="center"/>
              <w:rPr>
                <w:rFonts w:hint="eastAsia" w:ascii="宋体" w:hAnsi="宋体" w:cs="宋体"/>
                <w:sz w:val="24"/>
              </w:rPr>
            </w:pPr>
          </w:p>
        </w:tc>
        <w:tc>
          <w:tcPr>
            <w:tcW w:w="1985" w:type="dxa"/>
          </w:tcPr>
          <w:p w14:paraId="786F5ACA">
            <w:pPr>
              <w:spacing w:line="360" w:lineRule="auto"/>
              <w:jc w:val="center"/>
              <w:rPr>
                <w:rFonts w:hint="eastAsia" w:ascii="宋体" w:hAnsi="宋体" w:cs="宋体"/>
                <w:sz w:val="24"/>
              </w:rPr>
            </w:pPr>
          </w:p>
        </w:tc>
      </w:tr>
      <w:tr w14:paraId="625A67D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63775C4E">
            <w:pPr>
              <w:spacing w:line="360" w:lineRule="auto"/>
              <w:jc w:val="center"/>
              <w:rPr>
                <w:rFonts w:hint="eastAsia" w:ascii="宋体" w:hAnsi="宋体" w:cs="宋体"/>
                <w:sz w:val="24"/>
              </w:rPr>
            </w:pPr>
            <w:r>
              <w:rPr>
                <w:rFonts w:hint="eastAsia" w:ascii="宋体" w:hAnsi="宋体" w:cs="宋体"/>
                <w:sz w:val="24"/>
              </w:rPr>
              <w:t>3</w:t>
            </w:r>
          </w:p>
        </w:tc>
        <w:tc>
          <w:tcPr>
            <w:tcW w:w="1843" w:type="dxa"/>
            <w:vAlign w:val="center"/>
          </w:tcPr>
          <w:p w14:paraId="77A1F027">
            <w:pPr>
              <w:spacing w:line="360" w:lineRule="auto"/>
              <w:jc w:val="center"/>
              <w:rPr>
                <w:rFonts w:hint="eastAsia" w:ascii="宋体" w:hAnsi="宋体" w:cs="宋体"/>
                <w:sz w:val="24"/>
              </w:rPr>
            </w:pPr>
          </w:p>
        </w:tc>
        <w:tc>
          <w:tcPr>
            <w:tcW w:w="3685" w:type="dxa"/>
            <w:vAlign w:val="center"/>
          </w:tcPr>
          <w:p w14:paraId="1FB05847">
            <w:pPr>
              <w:spacing w:line="360" w:lineRule="auto"/>
              <w:jc w:val="center"/>
              <w:rPr>
                <w:rFonts w:hint="eastAsia" w:ascii="宋体" w:hAnsi="宋体" w:cs="宋体"/>
                <w:sz w:val="24"/>
              </w:rPr>
            </w:pPr>
          </w:p>
        </w:tc>
        <w:tc>
          <w:tcPr>
            <w:tcW w:w="1985" w:type="dxa"/>
          </w:tcPr>
          <w:p w14:paraId="160A4F10">
            <w:pPr>
              <w:spacing w:line="360" w:lineRule="auto"/>
              <w:jc w:val="center"/>
              <w:rPr>
                <w:rFonts w:hint="eastAsia" w:ascii="宋体" w:hAnsi="宋体" w:cs="宋体"/>
                <w:sz w:val="24"/>
              </w:rPr>
            </w:pPr>
          </w:p>
        </w:tc>
      </w:tr>
      <w:tr w14:paraId="3AB44EC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351393A2">
            <w:pPr>
              <w:spacing w:line="360" w:lineRule="auto"/>
              <w:jc w:val="center"/>
              <w:rPr>
                <w:rFonts w:hint="eastAsia" w:ascii="宋体" w:hAnsi="宋体" w:cs="宋体"/>
                <w:sz w:val="24"/>
              </w:rPr>
            </w:pPr>
            <w:r>
              <w:rPr>
                <w:rFonts w:hint="eastAsia" w:ascii="宋体" w:hAnsi="宋体" w:cs="宋体"/>
                <w:sz w:val="24"/>
              </w:rPr>
              <w:t>……</w:t>
            </w:r>
          </w:p>
        </w:tc>
        <w:tc>
          <w:tcPr>
            <w:tcW w:w="1843" w:type="dxa"/>
            <w:vAlign w:val="center"/>
          </w:tcPr>
          <w:p w14:paraId="57B1FCA3">
            <w:pPr>
              <w:spacing w:line="360" w:lineRule="auto"/>
              <w:jc w:val="center"/>
              <w:rPr>
                <w:rFonts w:hint="eastAsia" w:ascii="宋体" w:hAnsi="宋体" w:cs="宋体"/>
                <w:sz w:val="24"/>
              </w:rPr>
            </w:pPr>
          </w:p>
        </w:tc>
        <w:tc>
          <w:tcPr>
            <w:tcW w:w="3685" w:type="dxa"/>
            <w:vAlign w:val="center"/>
          </w:tcPr>
          <w:p w14:paraId="2D1133BE">
            <w:pPr>
              <w:spacing w:line="360" w:lineRule="auto"/>
              <w:jc w:val="center"/>
              <w:rPr>
                <w:rFonts w:hint="eastAsia" w:ascii="宋体" w:hAnsi="宋体" w:cs="宋体"/>
                <w:sz w:val="24"/>
              </w:rPr>
            </w:pPr>
          </w:p>
        </w:tc>
        <w:tc>
          <w:tcPr>
            <w:tcW w:w="1985" w:type="dxa"/>
          </w:tcPr>
          <w:p w14:paraId="2100121F">
            <w:pPr>
              <w:spacing w:line="360" w:lineRule="auto"/>
              <w:jc w:val="center"/>
              <w:rPr>
                <w:rFonts w:hint="eastAsia" w:ascii="宋体" w:hAnsi="宋体" w:cs="宋体"/>
                <w:sz w:val="24"/>
              </w:rPr>
            </w:pPr>
          </w:p>
        </w:tc>
      </w:tr>
      <w:tr w14:paraId="4CA84CB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4"/>
            <w:vAlign w:val="center"/>
          </w:tcPr>
          <w:p w14:paraId="0EC8E29E">
            <w:pPr>
              <w:autoSpaceDE w:val="0"/>
              <w:autoSpaceDN w:val="0"/>
              <w:adjustRightInd w:val="0"/>
              <w:spacing w:line="360" w:lineRule="auto"/>
              <w:rPr>
                <w:rFonts w:hint="eastAsia" w:ascii="宋体" w:hAnsi="宋体" w:cs="宋体"/>
                <w:sz w:val="24"/>
              </w:rPr>
            </w:pPr>
            <w:r>
              <w:rPr>
                <w:rFonts w:hint="eastAsia" w:ascii="宋体" w:hAnsi="宋体" w:cs="宋体"/>
                <w:b/>
                <w:bCs/>
                <w:sz w:val="24"/>
                <w:lang w:val="zh-CN"/>
              </w:rPr>
              <w:t>（三）商务评分</w:t>
            </w:r>
          </w:p>
        </w:tc>
      </w:tr>
      <w:tr w14:paraId="1836320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78CCB7E0">
            <w:pPr>
              <w:spacing w:line="360" w:lineRule="auto"/>
              <w:jc w:val="center"/>
              <w:rPr>
                <w:rFonts w:hint="eastAsia" w:ascii="宋体" w:hAnsi="宋体" w:cs="宋体"/>
                <w:sz w:val="24"/>
              </w:rPr>
            </w:pPr>
            <w:r>
              <w:rPr>
                <w:rFonts w:hint="eastAsia" w:ascii="宋体" w:hAnsi="宋体" w:cs="宋体"/>
                <w:sz w:val="24"/>
              </w:rPr>
              <w:t>1</w:t>
            </w:r>
          </w:p>
        </w:tc>
        <w:tc>
          <w:tcPr>
            <w:tcW w:w="1843" w:type="dxa"/>
            <w:vAlign w:val="center"/>
          </w:tcPr>
          <w:p w14:paraId="5C0940CE">
            <w:pPr>
              <w:spacing w:line="360" w:lineRule="auto"/>
              <w:jc w:val="center"/>
              <w:rPr>
                <w:rFonts w:hint="eastAsia" w:ascii="宋体" w:hAnsi="宋体" w:cs="宋体"/>
                <w:sz w:val="24"/>
              </w:rPr>
            </w:pPr>
          </w:p>
        </w:tc>
        <w:tc>
          <w:tcPr>
            <w:tcW w:w="3685" w:type="dxa"/>
            <w:vAlign w:val="center"/>
          </w:tcPr>
          <w:p w14:paraId="054ADC9D">
            <w:pPr>
              <w:spacing w:line="360" w:lineRule="auto"/>
              <w:jc w:val="center"/>
              <w:rPr>
                <w:rFonts w:hint="eastAsia" w:ascii="宋体" w:hAnsi="宋体" w:cs="宋体"/>
                <w:sz w:val="24"/>
              </w:rPr>
            </w:pPr>
          </w:p>
        </w:tc>
        <w:tc>
          <w:tcPr>
            <w:tcW w:w="1985" w:type="dxa"/>
          </w:tcPr>
          <w:p w14:paraId="18359845">
            <w:pPr>
              <w:spacing w:line="360" w:lineRule="auto"/>
              <w:jc w:val="center"/>
              <w:rPr>
                <w:rFonts w:hint="eastAsia" w:ascii="宋体" w:hAnsi="宋体" w:cs="宋体"/>
                <w:sz w:val="24"/>
              </w:rPr>
            </w:pPr>
          </w:p>
        </w:tc>
      </w:tr>
      <w:tr w14:paraId="301C148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1E9575EC">
            <w:pPr>
              <w:spacing w:line="360" w:lineRule="auto"/>
              <w:jc w:val="center"/>
              <w:rPr>
                <w:rFonts w:hint="eastAsia" w:ascii="宋体" w:hAnsi="宋体" w:cs="宋体"/>
                <w:sz w:val="24"/>
              </w:rPr>
            </w:pPr>
            <w:r>
              <w:rPr>
                <w:rFonts w:hint="eastAsia" w:ascii="宋体" w:hAnsi="宋体" w:cs="宋体"/>
                <w:sz w:val="24"/>
              </w:rPr>
              <w:t>2</w:t>
            </w:r>
          </w:p>
        </w:tc>
        <w:tc>
          <w:tcPr>
            <w:tcW w:w="1843" w:type="dxa"/>
            <w:vAlign w:val="center"/>
          </w:tcPr>
          <w:p w14:paraId="3697366D">
            <w:pPr>
              <w:spacing w:line="360" w:lineRule="auto"/>
              <w:jc w:val="center"/>
              <w:rPr>
                <w:rFonts w:hint="eastAsia" w:ascii="宋体" w:hAnsi="宋体" w:cs="宋体"/>
                <w:sz w:val="24"/>
              </w:rPr>
            </w:pPr>
          </w:p>
        </w:tc>
        <w:tc>
          <w:tcPr>
            <w:tcW w:w="3685" w:type="dxa"/>
            <w:vAlign w:val="center"/>
          </w:tcPr>
          <w:p w14:paraId="246C379D">
            <w:pPr>
              <w:spacing w:line="360" w:lineRule="auto"/>
              <w:jc w:val="center"/>
              <w:rPr>
                <w:rFonts w:hint="eastAsia" w:ascii="宋体" w:hAnsi="宋体" w:cs="宋体"/>
                <w:sz w:val="24"/>
              </w:rPr>
            </w:pPr>
          </w:p>
        </w:tc>
        <w:tc>
          <w:tcPr>
            <w:tcW w:w="1985" w:type="dxa"/>
          </w:tcPr>
          <w:p w14:paraId="710EA374">
            <w:pPr>
              <w:spacing w:line="360" w:lineRule="auto"/>
              <w:jc w:val="center"/>
              <w:rPr>
                <w:rFonts w:hint="eastAsia" w:ascii="宋体" w:hAnsi="宋体" w:cs="宋体"/>
                <w:sz w:val="24"/>
              </w:rPr>
            </w:pPr>
          </w:p>
        </w:tc>
      </w:tr>
      <w:tr w14:paraId="779FED0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7778B297">
            <w:pPr>
              <w:spacing w:line="360" w:lineRule="auto"/>
              <w:jc w:val="center"/>
              <w:rPr>
                <w:rFonts w:hint="eastAsia" w:ascii="宋体" w:hAnsi="宋体" w:cs="宋体"/>
                <w:sz w:val="24"/>
              </w:rPr>
            </w:pPr>
            <w:r>
              <w:rPr>
                <w:rFonts w:hint="eastAsia" w:ascii="宋体" w:hAnsi="宋体" w:cs="宋体"/>
                <w:sz w:val="24"/>
              </w:rPr>
              <w:t>3</w:t>
            </w:r>
          </w:p>
        </w:tc>
        <w:tc>
          <w:tcPr>
            <w:tcW w:w="1843" w:type="dxa"/>
            <w:vAlign w:val="center"/>
          </w:tcPr>
          <w:p w14:paraId="29670D97">
            <w:pPr>
              <w:spacing w:line="360" w:lineRule="auto"/>
              <w:jc w:val="center"/>
              <w:rPr>
                <w:rFonts w:hint="eastAsia" w:ascii="宋体" w:hAnsi="宋体" w:cs="宋体"/>
                <w:sz w:val="24"/>
              </w:rPr>
            </w:pPr>
          </w:p>
        </w:tc>
        <w:tc>
          <w:tcPr>
            <w:tcW w:w="3685" w:type="dxa"/>
            <w:vAlign w:val="center"/>
          </w:tcPr>
          <w:p w14:paraId="4FE88A06">
            <w:pPr>
              <w:spacing w:line="360" w:lineRule="auto"/>
              <w:jc w:val="center"/>
              <w:rPr>
                <w:rFonts w:hint="eastAsia" w:ascii="宋体" w:hAnsi="宋体" w:cs="宋体"/>
                <w:sz w:val="24"/>
              </w:rPr>
            </w:pPr>
          </w:p>
        </w:tc>
        <w:tc>
          <w:tcPr>
            <w:tcW w:w="1985" w:type="dxa"/>
          </w:tcPr>
          <w:p w14:paraId="3F40288D">
            <w:pPr>
              <w:spacing w:line="360" w:lineRule="auto"/>
              <w:jc w:val="center"/>
              <w:rPr>
                <w:rFonts w:hint="eastAsia" w:ascii="宋体" w:hAnsi="宋体" w:cs="宋体"/>
                <w:sz w:val="24"/>
              </w:rPr>
            </w:pPr>
          </w:p>
        </w:tc>
      </w:tr>
      <w:tr w14:paraId="382CBC9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15F19299">
            <w:pPr>
              <w:spacing w:line="360" w:lineRule="auto"/>
              <w:jc w:val="center"/>
              <w:rPr>
                <w:rFonts w:hint="eastAsia" w:ascii="宋体" w:hAnsi="宋体" w:cs="宋体"/>
                <w:sz w:val="24"/>
              </w:rPr>
            </w:pPr>
            <w:r>
              <w:rPr>
                <w:rFonts w:hint="eastAsia" w:ascii="宋体" w:hAnsi="宋体" w:cs="宋体"/>
                <w:sz w:val="24"/>
              </w:rPr>
              <w:t>……</w:t>
            </w:r>
          </w:p>
        </w:tc>
        <w:tc>
          <w:tcPr>
            <w:tcW w:w="1843" w:type="dxa"/>
            <w:vAlign w:val="center"/>
          </w:tcPr>
          <w:p w14:paraId="4BDD3B61">
            <w:pPr>
              <w:spacing w:line="360" w:lineRule="auto"/>
              <w:jc w:val="center"/>
              <w:rPr>
                <w:rFonts w:hint="eastAsia" w:ascii="宋体" w:hAnsi="宋体" w:cs="宋体"/>
                <w:sz w:val="24"/>
              </w:rPr>
            </w:pPr>
          </w:p>
        </w:tc>
        <w:tc>
          <w:tcPr>
            <w:tcW w:w="3685" w:type="dxa"/>
            <w:vAlign w:val="center"/>
          </w:tcPr>
          <w:p w14:paraId="71AC7C63">
            <w:pPr>
              <w:spacing w:line="360" w:lineRule="auto"/>
              <w:jc w:val="center"/>
              <w:rPr>
                <w:rFonts w:hint="eastAsia" w:ascii="宋体" w:hAnsi="宋体" w:cs="宋体"/>
                <w:sz w:val="24"/>
              </w:rPr>
            </w:pPr>
          </w:p>
        </w:tc>
        <w:tc>
          <w:tcPr>
            <w:tcW w:w="1985" w:type="dxa"/>
          </w:tcPr>
          <w:p w14:paraId="4CF5135A">
            <w:pPr>
              <w:spacing w:line="360" w:lineRule="auto"/>
              <w:jc w:val="center"/>
              <w:rPr>
                <w:rFonts w:hint="eastAsia" w:ascii="宋体" w:hAnsi="宋体" w:cs="宋体"/>
                <w:sz w:val="24"/>
              </w:rPr>
            </w:pPr>
          </w:p>
        </w:tc>
      </w:tr>
    </w:tbl>
    <w:p w14:paraId="297C6F93">
      <w:pPr>
        <w:pStyle w:val="8"/>
        <w:adjustRightInd w:val="0"/>
        <w:snapToGrid w:val="0"/>
        <w:spacing w:line="360" w:lineRule="auto"/>
        <w:ind w:firstLine="388" w:firstLineChars="200"/>
        <w:rPr>
          <w:rFonts w:hint="eastAsia" w:ascii="宋体" w:hAnsi="宋体" w:eastAsia="宋体" w:cs="宋体"/>
          <w:b/>
          <w:snapToGrid w:val="0"/>
          <w:sz w:val="21"/>
          <w:szCs w:val="21"/>
        </w:rPr>
      </w:pPr>
      <w:r>
        <w:rPr>
          <w:rFonts w:hint="eastAsia" w:ascii="宋体" w:hAnsi="宋体" w:eastAsia="宋体" w:cs="宋体"/>
          <w:b/>
          <w:snapToGrid w:val="0"/>
          <w:sz w:val="21"/>
          <w:szCs w:val="21"/>
        </w:rPr>
        <w:t>说明：</w:t>
      </w:r>
    </w:p>
    <w:p w14:paraId="2E6D4AAB">
      <w:pPr>
        <w:pStyle w:val="8"/>
        <w:adjustRightInd w:val="0"/>
        <w:snapToGrid w:val="0"/>
        <w:spacing w:line="360" w:lineRule="auto"/>
        <w:ind w:firstLine="388" w:firstLineChars="200"/>
        <w:rPr>
          <w:rFonts w:hint="eastAsia" w:ascii="宋体" w:hAnsi="宋体" w:eastAsia="宋体" w:cs="宋体"/>
          <w:b/>
          <w:snapToGrid w:val="0"/>
          <w:sz w:val="21"/>
          <w:szCs w:val="21"/>
        </w:rPr>
      </w:pPr>
      <w:r>
        <w:rPr>
          <w:rFonts w:hint="eastAsia" w:ascii="宋体" w:hAnsi="宋体" w:eastAsia="宋体" w:cs="宋体"/>
          <w:b/>
          <w:snapToGrid w:val="0"/>
          <w:sz w:val="21"/>
          <w:szCs w:val="21"/>
        </w:rPr>
        <w:t>1.本表是为便于评标委员会评审打分所设的索引表，请投标人完整、明确地填写相关内容。如投标人未按要求填写，导致评标委员会对投标方案做出不利的评审结果，是投标人的风险。</w:t>
      </w:r>
    </w:p>
    <w:p w14:paraId="4477A50E">
      <w:pPr>
        <w:pStyle w:val="8"/>
        <w:adjustRightInd w:val="0"/>
        <w:snapToGrid w:val="0"/>
        <w:spacing w:line="360" w:lineRule="auto"/>
        <w:ind w:firstLine="388" w:firstLineChars="200"/>
        <w:rPr>
          <w:rFonts w:hint="eastAsia" w:ascii="宋体" w:hAnsi="宋体" w:eastAsia="宋体" w:cs="宋体"/>
          <w:b/>
          <w:snapToGrid w:val="0"/>
          <w:sz w:val="21"/>
          <w:szCs w:val="21"/>
        </w:rPr>
      </w:pPr>
      <w:r>
        <w:rPr>
          <w:rFonts w:hint="eastAsia" w:ascii="宋体" w:hAnsi="宋体" w:eastAsia="宋体" w:cs="宋体"/>
          <w:b/>
          <w:snapToGrid w:val="0"/>
          <w:sz w:val="21"/>
          <w:szCs w:val="21"/>
        </w:rPr>
        <w:t>2.本表中，“评审因素”请按照第四章《评分细则》所列内容逐项填写。</w:t>
      </w:r>
    </w:p>
    <w:p w14:paraId="1AC06E25">
      <w:pPr>
        <w:pStyle w:val="8"/>
        <w:adjustRightInd w:val="0"/>
        <w:snapToGrid w:val="0"/>
        <w:spacing w:line="360" w:lineRule="auto"/>
        <w:ind w:firstLine="388" w:firstLineChars="200"/>
        <w:rPr>
          <w:rFonts w:hint="eastAsia" w:ascii="宋体" w:hAnsi="宋体" w:eastAsia="宋体" w:cs="宋体"/>
          <w:b/>
          <w:snapToGrid w:val="0"/>
          <w:sz w:val="21"/>
          <w:szCs w:val="21"/>
        </w:rPr>
      </w:pPr>
      <w:r>
        <w:rPr>
          <w:rFonts w:hint="eastAsia" w:ascii="宋体" w:hAnsi="宋体" w:eastAsia="宋体" w:cs="宋体"/>
          <w:b/>
          <w:snapToGrid w:val="0"/>
          <w:sz w:val="21"/>
          <w:szCs w:val="21"/>
        </w:rPr>
        <w:t>3.本表中，“评审因素对应的内容”请按照第四章《评分细则》中评分标准的要求填写投标人所提供材料名称，并在“评审因素对应内容所在页码”栏内填写所提供材料在投标文件中的对应页码。</w:t>
      </w:r>
    </w:p>
    <w:p w14:paraId="2597C80C">
      <w:pPr>
        <w:autoSpaceDE w:val="0"/>
        <w:autoSpaceDN w:val="0"/>
        <w:adjustRightInd w:val="0"/>
        <w:spacing w:before="156" w:beforeLines="50" w:after="156" w:afterLines="50" w:line="360" w:lineRule="auto"/>
        <w:jc w:val="center"/>
        <w:rPr>
          <w:rStyle w:val="17"/>
          <w:rFonts w:hint="eastAsia" w:ascii="宋体" w:hAnsi="宋体" w:cs="宋体"/>
          <w:bCs w:val="0"/>
          <w:kern w:val="0"/>
          <w:sz w:val="36"/>
          <w:szCs w:val="36"/>
        </w:rPr>
      </w:pPr>
    </w:p>
    <w:p w14:paraId="69189CB1">
      <w:pPr>
        <w:spacing w:line="360" w:lineRule="auto"/>
        <w:outlineLvl w:val="1"/>
        <w:rPr>
          <w:rStyle w:val="17"/>
          <w:rFonts w:hint="eastAsia" w:ascii="宋体" w:hAnsi="宋体" w:cs="宋体"/>
          <w:kern w:val="0"/>
          <w:sz w:val="52"/>
          <w:szCs w:val="52"/>
        </w:rPr>
      </w:pPr>
    </w:p>
    <w:p w14:paraId="5253B1E0">
      <w:pPr>
        <w:spacing w:line="360" w:lineRule="auto"/>
        <w:jc w:val="center"/>
        <w:outlineLvl w:val="1"/>
        <w:rPr>
          <w:rStyle w:val="17"/>
          <w:rFonts w:hint="eastAsia" w:ascii="宋体" w:hAnsi="宋体" w:cs="宋体"/>
          <w:kern w:val="0"/>
          <w:sz w:val="52"/>
          <w:szCs w:val="52"/>
        </w:rPr>
      </w:pPr>
    </w:p>
    <w:p w14:paraId="6ABF1265">
      <w:pPr>
        <w:spacing w:line="360" w:lineRule="auto"/>
        <w:jc w:val="center"/>
        <w:outlineLvl w:val="1"/>
        <w:rPr>
          <w:rFonts w:hint="eastAsia" w:ascii="宋体" w:hAnsi="宋体" w:cs="宋体"/>
          <w:kern w:val="0"/>
          <w:sz w:val="24"/>
        </w:rPr>
      </w:pPr>
      <w:r>
        <w:rPr>
          <w:rStyle w:val="17"/>
          <w:rFonts w:hint="eastAsia" w:ascii="宋体" w:hAnsi="宋体" w:cs="宋体"/>
          <w:kern w:val="0"/>
          <w:sz w:val="52"/>
          <w:szCs w:val="52"/>
        </w:rPr>
        <w:t>第一部分  资格证明文件</w:t>
      </w:r>
    </w:p>
    <w:p w14:paraId="3663FAF9">
      <w:pPr>
        <w:pStyle w:val="2"/>
        <w:spacing w:line="360" w:lineRule="auto"/>
        <w:rPr>
          <w:rFonts w:hint="eastAsia" w:ascii="宋体" w:hAnsi="宋体" w:cs="宋体"/>
          <w:b w:val="0"/>
          <w:sz w:val="30"/>
          <w:szCs w:val="30"/>
        </w:rPr>
        <w:sectPr>
          <w:footerReference r:id="rId17" w:type="first"/>
          <w:footerReference r:id="rId16" w:type="default"/>
          <w:pgSz w:w="11907" w:h="16840"/>
          <w:pgMar w:top="1440" w:right="1803" w:bottom="1440" w:left="1803" w:header="851" w:footer="850" w:gutter="0"/>
          <w:cols w:space="720" w:num="1"/>
          <w:docGrid w:type="linesAndChars" w:linePitch="312" w:charSpace="-3473"/>
        </w:sectPr>
      </w:pPr>
    </w:p>
    <w:p w14:paraId="5125613C">
      <w:pPr>
        <w:pStyle w:val="2"/>
        <w:spacing w:line="360" w:lineRule="auto"/>
        <w:rPr>
          <w:rFonts w:hint="eastAsia" w:ascii="宋体" w:hAnsi="宋体" w:cs="宋体"/>
          <w:b w:val="0"/>
          <w:sz w:val="30"/>
          <w:szCs w:val="30"/>
        </w:rPr>
      </w:pPr>
      <w:r>
        <w:rPr>
          <w:rFonts w:hint="eastAsia" w:ascii="宋体" w:hAnsi="宋体" w:cs="宋体"/>
          <w:b w:val="0"/>
          <w:sz w:val="30"/>
          <w:szCs w:val="30"/>
        </w:rPr>
        <w:t>一、法人或者其他组织的营业执照等证明文件或自然人的身份证明</w:t>
      </w:r>
    </w:p>
    <w:p w14:paraId="490764E7">
      <w:pPr>
        <w:autoSpaceDE w:val="0"/>
        <w:autoSpaceDN w:val="0"/>
        <w:adjustRightInd w:val="0"/>
        <w:spacing w:before="156" w:beforeLines="50" w:after="156" w:afterLines="50" w:line="360" w:lineRule="auto"/>
        <w:ind w:left="360"/>
        <w:jc w:val="center"/>
        <w:rPr>
          <w:rFonts w:hint="eastAsia" w:ascii="宋体" w:hAnsi="宋体" w:cs="宋体"/>
          <w:bCs/>
          <w:sz w:val="24"/>
        </w:rPr>
      </w:pPr>
      <w:r>
        <w:rPr>
          <w:rFonts w:hint="eastAsia" w:ascii="宋体" w:hAnsi="宋体" w:cs="宋体"/>
          <w:bCs/>
          <w:sz w:val="24"/>
        </w:rPr>
        <w:t>（分公司参加采购活动的，还需提供具有法人资格的总公司的营业执照复印件及加盖总公司公章的授权书）</w:t>
      </w:r>
    </w:p>
    <w:p w14:paraId="31399899">
      <w:pPr>
        <w:spacing w:line="360" w:lineRule="auto"/>
        <w:rPr>
          <w:rFonts w:hint="eastAsia" w:ascii="宋体" w:hAnsi="宋体" w:cs="宋体"/>
          <w:kern w:val="0"/>
          <w:sz w:val="30"/>
          <w:szCs w:val="30"/>
        </w:rPr>
      </w:pPr>
      <w:r>
        <w:rPr>
          <w:rFonts w:hint="eastAsia" w:ascii="宋体" w:hAnsi="宋体" w:cs="宋体"/>
          <w:kern w:val="0"/>
          <w:sz w:val="30"/>
          <w:szCs w:val="30"/>
        </w:rPr>
        <w:br w:type="page"/>
      </w:r>
    </w:p>
    <w:p w14:paraId="4743DC12">
      <w:pPr>
        <w:pStyle w:val="2"/>
        <w:spacing w:line="360" w:lineRule="auto"/>
        <w:jc w:val="center"/>
        <w:rPr>
          <w:rFonts w:hint="eastAsia" w:ascii="宋体" w:hAnsi="宋体" w:cs="宋体"/>
          <w:b w:val="0"/>
          <w:kern w:val="0"/>
          <w:sz w:val="24"/>
        </w:rPr>
      </w:pPr>
      <w:r>
        <w:rPr>
          <w:rFonts w:hint="eastAsia" w:ascii="宋体" w:hAnsi="宋体" w:cs="宋体"/>
          <w:b w:val="0"/>
          <w:bCs w:val="0"/>
          <w:kern w:val="0"/>
          <w:sz w:val="30"/>
          <w:szCs w:val="30"/>
        </w:rPr>
        <w:t>二、经审计的财务报告或资信证明</w:t>
      </w:r>
    </w:p>
    <w:p w14:paraId="25CCAF49">
      <w:pPr>
        <w:pStyle w:val="2"/>
        <w:spacing w:line="360" w:lineRule="auto"/>
        <w:rPr>
          <w:rFonts w:hint="eastAsia" w:ascii="宋体" w:hAnsi="宋体" w:cs="宋体"/>
          <w:b w:val="0"/>
          <w:bCs w:val="0"/>
          <w:kern w:val="0"/>
          <w:sz w:val="30"/>
          <w:szCs w:val="30"/>
        </w:rPr>
      </w:pPr>
    </w:p>
    <w:p w14:paraId="3D0F22B4">
      <w:pPr>
        <w:pStyle w:val="2"/>
        <w:spacing w:line="360" w:lineRule="auto"/>
        <w:rPr>
          <w:rFonts w:hint="eastAsia" w:ascii="宋体" w:hAnsi="宋体" w:cs="宋体"/>
          <w:b w:val="0"/>
          <w:bCs w:val="0"/>
          <w:kern w:val="0"/>
          <w:sz w:val="30"/>
          <w:szCs w:val="30"/>
        </w:rPr>
      </w:pPr>
    </w:p>
    <w:p w14:paraId="313F8FF8">
      <w:pPr>
        <w:pStyle w:val="2"/>
        <w:spacing w:line="360" w:lineRule="auto"/>
        <w:rPr>
          <w:rFonts w:hint="eastAsia" w:ascii="宋体" w:hAnsi="宋体" w:cs="宋体"/>
          <w:b w:val="0"/>
          <w:bCs w:val="0"/>
          <w:kern w:val="0"/>
          <w:sz w:val="30"/>
          <w:szCs w:val="30"/>
        </w:rPr>
      </w:pPr>
    </w:p>
    <w:p w14:paraId="6BD89A25">
      <w:pPr>
        <w:pStyle w:val="2"/>
        <w:spacing w:line="360" w:lineRule="auto"/>
        <w:rPr>
          <w:rFonts w:hint="eastAsia" w:ascii="宋体" w:hAnsi="宋体" w:cs="宋体"/>
          <w:b w:val="0"/>
          <w:bCs w:val="0"/>
          <w:kern w:val="0"/>
          <w:sz w:val="30"/>
          <w:szCs w:val="30"/>
        </w:rPr>
      </w:pPr>
    </w:p>
    <w:p w14:paraId="60EE0DC9">
      <w:pPr>
        <w:pStyle w:val="2"/>
        <w:spacing w:line="360" w:lineRule="auto"/>
        <w:rPr>
          <w:rFonts w:hint="eastAsia" w:ascii="宋体" w:hAnsi="宋体" w:cs="宋体"/>
          <w:b w:val="0"/>
          <w:bCs w:val="0"/>
          <w:kern w:val="0"/>
          <w:sz w:val="30"/>
          <w:szCs w:val="30"/>
        </w:rPr>
      </w:pPr>
    </w:p>
    <w:p w14:paraId="51A6C2A9">
      <w:pPr>
        <w:pStyle w:val="5"/>
        <w:spacing w:line="360" w:lineRule="auto"/>
        <w:rPr>
          <w:rFonts w:hint="eastAsia" w:ascii="宋体" w:hAnsi="宋体" w:cs="宋体"/>
          <w:b/>
          <w:bCs/>
          <w:kern w:val="0"/>
          <w:sz w:val="30"/>
          <w:szCs w:val="30"/>
        </w:rPr>
      </w:pPr>
    </w:p>
    <w:p w14:paraId="0FD3EED4">
      <w:pPr>
        <w:pStyle w:val="5"/>
        <w:spacing w:line="360" w:lineRule="auto"/>
        <w:rPr>
          <w:rFonts w:hint="eastAsia" w:ascii="宋体" w:hAnsi="宋体" w:cs="宋体"/>
          <w:b/>
          <w:bCs/>
          <w:kern w:val="0"/>
          <w:sz w:val="30"/>
          <w:szCs w:val="30"/>
        </w:rPr>
      </w:pPr>
    </w:p>
    <w:p w14:paraId="67833ED7">
      <w:pPr>
        <w:pStyle w:val="5"/>
        <w:spacing w:line="360" w:lineRule="auto"/>
        <w:rPr>
          <w:rFonts w:hint="eastAsia" w:ascii="宋体" w:hAnsi="宋体" w:cs="宋体"/>
          <w:b/>
          <w:bCs/>
          <w:kern w:val="0"/>
          <w:sz w:val="30"/>
          <w:szCs w:val="30"/>
        </w:rPr>
      </w:pPr>
    </w:p>
    <w:p w14:paraId="077397C4">
      <w:pPr>
        <w:pStyle w:val="5"/>
        <w:spacing w:line="360" w:lineRule="auto"/>
        <w:rPr>
          <w:rFonts w:hint="eastAsia" w:ascii="宋体" w:hAnsi="宋体" w:cs="宋体"/>
          <w:b/>
          <w:bCs/>
          <w:kern w:val="0"/>
          <w:sz w:val="30"/>
          <w:szCs w:val="30"/>
        </w:rPr>
      </w:pPr>
    </w:p>
    <w:p w14:paraId="1FF2C00E">
      <w:pPr>
        <w:pStyle w:val="5"/>
        <w:spacing w:line="360" w:lineRule="auto"/>
        <w:rPr>
          <w:rFonts w:hint="eastAsia" w:ascii="宋体" w:hAnsi="宋体" w:cs="宋体"/>
          <w:b/>
          <w:bCs/>
          <w:kern w:val="0"/>
          <w:sz w:val="30"/>
          <w:szCs w:val="30"/>
        </w:rPr>
      </w:pPr>
    </w:p>
    <w:p w14:paraId="336F3917">
      <w:pPr>
        <w:pStyle w:val="5"/>
        <w:spacing w:line="360" w:lineRule="auto"/>
        <w:rPr>
          <w:rFonts w:hint="eastAsia" w:ascii="宋体" w:hAnsi="宋体" w:cs="宋体"/>
          <w:b/>
          <w:bCs/>
          <w:kern w:val="0"/>
          <w:sz w:val="30"/>
          <w:szCs w:val="30"/>
        </w:rPr>
      </w:pPr>
    </w:p>
    <w:p w14:paraId="02E51304">
      <w:pPr>
        <w:pStyle w:val="5"/>
        <w:spacing w:line="360" w:lineRule="auto"/>
        <w:rPr>
          <w:rFonts w:hint="eastAsia" w:ascii="宋体" w:hAnsi="宋体" w:cs="宋体"/>
          <w:b/>
          <w:bCs/>
          <w:kern w:val="0"/>
          <w:sz w:val="30"/>
          <w:szCs w:val="30"/>
        </w:rPr>
      </w:pPr>
    </w:p>
    <w:p w14:paraId="456D0889">
      <w:pPr>
        <w:pStyle w:val="5"/>
        <w:spacing w:line="360" w:lineRule="auto"/>
        <w:rPr>
          <w:rFonts w:hint="eastAsia" w:ascii="宋体" w:hAnsi="宋体" w:cs="宋体"/>
          <w:b/>
          <w:bCs/>
          <w:kern w:val="0"/>
          <w:sz w:val="30"/>
          <w:szCs w:val="30"/>
        </w:rPr>
      </w:pPr>
    </w:p>
    <w:p w14:paraId="10162EDC">
      <w:pPr>
        <w:pStyle w:val="2"/>
        <w:spacing w:line="360" w:lineRule="auto"/>
        <w:rPr>
          <w:rFonts w:hint="eastAsia" w:ascii="宋体" w:hAnsi="宋体" w:cs="宋体"/>
          <w:b w:val="0"/>
          <w:bCs w:val="0"/>
          <w:kern w:val="0"/>
          <w:sz w:val="30"/>
          <w:szCs w:val="30"/>
        </w:rPr>
      </w:pPr>
    </w:p>
    <w:p w14:paraId="1E3FC3AE">
      <w:pPr>
        <w:pStyle w:val="2"/>
        <w:spacing w:line="360" w:lineRule="auto"/>
        <w:rPr>
          <w:rFonts w:hint="eastAsia" w:ascii="宋体" w:hAnsi="宋体" w:cs="宋体"/>
          <w:b w:val="0"/>
          <w:bCs w:val="0"/>
          <w:kern w:val="0"/>
          <w:sz w:val="30"/>
          <w:szCs w:val="30"/>
        </w:rPr>
      </w:pPr>
    </w:p>
    <w:p w14:paraId="40F93007">
      <w:pPr>
        <w:pStyle w:val="5"/>
        <w:spacing w:line="360" w:lineRule="auto"/>
        <w:ind w:firstLine="0"/>
        <w:rPr>
          <w:rFonts w:hint="eastAsia" w:ascii="宋体" w:hAnsi="宋体" w:cs="宋体"/>
          <w:b/>
          <w:bCs/>
          <w:kern w:val="0"/>
          <w:sz w:val="30"/>
          <w:szCs w:val="30"/>
        </w:rPr>
      </w:pPr>
    </w:p>
    <w:p w14:paraId="67089903">
      <w:pPr>
        <w:pStyle w:val="2"/>
        <w:spacing w:line="360" w:lineRule="auto"/>
        <w:ind w:firstLine="1420" w:firstLineChars="500"/>
        <w:rPr>
          <w:rFonts w:hint="eastAsia" w:ascii="宋体" w:hAnsi="宋体" w:cs="宋体"/>
          <w:b w:val="0"/>
          <w:bCs w:val="0"/>
          <w:kern w:val="0"/>
          <w:sz w:val="30"/>
          <w:szCs w:val="30"/>
        </w:rPr>
      </w:pPr>
    </w:p>
    <w:p w14:paraId="4DE45F37">
      <w:pPr>
        <w:pStyle w:val="2"/>
        <w:spacing w:line="360" w:lineRule="auto"/>
        <w:ind w:firstLine="1420" w:firstLineChars="500"/>
        <w:rPr>
          <w:rFonts w:hint="eastAsia" w:ascii="宋体" w:hAnsi="宋体" w:cs="宋体"/>
          <w:b w:val="0"/>
          <w:bCs w:val="0"/>
          <w:kern w:val="0"/>
          <w:sz w:val="30"/>
          <w:szCs w:val="30"/>
        </w:rPr>
      </w:pPr>
    </w:p>
    <w:p w14:paraId="4C9D55DF">
      <w:pPr>
        <w:pStyle w:val="2"/>
        <w:spacing w:line="360" w:lineRule="auto"/>
        <w:ind w:firstLine="1420" w:firstLineChars="500"/>
        <w:rPr>
          <w:rFonts w:hint="eastAsia" w:ascii="宋体" w:hAnsi="宋体" w:cs="宋体"/>
          <w:b w:val="0"/>
          <w:bCs w:val="0"/>
          <w:kern w:val="0"/>
          <w:sz w:val="30"/>
          <w:szCs w:val="30"/>
        </w:rPr>
      </w:pPr>
    </w:p>
    <w:p w14:paraId="127D6EE6">
      <w:pPr>
        <w:pStyle w:val="2"/>
        <w:spacing w:line="360" w:lineRule="auto"/>
        <w:ind w:firstLine="1420" w:firstLineChars="500"/>
        <w:rPr>
          <w:rFonts w:hint="eastAsia" w:ascii="宋体" w:hAnsi="宋体" w:cs="宋体"/>
          <w:b w:val="0"/>
          <w:bCs w:val="0"/>
          <w:kern w:val="0"/>
          <w:sz w:val="30"/>
          <w:szCs w:val="30"/>
        </w:rPr>
      </w:pPr>
    </w:p>
    <w:p w14:paraId="081A12FF">
      <w:pPr>
        <w:autoSpaceDE w:val="0"/>
        <w:autoSpaceDN w:val="0"/>
        <w:adjustRightInd w:val="0"/>
        <w:spacing w:before="156" w:beforeLines="50" w:after="156" w:afterLines="50" w:line="360" w:lineRule="auto"/>
        <w:jc w:val="center"/>
        <w:rPr>
          <w:rFonts w:hint="eastAsia" w:ascii="宋体" w:hAnsi="宋体" w:cs="宋体"/>
          <w:kern w:val="0"/>
          <w:sz w:val="24"/>
        </w:rPr>
      </w:pPr>
    </w:p>
    <w:p w14:paraId="1F14B947">
      <w:pPr>
        <w:pStyle w:val="2"/>
        <w:spacing w:line="360" w:lineRule="auto"/>
        <w:ind w:firstLine="1704" w:firstLineChars="600"/>
        <w:rPr>
          <w:rFonts w:hint="eastAsia" w:ascii="宋体" w:hAnsi="宋体" w:cs="宋体"/>
          <w:b w:val="0"/>
          <w:bCs w:val="0"/>
          <w:kern w:val="0"/>
          <w:sz w:val="30"/>
          <w:szCs w:val="30"/>
          <w:lang w:val="zh-CN"/>
        </w:rPr>
      </w:pPr>
      <w:r>
        <w:rPr>
          <w:rFonts w:hint="eastAsia" w:ascii="宋体" w:hAnsi="宋体" w:cs="宋体"/>
          <w:b w:val="0"/>
          <w:bCs w:val="0"/>
          <w:kern w:val="0"/>
          <w:sz w:val="30"/>
          <w:szCs w:val="30"/>
        </w:rPr>
        <w:t>三、缴税凭据或完税证明或免税证明材料</w:t>
      </w:r>
    </w:p>
    <w:p w14:paraId="4F083C8F">
      <w:pPr>
        <w:autoSpaceDE w:val="0"/>
        <w:autoSpaceDN w:val="0"/>
        <w:adjustRightInd w:val="0"/>
        <w:spacing w:before="156" w:beforeLines="50" w:after="156" w:afterLines="50" w:line="360" w:lineRule="auto"/>
        <w:jc w:val="center"/>
        <w:rPr>
          <w:rFonts w:hint="eastAsia" w:ascii="宋体" w:hAnsi="宋体" w:cs="宋体"/>
          <w:kern w:val="0"/>
          <w:sz w:val="24"/>
        </w:rPr>
      </w:pPr>
    </w:p>
    <w:p w14:paraId="2D24149F">
      <w:pPr>
        <w:autoSpaceDE w:val="0"/>
        <w:autoSpaceDN w:val="0"/>
        <w:adjustRightInd w:val="0"/>
        <w:spacing w:before="156" w:beforeLines="50" w:after="156" w:afterLines="50" w:line="360" w:lineRule="auto"/>
        <w:jc w:val="center"/>
        <w:rPr>
          <w:rFonts w:hint="eastAsia" w:ascii="宋体" w:hAnsi="宋体" w:cs="宋体"/>
          <w:kern w:val="0"/>
          <w:sz w:val="24"/>
        </w:rPr>
      </w:pPr>
    </w:p>
    <w:p w14:paraId="0D106C21">
      <w:pPr>
        <w:autoSpaceDE w:val="0"/>
        <w:autoSpaceDN w:val="0"/>
        <w:adjustRightInd w:val="0"/>
        <w:spacing w:before="156" w:beforeLines="50" w:after="156" w:afterLines="50" w:line="360" w:lineRule="auto"/>
        <w:jc w:val="center"/>
        <w:rPr>
          <w:rFonts w:hint="eastAsia" w:ascii="宋体" w:hAnsi="宋体" w:cs="宋体"/>
          <w:kern w:val="0"/>
          <w:sz w:val="24"/>
        </w:rPr>
      </w:pPr>
    </w:p>
    <w:p w14:paraId="3A2CED02">
      <w:pPr>
        <w:autoSpaceDE w:val="0"/>
        <w:autoSpaceDN w:val="0"/>
        <w:adjustRightInd w:val="0"/>
        <w:spacing w:before="156" w:beforeLines="50" w:after="156" w:afterLines="50" w:line="360" w:lineRule="auto"/>
        <w:jc w:val="center"/>
        <w:rPr>
          <w:rFonts w:hint="eastAsia" w:ascii="宋体" w:hAnsi="宋体" w:cs="宋体"/>
          <w:kern w:val="0"/>
          <w:sz w:val="24"/>
        </w:rPr>
      </w:pPr>
    </w:p>
    <w:p w14:paraId="4A49525A">
      <w:pPr>
        <w:autoSpaceDE w:val="0"/>
        <w:autoSpaceDN w:val="0"/>
        <w:adjustRightInd w:val="0"/>
        <w:spacing w:before="156" w:beforeLines="50" w:after="156" w:afterLines="50" w:line="360" w:lineRule="auto"/>
        <w:jc w:val="center"/>
        <w:rPr>
          <w:rFonts w:hint="eastAsia" w:ascii="宋体" w:hAnsi="宋体" w:cs="宋体"/>
          <w:kern w:val="0"/>
          <w:sz w:val="24"/>
        </w:rPr>
      </w:pPr>
    </w:p>
    <w:p w14:paraId="6F2744AE">
      <w:pPr>
        <w:autoSpaceDE w:val="0"/>
        <w:autoSpaceDN w:val="0"/>
        <w:adjustRightInd w:val="0"/>
        <w:spacing w:before="156" w:beforeLines="50" w:after="156" w:afterLines="50" w:line="360" w:lineRule="auto"/>
        <w:jc w:val="center"/>
        <w:rPr>
          <w:rFonts w:hint="eastAsia" w:ascii="宋体" w:hAnsi="宋体" w:cs="宋体"/>
          <w:kern w:val="0"/>
          <w:sz w:val="24"/>
        </w:rPr>
      </w:pPr>
    </w:p>
    <w:p w14:paraId="3EBCD609">
      <w:pPr>
        <w:autoSpaceDE w:val="0"/>
        <w:autoSpaceDN w:val="0"/>
        <w:adjustRightInd w:val="0"/>
        <w:spacing w:before="156" w:beforeLines="50" w:after="156" w:afterLines="50" w:line="360" w:lineRule="auto"/>
        <w:jc w:val="center"/>
        <w:rPr>
          <w:rFonts w:hint="eastAsia" w:ascii="宋体" w:hAnsi="宋体" w:cs="宋体"/>
          <w:kern w:val="0"/>
          <w:sz w:val="24"/>
        </w:rPr>
      </w:pPr>
    </w:p>
    <w:p w14:paraId="31939FC5">
      <w:pPr>
        <w:autoSpaceDE w:val="0"/>
        <w:autoSpaceDN w:val="0"/>
        <w:adjustRightInd w:val="0"/>
        <w:spacing w:before="156" w:beforeLines="50" w:after="156" w:afterLines="50" w:line="360" w:lineRule="auto"/>
        <w:jc w:val="center"/>
        <w:rPr>
          <w:rFonts w:hint="eastAsia" w:ascii="宋体" w:hAnsi="宋体" w:cs="宋体"/>
          <w:kern w:val="0"/>
          <w:sz w:val="24"/>
        </w:rPr>
      </w:pPr>
    </w:p>
    <w:p w14:paraId="184B9AF0">
      <w:pPr>
        <w:autoSpaceDE w:val="0"/>
        <w:autoSpaceDN w:val="0"/>
        <w:adjustRightInd w:val="0"/>
        <w:spacing w:before="156" w:beforeLines="50" w:after="156" w:afterLines="50" w:line="360" w:lineRule="auto"/>
        <w:jc w:val="center"/>
        <w:rPr>
          <w:rFonts w:hint="eastAsia" w:ascii="宋体" w:hAnsi="宋体" w:cs="宋体"/>
          <w:kern w:val="0"/>
          <w:sz w:val="24"/>
        </w:rPr>
      </w:pPr>
    </w:p>
    <w:p w14:paraId="7A615832">
      <w:pPr>
        <w:autoSpaceDE w:val="0"/>
        <w:autoSpaceDN w:val="0"/>
        <w:adjustRightInd w:val="0"/>
        <w:spacing w:before="156" w:beforeLines="50" w:after="156" w:afterLines="50" w:line="360" w:lineRule="auto"/>
        <w:jc w:val="center"/>
        <w:rPr>
          <w:rFonts w:hint="eastAsia" w:ascii="宋体" w:hAnsi="宋体" w:cs="宋体"/>
          <w:kern w:val="0"/>
          <w:sz w:val="24"/>
        </w:rPr>
      </w:pPr>
    </w:p>
    <w:p w14:paraId="20A5B98B">
      <w:pPr>
        <w:autoSpaceDE w:val="0"/>
        <w:autoSpaceDN w:val="0"/>
        <w:adjustRightInd w:val="0"/>
        <w:spacing w:before="156" w:beforeLines="50" w:after="156" w:afterLines="50" w:line="360" w:lineRule="auto"/>
        <w:jc w:val="center"/>
        <w:rPr>
          <w:rFonts w:hint="eastAsia" w:ascii="宋体" w:hAnsi="宋体" w:cs="宋体"/>
          <w:kern w:val="0"/>
          <w:sz w:val="24"/>
        </w:rPr>
      </w:pPr>
    </w:p>
    <w:p w14:paraId="56694323">
      <w:pPr>
        <w:autoSpaceDE w:val="0"/>
        <w:autoSpaceDN w:val="0"/>
        <w:adjustRightInd w:val="0"/>
        <w:spacing w:before="156" w:beforeLines="50" w:after="156" w:afterLines="50" w:line="360" w:lineRule="auto"/>
        <w:jc w:val="center"/>
        <w:rPr>
          <w:rFonts w:hint="eastAsia" w:ascii="宋体" w:hAnsi="宋体" w:cs="宋体"/>
          <w:kern w:val="0"/>
          <w:sz w:val="24"/>
        </w:rPr>
      </w:pPr>
    </w:p>
    <w:p w14:paraId="5CB37EE8">
      <w:pPr>
        <w:autoSpaceDE w:val="0"/>
        <w:autoSpaceDN w:val="0"/>
        <w:adjustRightInd w:val="0"/>
        <w:spacing w:before="156" w:beforeLines="50" w:after="156" w:afterLines="50" w:line="360" w:lineRule="auto"/>
        <w:jc w:val="center"/>
        <w:rPr>
          <w:rFonts w:hint="eastAsia" w:ascii="宋体" w:hAnsi="宋体" w:cs="宋体"/>
          <w:kern w:val="0"/>
          <w:sz w:val="24"/>
        </w:rPr>
      </w:pPr>
    </w:p>
    <w:p w14:paraId="5EB93F40">
      <w:pPr>
        <w:autoSpaceDE w:val="0"/>
        <w:autoSpaceDN w:val="0"/>
        <w:adjustRightInd w:val="0"/>
        <w:spacing w:before="156" w:beforeLines="50" w:after="156" w:afterLines="50" w:line="360" w:lineRule="auto"/>
        <w:jc w:val="center"/>
        <w:rPr>
          <w:rFonts w:hint="eastAsia" w:ascii="宋体" w:hAnsi="宋体" w:cs="宋体"/>
          <w:kern w:val="0"/>
          <w:sz w:val="24"/>
        </w:rPr>
      </w:pPr>
    </w:p>
    <w:p w14:paraId="6EF9326D">
      <w:pPr>
        <w:autoSpaceDE w:val="0"/>
        <w:autoSpaceDN w:val="0"/>
        <w:adjustRightInd w:val="0"/>
        <w:spacing w:before="156" w:beforeLines="50" w:after="156" w:afterLines="50" w:line="360" w:lineRule="auto"/>
        <w:rPr>
          <w:rFonts w:hint="eastAsia" w:ascii="宋体" w:hAnsi="宋体" w:cs="宋体"/>
          <w:kern w:val="0"/>
          <w:sz w:val="24"/>
        </w:rPr>
      </w:pPr>
    </w:p>
    <w:p w14:paraId="4ABD084C">
      <w:pPr>
        <w:autoSpaceDE w:val="0"/>
        <w:autoSpaceDN w:val="0"/>
        <w:adjustRightInd w:val="0"/>
        <w:spacing w:before="156" w:beforeLines="50" w:after="156" w:afterLines="50" w:line="360" w:lineRule="auto"/>
        <w:jc w:val="center"/>
        <w:rPr>
          <w:rFonts w:hint="eastAsia" w:ascii="宋体" w:hAnsi="宋体" w:cs="宋体"/>
          <w:kern w:val="0"/>
          <w:sz w:val="24"/>
        </w:rPr>
      </w:pPr>
    </w:p>
    <w:p w14:paraId="1F5145BE">
      <w:pPr>
        <w:rPr>
          <w:rFonts w:hint="eastAsia" w:ascii="宋体" w:hAnsi="宋体" w:cs="宋体"/>
          <w:kern w:val="0"/>
          <w:sz w:val="30"/>
          <w:szCs w:val="30"/>
        </w:rPr>
      </w:pPr>
      <w:r>
        <w:rPr>
          <w:rFonts w:hint="eastAsia" w:ascii="宋体" w:hAnsi="宋体" w:cs="宋体"/>
          <w:kern w:val="0"/>
          <w:sz w:val="30"/>
          <w:szCs w:val="30"/>
        </w:rPr>
        <w:br w:type="page"/>
      </w:r>
    </w:p>
    <w:p w14:paraId="630BD141">
      <w:pPr>
        <w:pStyle w:val="2"/>
        <w:spacing w:line="360" w:lineRule="auto"/>
        <w:ind w:firstLine="852" w:firstLineChars="300"/>
        <w:rPr>
          <w:rFonts w:hint="eastAsia" w:ascii="宋体" w:hAnsi="宋体" w:cs="宋体"/>
          <w:b w:val="0"/>
          <w:bCs w:val="0"/>
          <w:kern w:val="0"/>
          <w:sz w:val="30"/>
          <w:szCs w:val="30"/>
        </w:rPr>
      </w:pPr>
      <w:r>
        <w:rPr>
          <w:rFonts w:hint="eastAsia" w:ascii="宋体" w:hAnsi="宋体" w:cs="宋体"/>
          <w:b w:val="0"/>
          <w:bCs w:val="0"/>
          <w:kern w:val="0"/>
          <w:sz w:val="30"/>
          <w:szCs w:val="30"/>
        </w:rPr>
        <w:t>四、缴纳社会保险的凭据或不社会保险的证明文件</w:t>
      </w:r>
    </w:p>
    <w:p w14:paraId="01024FA1">
      <w:pPr>
        <w:autoSpaceDE w:val="0"/>
        <w:autoSpaceDN w:val="0"/>
        <w:adjustRightInd w:val="0"/>
        <w:spacing w:before="156" w:beforeLines="50" w:after="156" w:afterLines="50" w:line="360" w:lineRule="auto"/>
        <w:jc w:val="center"/>
        <w:rPr>
          <w:rFonts w:hint="eastAsia" w:ascii="宋体" w:hAnsi="宋体" w:cs="宋体"/>
          <w:kern w:val="0"/>
          <w:sz w:val="24"/>
        </w:rPr>
      </w:pPr>
    </w:p>
    <w:p w14:paraId="4D381603">
      <w:pPr>
        <w:pStyle w:val="5"/>
        <w:spacing w:line="360" w:lineRule="auto"/>
        <w:rPr>
          <w:rFonts w:hint="eastAsia" w:ascii="宋体" w:hAnsi="宋体" w:cs="宋体"/>
        </w:rPr>
      </w:pPr>
    </w:p>
    <w:p w14:paraId="52172EBD">
      <w:pPr>
        <w:spacing w:line="360" w:lineRule="auto"/>
        <w:ind w:firstLine="448" w:firstLineChars="200"/>
        <w:rPr>
          <w:rFonts w:hint="eastAsia" w:ascii="宋体" w:hAnsi="宋体" w:cs="宋体"/>
          <w:sz w:val="24"/>
        </w:rPr>
      </w:pPr>
    </w:p>
    <w:p w14:paraId="0CF99C9F">
      <w:pPr>
        <w:spacing w:line="360" w:lineRule="auto"/>
        <w:ind w:firstLine="448" w:firstLineChars="200"/>
        <w:rPr>
          <w:rFonts w:hint="eastAsia" w:ascii="宋体" w:hAnsi="宋体" w:cs="宋体"/>
          <w:sz w:val="24"/>
        </w:rPr>
      </w:pPr>
    </w:p>
    <w:p w14:paraId="45CAA10D">
      <w:pPr>
        <w:spacing w:line="360" w:lineRule="auto"/>
        <w:ind w:firstLine="448" w:firstLineChars="200"/>
        <w:rPr>
          <w:rFonts w:hint="eastAsia" w:ascii="宋体" w:hAnsi="宋体" w:cs="宋体"/>
          <w:sz w:val="24"/>
        </w:rPr>
      </w:pPr>
    </w:p>
    <w:p w14:paraId="150253C7">
      <w:pPr>
        <w:spacing w:line="360" w:lineRule="auto"/>
        <w:ind w:firstLine="448" w:firstLineChars="200"/>
        <w:rPr>
          <w:rFonts w:hint="eastAsia" w:ascii="宋体" w:hAnsi="宋体" w:cs="宋体"/>
          <w:sz w:val="24"/>
        </w:rPr>
      </w:pPr>
    </w:p>
    <w:p w14:paraId="2AB2A1DE">
      <w:pPr>
        <w:spacing w:line="360" w:lineRule="auto"/>
        <w:ind w:firstLine="448" w:firstLineChars="200"/>
        <w:rPr>
          <w:rFonts w:hint="eastAsia" w:ascii="宋体" w:hAnsi="宋体" w:cs="宋体"/>
          <w:sz w:val="24"/>
        </w:rPr>
      </w:pPr>
    </w:p>
    <w:p w14:paraId="75098627">
      <w:pPr>
        <w:spacing w:line="360" w:lineRule="auto"/>
        <w:ind w:firstLine="448" w:firstLineChars="200"/>
        <w:rPr>
          <w:rFonts w:hint="eastAsia" w:ascii="宋体" w:hAnsi="宋体" w:cs="宋体"/>
          <w:sz w:val="24"/>
        </w:rPr>
      </w:pPr>
    </w:p>
    <w:p w14:paraId="192683D2">
      <w:pPr>
        <w:spacing w:line="360" w:lineRule="auto"/>
        <w:ind w:firstLine="448" w:firstLineChars="200"/>
        <w:rPr>
          <w:rFonts w:hint="eastAsia" w:ascii="宋体" w:hAnsi="宋体" w:cs="宋体"/>
          <w:sz w:val="24"/>
        </w:rPr>
      </w:pPr>
    </w:p>
    <w:p w14:paraId="40EE89DE">
      <w:pPr>
        <w:spacing w:line="360" w:lineRule="auto"/>
        <w:ind w:firstLine="448" w:firstLineChars="200"/>
        <w:rPr>
          <w:rFonts w:hint="eastAsia" w:ascii="宋体" w:hAnsi="宋体" w:cs="宋体"/>
          <w:sz w:val="24"/>
        </w:rPr>
      </w:pPr>
    </w:p>
    <w:p w14:paraId="434C76EC">
      <w:pPr>
        <w:spacing w:line="360" w:lineRule="auto"/>
        <w:ind w:firstLine="448" w:firstLineChars="200"/>
        <w:rPr>
          <w:rFonts w:hint="eastAsia" w:ascii="宋体" w:hAnsi="宋体" w:cs="宋体"/>
          <w:sz w:val="24"/>
        </w:rPr>
      </w:pPr>
    </w:p>
    <w:p w14:paraId="7534AF0F">
      <w:pPr>
        <w:spacing w:line="360" w:lineRule="auto"/>
        <w:ind w:firstLine="448" w:firstLineChars="200"/>
        <w:rPr>
          <w:rFonts w:hint="eastAsia" w:ascii="宋体" w:hAnsi="宋体" w:cs="宋体"/>
          <w:sz w:val="24"/>
        </w:rPr>
      </w:pPr>
    </w:p>
    <w:p w14:paraId="33BB11B3">
      <w:pPr>
        <w:spacing w:line="360" w:lineRule="auto"/>
        <w:ind w:firstLine="448" w:firstLineChars="200"/>
        <w:rPr>
          <w:rFonts w:hint="eastAsia" w:ascii="宋体" w:hAnsi="宋体" w:cs="宋体"/>
          <w:sz w:val="24"/>
        </w:rPr>
      </w:pPr>
    </w:p>
    <w:p w14:paraId="7F40EA36">
      <w:pPr>
        <w:spacing w:line="360" w:lineRule="auto"/>
        <w:ind w:firstLine="448" w:firstLineChars="200"/>
        <w:rPr>
          <w:rFonts w:hint="eastAsia" w:ascii="宋体" w:hAnsi="宋体" w:cs="宋体"/>
          <w:sz w:val="24"/>
        </w:rPr>
      </w:pPr>
    </w:p>
    <w:p w14:paraId="4F249B9D">
      <w:pPr>
        <w:spacing w:line="360" w:lineRule="auto"/>
        <w:ind w:firstLine="448" w:firstLineChars="200"/>
        <w:rPr>
          <w:rFonts w:hint="eastAsia" w:ascii="宋体" w:hAnsi="宋体" w:cs="宋体"/>
          <w:sz w:val="24"/>
        </w:rPr>
      </w:pPr>
    </w:p>
    <w:p w14:paraId="04125694">
      <w:pPr>
        <w:spacing w:line="360" w:lineRule="auto"/>
        <w:ind w:firstLine="448" w:firstLineChars="200"/>
        <w:rPr>
          <w:rFonts w:hint="eastAsia" w:ascii="宋体" w:hAnsi="宋体" w:cs="宋体"/>
          <w:sz w:val="24"/>
        </w:rPr>
      </w:pPr>
    </w:p>
    <w:p w14:paraId="2F91D84F">
      <w:pPr>
        <w:spacing w:line="360" w:lineRule="auto"/>
        <w:ind w:firstLine="448" w:firstLineChars="200"/>
        <w:rPr>
          <w:rFonts w:hint="eastAsia" w:ascii="宋体" w:hAnsi="宋体" w:cs="宋体"/>
          <w:sz w:val="24"/>
        </w:rPr>
      </w:pPr>
    </w:p>
    <w:p w14:paraId="62196863">
      <w:pPr>
        <w:spacing w:line="360" w:lineRule="auto"/>
        <w:ind w:firstLine="448" w:firstLineChars="200"/>
        <w:rPr>
          <w:rFonts w:hint="eastAsia" w:ascii="宋体" w:hAnsi="宋体" w:cs="宋体"/>
          <w:sz w:val="24"/>
        </w:rPr>
      </w:pPr>
    </w:p>
    <w:p w14:paraId="630B0FBA">
      <w:pPr>
        <w:spacing w:line="360" w:lineRule="auto"/>
        <w:ind w:firstLine="448" w:firstLineChars="200"/>
        <w:rPr>
          <w:rFonts w:hint="eastAsia" w:ascii="宋体" w:hAnsi="宋体" w:cs="宋体"/>
          <w:sz w:val="24"/>
        </w:rPr>
      </w:pPr>
    </w:p>
    <w:p w14:paraId="3DA36670">
      <w:pPr>
        <w:spacing w:line="360" w:lineRule="auto"/>
        <w:ind w:firstLine="448" w:firstLineChars="200"/>
        <w:rPr>
          <w:rFonts w:hint="eastAsia" w:ascii="宋体" w:hAnsi="宋体" w:cs="宋体"/>
          <w:sz w:val="24"/>
        </w:rPr>
      </w:pPr>
    </w:p>
    <w:p w14:paraId="69541194">
      <w:pPr>
        <w:pStyle w:val="4"/>
        <w:numPr>
          <w:ilvl w:val="1"/>
          <w:numId w:val="0"/>
        </w:numPr>
        <w:spacing w:line="360" w:lineRule="auto"/>
        <w:rPr>
          <w:rFonts w:hint="eastAsia" w:ascii="宋体" w:hAnsi="宋体" w:eastAsia="宋体" w:cs="宋体"/>
        </w:rPr>
      </w:pPr>
    </w:p>
    <w:p w14:paraId="4089E0DD">
      <w:pPr>
        <w:spacing w:line="360" w:lineRule="auto"/>
        <w:ind w:firstLine="448" w:firstLineChars="200"/>
        <w:rPr>
          <w:rFonts w:hint="eastAsia" w:ascii="宋体" w:hAnsi="宋体" w:cs="宋体"/>
          <w:sz w:val="24"/>
        </w:rPr>
      </w:pPr>
    </w:p>
    <w:p w14:paraId="1A104CEF">
      <w:pPr>
        <w:spacing w:line="360" w:lineRule="auto"/>
        <w:ind w:firstLine="448" w:firstLineChars="200"/>
        <w:rPr>
          <w:rFonts w:hint="eastAsia" w:ascii="宋体" w:hAnsi="宋体" w:cs="宋体"/>
          <w:sz w:val="24"/>
        </w:rPr>
      </w:pPr>
    </w:p>
    <w:p w14:paraId="17FF79D5">
      <w:pPr>
        <w:autoSpaceDE w:val="0"/>
        <w:autoSpaceDN w:val="0"/>
        <w:adjustRightInd w:val="0"/>
        <w:spacing w:before="156" w:beforeLines="50" w:after="156" w:afterLines="50" w:line="360" w:lineRule="auto"/>
        <w:jc w:val="center"/>
        <w:rPr>
          <w:rFonts w:hint="eastAsia" w:ascii="宋体" w:hAnsi="宋体" w:cs="宋体"/>
          <w:kern w:val="0"/>
          <w:szCs w:val="21"/>
        </w:rPr>
      </w:pPr>
    </w:p>
    <w:p w14:paraId="74680C3C">
      <w:pPr>
        <w:spacing w:line="360" w:lineRule="auto"/>
        <w:ind w:firstLine="448" w:firstLineChars="200"/>
        <w:rPr>
          <w:rFonts w:hint="eastAsia" w:ascii="宋体" w:hAnsi="宋体" w:cs="宋体"/>
          <w:sz w:val="24"/>
        </w:rPr>
      </w:pPr>
    </w:p>
    <w:p w14:paraId="33A467B1">
      <w:pPr>
        <w:spacing w:line="360" w:lineRule="auto"/>
        <w:rPr>
          <w:rFonts w:hint="eastAsia" w:ascii="宋体" w:hAnsi="宋体" w:cs="宋体"/>
        </w:rPr>
      </w:pPr>
    </w:p>
    <w:p w14:paraId="1DBD9962">
      <w:pPr>
        <w:spacing w:line="360" w:lineRule="auto"/>
        <w:jc w:val="center"/>
        <w:rPr>
          <w:rFonts w:hint="eastAsia" w:ascii="宋体" w:hAnsi="宋体" w:cs="宋体"/>
          <w:kern w:val="0"/>
          <w:sz w:val="30"/>
          <w:szCs w:val="30"/>
        </w:rPr>
      </w:pPr>
      <w:r>
        <w:rPr>
          <w:rFonts w:hint="eastAsia" w:ascii="宋体" w:hAnsi="宋体" w:cs="宋体"/>
          <w:kern w:val="0"/>
          <w:sz w:val="30"/>
          <w:szCs w:val="30"/>
        </w:rPr>
        <w:t>五、三年内在经营活动中没有重大违法记录的声明</w:t>
      </w:r>
    </w:p>
    <w:p w14:paraId="03E43A4A">
      <w:pPr>
        <w:spacing w:line="360" w:lineRule="auto"/>
        <w:rPr>
          <w:rFonts w:hint="eastAsia" w:ascii="宋体" w:hAnsi="宋体" w:cs="宋体"/>
        </w:rPr>
      </w:pPr>
    </w:p>
    <w:p w14:paraId="22AD6075">
      <w:pPr>
        <w:spacing w:line="360" w:lineRule="auto"/>
        <w:ind w:firstLine="672" w:firstLineChars="300"/>
        <w:rPr>
          <w:rFonts w:hint="eastAsia" w:ascii="宋体" w:hAnsi="宋体" w:cs="宋体"/>
          <w:sz w:val="24"/>
        </w:rPr>
      </w:pPr>
      <w:r>
        <w:rPr>
          <w:rFonts w:hint="eastAsia" w:ascii="宋体" w:hAnsi="宋体" w:cs="宋体"/>
          <w:sz w:val="24"/>
        </w:rPr>
        <w:t>本公司郑重声明，根据《中华人民共和国政府采购法实施条例》的规定，本公司三年内在经营活动中没有重大违法记录， 本声明所称重大违法记录，是指供应商因违法经营受到刑事处罚或者责令停产停业、吊销许可证或者执照、较大数额罚款等行政处罚。</w:t>
      </w:r>
    </w:p>
    <w:p w14:paraId="3FFD1584">
      <w:pPr>
        <w:spacing w:line="360" w:lineRule="auto"/>
        <w:ind w:firstLine="672" w:firstLineChars="300"/>
        <w:rPr>
          <w:rFonts w:hint="eastAsia" w:ascii="宋体" w:hAnsi="宋体" w:cs="宋体"/>
          <w:sz w:val="24"/>
        </w:rPr>
      </w:pPr>
      <w:r>
        <w:rPr>
          <w:rFonts w:hint="eastAsia" w:ascii="宋体" w:hAnsi="宋体" w:cs="宋体"/>
          <w:sz w:val="24"/>
        </w:rPr>
        <w:t>本公司对上述声明的真实性负责。如有虚假，将依法承担相应责任。</w:t>
      </w:r>
    </w:p>
    <w:p w14:paraId="51CF8322">
      <w:pPr>
        <w:spacing w:line="360" w:lineRule="auto"/>
        <w:rPr>
          <w:rFonts w:hint="eastAsia" w:ascii="宋体" w:hAnsi="宋体" w:cs="宋体"/>
          <w:sz w:val="24"/>
        </w:rPr>
      </w:pPr>
    </w:p>
    <w:p w14:paraId="695846AA">
      <w:pPr>
        <w:spacing w:line="360" w:lineRule="auto"/>
        <w:rPr>
          <w:rFonts w:hint="eastAsia" w:ascii="宋体" w:hAnsi="宋体" w:cs="宋体"/>
          <w:sz w:val="24"/>
        </w:rPr>
      </w:pPr>
    </w:p>
    <w:p w14:paraId="5862979C">
      <w:pPr>
        <w:adjustRightInd w:val="0"/>
        <w:snapToGrid w:val="0"/>
        <w:spacing w:line="360" w:lineRule="auto"/>
        <w:rPr>
          <w:rFonts w:hint="eastAsia" w:ascii="宋体" w:hAnsi="宋体" w:cs="宋体"/>
          <w:b/>
          <w:bCs/>
          <w:sz w:val="24"/>
        </w:rPr>
      </w:pPr>
    </w:p>
    <w:p w14:paraId="56801916">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69C5F989">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1D1BD5A3">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0498A1B4">
      <w:pPr>
        <w:adjustRightInd w:val="0"/>
        <w:snapToGrid w:val="0"/>
        <w:spacing w:line="360" w:lineRule="auto"/>
        <w:ind w:firstLine="2016" w:firstLineChars="900"/>
        <w:outlineLvl w:val="0"/>
        <w:rPr>
          <w:rFonts w:hint="eastAsia" w:ascii="宋体" w:hAnsi="宋体" w:cs="宋体"/>
          <w:sz w:val="24"/>
        </w:rPr>
      </w:pPr>
      <w:r>
        <w:rPr>
          <w:rFonts w:hint="eastAsia" w:ascii="宋体" w:hAnsi="宋体" w:cs="宋体"/>
          <w:sz w:val="24"/>
        </w:rPr>
        <w:t xml:space="preserve">                 </w:t>
      </w:r>
    </w:p>
    <w:p w14:paraId="51B31521">
      <w:pPr>
        <w:autoSpaceDE w:val="0"/>
        <w:autoSpaceDN w:val="0"/>
        <w:adjustRightInd w:val="0"/>
        <w:spacing w:before="156" w:beforeLines="50" w:after="156" w:afterLines="50" w:line="360" w:lineRule="auto"/>
        <w:rPr>
          <w:rFonts w:hint="eastAsia" w:ascii="宋体" w:hAnsi="宋体" w:cs="宋体"/>
          <w:kern w:val="0"/>
          <w:szCs w:val="21"/>
        </w:rPr>
      </w:pPr>
      <w:r>
        <w:rPr>
          <w:rFonts w:hint="eastAsia" w:ascii="宋体" w:hAnsi="宋体" w:cs="宋体"/>
          <w:sz w:val="24"/>
        </w:rPr>
        <w:t xml:space="preserve">    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5DF55741">
      <w:pPr>
        <w:spacing w:line="360" w:lineRule="auto"/>
        <w:rPr>
          <w:rFonts w:hint="eastAsia" w:ascii="宋体" w:hAnsi="宋体" w:cs="宋体"/>
        </w:rPr>
      </w:pPr>
    </w:p>
    <w:p w14:paraId="25FAAFAA">
      <w:pPr>
        <w:spacing w:line="360" w:lineRule="auto"/>
        <w:rPr>
          <w:rFonts w:hint="eastAsia" w:ascii="宋体" w:hAnsi="宋体" w:cs="宋体"/>
          <w:kern w:val="0"/>
          <w:sz w:val="30"/>
          <w:szCs w:val="30"/>
        </w:rPr>
      </w:pPr>
      <w:r>
        <w:rPr>
          <w:rFonts w:hint="eastAsia" w:ascii="宋体" w:hAnsi="宋体" w:cs="宋体"/>
          <w:kern w:val="0"/>
          <w:sz w:val="30"/>
          <w:szCs w:val="30"/>
        </w:rPr>
        <w:br w:type="page"/>
      </w:r>
    </w:p>
    <w:p w14:paraId="680C37AE">
      <w:pPr>
        <w:pStyle w:val="2"/>
        <w:spacing w:line="360" w:lineRule="auto"/>
        <w:ind w:left="283" w:hanging="284" w:hangingChars="100"/>
        <w:jc w:val="center"/>
        <w:rPr>
          <w:rFonts w:hint="eastAsia" w:ascii="宋体" w:hAnsi="宋体" w:cs="宋体"/>
          <w:b w:val="0"/>
          <w:bCs w:val="0"/>
          <w:kern w:val="0"/>
          <w:sz w:val="30"/>
          <w:szCs w:val="30"/>
        </w:rPr>
      </w:pPr>
      <w:r>
        <w:rPr>
          <w:rFonts w:hint="eastAsia" w:ascii="宋体" w:hAnsi="宋体" w:cs="宋体"/>
          <w:b w:val="0"/>
          <w:bCs w:val="0"/>
          <w:kern w:val="0"/>
          <w:sz w:val="30"/>
          <w:szCs w:val="30"/>
        </w:rPr>
        <w:t>六、招标文件第一章《投标邀请》中投标人特定资格条件的        证明材料</w:t>
      </w:r>
    </w:p>
    <w:p w14:paraId="271F7890">
      <w:pPr>
        <w:autoSpaceDE w:val="0"/>
        <w:autoSpaceDN w:val="0"/>
        <w:adjustRightInd w:val="0"/>
        <w:spacing w:before="156" w:beforeLines="50" w:after="156" w:afterLines="50" w:line="360" w:lineRule="auto"/>
        <w:jc w:val="center"/>
        <w:rPr>
          <w:rFonts w:hint="eastAsia" w:ascii="宋体" w:hAnsi="宋体" w:cs="宋体"/>
          <w:kern w:val="0"/>
          <w:sz w:val="24"/>
        </w:rPr>
      </w:pPr>
      <w:r>
        <w:rPr>
          <w:rFonts w:hint="eastAsia" w:ascii="宋体" w:hAnsi="宋体" w:cs="宋体"/>
          <w:kern w:val="0"/>
          <w:sz w:val="24"/>
        </w:rPr>
        <w:t>（如果有，提供）</w:t>
      </w:r>
    </w:p>
    <w:p w14:paraId="56537F45">
      <w:pPr>
        <w:spacing w:line="360" w:lineRule="auto"/>
        <w:rPr>
          <w:rFonts w:hint="eastAsia" w:ascii="宋体" w:hAnsi="宋体" w:cs="宋体"/>
          <w:kern w:val="0"/>
          <w:sz w:val="30"/>
          <w:szCs w:val="30"/>
        </w:rPr>
      </w:pPr>
      <w:r>
        <w:rPr>
          <w:rFonts w:hint="eastAsia" w:ascii="宋体" w:hAnsi="宋体" w:cs="宋体"/>
          <w:kern w:val="0"/>
          <w:sz w:val="30"/>
          <w:szCs w:val="30"/>
        </w:rPr>
        <w:br w:type="page"/>
      </w:r>
    </w:p>
    <w:p w14:paraId="0155081E">
      <w:pPr>
        <w:pStyle w:val="2"/>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 xml:space="preserve"> 七、联合体协议书</w:t>
      </w:r>
    </w:p>
    <w:p w14:paraId="3E8D5EDA">
      <w:pPr>
        <w:autoSpaceDE w:val="0"/>
        <w:autoSpaceDN w:val="0"/>
        <w:adjustRightInd w:val="0"/>
        <w:spacing w:before="156" w:beforeLines="50" w:after="156" w:afterLines="50" w:line="360" w:lineRule="auto"/>
        <w:jc w:val="center"/>
        <w:rPr>
          <w:rFonts w:hint="eastAsia" w:ascii="宋体" w:hAnsi="宋体" w:cs="宋体"/>
          <w:kern w:val="0"/>
          <w:sz w:val="24"/>
        </w:rPr>
      </w:pPr>
      <w:r>
        <w:rPr>
          <w:rFonts w:hint="eastAsia" w:ascii="宋体" w:hAnsi="宋体" w:cs="宋体"/>
          <w:kern w:val="0"/>
          <w:sz w:val="24"/>
        </w:rPr>
        <w:t>（如果是，提供）</w:t>
      </w:r>
    </w:p>
    <w:p w14:paraId="14887616">
      <w:pPr>
        <w:autoSpaceDE w:val="0"/>
        <w:autoSpaceDN w:val="0"/>
        <w:adjustRightInd w:val="0"/>
        <w:spacing w:before="156" w:beforeLines="50" w:after="156" w:afterLines="50" w:line="360" w:lineRule="auto"/>
        <w:jc w:val="center"/>
        <w:rPr>
          <w:rFonts w:hint="eastAsia" w:ascii="宋体" w:hAnsi="宋体" w:cs="宋体"/>
          <w:kern w:val="0"/>
          <w:sz w:val="24"/>
        </w:rPr>
      </w:pPr>
    </w:p>
    <w:p w14:paraId="70B12A32">
      <w:pPr>
        <w:spacing w:line="360" w:lineRule="auto"/>
        <w:ind w:firstLine="448" w:firstLineChars="200"/>
        <w:rPr>
          <w:rFonts w:hint="eastAsia" w:ascii="宋体" w:hAnsi="宋体" w:cs="宋体"/>
          <w:sz w:val="24"/>
        </w:rPr>
      </w:pPr>
      <w:r>
        <w:rPr>
          <w:rFonts w:hint="eastAsia" w:ascii="宋体" w:hAnsi="宋体" w:cs="宋体"/>
          <w:sz w:val="24"/>
          <w:u w:val="single"/>
        </w:rPr>
        <w:t xml:space="preserve">            </w:t>
      </w:r>
      <w:r>
        <w:rPr>
          <w:rFonts w:hint="eastAsia" w:ascii="宋体" w:hAnsi="宋体" w:cs="宋体"/>
          <w:sz w:val="24"/>
        </w:rPr>
        <w:t>（所有成员单位名称）自愿组成联合体，共同参加</w:t>
      </w:r>
      <w:r>
        <w:rPr>
          <w:rFonts w:hint="eastAsia" w:ascii="宋体" w:hAnsi="宋体" w:cs="宋体"/>
          <w:sz w:val="24"/>
          <w:u w:val="single"/>
        </w:rPr>
        <w:t xml:space="preserve">          </w:t>
      </w:r>
      <w:r>
        <w:rPr>
          <w:rFonts w:hint="eastAsia" w:ascii="宋体" w:hAnsi="宋体" w:cs="宋体"/>
          <w:sz w:val="24"/>
        </w:rPr>
        <w:t>（项目名称、项目编号、包号）投标。现就联合体投标事宜订立如下协议。</w:t>
      </w:r>
    </w:p>
    <w:p w14:paraId="03DBBBFF">
      <w:pPr>
        <w:spacing w:line="360" w:lineRule="auto"/>
        <w:rPr>
          <w:rFonts w:hint="eastAsia" w:ascii="宋体" w:hAnsi="宋体" w:cs="宋体"/>
          <w:sz w:val="24"/>
        </w:rPr>
      </w:pPr>
      <w:r>
        <w:rPr>
          <w:rFonts w:hint="eastAsia" w:ascii="宋体" w:hAnsi="宋体" w:cs="宋体"/>
          <w:sz w:val="24"/>
        </w:rPr>
        <w:t xml:space="preserve"> </w:t>
      </w:r>
    </w:p>
    <w:p w14:paraId="23F28EAF">
      <w:pPr>
        <w:spacing w:line="360" w:lineRule="auto"/>
        <w:ind w:firstLine="448" w:firstLineChars="200"/>
        <w:rPr>
          <w:rFonts w:hint="eastAsia" w:ascii="宋体" w:hAnsi="宋体" w:cs="宋体"/>
          <w:sz w:val="24"/>
        </w:rPr>
      </w:pPr>
      <w:r>
        <w:rPr>
          <w:rFonts w:hint="eastAsia" w:ascii="宋体" w:hAnsi="宋体" w:cs="宋体"/>
          <w:sz w:val="24"/>
        </w:rPr>
        <w:t>1.联合体各成员将严格按照招标文件、投标文件和合同的要求全面履行义务，并向采购人承担连带责任。</w:t>
      </w:r>
    </w:p>
    <w:p w14:paraId="30028CC7">
      <w:pPr>
        <w:spacing w:line="360" w:lineRule="auto"/>
        <w:ind w:firstLine="448" w:firstLineChars="200"/>
        <w:rPr>
          <w:rFonts w:hint="eastAsia" w:ascii="宋体" w:hAnsi="宋体" w:cs="宋体"/>
          <w:sz w:val="24"/>
        </w:rPr>
      </w:pPr>
      <w:r>
        <w:rPr>
          <w:rFonts w:hint="eastAsia" w:ascii="宋体" w:hAnsi="宋体" w:cs="宋体"/>
          <w:sz w:val="24"/>
        </w:rPr>
        <w:t>2. 联合体各成员单位内部的职责分工如下：</w:t>
      </w:r>
      <w:r>
        <w:rPr>
          <w:rFonts w:hint="eastAsia" w:ascii="宋体" w:hAnsi="宋体" w:cs="宋体"/>
          <w:sz w:val="24"/>
          <w:u w:val="single"/>
        </w:rPr>
        <w:t xml:space="preserve">                  </w:t>
      </w:r>
      <w:r>
        <w:rPr>
          <w:rFonts w:hint="eastAsia" w:ascii="宋体" w:hAnsi="宋体" w:cs="宋体"/>
          <w:sz w:val="24"/>
        </w:rPr>
        <w:t xml:space="preserve"> 。</w:t>
      </w:r>
    </w:p>
    <w:p w14:paraId="56CBBCAE">
      <w:pPr>
        <w:spacing w:line="360" w:lineRule="auto"/>
        <w:rPr>
          <w:rFonts w:hint="eastAsia" w:ascii="宋体" w:hAnsi="宋体" w:cs="宋体"/>
          <w:b/>
          <w:sz w:val="24"/>
        </w:rPr>
      </w:pPr>
      <w:r>
        <w:rPr>
          <w:rFonts w:hint="eastAsia" w:ascii="宋体" w:hAnsi="宋体" w:cs="宋体"/>
          <w:sz w:val="24"/>
        </w:rPr>
        <w:t xml:space="preserve">    3. (</w:t>
      </w:r>
      <w:r>
        <w:rPr>
          <w:rFonts w:hint="eastAsia" w:ascii="宋体" w:hAnsi="宋体" w:cs="宋体"/>
          <w:sz w:val="24"/>
          <w:lang w:val="en-GB"/>
        </w:rPr>
        <w:t>联合体一方为小型、微型企业且小型、微型企业协议合同金额占联合体协议合同总金额30%以上的，填写此项)联合体中</w:t>
      </w:r>
      <w:r>
        <w:rPr>
          <w:rFonts w:hint="eastAsia" w:ascii="宋体" w:hAnsi="宋体" w:cs="宋体"/>
          <w:sz w:val="24"/>
          <w:u w:val="single"/>
        </w:rPr>
        <w:t xml:space="preserve">                  </w:t>
      </w:r>
      <w:r>
        <w:rPr>
          <w:rFonts w:hint="eastAsia" w:ascii="宋体" w:hAnsi="宋体" w:cs="宋体"/>
          <w:sz w:val="24"/>
        </w:rPr>
        <w:t>为小微企业，</w:t>
      </w:r>
      <w:r>
        <w:rPr>
          <w:rFonts w:hint="eastAsia" w:ascii="宋体" w:hAnsi="宋体" w:cs="宋体"/>
          <w:sz w:val="24"/>
          <w:lang w:val="en-GB"/>
        </w:rPr>
        <w:t>该成员协议合同金额占联合体协议合同总金额</w:t>
      </w:r>
      <w:r>
        <w:rPr>
          <w:rFonts w:hint="eastAsia" w:ascii="宋体" w:hAnsi="宋体" w:cs="宋体"/>
          <w:sz w:val="24"/>
          <w:u w:val="single"/>
          <w:lang w:val="en-GB"/>
        </w:rPr>
        <w:t xml:space="preserve">     </w:t>
      </w:r>
      <w:r>
        <w:rPr>
          <w:rFonts w:hint="eastAsia" w:ascii="宋体" w:hAnsi="宋体" w:cs="宋体"/>
          <w:sz w:val="24"/>
          <w:lang w:val="en-GB"/>
        </w:rPr>
        <w:t>%。</w:t>
      </w:r>
    </w:p>
    <w:p w14:paraId="1298649A">
      <w:pPr>
        <w:spacing w:line="360" w:lineRule="auto"/>
        <w:ind w:firstLine="448" w:firstLineChars="200"/>
        <w:rPr>
          <w:rFonts w:hint="eastAsia" w:ascii="宋体" w:hAnsi="宋体" w:cs="宋体"/>
          <w:sz w:val="24"/>
        </w:rPr>
      </w:pPr>
      <w:r>
        <w:rPr>
          <w:rFonts w:hint="eastAsia" w:ascii="宋体" w:hAnsi="宋体" w:cs="宋体"/>
          <w:sz w:val="24"/>
        </w:rPr>
        <w:t>4. 本协议书自所有成员单位法定代表人（单位负责人）或其委托代理人签字或盖单位章之日起生效，合同履行完毕后自动失效。</w:t>
      </w:r>
    </w:p>
    <w:p w14:paraId="7E58D1ED">
      <w:pPr>
        <w:spacing w:line="360" w:lineRule="auto"/>
        <w:rPr>
          <w:rFonts w:hint="eastAsia" w:ascii="宋体" w:hAnsi="宋体" w:cs="宋体"/>
          <w:sz w:val="24"/>
        </w:rPr>
      </w:pPr>
      <w:r>
        <w:rPr>
          <w:rFonts w:hint="eastAsia" w:ascii="宋体" w:hAnsi="宋体" w:cs="宋体"/>
          <w:sz w:val="24"/>
        </w:rPr>
        <w:t xml:space="preserve">    </w:t>
      </w:r>
    </w:p>
    <w:p w14:paraId="78F8E237">
      <w:pPr>
        <w:spacing w:line="360" w:lineRule="auto"/>
        <w:rPr>
          <w:rFonts w:hint="eastAsia" w:ascii="宋体" w:hAnsi="宋体" w:cs="宋体"/>
          <w:sz w:val="24"/>
        </w:rPr>
      </w:pPr>
      <w:r>
        <w:rPr>
          <w:rFonts w:hint="eastAsia" w:ascii="宋体" w:hAnsi="宋体" w:cs="宋体"/>
          <w:sz w:val="24"/>
        </w:rPr>
        <w:t xml:space="preserve"> </w:t>
      </w:r>
    </w:p>
    <w:p w14:paraId="7A1C2CB8">
      <w:pPr>
        <w:spacing w:line="360" w:lineRule="auto"/>
        <w:rPr>
          <w:rFonts w:hint="eastAsia" w:ascii="宋体" w:hAnsi="宋体" w:cs="宋体"/>
          <w:sz w:val="24"/>
        </w:rPr>
      </w:pPr>
    </w:p>
    <w:p w14:paraId="64C9DAAC">
      <w:pPr>
        <w:spacing w:line="360" w:lineRule="auto"/>
        <w:rPr>
          <w:rFonts w:hint="eastAsia" w:ascii="宋体" w:hAnsi="宋体" w:cs="宋体"/>
          <w:sz w:val="24"/>
        </w:rPr>
      </w:pPr>
    </w:p>
    <w:p w14:paraId="5FC1938B">
      <w:pPr>
        <w:spacing w:line="360" w:lineRule="auto"/>
        <w:ind w:firstLine="448" w:firstLineChars="200"/>
        <w:rPr>
          <w:rFonts w:hint="eastAsia" w:ascii="宋体" w:hAnsi="宋体" w:cs="宋体"/>
          <w:sz w:val="24"/>
          <w:u w:val="single"/>
        </w:rPr>
      </w:pPr>
      <w:r>
        <w:rPr>
          <w:rFonts w:hint="eastAsia" w:ascii="宋体" w:hAnsi="宋体" w:cs="宋体"/>
          <w:sz w:val="24"/>
        </w:rPr>
        <w:t>联合体成员名称：</w:t>
      </w:r>
      <w:r>
        <w:rPr>
          <w:rFonts w:hint="eastAsia" w:ascii="宋体" w:hAnsi="宋体" w:cs="宋体"/>
          <w:sz w:val="24"/>
          <w:u w:val="single"/>
        </w:rPr>
        <w:t xml:space="preserve">                      （签章）</w:t>
      </w:r>
    </w:p>
    <w:p w14:paraId="7DA4ABB5">
      <w:pPr>
        <w:spacing w:line="360" w:lineRule="auto"/>
        <w:ind w:firstLine="446"/>
        <w:rPr>
          <w:rFonts w:hint="eastAsia" w:ascii="宋体" w:hAnsi="宋体" w:cs="宋体"/>
          <w:sz w:val="24"/>
          <w:u w:val="single"/>
        </w:rPr>
      </w:pPr>
      <w:r>
        <w:rPr>
          <w:rFonts w:hint="eastAsia" w:ascii="宋体" w:hAnsi="宋体" w:cs="宋体"/>
          <w:sz w:val="24"/>
        </w:rPr>
        <w:t>法定代表人（单位负责人）：</w:t>
      </w:r>
      <w:r>
        <w:rPr>
          <w:rFonts w:hint="eastAsia" w:ascii="宋体" w:hAnsi="宋体" w:cs="宋体"/>
          <w:sz w:val="24"/>
          <w:u w:val="single"/>
        </w:rPr>
        <w:t xml:space="preserve">            （签章）</w:t>
      </w:r>
    </w:p>
    <w:p w14:paraId="2E0C803C">
      <w:pPr>
        <w:spacing w:line="360" w:lineRule="auto"/>
        <w:ind w:firstLine="446"/>
        <w:rPr>
          <w:rFonts w:hint="eastAsia" w:ascii="宋体" w:hAnsi="宋体" w:cs="宋体"/>
          <w:sz w:val="24"/>
        </w:rPr>
      </w:pPr>
    </w:p>
    <w:p w14:paraId="1671F0F5">
      <w:pPr>
        <w:spacing w:line="360" w:lineRule="auto"/>
        <w:ind w:firstLine="446"/>
        <w:rPr>
          <w:rFonts w:hint="eastAsia" w:ascii="宋体" w:hAnsi="宋体" w:cs="宋体"/>
          <w:sz w:val="24"/>
        </w:rPr>
      </w:pPr>
      <w:r>
        <w:rPr>
          <w:rFonts w:hint="eastAsia" w:ascii="宋体" w:hAnsi="宋体" w:cs="宋体"/>
          <w:sz w:val="24"/>
        </w:rPr>
        <w:t>联合体成员名称：</w:t>
      </w:r>
      <w:r>
        <w:rPr>
          <w:rFonts w:hint="eastAsia" w:ascii="宋体" w:hAnsi="宋体" w:cs="宋体"/>
          <w:sz w:val="24"/>
          <w:u w:val="single"/>
        </w:rPr>
        <w:t xml:space="preserve">                      （签章）</w:t>
      </w:r>
    </w:p>
    <w:p w14:paraId="662473A1">
      <w:pPr>
        <w:spacing w:line="360" w:lineRule="auto"/>
        <w:rPr>
          <w:rFonts w:hint="eastAsia" w:ascii="宋体" w:hAnsi="宋体" w:cs="宋体"/>
          <w:sz w:val="24"/>
        </w:rPr>
      </w:pPr>
      <w:r>
        <w:rPr>
          <w:rFonts w:hint="eastAsia" w:ascii="宋体" w:hAnsi="宋体" w:cs="宋体"/>
          <w:sz w:val="24"/>
        </w:rPr>
        <w:t xml:space="preserve">    法定代表人（单位负责人）：</w:t>
      </w:r>
      <w:r>
        <w:rPr>
          <w:rFonts w:hint="eastAsia" w:ascii="宋体" w:hAnsi="宋体" w:cs="宋体"/>
          <w:sz w:val="24"/>
          <w:u w:val="single"/>
        </w:rPr>
        <w:t xml:space="preserve">            （签章）</w:t>
      </w:r>
    </w:p>
    <w:p w14:paraId="3A543552">
      <w:pPr>
        <w:spacing w:line="360" w:lineRule="auto"/>
        <w:rPr>
          <w:rFonts w:hint="eastAsia" w:ascii="宋体" w:hAnsi="宋体" w:cs="宋体"/>
          <w:sz w:val="24"/>
        </w:rPr>
      </w:pPr>
    </w:p>
    <w:p w14:paraId="28A9450E">
      <w:pPr>
        <w:spacing w:line="360" w:lineRule="auto"/>
        <w:ind w:firstLine="448" w:firstLineChars="200"/>
        <w:rPr>
          <w:rFonts w:hint="eastAsia" w:ascii="宋体" w:hAnsi="宋体" w:cs="宋体"/>
          <w:sz w:val="24"/>
        </w:rPr>
      </w:pPr>
      <w:r>
        <w:rPr>
          <w:rFonts w:hint="eastAsia" w:ascii="宋体" w:hAnsi="宋体" w:cs="宋体"/>
          <w:sz w:val="24"/>
        </w:rPr>
        <w:t>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1B778B22">
      <w:pPr>
        <w:autoSpaceDE w:val="0"/>
        <w:autoSpaceDN w:val="0"/>
        <w:adjustRightInd w:val="0"/>
        <w:spacing w:before="156" w:beforeLines="50" w:after="156" w:afterLines="50" w:line="360" w:lineRule="auto"/>
        <w:rPr>
          <w:rFonts w:hint="eastAsia" w:ascii="宋体" w:hAnsi="宋体" w:cs="宋体"/>
          <w:kern w:val="0"/>
          <w:sz w:val="24"/>
        </w:rPr>
      </w:pPr>
    </w:p>
    <w:p w14:paraId="1498B65A">
      <w:pPr>
        <w:pStyle w:val="30"/>
        <w:spacing w:line="360" w:lineRule="auto"/>
        <w:ind w:right="77" w:rightChars="40"/>
        <w:rPr>
          <w:rFonts w:hint="eastAsia" w:ascii="宋体" w:hAnsi="宋体" w:cs="宋体"/>
          <w:sz w:val="24"/>
          <w:szCs w:val="24"/>
        </w:rPr>
      </w:pPr>
    </w:p>
    <w:p w14:paraId="5AF85ABA">
      <w:pPr>
        <w:pStyle w:val="2"/>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八、投标人有关资格条件声明函</w:t>
      </w:r>
    </w:p>
    <w:p w14:paraId="6048BC1E">
      <w:pPr>
        <w:pStyle w:val="30"/>
        <w:spacing w:line="360" w:lineRule="auto"/>
        <w:ind w:right="77" w:rightChars="40"/>
        <w:rPr>
          <w:rFonts w:hint="eastAsia" w:ascii="宋体" w:hAnsi="宋体" w:cs="宋体"/>
          <w:sz w:val="24"/>
          <w:szCs w:val="24"/>
        </w:rPr>
      </w:pPr>
    </w:p>
    <w:p w14:paraId="15D9434C">
      <w:pPr>
        <w:pStyle w:val="30"/>
        <w:spacing w:line="360" w:lineRule="auto"/>
        <w:ind w:right="77" w:rightChars="40"/>
        <w:rPr>
          <w:rFonts w:hint="eastAsia" w:ascii="宋体" w:hAnsi="宋体" w:cs="宋体"/>
          <w:sz w:val="24"/>
          <w:szCs w:val="24"/>
        </w:rPr>
      </w:pPr>
      <w:r>
        <w:rPr>
          <w:rFonts w:hint="eastAsia" w:ascii="宋体" w:hAnsi="宋体" w:cs="宋体"/>
          <w:sz w:val="24"/>
          <w:szCs w:val="24"/>
        </w:rPr>
        <w:t>集安市政府采购中心：</w:t>
      </w:r>
    </w:p>
    <w:p w14:paraId="1F5BE835">
      <w:pPr>
        <w:pStyle w:val="30"/>
        <w:spacing w:line="360" w:lineRule="auto"/>
        <w:ind w:right="77" w:rightChars="40" w:firstLine="448" w:firstLineChars="200"/>
        <w:rPr>
          <w:rFonts w:hint="eastAsia" w:ascii="宋体" w:hAnsi="宋体" w:cs="宋体"/>
          <w:sz w:val="24"/>
          <w:szCs w:val="24"/>
        </w:rPr>
      </w:pPr>
      <w:r>
        <w:rPr>
          <w:rFonts w:hint="eastAsia" w:ascii="宋体" w:hAnsi="宋体" w:cs="宋体"/>
          <w:sz w:val="24"/>
          <w:szCs w:val="24"/>
        </w:rPr>
        <w:t>我方参加贵方组织的</w:t>
      </w:r>
      <w:r>
        <w:rPr>
          <w:rFonts w:hint="eastAsia" w:ascii="宋体" w:hAnsi="宋体" w:cs="宋体"/>
          <w:sz w:val="24"/>
          <w:szCs w:val="24"/>
          <w:u w:val="single"/>
        </w:rPr>
        <w:t xml:space="preserve">        </w:t>
      </w:r>
      <w:r>
        <w:rPr>
          <w:rFonts w:hint="eastAsia" w:ascii="宋体" w:hAnsi="宋体" w:cs="宋体"/>
          <w:sz w:val="24"/>
          <w:szCs w:val="24"/>
        </w:rPr>
        <w:t>（项目名称、项目编号、包号）的投标，现就有关资格条件声明如下：</w:t>
      </w:r>
    </w:p>
    <w:p w14:paraId="1D0E7E75">
      <w:pPr>
        <w:pStyle w:val="30"/>
        <w:spacing w:line="360" w:lineRule="auto"/>
        <w:ind w:right="77" w:rightChars="40" w:firstLine="448" w:firstLineChars="200"/>
        <w:rPr>
          <w:rFonts w:hint="eastAsia" w:ascii="宋体" w:hAnsi="宋体" w:cs="宋体"/>
          <w:sz w:val="24"/>
          <w:szCs w:val="24"/>
        </w:rPr>
      </w:pPr>
      <w:r>
        <w:rPr>
          <w:rFonts w:hint="eastAsia" w:ascii="宋体" w:hAnsi="宋体" w:cs="宋体"/>
          <w:sz w:val="24"/>
          <w:szCs w:val="24"/>
        </w:rPr>
        <w:t>我方具备《中华人民共和国政府采购法》第二十二条所规定的条件，并已清楚招标文件的要求及有关文件规定。</w:t>
      </w:r>
    </w:p>
    <w:p w14:paraId="1C068550">
      <w:pPr>
        <w:pStyle w:val="30"/>
        <w:spacing w:line="360" w:lineRule="auto"/>
        <w:ind w:right="77" w:rightChars="40" w:firstLine="448" w:firstLineChars="200"/>
        <w:rPr>
          <w:rFonts w:hint="eastAsia" w:ascii="宋体" w:hAnsi="宋体" w:cs="宋体"/>
          <w:sz w:val="24"/>
          <w:szCs w:val="24"/>
        </w:rPr>
      </w:pPr>
      <w:r>
        <w:rPr>
          <w:rFonts w:hint="eastAsia" w:ascii="宋体" w:hAnsi="宋体" w:cs="宋体"/>
          <w:sz w:val="24"/>
          <w:szCs w:val="24"/>
        </w:rPr>
        <w:t>（一）具有履行合同所必需的设备和专业技术能力；</w:t>
      </w:r>
    </w:p>
    <w:p w14:paraId="4B0645BA">
      <w:pPr>
        <w:pStyle w:val="30"/>
        <w:spacing w:line="360" w:lineRule="auto"/>
        <w:ind w:right="77" w:rightChars="40" w:firstLine="448" w:firstLineChars="200"/>
        <w:rPr>
          <w:rFonts w:hint="eastAsia" w:ascii="宋体" w:hAnsi="宋体" w:cs="宋体"/>
          <w:sz w:val="24"/>
          <w:szCs w:val="24"/>
        </w:rPr>
      </w:pPr>
      <w:r>
        <w:rPr>
          <w:rFonts w:hint="eastAsia" w:ascii="宋体" w:hAnsi="宋体" w:cs="宋体"/>
          <w:sz w:val="24"/>
          <w:szCs w:val="24"/>
        </w:rPr>
        <w:t>（二）符合“为采购项目提供整体设计、规范编制或者项目管理、监理、检测等货物的供应商，不得再参加该采购项目的其他采购活动”的规定；</w:t>
      </w:r>
    </w:p>
    <w:p w14:paraId="47569AC6">
      <w:pPr>
        <w:pStyle w:val="30"/>
        <w:spacing w:line="360" w:lineRule="auto"/>
        <w:ind w:right="77" w:rightChars="40" w:firstLine="448" w:firstLineChars="200"/>
        <w:rPr>
          <w:rFonts w:hint="eastAsia" w:ascii="宋体" w:hAnsi="宋体" w:cs="宋体"/>
          <w:sz w:val="24"/>
          <w:szCs w:val="24"/>
        </w:rPr>
      </w:pPr>
      <w:r>
        <w:rPr>
          <w:rFonts w:hint="eastAsia" w:ascii="宋体" w:hAnsi="宋体" w:cs="宋体"/>
          <w:sz w:val="24"/>
          <w:szCs w:val="24"/>
        </w:rPr>
        <w:t>（三）符合法律、行政法规规定的其他条件，包括但不限于：招标文件未要求提供但生产、销售这些产品，提供这些货物必须取得有关主管部门的行政许可，任何情况下，我方将无条件按照贵方和采购人的要求提供上述证明材料。</w:t>
      </w:r>
    </w:p>
    <w:p w14:paraId="61872223">
      <w:pPr>
        <w:pStyle w:val="30"/>
        <w:spacing w:line="360" w:lineRule="auto"/>
        <w:ind w:right="77" w:rightChars="40" w:firstLine="448" w:firstLineChars="200"/>
        <w:rPr>
          <w:rFonts w:hint="eastAsia" w:ascii="宋体" w:hAnsi="宋体" w:cs="宋体"/>
          <w:sz w:val="24"/>
          <w:szCs w:val="24"/>
        </w:rPr>
      </w:pPr>
      <w:r>
        <w:rPr>
          <w:rFonts w:hint="eastAsia" w:ascii="宋体" w:hAnsi="宋体" w:cs="宋体"/>
          <w:sz w:val="24"/>
          <w:szCs w:val="24"/>
        </w:rPr>
        <w:t>（四）除招标文件第二章要求提供政府强制采购产品认证证书以外的投标产品，如列入投标截止日前最新发布的《节能产品政府采购品目清单》、《环境标志产品政府采购品目清单》，且属于政府强制采购产品类别的，我方承诺提供的有关产品符合节能、环保要求，并将无条件按照贵方和采购人的要求，提供依据国家确定的认证机构出具的、处于有效期之内的节能产品或环境标志产品认证证书。</w:t>
      </w:r>
    </w:p>
    <w:p w14:paraId="2B54E68B">
      <w:pPr>
        <w:pStyle w:val="30"/>
        <w:spacing w:line="360" w:lineRule="auto"/>
        <w:ind w:right="77" w:rightChars="40" w:firstLine="448" w:firstLineChars="200"/>
        <w:rPr>
          <w:rFonts w:hint="eastAsia" w:ascii="宋体" w:hAnsi="宋体" w:cs="宋体"/>
          <w:sz w:val="24"/>
          <w:szCs w:val="24"/>
        </w:rPr>
      </w:pPr>
      <w:r>
        <w:rPr>
          <w:rFonts w:hint="eastAsia" w:ascii="宋体" w:hAnsi="宋体" w:cs="宋体"/>
          <w:sz w:val="24"/>
          <w:szCs w:val="24"/>
        </w:rPr>
        <w:t>我方对上述声明的真实性负责。如有虚假，将依法承担相应责任。</w:t>
      </w:r>
    </w:p>
    <w:p w14:paraId="3FD1C904">
      <w:pPr>
        <w:pStyle w:val="30"/>
        <w:spacing w:line="360" w:lineRule="auto"/>
        <w:ind w:right="77" w:rightChars="40"/>
        <w:rPr>
          <w:rFonts w:hint="eastAsia" w:ascii="宋体" w:hAnsi="宋体" w:cs="宋体"/>
          <w:b/>
          <w:sz w:val="24"/>
          <w:szCs w:val="24"/>
        </w:rPr>
      </w:pPr>
    </w:p>
    <w:p w14:paraId="0E719BE7">
      <w:pPr>
        <w:pStyle w:val="30"/>
        <w:spacing w:line="360" w:lineRule="auto"/>
        <w:ind w:right="77" w:rightChars="40"/>
        <w:rPr>
          <w:rFonts w:hint="eastAsia" w:ascii="宋体" w:hAnsi="宋体" w:cs="宋体"/>
          <w:b/>
          <w:sz w:val="24"/>
          <w:szCs w:val="24"/>
        </w:rPr>
      </w:pPr>
    </w:p>
    <w:p w14:paraId="7CEC80E3">
      <w:pPr>
        <w:pStyle w:val="30"/>
        <w:spacing w:line="360" w:lineRule="auto"/>
        <w:ind w:right="77" w:rightChars="40"/>
        <w:rPr>
          <w:rFonts w:hint="eastAsia" w:ascii="宋体" w:hAnsi="宋体" w:cs="宋体"/>
          <w:b/>
          <w:sz w:val="24"/>
          <w:szCs w:val="24"/>
        </w:rPr>
      </w:pPr>
    </w:p>
    <w:p w14:paraId="1BBC802E">
      <w:pPr>
        <w:pStyle w:val="30"/>
        <w:spacing w:line="360" w:lineRule="auto"/>
        <w:ind w:right="77" w:rightChars="40" w:firstLine="448" w:firstLineChars="200"/>
        <w:rPr>
          <w:rFonts w:hint="eastAsia" w:ascii="宋体" w:hAnsi="宋体" w:cs="宋体"/>
          <w:b/>
          <w:sz w:val="24"/>
          <w:szCs w:val="24"/>
        </w:rPr>
      </w:pPr>
    </w:p>
    <w:p w14:paraId="5EC487DC">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691A7802">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2DA9A7BF">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04039570">
      <w:pPr>
        <w:adjustRightInd w:val="0"/>
        <w:snapToGrid w:val="0"/>
        <w:spacing w:line="360" w:lineRule="auto"/>
        <w:ind w:firstLine="2016" w:firstLineChars="900"/>
        <w:outlineLvl w:val="0"/>
        <w:rPr>
          <w:rFonts w:hint="eastAsia" w:ascii="宋体" w:hAnsi="宋体" w:cs="宋体"/>
          <w:sz w:val="24"/>
        </w:rPr>
      </w:pPr>
      <w:r>
        <w:rPr>
          <w:rFonts w:hint="eastAsia" w:ascii="宋体" w:hAnsi="宋体" w:cs="宋体"/>
          <w:sz w:val="24"/>
        </w:rPr>
        <w:t xml:space="preserve">                 </w:t>
      </w:r>
    </w:p>
    <w:p w14:paraId="283C1C66">
      <w:pPr>
        <w:autoSpaceDE w:val="0"/>
        <w:autoSpaceDN w:val="0"/>
        <w:adjustRightInd w:val="0"/>
        <w:spacing w:before="156" w:beforeLines="50" w:after="156" w:afterLines="50" w:line="360" w:lineRule="auto"/>
        <w:rPr>
          <w:rFonts w:hint="eastAsia" w:ascii="宋体" w:hAnsi="宋体" w:cs="宋体"/>
          <w:kern w:val="0"/>
          <w:szCs w:val="21"/>
        </w:rPr>
      </w:pPr>
      <w:r>
        <w:rPr>
          <w:rFonts w:hint="eastAsia" w:ascii="宋体" w:hAnsi="宋体" w:cs="宋体"/>
          <w:sz w:val="24"/>
        </w:rPr>
        <w:t xml:space="preserve">    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0F8F0749">
      <w:pPr>
        <w:pStyle w:val="30"/>
        <w:spacing w:line="360" w:lineRule="auto"/>
        <w:ind w:right="77" w:rightChars="40"/>
        <w:rPr>
          <w:rFonts w:hint="eastAsia" w:ascii="宋体" w:hAnsi="宋体" w:cs="宋体"/>
          <w:sz w:val="24"/>
          <w:szCs w:val="24"/>
        </w:rPr>
      </w:pPr>
    </w:p>
    <w:p w14:paraId="7CF6D106">
      <w:pPr>
        <w:pStyle w:val="2"/>
        <w:spacing w:line="360" w:lineRule="auto"/>
        <w:jc w:val="center"/>
        <w:rPr>
          <w:rFonts w:hint="eastAsia" w:ascii="宋体" w:hAnsi="宋体" w:cs="宋体"/>
          <w:b w:val="0"/>
          <w:bCs w:val="0"/>
          <w:kern w:val="0"/>
          <w:sz w:val="30"/>
          <w:szCs w:val="30"/>
        </w:rPr>
      </w:pPr>
    </w:p>
    <w:p w14:paraId="6760A2EC">
      <w:pPr>
        <w:pStyle w:val="2"/>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九、投标人认为需提供的其它相关资格证明材料</w:t>
      </w:r>
    </w:p>
    <w:p w14:paraId="7C2634BA">
      <w:pPr>
        <w:autoSpaceDE w:val="0"/>
        <w:autoSpaceDN w:val="0"/>
        <w:adjustRightInd w:val="0"/>
        <w:spacing w:before="156" w:beforeLines="50" w:after="156" w:afterLines="50" w:line="360" w:lineRule="auto"/>
        <w:jc w:val="center"/>
        <w:rPr>
          <w:rStyle w:val="17"/>
          <w:rFonts w:hint="eastAsia" w:ascii="宋体" w:hAnsi="宋体" w:cs="宋体"/>
          <w:b w:val="0"/>
          <w:bCs w:val="0"/>
          <w:kern w:val="0"/>
          <w:sz w:val="24"/>
        </w:rPr>
      </w:pPr>
      <w:r>
        <w:rPr>
          <w:rFonts w:hint="eastAsia" w:ascii="宋体" w:hAnsi="宋体" w:cs="宋体"/>
          <w:kern w:val="0"/>
          <w:sz w:val="24"/>
        </w:rPr>
        <w:t>（如果有，提供）</w:t>
      </w:r>
    </w:p>
    <w:p w14:paraId="1378CCB5">
      <w:pPr>
        <w:spacing w:line="360" w:lineRule="auto"/>
        <w:outlineLvl w:val="1"/>
        <w:rPr>
          <w:rStyle w:val="17"/>
          <w:rFonts w:hint="eastAsia" w:ascii="宋体" w:hAnsi="宋体" w:cs="宋体"/>
          <w:kern w:val="0"/>
          <w:sz w:val="52"/>
          <w:szCs w:val="52"/>
        </w:rPr>
      </w:pPr>
    </w:p>
    <w:p w14:paraId="4A6D5468">
      <w:pPr>
        <w:spacing w:line="360" w:lineRule="auto"/>
        <w:rPr>
          <w:rStyle w:val="17"/>
          <w:rFonts w:hint="eastAsia" w:ascii="宋体" w:hAnsi="宋体" w:cs="宋体"/>
          <w:kern w:val="0"/>
          <w:sz w:val="52"/>
          <w:szCs w:val="52"/>
        </w:rPr>
      </w:pPr>
      <w:r>
        <w:rPr>
          <w:rStyle w:val="17"/>
          <w:rFonts w:hint="eastAsia" w:ascii="宋体" w:hAnsi="宋体" w:cs="宋体"/>
          <w:kern w:val="0"/>
          <w:sz w:val="52"/>
          <w:szCs w:val="52"/>
        </w:rPr>
        <w:br w:type="page"/>
      </w:r>
    </w:p>
    <w:p w14:paraId="36405235">
      <w:pPr>
        <w:spacing w:line="360" w:lineRule="auto"/>
        <w:jc w:val="center"/>
        <w:outlineLvl w:val="1"/>
        <w:rPr>
          <w:rStyle w:val="17"/>
          <w:rFonts w:hint="eastAsia" w:ascii="宋体" w:hAnsi="宋体" w:cs="宋体"/>
          <w:kern w:val="0"/>
          <w:sz w:val="52"/>
          <w:szCs w:val="52"/>
        </w:rPr>
      </w:pPr>
      <w:r>
        <w:rPr>
          <w:rStyle w:val="17"/>
          <w:rFonts w:hint="eastAsia" w:ascii="宋体" w:hAnsi="宋体" w:cs="宋体"/>
          <w:kern w:val="0"/>
          <w:sz w:val="52"/>
          <w:szCs w:val="52"/>
        </w:rPr>
        <w:t>第二部分  商务文件</w:t>
      </w:r>
    </w:p>
    <w:p w14:paraId="5F7AEA10">
      <w:pPr>
        <w:autoSpaceDE w:val="0"/>
        <w:autoSpaceDN w:val="0"/>
        <w:adjustRightInd w:val="0"/>
        <w:spacing w:before="156" w:beforeLines="50" w:after="156" w:afterLines="50" w:line="360" w:lineRule="auto"/>
        <w:jc w:val="center"/>
        <w:rPr>
          <w:rFonts w:hint="eastAsia" w:ascii="宋体" w:hAnsi="宋体" w:cs="宋体"/>
          <w:kern w:val="0"/>
          <w:szCs w:val="21"/>
        </w:rPr>
      </w:pPr>
    </w:p>
    <w:p w14:paraId="161073EA">
      <w:pPr>
        <w:spacing w:line="360" w:lineRule="auto"/>
        <w:rPr>
          <w:rFonts w:hint="eastAsia" w:ascii="宋体" w:hAnsi="宋体" w:cs="宋体"/>
          <w:kern w:val="0"/>
          <w:sz w:val="30"/>
          <w:szCs w:val="30"/>
        </w:rPr>
      </w:pPr>
      <w:r>
        <w:rPr>
          <w:rFonts w:hint="eastAsia" w:ascii="宋体" w:hAnsi="宋体" w:cs="宋体"/>
          <w:kern w:val="0"/>
          <w:sz w:val="30"/>
          <w:szCs w:val="30"/>
        </w:rPr>
        <w:br w:type="page"/>
      </w:r>
    </w:p>
    <w:p w14:paraId="49C09F0D">
      <w:pPr>
        <w:pStyle w:val="2"/>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一、投标函</w:t>
      </w:r>
    </w:p>
    <w:p w14:paraId="250A38E5">
      <w:pPr>
        <w:autoSpaceDE w:val="0"/>
        <w:autoSpaceDN w:val="0"/>
        <w:adjustRightInd w:val="0"/>
        <w:spacing w:before="156" w:beforeLines="50" w:after="156" w:afterLines="50" w:line="360" w:lineRule="auto"/>
        <w:rPr>
          <w:rFonts w:hint="eastAsia" w:ascii="宋体" w:hAnsi="宋体" w:cs="宋体"/>
          <w:bCs/>
          <w:kern w:val="0"/>
          <w:sz w:val="30"/>
          <w:szCs w:val="30"/>
        </w:rPr>
      </w:pPr>
    </w:p>
    <w:p w14:paraId="3761C4F1">
      <w:pPr>
        <w:pStyle w:val="31"/>
        <w:tabs>
          <w:tab w:val="left" w:pos="9450"/>
        </w:tabs>
        <w:spacing w:line="360" w:lineRule="auto"/>
        <w:ind w:right="77" w:rightChars="40"/>
        <w:rPr>
          <w:rFonts w:hint="eastAsia" w:ascii="宋体" w:hAnsi="宋体" w:cs="宋体"/>
          <w:sz w:val="24"/>
          <w:szCs w:val="24"/>
        </w:rPr>
      </w:pPr>
      <w:r>
        <w:rPr>
          <w:rFonts w:hint="eastAsia" w:ascii="宋体" w:hAnsi="宋体" w:cs="宋体"/>
          <w:sz w:val="24"/>
          <w:szCs w:val="24"/>
        </w:rPr>
        <w:t>集安市政府采购中心：</w:t>
      </w:r>
    </w:p>
    <w:p w14:paraId="060452C2">
      <w:pPr>
        <w:pStyle w:val="31"/>
        <w:tabs>
          <w:tab w:val="left" w:pos="9450"/>
        </w:tabs>
        <w:spacing w:line="360" w:lineRule="auto"/>
        <w:ind w:right="77" w:rightChars="40" w:firstLine="448" w:firstLineChars="200"/>
        <w:rPr>
          <w:rFonts w:hint="eastAsia" w:ascii="宋体" w:hAnsi="宋体" w:cs="宋体"/>
          <w:sz w:val="24"/>
          <w:szCs w:val="24"/>
        </w:rPr>
      </w:pPr>
      <w:r>
        <w:rPr>
          <w:rFonts w:hint="eastAsia" w:ascii="宋体" w:hAnsi="宋体" w:cs="宋体"/>
          <w:sz w:val="24"/>
          <w:szCs w:val="24"/>
        </w:rPr>
        <w:t>我方已经详细阅读</w:t>
      </w:r>
      <w:r>
        <w:rPr>
          <w:rFonts w:hint="eastAsia" w:ascii="宋体" w:hAnsi="宋体" w:cs="宋体"/>
          <w:sz w:val="24"/>
          <w:szCs w:val="24"/>
          <w:u w:val="single"/>
        </w:rPr>
        <w:t xml:space="preserve">               </w:t>
      </w:r>
      <w:r>
        <w:rPr>
          <w:rFonts w:hint="eastAsia" w:ascii="宋体" w:hAnsi="宋体" w:cs="宋体"/>
          <w:sz w:val="24"/>
          <w:szCs w:val="24"/>
        </w:rPr>
        <w:t>（采购项目名称、项目编号）的招标文件，决定投标本项目，承诺如下：</w:t>
      </w:r>
    </w:p>
    <w:p w14:paraId="61A60061">
      <w:pPr>
        <w:pStyle w:val="31"/>
        <w:tabs>
          <w:tab w:val="left" w:pos="9450"/>
        </w:tabs>
        <w:spacing w:line="360" w:lineRule="auto"/>
        <w:ind w:right="77" w:rightChars="40" w:firstLine="448" w:firstLineChars="200"/>
        <w:jc w:val="left"/>
        <w:rPr>
          <w:rFonts w:hint="eastAsia" w:ascii="宋体" w:hAnsi="宋体" w:cs="宋体"/>
          <w:sz w:val="24"/>
          <w:szCs w:val="24"/>
        </w:rPr>
      </w:pPr>
      <w:r>
        <w:rPr>
          <w:rFonts w:hint="eastAsia" w:ascii="宋体" w:hAnsi="宋体" w:cs="宋体"/>
          <w:sz w:val="24"/>
          <w:szCs w:val="24"/>
        </w:rPr>
        <w:t>一、我方的投标文件在投标截止日后90天（日历天）内保持有效，如中标，有</w:t>
      </w:r>
    </w:p>
    <w:p w14:paraId="6DC6839B">
      <w:pPr>
        <w:pStyle w:val="31"/>
        <w:tabs>
          <w:tab w:val="left" w:pos="9450"/>
        </w:tabs>
        <w:spacing w:line="360" w:lineRule="auto"/>
        <w:ind w:right="77" w:rightChars="40"/>
        <w:jc w:val="left"/>
        <w:rPr>
          <w:rFonts w:hint="eastAsia" w:ascii="宋体" w:hAnsi="宋体" w:cs="宋体"/>
          <w:bCs/>
          <w:sz w:val="24"/>
          <w:szCs w:val="24"/>
        </w:rPr>
      </w:pPr>
      <w:r>
        <w:rPr>
          <w:rFonts w:hint="eastAsia" w:ascii="宋体" w:hAnsi="宋体" w:cs="宋体"/>
          <w:bCs/>
          <w:sz w:val="24"/>
          <w:szCs w:val="24"/>
        </w:rPr>
        <w:t>效期将延至本项目合同期满日为止。</w:t>
      </w:r>
    </w:p>
    <w:p w14:paraId="415EACEC">
      <w:pPr>
        <w:pStyle w:val="31"/>
        <w:tabs>
          <w:tab w:val="left" w:pos="9450"/>
        </w:tabs>
        <w:spacing w:line="360" w:lineRule="auto"/>
        <w:ind w:right="77" w:rightChars="40" w:firstLine="448" w:firstLineChars="200"/>
        <w:jc w:val="left"/>
        <w:rPr>
          <w:rFonts w:hint="eastAsia" w:ascii="宋体" w:hAnsi="宋体" w:cs="宋体"/>
          <w:sz w:val="24"/>
          <w:szCs w:val="24"/>
        </w:rPr>
      </w:pPr>
      <w:r>
        <w:rPr>
          <w:rFonts w:hint="eastAsia" w:ascii="宋体" w:hAnsi="宋体" w:cs="宋体"/>
          <w:sz w:val="24"/>
          <w:szCs w:val="24"/>
        </w:rPr>
        <w:t>二、我方在参与投标前已仔细研究了招标文件和所有相关资料，我方完全明白并</w:t>
      </w:r>
    </w:p>
    <w:p w14:paraId="3504C58E">
      <w:pPr>
        <w:pStyle w:val="31"/>
        <w:tabs>
          <w:tab w:val="left" w:pos="9450"/>
        </w:tabs>
        <w:spacing w:line="360" w:lineRule="auto"/>
        <w:ind w:right="77" w:rightChars="40"/>
        <w:jc w:val="left"/>
        <w:rPr>
          <w:rFonts w:hint="eastAsia" w:ascii="宋体" w:hAnsi="宋体" w:cs="宋体"/>
          <w:sz w:val="24"/>
          <w:szCs w:val="24"/>
        </w:rPr>
      </w:pPr>
      <w:r>
        <w:rPr>
          <w:rFonts w:hint="eastAsia" w:ascii="宋体" w:hAnsi="宋体" w:cs="宋体"/>
          <w:sz w:val="24"/>
          <w:szCs w:val="24"/>
        </w:rPr>
        <w:t>认为此招标文件没有倾向性，也没有存在排斥潜在投标人的内容，我方同意并接受招</w:t>
      </w:r>
    </w:p>
    <w:p w14:paraId="2E37622C">
      <w:pPr>
        <w:pStyle w:val="31"/>
        <w:tabs>
          <w:tab w:val="left" w:pos="9450"/>
        </w:tabs>
        <w:spacing w:line="360" w:lineRule="auto"/>
        <w:ind w:right="77" w:rightChars="40"/>
        <w:jc w:val="left"/>
        <w:rPr>
          <w:rFonts w:hint="eastAsia" w:ascii="宋体" w:hAnsi="宋体" w:cs="宋体"/>
          <w:sz w:val="24"/>
          <w:szCs w:val="24"/>
        </w:rPr>
      </w:pPr>
      <w:r>
        <w:rPr>
          <w:rFonts w:hint="eastAsia" w:ascii="宋体" w:hAnsi="宋体" w:cs="宋体"/>
          <w:sz w:val="24"/>
          <w:szCs w:val="24"/>
        </w:rPr>
        <w:t>标文件的全部条款，放弃对招标文件提出误解和质疑的一切权利。</w:t>
      </w:r>
    </w:p>
    <w:p w14:paraId="642F49EE">
      <w:pPr>
        <w:pStyle w:val="31"/>
        <w:tabs>
          <w:tab w:val="left" w:pos="9450"/>
        </w:tabs>
        <w:spacing w:line="360" w:lineRule="auto"/>
        <w:ind w:right="77" w:rightChars="40" w:firstLine="448" w:firstLineChars="200"/>
        <w:jc w:val="left"/>
        <w:rPr>
          <w:rFonts w:hint="eastAsia" w:ascii="宋体" w:hAnsi="宋体" w:cs="宋体"/>
          <w:sz w:val="24"/>
          <w:szCs w:val="24"/>
        </w:rPr>
      </w:pPr>
      <w:r>
        <w:rPr>
          <w:rFonts w:hint="eastAsia" w:ascii="宋体" w:hAnsi="宋体" w:cs="宋体"/>
          <w:sz w:val="24"/>
          <w:szCs w:val="24"/>
        </w:rPr>
        <w:t>三、我方声明投标文件及所提供的一切资料均真实无误及有效。由于我方提供资</w:t>
      </w:r>
    </w:p>
    <w:p w14:paraId="7C50AA82">
      <w:pPr>
        <w:pStyle w:val="31"/>
        <w:tabs>
          <w:tab w:val="left" w:pos="9450"/>
        </w:tabs>
        <w:spacing w:line="360" w:lineRule="auto"/>
        <w:ind w:right="77" w:rightChars="40"/>
        <w:jc w:val="left"/>
        <w:rPr>
          <w:rFonts w:hint="eastAsia" w:ascii="宋体" w:hAnsi="宋体" w:cs="宋体"/>
          <w:sz w:val="24"/>
          <w:szCs w:val="24"/>
        </w:rPr>
      </w:pPr>
      <w:r>
        <w:rPr>
          <w:rFonts w:hint="eastAsia" w:ascii="宋体" w:hAnsi="宋体" w:cs="宋体"/>
          <w:sz w:val="24"/>
          <w:szCs w:val="24"/>
        </w:rPr>
        <w:t>料不实而造成的责任和后果由我方承担。我方同意按照贵方</w:t>
      </w:r>
      <w:r>
        <w:rPr>
          <w:rFonts w:hint="eastAsia" w:ascii="宋体" w:hAnsi="宋体" w:cs="宋体"/>
          <w:sz w:val="24"/>
        </w:rPr>
        <w:t>可能</w:t>
      </w:r>
      <w:r>
        <w:rPr>
          <w:rFonts w:hint="eastAsia" w:ascii="宋体" w:hAnsi="宋体" w:cs="宋体"/>
          <w:sz w:val="24"/>
          <w:szCs w:val="24"/>
        </w:rPr>
        <w:t>提出的要求，提供与投标有关的任何其它数据或信息。</w:t>
      </w:r>
    </w:p>
    <w:p w14:paraId="1848AAF0">
      <w:pPr>
        <w:pStyle w:val="31"/>
        <w:tabs>
          <w:tab w:val="left" w:pos="9450"/>
        </w:tabs>
        <w:spacing w:line="360" w:lineRule="auto"/>
        <w:ind w:right="77" w:rightChars="40" w:firstLine="448" w:firstLineChars="200"/>
        <w:jc w:val="left"/>
        <w:rPr>
          <w:rFonts w:hint="eastAsia" w:ascii="宋体" w:hAnsi="宋体" w:cs="宋体"/>
          <w:sz w:val="24"/>
          <w:szCs w:val="24"/>
        </w:rPr>
      </w:pPr>
      <w:r>
        <w:rPr>
          <w:rFonts w:hint="eastAsia" w:ascii="宋体" w:hAnsi="宋体" w:cs="宋体"/>
          <w:sz w:val="24"/>
          <w:szCs w:val="24"/>
        </w:rPr>
        <w:t>四、我方理解贵方不接受最低报价的投标以及投标报价超过预算金额或最高</w:t>
      </w:r>
    </w:p>
    <w:p w14:paraId="342CC647">
      <w:pPr>
        <w:pStyle w:val="31"/>
        <w:tabs>
          <w:tab w:val="left" w:pos="9450"/>
        </w:tabs>
        <w:spacing w:line="360" w:lineRule="auto"/>
        <w:ind w:right="77" w:rightChars="40"/>
        <w:jc w:val="left"/>
        <w:rPr>
          <w:rFonts w:hint="eastAsia" w:ascii="宋体" w:hAnsi="宋体" w:cs="宋体"/>
          <w:sz w:val="24"/>
          <w:szCs w:val="24"/>
        </w:rPr>
      </w:pPr>
      <w:r>
        <w:rPr>
          <w:rFonts w:hint="eastAsia" w:ascii="宋体" w:hAnsi="宋体" w:cs="宋体"/>
          <w:sz w:val="24"/>
          <w:szCs w:val="24"/>
        </w:rPr>
        <w:t>限价时投标无效。</w:t>
      </w:r>
    </w:p>
    <w:p w14:paraId="39FE54AB">
      <w:pPr>
        <w:pStyle w:val="31"/>
        <w:tabs>
          <w:tab w:val="left" w:pos="9450"/>
        </w:tabs>
        <w:spacing w:line="360" w:lineRule="auto"/>
        <w:ind w:right="77" w:rightChars="40" w:firstLine="448" w:firstLineChars="200"/>
        <w:jc w:val="left"/>
        <w:rPr>
          <w:rFonts w:hint="eastAsia" w:ascii="宋体" w:hAnsi="宋体" w:cs="宋体"/>
          <w:sz w:val="24"/>
          <w:szCs w:val="24"/>
        </w:rPr>
      </w:pPr>
      <w:r>
        <w:rPr>
          <w:rFonts w:hint="eastAsia" w:ascii="宋体" w:hAnsi="宋体" w:cs="宋体"/>
          <w:sz w:val="24"/>
          <w:szCs w:val="24"/>
        </w:rPr>
        <w:t>五、我方接受招标文件关于不予退还投标保证金的约定。</w:t>
      </w:r>
    </w:p>
    <w:p w14:paraId="588CF426">
      <w:pPr>
        <w:pStyle w:val="31"/>
        <w:tabs>
          <w:tab w:val="left" w:pos="9450"/>
        </w:tabs>
        <w:spacing w:line="360" w:lineRule="auto"/>
        <w:ind w:right="77" w:rightChars="40" w:firstLine="448" w:firstLineChars="200"/>
        <w:jc w:val="left"/>
        <w:rPr>
          <w:rFonts w:hint="eastAsia" w:ascii="宋体" w:hAnsi="宋体" w:cs="宋体"/>
          <w:sz w:val="24"/>
          <w:szCs w:val="24"/>
        </w:rPr>
      </w:pPr>
      <w:r>
        <w:rPr>
          <w:rFonts w:hint="eastAsia" w:ascii="宋体" w:hAnsi="宋体" w:cs="宋体"/>
          <w:sz w:val="24"/>
          <w:szCs w:val="24"/>
        </w:rPr>
        <w:t>六、我方按照招标文件的约定履行合同责任和义务。</w:t>
      </w:r>
    </w:p>
    <w:p w14:paraId="4C11DA93">
      <w:pPr>
        <w:pStyle w:val="29"/>
        <w:widowControl/>
        <w:numPr>
          <w:ilvl w:val="0"/>
          <w:numId w:val="0"/>
        </w:numPr>
        <w:tabs>
          <w:tab w:val="left" w:pos="1060"/>
        </w:tabs>
        <w:spacing w:line="360" w:lineRule="auto"/>
        <w:ind w:firstLine="448" w:firstLineChars="200"/>
        <w:jc w:val="left"/>
        <w:rPr>
          <w:rFonts w:hint="eastAsia" w:cs="宋体"/>
          <w:bCs/>
          <w:sz w:val="24"/>
          <w:szCs w:val="24"/>
        </w:rPr>
      </w:pPr>
    </w:p>
    <w:p w14:paraId="60A900B5">
      <w:pPr>
        <w:pStyle w:val="29"/>
        <w:widowControl/>
        <w:numPr>
          <w:ilvl w:val="0"/>
          <w:numId w:val="0"/>
        </w:numPr>
        <w:tabs>
          <w:tab w:val="left" w:pos="1060"/>
        </w:tabs>
        <w:spacing w:line="360" w:lineRule="auto"/>
        <w:ind w:firstLine="448" w:firstLineChars="200"/>
        <w:jc w:val="left"/>
        <w:rPr>
          <w:rFonts w:hint="eastAsia" w:cs="宋体"/>
          <w:bCs/>
          <w:sz w:val="24"/>
          <w:szCs w:val="24"/>
        </w:rPr>
      </w:pPr>
      <w:r>
        <w:rPr>
          <w:rFonts w:hint="eastAsia" w:cs="宋体"/>
          <w:bCs/>
          <w:sz w:val="24"/>
          <w:szCs w:val="24"/>
        </w:rPr>
        <w:t>与本投标有关的一切往来通讯请寄：</w:t>
      </w:r>
    </w:p>
    <w:p w14:paraId="0FD1CE45">
      <w:pPr>
        <w:pStyle w:val="31"/>
        <w:tabs>
          <w:tab w:val="left" w:pos="9450"/>
        </w:tabs>
        <w:spacing w:line="360" w:lineRule="auto"/>
        <w:ind w:right="77" w:rightChars="40" w:firstLine="448" w:firstLineChars="200"/>
        <w:jc w:val="left"/>
        <w:rPr>
          <w:rFonts w:hint="eastAsia" w:ascii="宋体" w:hAnsi="宋体" w:cs="宋体"/>
          <w:sz w:val="24"/>
          <w:u w:val="single"/>
        </w:rPr>
      </w:pPr>
      <w:r>
        <w:rPr>
          <w:rFonts w:hint="eastAsia" w:ascii="宋体" w:hAnsi="宋体" w:cs="宋体"/>
          <w:sz w:val="24"/>
        </w:rPr>
        <w:t>地址：</w:t>
      </w:r>
      <w:r>
        <w:rPr>
          <w:rFonts w:hint="eastAsia" w:ascii="宋体" w:hAnsi="宋体" w:cs="宋体"/>
          <w:sz w:val="24"/>
          <w:u w:val="single"/>
        </w:rPr>
        <w:t xml:space="preserve">                                     </w:t>
      </w:r>
      <w:r>
        <w:rPr>
          <w:rFonts w:hint="eastAsia" w:ascii="宋体" w:hAnsi="宋体" w:cs="宋体"/>
          <w:sz w:val="24"/>
        </w:rPr>
        <w:t xml:space="preserve">        邮编：</w:t>
      </w:r>
      <w:r>
        <w:rPr>
          <w:rFonts w:hint="eastAsia" w:ascii="宋体" w:hAnsi="宋体" w:cs="宋体"/>
          <w:sz w:val="24"/>
          <w:u w:val="single"/>
        </w:rPr>
        <w:t xml:space="preserve">                        </w:t>
      </w:r>
    </w:p>
    <w:p w14:paraId="6DA050F1">
      <w:pPr>
        <w:pStyle w:val="31"/>
        <w:tabs>
          <w:tab w:val="left" w:pos="9450"/>
        </w:tabs>
        <w:spacing w:line="360" w:lineRule="auto"/>
        <w:ind w:right="77" w:rightChars="40" w:firstLine="448" w:firstLineChars="200"/>
        <w:jc w:val="left"/>
        <w:rPr>
          <w:rFonts w:hint="eastAsia" w:ascii="宋体" w:hAnsi="宋体" w:cs="宋体"/>
          <w:sz w:val="24"/>
          <w:u w:val="single"/>
        </w:rPr>
      </w:pPr>
      <w:r>
        <w:rPr>
          <w:rFonts w:hint="eastAsia" w:ascii="宋体" w:hAnsi="宋体" w:cs="宋体"/>
          <w:sz w:val="24"/>
        </w:rPr>
        <w:t>电话：</w:t>
      </w:r>
      <w:r>
        <w:rPr>
          <w:rFonts w:hint="eastAsia" w:ascii="宋体" w:hAnsi="宋体" w:cs="宋体"/>
          <w:sz w:val="24"/>
          <w:u w:val="single"/>
        </w:rPr>
        <w:t xml:space="preserve">                                     </w:t>
      </w:r>
      <w:r>
        <w:rPr>
          <w:rFonts w:hint="eastAsia" w:ascii="宋体" w:hAnsi="宋体" w:cs="宋体"/>
          <w:sz w:val="24"/>
        </w:rPr>
        <w:t xml:space="preserve">        传真：</w:t>
      </w:r>
      <w:r>
        <w:rPr>
          <w:rFonts w:hint="eastAsia" w:ascii="宋体" w:hAnsi="宋体" w:cs="宋体"/>
          <w:sz w:val="24"/>
          <w:u w:val="single"/>
        </w:rPr>
        <w:t xml:space="preserve">                        </w:t>
      </w:r>
    </w:p>
    <w:p w14:paraId="6114B237">
      <w:pPr>
        <w:pStyle w:val="31"/>
        <w:tabs>
          <w:tab w:val="left" w:pos="9450"/>
        </w:tabs>
        <w:ind w:right="77" w:rightChars="40" w:firstLine="448" w:firstLineChars="200"/>
        <w:jc w:val="left"/>
        <w:rPr>
          <w:rFonts w:hint="eastAsia" w:ascii="宋体" w:hAnsi="宋体" w:cs="宋体"/>
          <w:bCs/>
          <w:sz w:val="24"/>
        </w:rPr>
      </w:pPr>
      <w:r>
        <w:rPr>
          <w:rFonts w:hint="eastAsia" w:ascii="宋体" w:hAnsi="宋体" w:cs="宋体"/>
          <w:sz w:val="24"/>
        </w:rPr>
        <w:t>电子邮件地址：</w:t>
      </w:r>
      <w:r>
        <w:rPr>
          <w:rFonts w:hint="eastAsia" w:ascii="宋体" w:hAnsi="宋体" w:cs="宋体"/>
          <w:sz w:val="24"/>
          <w:u w:val="single"/>
        </w:rPr>
        <w:t xml:space="preserve">                             </w:t>
      </w:r>
      <w:r>
        <w:rPr>
          <w:rFonts w:hint="eastAsia" w:ascii="宋体" w:hAnsi="宋体" w:cs="宋体"/>
          <w:bCs/>
          <w:sz w:val="24"/>
        </w:rPr>
        <w:t xml:space="preserve">          </w:t>
      </w:r>
    </w:p>
    <w:p w14:paraId="5A539BC6">
      <w:pPr>
        <w:tabs>
          <w:tab w:val="left" w:pos="1573"/>
        </w:tabs>
        <w:spacing w:line="360" w:lineRule="auto"/>
        <w:ind w:left="869" w:leftChars="448"/>
        <w:rPr>
          <w:rFonts w:hint="eastAsia" w:ascii="宋体" w:hAnsi="宋体" w:cs="宋体"/>
          <w:bCs/>
          <w:sz w:val="24"/>
        </w:rPr>
      </w:pPr>
    </w:p>
    <w:p w14:paraId="72094330">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3609CFE7">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4FB00BF4">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11BA63EC">
      <w:pPr>
        <w:adjustRightInd w:val="0"/>
        <w:snapToGrid w:val="0"/>
        <w:spacing w:line="360" w:lineRule="auto"/>
        <w:ind w:firstLine="2016" w:firstLineChars="900"/>
        <w:outlineLvl w:val="0"/>
        <w:rPr>
          <w:rFonts w:hint="eastAsia" w:ascii="宋体" w:hAnsi="宋体" w:cs="宋体"/>
          <w:sz w:val="24"/>
        </w:rPr>
      </w:pPr>
      <w:r>
        <w:rPr>
          <w:rFonts w:hint="eastAsia" w:ascii="宋体" w:hAnsi="宋体" w:cs="宋体"/>
          <w:sz w:val="24"/>
        </w:rPr>
        <w:t xml:space="preserve">                 </w:t>
      </w:r>
    </w:p>
    <w:p w14:paraId="6739287D">
      <w:pPr>
        <w:autoSpaceDE w:val="0"/>
        <w:autoSpaceDN w:val="0"/>
        <w:adjustRightInd w:val="0"/>
        <w:spacing w:before="156" w:beforeLines="50" w:after="156" w:afterLines="50" w:line="360" w:lineRule="auto"/>
        <w:rPr>
          <w:rFonts w:hint="eastAsia" w:ascii="宋体" w:hAnsi="宋体" w:cs="宋体"/>
          <w:kern w:val="0"/>
          <w:szCs w:val="21"/>
        </w:rPr>
      </w:pPr>
      <w:r>
        <w:rPr>
          <w:rFonts w:hint="eastAsia" w:ascii="宋体" w:hAnsi="宋体" w:cs="宋体"/>
          <w:sz w:val="24"/>
        </w:rPr>
        <w:t xml:space="preserve">    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113725C6">
      <w:pPr>
        <w:jc w:val="center"/>
        <w:rPr>
          <w:rFonts w:hint="eastAsia" w:ascii="宋体" w:hAnsi="宋体" w:cs="宋体"/>
          <w:kern w:val="0"/>
          <w:sz w:val="30"/>
          <w:szCs w:val="30"/>
        </w:rPr>
      </w:pPr>
      <w:r>
        <w:rPr>
          <w:rFonts w:hint="eastAsia" w:ascii="宋体" w:hAnsi="宋体" w:cs="宋体"/>
          <w:kern w:val="0"/>
          <w:sz w:val="30"/>
          <w:szCs w:val="30"/>
        </w:rPr>
        <w:t>二、法定代表人授权书</w:t>
      </w:r>
    </w:p>
    <w:p w14:paraId="71C86AA8">
      <w:pPr>
        <w:spacing w:line="360" w:lineRule="auto"/>
        <w:ind w:firstLine="448" w:firstLineChars="200"/>
        <w:rPr>
          <w:rFonts w:hint="eastAsia" w:ascii="宋体" w:hAnsi="宋体" w:cs="宋体"/>
          <w:sz w:val="24"/>
        </w:rPr>
      </w:pPr>
    </w:p>
    <w:p w14:paraId="15D21B41">
      <w:pPr>
        <w:spacing w:line="360" w:lineRule="auto"/>
        <w:ind w:firstLine="448" w:firstLineChars="200"/>
        <w:rPr>
          <w:rFonts w:hint="eastAsia" w:ascii="宋体" w:hAnsi="宋体" w:cs="宋体"/>
          <w:sz w:val="24"/>
        </w:rPr>
      </w:pPr>
      <w:r>
        <w:rPr>
          <w:rFonts w:hint="eastAsia" w:ascii="宋体" w:hAnsi="宋体" w:cs="宋体"/>
          <w:sz w:val="24"/>
        </w:rPr>
        <w:t>本人</w:t>
      </w:r>
      <w:r>
        <w:rPr>
          <w:rFonts w:hint="eastAsia" w:ascii="宋体" w:hAnsi="宋体" w:cs="宋体"/>
          <w:sz w:val="24"/>
          <w:u w:val="single"/>
        </w:rPr>
        <w:t xml:space="preserve">        </w:t>
      </w:r>
      <w:r>
        <w:rPr>
          <w:rFonts w:hint="eastAsia" w:ascii="宋体" w:hAnsi="宋体" w:cs="宋体"/>
          <w:sz w:val="24"/>
        </w:rPr>
        <w:t>（姓名）系</w:t>
      </w:r>
      <w:r>
        <w:rPr>
          <w:rFonts w:hint="eastAsia" w:ascii="宋体" w:hAnsi="宋体" w:cs="宋体"/>
          <w:sz w:val="24"/>
          <w:u w:val="single"/>
        </w:rPr>
        <w:t xml:space="preserve">           </w:t>
      </w:r>
      <w:r>
        <w:rPr>
          <w:rFonts w:hint="eastAsia" w:ascii="宋体" w:hAnsi="宋体" w:cs="宋体"/>
          <w:sz w:val="24"/>
        </w:rPr>
        <w:t>（投标人名称）的法定代表人（单位负责人），现委托</w:t>
      </w:r>
      <w:r>
        <w:rPr>
          <w:rFonts w:hint="eastAsia" w:ascii="宋体" w:hAnsi="宋体" w:cs="宋体"/>
          <w:sz w:val="24"/>
          <w:u w:val="single"/>
        </w:rPr>
        <w:t xml:space="preserve">         </w:t>
      </w:r>
      <w:r>
        <w:rPr>
          <w:rFonts w:hint="eastAsia" w:ascii="宋体" w:hAnsi="宋体" w:cs="宋体"/>
          <w:sz w:val="24"/>
        </w:rPr>
        <w:t>（姓名）为我方授权代表，全权代表我方处理在项目采购活动中的一切事宜，其法律后果由我方承担。</w:t>
      </w:r>
    </w:p>
    <w:p w14:paraId="367D5BB6">
      <w:pPr>
        <w:spacing w:line="360" w:lineRule="auto"/>
        <w:ind w:firstLine="448" w:firstLineChars="200"/>
        <w:rPr>
          <w:rFonts w:hint="eastAsia" w:ascii="宋体" w:hAnsi="宋体" w:cs="宋体"/>
          <w:sz w:val="24"/>
        </w:rPr>
      </w:pPr>
      <w:r>
        <w:rPr>
          <w:rFonts w:hint="eastAsia" w:ascii="宋体" w:hAnsi="宋体" w:cs="宋体"/>
          <w:sz w:val="24"/>
        </w:rPr>
        <w:t>本授权书有效期与我方投标文件中标注的投标有效期相同，自签章之日起生效。</w:t>
      </w:r>
    </w:p>
    <w:p w14:paraId="67A30246">
      <w:pPr>
        <w:spacing w:line="360" w:lineRule="auto"/>
        <w:ind w:firstLine="448" w:firstLineChars="200"/>
        <w:rPr>
          <w:rFonts w:hint="eastAsia" w:ascii="宋体" w:hAnsi="宋体" w:cs="宋体"/>
        </w:rPr>
      </w:pPr>
      <w:r>
        <w:rPr>
          <w:rFonts w:hint="eastAsia" w:ascii="宋体" w:hAnsi="宋体" w:cs="宋体"/>
          <w:sz w:val="24"/>
        </w:rPr>
        <w:t>授权代表无转委托权。</w:t>
      </w:r>
    </w:p>
    <w:p w14:paraId="66B550AF">
      <w:pPr>
        <w:spacing w:line="360" w:lineRule="auto"/>
        <w:ind w:firstLine="448" w:firstLineChars="200"/>
        <w:rPr>
          <w:rFonts w:hint="eastAsia" w:ascii="宋体" w:hAnsi="宋体" w:cs="宋体"/>
          <w:sz w:val="24"/>
        </w:rPr>
      </w:pPr>
      <w:r>
        <w:rPr>
          <w:rFonts w:hint="eastAsia" w:ascii="宋体" w:hAnsi="宋体" w:cs="宋体"/>
          <w:sz w:val="24"/>
        </w:rPr>
        <w:t>附：法定代表人（单位负责人）及授权代表身份证正、反面复印件。</w:t>
      </w:r>
    </w:p>
    <w:p w14:paraId="035CC552">
      <w:pPr>
        <w:spacing w:line="360" w:lineRule="auto"/>
        <w:ind w:firstLine="448" w:firstLineChars="200"/>
        <w:rPr>
          <w:rFonts w:hint="eastAsia" w:ascii="宋体" w:hAnsi="宋体" w:cs="宋体"/>
          <w:sz w:val="24"/>
        </w:rPr>
      </w:pPr>
      <w:r>
        <w:rPr>
          <w:rFonts w:hint="eastAsia" w:ascii="宋体" w:hAnsi="宋体" w:cs="宋体"/>
          <w:sz w:val="24"/>
        </w:rPr>
        <w:t>注：本授权委托书需由投标人加盖单位公章并由其法定代表人（单位负责人）和授权代表签字。</w:t>
      </w:r>
    </w:p>
    <w:p w14:paraId="788B529A">
      <w:pPr>
        <w:spacing w:line="360" w:lineRule="auto"/>
        <w:rPr>
          <w:rFonts w:hint="eastAsia" w:ascii="宋体" w:hAnsi="宋体" w:cs="宋体"/>
        </w:rPr>
      </w:pPr>
      <w:r>
        <w:rPr>
          <w:rFonts w:hint="eastAsia" w:ascii="宋体" w:hAnsi="宋体" w:cs="宋体"/>
        </w:rPr>
        <w:t xml:space="preserve"> </w:t>
      </w:r>
    </w:p>
    <w:p w14:paraId="735B644D">
      <w:pPr>
        <w:pStyle w:val="31"/>
        <w:tabs>
          <w:tab w:val="left" w:pos="9450"/>
        </w:tabs>
        <w:spacing w:line="360" w:lineRule="auto"/>
        <w:ind w:right="77" w:rightChars="40" w:firstLine="448" w:firstLineChars="200"/>
        <w:jc w:val="left"/>
        <w:rPr>
          <w:rFonts w:hint="eastAsia" w:ascii="宋体" w:hAnsi="宋体" w:cs="宋体"/>
          <w:sz w:val="24"/>
        </w:rPr>
      </w:pPr>
      <w:r>
        <w:rPr>
          <w:rFonts w:hint="eastAsia" w:ascii="宋体" w:hAnsi="宋体" w:cs="宋体"/>
          <w:sz w:val="24"/>
        </w:rPr>
        <w:t>投 标 人 名 称（签章）：</w:t>
      </w:r>
      <w:r>
        <w:rPr>
          <w:rFonts w:hint="eastAsia" w:ascii="宋体" w:hAnsi="宋体" w:cs="宋体"/>
          <w:sz w:val="24"/>
          <w:u w:val="single"/>
        </w:rPr>
        <w:t xml:space="preserve">                               </w:t>
      </w:r>
    </w:p>
    <w:p w14:paraId="064AE437">
      <w:pPr>
        <w:pStyle w:val="31"/>
        <w:tabs>
          <w:tab w:val="left" w:pos="9450"/>
        </w:tabs>
        <w:spacing w:line="360" w:lineRule="auto"/>
        <w:ind w:right="77" w:rightChars="40" w:firstLine="448" w:firstLineChars="200"/>
        <w:jc w:val="left"/>
        <w:rPr>
          <w:rFonts w:hint="eastAsia" w:ascii="宋体" w:hAnsi="宋体" w:cs="宋体"/>
          <w:sz w:val="24"/>
        </w:rPr>
      </w:pPr>
      <w:r>
        <w:rPr>
          <w:rFonts w:hint="eastAsia" w:ascii="宋体" w:hAnsi="宋体" w:cs="宋体"/>
          <w:sz w:val="24"/>
        </w:rPr>
        <w:t>法定代表人（单位负责人）（签章）：</w:t>
      </w:r>
      <w:r>
        <w:rPr>
          <w:rFonts w:hint="eastAsia" w:ascii="宋体" w:hAnsi="宋体" w:cs="宋体"/>
          <w:sz w:val="24"/>
          <w:u w:val="single"/>
        </w:rPr>
        <w:t xml:space="preserve">                     </w:t>
      </w:r>
      <w:r>
        <w:rPr>
          <w:rFonts w:hint="eastAsia" w:ascii="宋体" w:hAnsi="宋体" w:cs="宋体"/>
          <w:sz w:val="24"/>
        </w:rPr>
        <w:t xml:space="preserve">  </w:t>
      </w:r>
    </w:p>
    <w:p w14:paraId="2E757B36">
      <w:pPr>
        <w:spacing w:line="360" w:lineRule="auto"/>
        <w:ind w:firstLine="448" w:firstLineChars="200"/>
        <w:rPr>
          <w:rFonts w:hint="eastAsia" w:ascii="宋体" w:hAnsi="宋体" w:cs="宋体"/>
          <w:sz w:val="24"/>
        </w:rPr>
      </w:pPr>
      <w:r>
        <w:rPr>
          <w:rFonts w:hint="eastAsia" w:ascii="宋体" w:hAnsi="宋体" w:cs="宋体"/>
          <w:sz w:val="24"/>
        </w:rPr>
        <w:t>身份证号码：</w:t>
      </w:r>
      <w:r>
        <w:rPr>
          <w:rFonts w:hint="eastAsia" w:ascii="宋体" w:hAnsi="宋体" w:cs="宋体"/>
          <w:sz w:val="24"/>
          <w:u w:val="single"/>
        </w:rPr>
        <w:t xml:space="preserve">                                           </w:t>
      </w:r>
      <w:r>
        <w:rPr>
          <w:rFonts w:hint="eastAsia" w:ascii="宋体" w:hAnsi="宋体" w:cs="宋体"/>
          <w:sz w:val="24"/>
        </w:rPr>
        <w:t xml:space="preserve">        </w:t>
      </w:r>
    </w:p>
    <w:p w14:paraId="1875DF9E">
      <w:pPr>
        <w:spacing w:line="360" w:lineRule="auto"/>
        <w:ind w:firstLine="448" w:firstLineChars="200"/>
        <w:rPr>
          <w:rFonts w:hint="eastAsia" w:ascii="宋体" w:hAnsi="宋体" w:cs="宋体"/>
          <w:sz w:val="24"/>
        </w:rPr>
      </w:pPr>
      <w:r>
        <w:rPr>
          <w:rFonts w:hint="eastAsia" w:ascii="宋体" w:hAnsi="宋体" w:cs="宋体"/>
          <w:sz w:val="24"/>
        </w:rPr>
        <w:t>授权代表（签章）：</w:t>
      </w:r>
      <w:r>
        <w:rPr>
          <w:rFonts w:hint="eastAsia" w:ascii="宋体" w:hAnsi="宋体" w:cs="宋体"/>
          <w:sz w:val="24"/>
          <w:u w:val="single"/>
        </w:rPr>
        <w:t xml:space="preserve">                                         </w:t>
      </w:r>
      <w:r>
        <w:rPr>
          <w:rFonts w:hint="eastAsia" w:ascii="宋体" w:hAnsi="宋体" w:cs="宋体"/>
          <w:sz w:val="24"/>
        </w:rPr>
        <w:t xml:space="preserve"> </w:t>
      </w:r>
    </w:p>
    <w:p w14:paraId="70BE04DB">
      <w:pPr>
        <w:spacing w:line="360" w:lineRule="auto"/>
        <w:ind w:firstLine="448" w:firstLineChars="200"/>
        <w:rPr>
          <w:rFonts w:hint="eastAsia" w:ascii="宋体" w:hAnsi="宋体" w:cs="宋体"/>
          <w:sz w:val="24"/>
        </w:rPr>
      </w:pPr>
      <w:r>
        <w:rPr>
          <w:rFonts w:hint="eastAsia" w:ascii="宋体" w:hAnsi="宋体" w:cs="宋体"/>
          <w:sz w:val="24"/>
        </w:rPr>
        <w:t>身份证号码：</w:t>
      </w:r>
      <w:r>
        <w:rPr>
          <w:rFonts w:hint="eastAsia" w:ascii="宋体" w:hAnsi="宋体" w:cs="宋体"/>
          <w:sz w:val="24"/>
          <w:u w:val="single"/>
        </w:rPr>
        <w:t xml:space="preserve">                                           </w:t>
      </w:r>
    </w:p>
    <w:p w14:paraId="5FEE8816">
      <w:pPr>
        <w:pStyle w:val="31"/>
        <w:tabs>
          <w:tab w:val="left" w:pos="9450"/>
        </w:tabs>
        <w:spacing w:line="360" w:lineRule="auto"/>
        <w:ind w:right="77" w:rightChars="40" w:firstLine="448" w:firstLineChars="200"/>
        <w:jc w:val="left"/>
        <w:rPr>
          <w:rFonts w:hint="eastAsia" w:ascii="宋体" w:hAnsi="宋体" w:cs="宋体"/>
          <w:b/>
          <w:sz w:val="24"/>
        </w:rPr>
      </w:pPr>
      <w:r>
        <w:rPr>
          <w:rFonts w:hint="eastAsia" w:ascii="宋体" w:hAnsi="宋体" w:cs="宋体"/>
          <w:b/>
          <w:sz w:val="24"/>
        </w:rPr>
        <w:t xml:space="preserve">  </w:t>
      </w:r>
    </w:p>
    <w:p w14:paraId="065DD104">
      <w:pPr>
        <w:pStyle w:val="8"/>
        <w:adjustRightInd w:val="0"/>
        <w:snapToGrid w:val="0"/>
        <w:spacing w:line="360" w:lineRule="auto"/>
        <w:ind w:firstLine="448" w:firstLineChars="200"/>
        <w:rPr>
          <w:rFonts w:hint="eastAsia" w:ascii="宋体" w:hAnsi="宋体" w:eastAsia="宋体" w:cs="宋体"/>
          <w:b/>
          <w:sz w:val="24"/>
        </w:rPr>
      </w:pPr>
      <w:r>
        <w:rPr>
          <w:rFonts w:hint="eastAsia" w:ascii="宋体" w:hAnsi="宋体" w:eastAsia="宋体" w:cs="宋体"/>
          <w:bCs/>
          <w:snapToGrid w:val="0"/>
          <w:kern w:val="0"/>
          <w:sz w:val="24"/>
          <w:szCs w:val="24"/>
        </w:rPr>
        <w:t>日期:</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年</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月</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日</w:t>
      </w:r>
    </w:p>
    <w:p w14:paraId="39DE18A1">
      <w:pPr>
        <w:spacing w:line="360" w:lineRule="auto"/>
        <w:rPr>
          <w:rFonts w:hint="eastAsia" w:ascii="宋体" w:hAnsi="宋体" w:cs="宋体"/>
          <w:b/>
          <w:sz w:val="24"/>
        </w:rPr>
      </w:pPr>
    </w:p>
    <w:p w14:paraId="7CF98B1F">
      <w:pPr>
        <w:spacing w:line="360" w:lineRule="auto"/>
        <w:rPr>
          <w:rFonts w:hint="eastAsia" w:ascii="宋体" w:hAnsi="宋体" w:cs="宋体"/>
          <w:b/>
          <w:sz w:val="24"/>
        </w:rPr>
      </w:pPr>
      <w:r>
        <w:rPr>
          <w:rFonts w:hint="eastAsia" w:ascii="宋体" w:hAnsi="宋体" w:cs="宋体"/>
          <w:b/>
          <w:sz w:val="24"/>
        </w:rPr>
        <w:t>法定代表人（单位负责人）身份证正、反面复印件</w:t>
      </w:r>
    </w:p>
    <w:p w14:paraId="387258E9">
      <w:pPr>
        <w:spacing w:line="360" w:lineRule="auto"/>
        <w:rPr>
          <w:rFonts w:hint="eastAsia" w:ascii="宋体" w:hAnsi="宋体" w:cs="宋体"/>
          <w:sz w:val="24"/>
        </w:rPr>
      </w:pPr>
    </w:p>
    <w:p w14:paraId="7CF30E94">
      <w:pPr>
        <w:spacing w:line="360" w:lineRule="auto"/>
        <w:rPr>
          <w:rFonts w:hint="eastAsia" w:ascii="宋体" w:hAnsi="宋体" w:cs="宋体"/>
          <w:sz w:val="24"/>
        </w:rPr>
      </w:pPr>
    </w:p>
    <w:p w14:paraId="38532AB8">
      <w:pPr>
        <w:spacing w:line="360" w:lineRule="auto"/>
        <w:rPr>
          <w:rFonts w:hint="eastAsia" w:ascii="宋体" w:hAnsi="宋体" w:cs="宋体"/>
          <w:b/>
          <w:sz w:val="24"/>
        </w:rPr>
      </w:pPr>
      <w:r>
        <w:rPr>
          <w:rFonts w:hint="eastAsia" w:ascii="宋体" w:hAnsi="宋体" w:cs="宋体"/>
          <w:b/>
          <w:sz w:val="24"/>
        </w:rPr>
        <w:t>授权代表身份证正、反面复印件</w:t>
      </w:r>
    </w:p>
    <w:p w14:paraId="4191B238">
      <w:pPr>
        <w:autoSpaceDE w:val="0"/>
        <w:autoSpaceDN w:val="0"/>
        <w:adjustRightInd w:val="0"/>
        <w:spacing w:before="156" w:beforeLines="50" w:after="156" w:afterLines="50" w:line="360" w:lineRule="auto"/>
        <w:rPr>
          <w:rFonts w:hint="eastAsia" w:ascii="宋体" w:hAnsi="宋体" w:cs="宋体"/>
          <w:bCs/>
          <w:kern w:val="0"/>
          <w:sz w:val="30"/>
          <w:szCs w:val="30"/>
        </w:rPr>
      </w:pPr>
    </w:p>
    <w:p w14:paraId="78AA3689">
      <w:pPr>
        <w:autoSpaceDE w:val="0"/>
        <w:autoSpaceDN w:val="0"/>
        <w:adjustRightInd w:val="0"/>
        <w:spacing w:before="156" w:beforeLines="50" w:after="156" w:afterLines="50" w:line="360" w:lineRule="auto"/>
        <w:rPr>
          <w:rFonts w:hint="eastAsia" w:ascii="宋体" w:hAnsi="宋体" w:cs="宋体"/>
          <w:bCs/>
          <w:kern w:val="0"/>
          <w:sz w:val="30"/>
          <w:szCs w:val="30"/>
        </w:rPr>
      </w:pPr>
      <w:r>
        <w:rPr>
          <w:rFonts w:hint="eastAsia" w:ascii="宋体" w:hAnsi="宋体" w:cs="宋体"/>
          <w:b/>
          <w:sz w:val="24"/>
        </w:rPr>
        <w:t>注：法定代表人（单位负责人）、授权代表为非中国公民的，要求提供身份证号码的，请填写护照号码，要求提供身份证复印件的，应提供护照相关页复印件及中文译文。</w:t>
      </w:r>
    </w:p>
    <w:p w14:paraId="15216BE0">
      <w:pPr>
        <w:pStyle w:val="2"/>
        <w:spacing w:line="360" w:lineRule="auto"/>
        <w:jc w:val="center"/>
        <w:rPr>
          <w:rFonts w:hint="eastAsia" w:ascii="宋体" w:hAnsi="宋体" w:cs="宋体"/>
          <w:b w:val="0"/>
          <w:bCs w:val="0"/>
          <w:kern w:val="0"/>
          <w:sz w:val="30"/>
          <w:szCs w:val="30"/>
        </w:rPr>
      </w:pPr>
    </w:p>
    <w:p w14:paraId="0478BA96">
      <w:pPr>
        <w:pStyle w:val="2"/>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三、商务条款偏离表</w:t>
      </w:r>
    </w:p>
    <w:p w14:paraId="28EB0333">
      <w:pPr>
        <w:spacing w:line="360" w:lineRule="auto"/>
        <w:rPr>
          <w:rFonts w:hint="eastAsia" w:ascii="宋体" w:hAnsi="宋体" w:cs="宋体"/>
          <w:sz w:val="24"/>
          <w:u w:val="single"/>
        </w:rPr>
      </w:pPr>
      <w:r>
        <w:rPr>
          <w:rFonts w:hint="eastAsia" w:ascii="宋体" w:hAnsi="宋体" w:cs="宋体"/>
        </w:rPr>
        <w:t xml:space="preserve"> </w:t>
      </w:r>
    </w:p>
    <w:tbl>
      <w:tblPr>
        <w:tblStyle w:val="15"/>
        <w:tblpPr w:leftFromText="180" w:rightFromText="180" w:vertAnchor="text" w:horzAnchor="page" w:tblpX="1830" w:tblpY="247"/>
        <w:tblOverlap w:val="never"/>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
      <w:tblGrid>
        <w:gridCol w:w="630"/>
        <w:gridCol w:w="2347"/>
        <w:gridCol w:w="2378"/>
        <w:gridCol w:w="1455"/>
        <w:gridCol w:w="1470"/>
      </w:tblGrid>
      <w:tr w14:paraId="473762C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660" w:hRule="atLeast"/>
        </w:trPr>
        <w:tc>
          <w:tcPr>
            <w:tcW w:w="630" w:type="dxa"/>
            <w:tcMar>
              <w:top w:w="15" w:type="dxa"/>
              <w:left w:w="15" w:type="dxa"/>
              <w:bottom w:w="0" w:type="dxa"/>
              <w:right w:w="15" w:type="dxa"/>
            </w:tcMar>
            <w:vAlign w:val="center"/>
          </w:tcPr>
          <w:p w14:paraId="7516B11A">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序号</w:t>
            </w:r>
          </w:p>
        </w:tc>
        <w:tc>
          <w:tcPr>
            <w:tcW w:w="2347" w:type="dxa"/>
            <w:tcMar>
              <w:top w:w="15" w:type="dxa"/>
              <w:left w:w="15" w:type="dxa"/>
              <w:bottom w:w="0" w:type="dxa"/>
              <w:right w:w="15" w:type="dxa"/>
            </w:tcMar>
            <w:vAlign w:val="center"/>
          </w:tcPr>
          <w:p w14:paraId="5E0B139B">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招标文件商务要求</w:t>
            </w:r>
          </w:p>
        </w:tc>
        <w:tc>
          <w:tcPr>
            <w:tcW w:w="2378" w:type="dxa"/>
            <w:tcMar>
              <w:top w:w="15" w:type="dxa"/>
              <w:left w:w="15" w:type="dxa"/>
              <w:bottom w:w="0" w:type="dxa"/>
              <w:right w:w="15" w:type="dxa"/>
            </w:tcMar>
            <w:vAlign w:val="center"/>
          </w:tcPr>
          <w:p w14:paraId="03F5865B">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投标文件商务应答</w:t>
            </w:r>
          </w:p>
        </w:tc>
        <w:tc>
          <w:tcPr>
            <w:tcW w:w="1455" w:type="dxa"/>
            <w:tcMar>
              <w:top w:w="15" w:type="dxa"/>
              <w:left w:w="15" w:type="dxa"/>
              <w:bottom w:w="0" w:type="dxa"/>
              <w:right w:w="15" w:type="dxa"/>
            </w:tcMar>
            <w:vAlign w:val="center"/>
          </w:tcPr>
          <w:p w14:paraId="0087AFBD">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偏离情况</w:t>
            </w:r>
          </w:p>
        </w:tc>
        <w:tc>
          <w:tcPr>
            <w:tcW w:w="1470" w:type="dxa"/>
            <w:tcMar>
              <w:top w:w="15" w:type="dxa"/>
              <w:left w:w="15" w:type="dxa"/>
              <w:bottom w:w="0" w:type="dxa"/>
              <w:right w:w="15" w:type="dxa"/>
            </w:tcMar>
            <w:vAlign w:val="center"/>
          </w:tcPr>
          <w:p w14:paraId="4C1E597A">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说明</w:t>
            </w:r>
          </w:p>
        </w:tc>
      </w:tr>
      <w:tr w14:paraId="34C1077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7AEB6F83">
            <w:pPr>
              <w:adjustRightInd w:val="0"/>
              <w:snapToGrid w:val="0"/>
              <w:spacing w:line="360" w:lineRule="auto"/>
              <w:jc w:val="center"/>
              <w:rPr>
                <w:rFonts w:hint="eastAsia" w:ascii="宋体" w:hAnsi="宋体" w:cs="宋体"/>
                <w:sz w:val="24"/>
              </w:rPr>
            </w:pPr>
            <w:r>
              <w:rPr>
                <w:rFonts w:hint="eastAsia" w:ascii="宋体" w:hAnsi="宋体" w:cs="宋体"/>
                <w:sz w:val="24"/>
              </w:rPr>
              <w:t>1</w:t>
            </w:r>
          </w:p>
        </w:tc>
        <w:tc>
          <w:tcPr>
            <w:tcW w:w="2347" w:type="dxa"/>
            <w:tcMar>
              <w:top w:w="15" w:type="dxa"/>
              <w:left w:w="15" w:type="dxa"/>
              <w:bottom w:w="0" w:type="dxa"/>
              <w:right w:w="15" w:type="dxa"/>
            </w:tcMar>
            <w:vAlign w:val="center"/>
          </w:tcPr>
          <w:p w14:paraId="4299113F">
            <w:pPr>
              <w:adjustRightInd w:val="0"/>
              <w:snapToGrid w:val="0"/>
              <w:spacing w:line="360" w:lineRule="auto"/>
              <w:jc w:val="center"/>
              <w:rPr>
                <w:rFonts w:hint="eastAsia" w:ascii="宋体" w:hAnsi="宋体" w:cs="宋体"/>
                <w:sz w:val="24"/>
              </w:rPr>
            </w:pPr>
          </w:p>
        </w:tc>
        <w:tc>
          <w:tcPr>
            <w:tcW w:w="2378" w:type="dxa"/>
            <w:tcMar>
              <w:top w:w="15" w:type="dxa"/>
              <w:left w:w="15" w:type="dxa"/>
              <w:bottom w:w="0" w:type="dxa"/>
              <w:right w:w="15" w:type="dxa"/>
            </w:tcMar>
            <w:vAlign w:val="center"/>
          </w:tcPr>
          <w:p w14:paraId="145A11C3">
            <w:pPr>
              <w:adjustRightInd w:val="0"/>
              <w:snapToGrid w:val="0"/>
              <w:spacing w:line="360" w:lineRule="auto"/>
              <w:jc w:val="center"/>
              <w:rPr>
                <w:rFonts w:hint="eastAsia" w:ascii="宋体" w:hAnsi="宋体" w:cs="宋体"/>
                <w:sz w:val="24"/>
              </w:rPr>
            </w:pPr>
            <w:r>
              <w:rPr>
                <w:rFonts w:hint="eastAsia" w:ascii="宋体" w:hAnsi="宋体" w:cs="宋体"/>
                <w:sz w:val="24"/>
              </w:rPr>
              <w:t>　</w:t>
            </w:r>
          </w:p>
        </w:tc>
        <w:tc>
          <w:tcPr>
            <w:tcW w:w="1455" w:type="dxa"/>
            <w:tcMar>
              <w:top w:w="15" w:type="dxa"/>
              <w:left w:w="15" w:type="dxa"/>
              <w:bottom w:w="0" w:type="dxa"/>
              <w:right w:w="15" w:type="dxa"/>
            </w:tcMar>
            <w:vAlign w:val="center"/>
          </w:tcPr>
          <w:p w14:paraId="5221BE5D">
            <w:pPr>
              <w:adjustRightInd w:val="0"/>
              <w:snapToGrid w:val="0"/>
              <w:spacing w:line="360" w:lineRule="auto"/>
              <w:jc w:val="center"/>
              <w:rPr>
                <w:rFonts w:hint="eastAsia" w:ascii="宋体" w:hAnsi="宋体" w:cs="宋体"/>
                <w:sz w:val="24"/>
              </w:rPr>
            </w:pPr>
          </w:p>
        </w:tc>
        <w:tc>
          <w:tcPr>
            <w:tcW w:w="1470" w:type="dxa"/>
            <w:tcMar>
              <w:top w:w="15" w:type="dxa"/>
              <w:left w:w="15" w:type="dxa"/>
              <w:bottom w:w="0" w:type="dxa"/>
              <w:right w:w="15" w:type="dxa"/>
            </w:tcMar>
            <w:vAlign w:val="center"/>
          </w:tcPr>
          <w:p w14:paraId="7DB97A6A">
            <w:pPr>
              <w:adjustRightInd w:val="0"/>
              <w:snapToGrid w:val="0"/>
              <w:spacing w:line="360" w:lineRule="auto"/>
              <w:jc w:val="center"/>
              <w:rPr>
                <w:rFonts w:hint="eastAsia" w:ascii="宋体" w:hAnsi="宋体" w:cs="宋体"/>
                <w:sz w:val="24"/>
              </w:rPr>
            </w:pPr>
            <w:r>
              <w:rPr>
                <w:rFonts w:hint="eastAsia" w:ascii="宋体" w:hAnsi="宋体" w:cs="宋体"/>
                <w:sz w:val="24"/>
              </w:rPr>
              <w:t>　</w:t>
            </w:r>
          </w:p>
        </w:tc>
      </w:tr>
      <w:tr w14:paraId="055C6FE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782E2D12">
            <w:pPr>
              <w:adjustRightInd w:val="0"/>
              <w:snapToGrid w:val="0"/>
              <w:spacing w:line="360" w:lineRule="auto"/>
              <w:jc w:val="center"/>
              <w:rPr>
                <w:rFonts w:hint="eastAsia" w:ascii="宋体" w:hAnsi="宋体" w:cs="宋体"/>
                <w:sz w:val="24"/>
              </w:rPr>
            </w:pPr>
            <w:r>
              <w:rPr>
                <w:rFonts w:hint="eastAsia" w:ascii="宋体" w:hAnsi="宋体" w:cs="宋体"/>
                <w:sz w:val="24"/>
              </w:rPr>
              <w:t>2</w:t>
            </w:r>
          </w:p>
        </w:tc>
        <w:tc>
          <w:tcPr>
            <w:tcW w:w="2347" w:type="dxa"/>
            <w:tcMar>
              <w:top w:w="15" w:type="dxa"/>
              <w:left w:w="15" w:type="dxa"/>
              <w:bottom w:w="0" w:type="dxa"/>
              <w:right w:w="15" w:type="dxa"/>
            </w:tcMar>
            <w:vAlign w:val="center"/>
          </w:tcPr>
          <w:p w14:paraId="633277C3">
            <w:pPr>
              <w:adjustRightInd w:val="0"/>
              <w:snapToGrid w:val="0"/>
              <w:spacing w:line="360" w:lineRule="auto"/>
              <w:jc w:val="center"/>
              <w:rPr>
                <w:rFonts w:hint="eastAsia" w:ascii="宋体" w:hAnsi="宋体" w:cs="宋体"/>
                <w:sz w:val="24"/>
              </w:rPr>
            </w:pPr>
          </w:p>
        </w:tc>
        <w:tc>
          <w:tcPr>
            <w:tcW w:w="2378" w:type="dxa"/>
            <w:tcMar>
              <w:top w:w="15" w:type="dxa"/>
              <w:left w:w="15" w:type="dxa"/>
              <w:bottom w:w="0" w:type="dxa"/>
              <w:right w:w="15" w:type="dxa"/>
            </w:tcMar>
            <w:vAlign w:val="center"/>
          </w:tcPr>
          <w:p w14:paraId="196F04B1">
            <w:pPr>
              <w:adjustRightInd w:val="0"/>
              <w:snapToGrid w:val="0"/>
              <w:spacing w:line="360" w:lineRule="auto"/>
              <w:jc w:val="center"/>
              <w:rPr>
                <w:rFonts w:hint="eastAsia" w:ascii="宋体" w:hAnsi="宋体" w:cs="宋体"/>
                <w:sz w:val="24"/>
              </w:rPr>
            </w:pPr>
            <w:r>
              <w:rPr>
                <w:rFonts w:hint="eastAsia" w:ascii="宋体" w:hAnsi="宋体" w:cs="宋体"/>
                <w:sz w:val="24"/>
              </w:rPr>
              <w:t>　</w:t>
            </w:r>
          </w:p>
        </w:tc>
        <w:tc>
          <w:tcPr>
            <w:tcW w:w="1455" w:type="dxa"/>
            <w:tcMar>
              <w:top w:w="15" w:type="dxa"/>
              <w:left w:w="15" w:type="dxa"/>
              <w:bottom w:w="0" w:type="dxa"/>
              <w:right w:w="15" w:type="dxa"/>
            </w:tcMar>
            <w:vAlign w:val="center"/>
          </w:tcPr>
          <w:p w14:paraId="0A7E978D">
            <w:pPr>
              <w:adjustRightInd w:val="0"/>
              <w:snapToGrid w:val="0"/>
              <w:spacing w:line="360" w:lineRule="auto"/>
              <w:jc w:val="center"/>
              <w:rPr>
                <w:rFonts w:hint="eastAsia" w:ascii="宋体" w:hAnsi="宋体" w:cs="宋体"/>
                <w:sz w:val="24"/>
              </w:rPr>
            </w:pPr>
          </w:p>
        </w:tc>
        <w:tc>
          <w:tcPr>
            <w:tcW w:w="1470" w:type="dxa"/>
            <w:tcMar>
              <w:top w:w="15" w:type="dxa"/>
              <w:left w:w="15" w:type="dxa"/>
              <w:bottom w:w="0" w:type="dxa"/>
              <w:right w:w="15" w:type="dxa"/>
            </w:tcMar>
            <w:vAlign w:val="center"/>
          </w:tcPr>
          <w:p w14:paraId="4E012946">
            <w:pPr>
              <w:adjustRightInd w:val="0"/>
              <w:snapToGrid w:val="0"/>
              <w:spacing w:line="360" w:lineRule="auto"/>
              <w:jc w:val="center"/>
              <w:rPr>
                <w:rFonts w:hint="eastAsia" w:ascii="宋体" w:hAnsi="宋体" w:cs="宋体"/>
                <w:sz w:val="24"/>
              </w:rPr>
            </w:pPr>
            <w:r>
              <w:rPr>
                <w:rFonts w:hint="eastAsia" w:ascii="宋体" w:hAnsi="宋体" w:cs="宋体"/>
                <w:sz w:val="24"/>
              </w:rPr>
              <w:t>　</w:t>
            </w:r>
          </w:p>
        </w:tc>
      </w:tr>
      <w:tr w14:paraId="26A9DA2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0DF6CE39">
            <w:pPr>
              <w:adjustRightInd w:val="0"/>
              <w:snapToGrid w:val="0"/>
              <w:spacing w:line="360" w:lineRule="auto"/>
              <w:jc w:val="center"/>
              <w:rPr>
                <w:rFonts w:hint="eastAsia" w:ascii="宋体" w:hAnsi="宋体" w:cs="宋体"/>
                <w:sz w:val="24"/>
              </w:rPr>
            </w:pPr>
            <w:r>
              <w:rPr>
                <w:rFonts w:hint="eastAsia" w:ascii="宋体" w:hAnsi="宋体" w:cs="宋体"/>
                <w:sz w:val="24"/>
              </w:rPr>
              <w:t>3</w:t>
            </w:r>
          </w:p>
        </w:tc>
        <w:tc>
          <w:tcPr>
            <w:tcW w:w="2347" w:type="dxa"/>
            <w:tcMar>
              <w:top w:w="15" w:type="dxa"/>
              <w:left w:w="15" w:type="dxa"/>
              <w:bottom w:w="0" w:type="dxa"/>
              <w:right w:w="15" w:type="dxa"/>
            </w:tcMar>
            <w:vAlign w:val="center"/>
          </w:tcPr>
          <w:p w14:paraId="149D675E">
            <w:pPr>
              <w:adjustRightInd w:val="0"/>
              <w:snapToGrid w:val="0"/>
              <w:spacing w:line="360" w:lineRule="auto"/>
              <w:jc w:val="center"/>
              <w:rPr>
                <w:rFonts w:hint="eastAsia" w:ascii="宋体" w:hAnsi="宋体" w:cs="宋体"/>
                <w:sz w:val="24"/>
              </w:rPr>
            </w:pPr>
          </w:p>
        </w:tc>
        <w:tc>
          <w:tcPr>
            <w:tcW w:w="2378" w:type="dxa"/>
            <w:tcMar>
              <w:top w:w="15" w:type="dxa"/>
              <w:left w:w="15" w:type="dxa"/>
              <w:bottom w:w="0" w:type="dxa"/>
              <w:right w:w="15" w:type="dxa"/>
            </w:tcMar>
            <w:vAlign w:val="center"/>
          </w:tcPr>
          <w:p w14:paraId="058702AE">
            <w:pPr>
              <w:adjustRightInd w:val="0"/>
              <w:snapToGrid w:val="0"/>
              <w:spacing w:line="360" w:lineRule="auto"/>
              <w:jc w:val="center"/>
              <w:rPr>
                <w:rFonts w:hint="eastAsia" w:ascii="宋体" w:hAnsi="宋体" w:cs="宋体"/>
                <w:sz w:val="24"/>
              </w:rPr>
            </w:pPr>
            <w:r>
              <w:rPr>
                <w:rFonts w:hint="eastAsia" w:ascii="宋体" w:hAnsi="宋体" w:cs="宋体"/>
                <w:sz w:val="24"/>
              </w:rPr>
              <w:t>　</w:t>
            </w:r>
          </w:p>
        </w:tc>
        <w:tc>
          <w:tcPr>
            <w:tcW w:w="1455" w:type="dxa"/>
            <w:tcMar>
              <w:top w:w="15" w:type="dxa"/>
              <w:left w:w="15" w:type="dxa"/>
              <w:bottom w:w="0" w:type="dxa"/>
              <w:right w:w="15" w:type="dxa"/>
            </w:tcMar>
            <w:vAlign w:val="center"/>
          </w:tcPr>
          <w:p w14:paraId="79A43CF5">
            <w:pPr>
              <w:adjustRightInd w:val="0"/>
              <w:snapToGrid w:val="0"/>
              <w:spacing w:line="360" w:lineRule="auto"/>
              <w:jc w:val="center"/>
              <w:rPr>
                <w:rFonts w:hint="eastAsia" w:ascii="宋体" w:hAnsi="宋体" w:cs="宋体"/>
                <w:sz w:val="24"/>
              </w:rPr>
            </w:pPr>
          </w:p>
        </w:tc>
        <w:tc>
          <w:tcPr>
            <w:tcW w:w="1470" w:type="dxa"/>
            <w:tcMar>
              <w:top w:w="15" w:type="dxa"/>
              <w:left w:w="15" w:type="dxa"/>
              <w:bottom w:w="0" w:type="dxa"/>
              <w:right w:w="15" w:type="dxa"/>
            </w:tcMar>
            <w:vAlign w:val="center"/>
          </w:tcPr>
          <w:p w14:paraId="5BE266A1">
            <w:pPr>
              <w:adjustRightInd w:val="0"/>
              <w:snapToGrid w:val="0"/>
              <w:spacing w:line="360" w:lineRule="auto"/>
              <w:jc w:val="center"/>
              <w:rPr>
                <w:rFonts w:hint="eastAsia" w:ascii="宋体" w:hAnsi="宋体" w:cs="宋体"/>
                <w:sz w:val="24"/>
              </w:rPr>
            </w:pPr>
            <w:r>
              <w:rPr>
                <w:rFonts w:hint="eastAsia" w:ascii="宋体" w:hAnsi="宋体" w:cs="宋体"/>
                <w:sz w:val="24"/>
              </w:rPr>
              <w:t>　</w:t>
            </w:r>
          </w:p>
        </w:tc>
      </w:tr>
      <w:tr w14:paraId="39832CC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3DFF7C60">
            <w:pPr>
              <w:adjustRightInd w:val="0"/>
              <w:snapToGrid w:val="0"/>
              <w:spacing w:line="360" w:lineRule="auto"/>
              <w:jc w:val="center"/>
              <w:rPr>
                <w:rFonts w:hint="eastAsia" w:ascii="宋体" w:hAnsi="宋体" w:cs="宋体"/>
                <w:sz w:val="24"/>
              </w:rPr>
            </w:pPr>
            <w:r>
              <w:rPr>
                <w:rFonts w:hint="eastAsia" w:ascii="宋体" w:hAnsi="宋体" w:cs="宋体"/>
                <w:sz w:val="24"/>
              </w:rPr>
              <w:t>4</w:t>
            </w:r>
          </w:p>
        </w:tc>
        <w:tc>
          <w:tcPr>
            <w:tcW w:w="2347" w:type="dxa"/>
            <w:tcMar>
              <w:top w:w="15" w:type="dxa"/>
              <w:left w:w="15" w:type="dxa"/>
              <w:bottom w:w="0" w:type="dxa"/>
              <w:right w:w="15" w:type="dxa"/>
            </w:tcMar>
            <w:vAlign w:val="center"/>
          </w:tcPr>
          <w:p w14:paraId="211509B5">
            <w:pPr>
              <w:adjustRightInd w:val="0"/>
              <w:snapToGrid w:val="0"/>
              <w:spacing w:line="360" w:lineRule="auto"/>
              <w:jc w:val="center"/>
              <w:rPr>
                <w:rFonts w:hint="eastAsia" w:ascii="宋体" w:hAnsi="宋体" w:cs="宋体"/>
                <w:sz w:val="24"/>
              </w:rPr>
            </w:pPr>
          </w:p>
        </w:tc>
        <w:tc>
          <w:tcPr>
            <w:tcW w:w="2378" w:type="dxa"/>
            <w:tcMar>
              <w:top w:w="15" w:type="dxa"/>
              <w:left w:w="15" w:type="dxa"/>
              <w:bottom w:w="0" w:type="dxa"/>
              <w:right w:w="15" w:type="dxa"/>
            </w:tcMar>
            <w:vAlign w:val="center"/>
          </w:tcPr>
          <w:p w14:paraId="2630EDD1">
            <w:pPr>
              <w:adjustRightInd w:val="0"/>
              <w:snapToGrid w:val="0"/>
              <w:spacing w:line="360" w:lineRule="auto"/>
              <w:jc w:val="center"/>
              <w:rPr>
                <w:rFonts w:hint="eastAsia" w:ascii="宋体" w:hAnsi="宋体" w:cs="宋体"/>
                <w:sz w:val="24"/>
              </w:rPr>
            </w:pPr>
            <w:r>
              <w:rPr>
                <w:rFonts w:hint="eastAsia" w:ascii="宋体" w:hAnsi="宋体" w:cs="宋体"/>
                <w:sz w:val="24"/>
              </w:rPr>
              <w:t>　</w:t>
            </w:r>
          </w:p>
        </w:tc>
        <w:tc>
          <w:tcPr>
            <w:tcW w:w="1455" w:type="dxa"/>
            <w:tcMar>
              <w:top w:w="15" w:type="dxa"/>
              <w:left w:w="15" w:type="dxa"/>
              <w:bottom w:w="0" w:type="dxa"/>
              <w:right w:w="15" w:type="dxa"/>
            </w:tcMar>
            <w:vAlign w:val="center"/>
          </w:tcPr>
          <w:p w14:paraId="57E8E8CB">
            <w:pPr>
              <w:adjustRightInd w:val="0"/>
              <w:snapToGrid w:val="0"/>
              <w:spacing w:line="360" w:lineRule="auto"/>
              <w:jc w:val="center"/>
              <w:rPr>
                <w:rFonts w:hint="eastAsia" w:ascii="宋体" w:hAnsi="宋体" w:cs="宋体"/>
                <w:sz w:val="24"/>
              </w:rPr>
            </w:pPr>
          </w:p>
        </w:tc>
        <w:tc>
          <w:tcPr>
            <w:tcW w:w="1470" w:type="dxa"/>
            <w:tcMar>
              <w:top w:w="15" w:type="dxa"/>
              <w:left w:w="15" w:type="dxa"/>
              <w:bottom w:w="0" w:type="dxa"/>
              <w:right w:w="15" w:type="dxa"/>
            </w:tcMar>
            <w:vAlign w:val="center"/>
          </w:tcPr>
          <w:p w14:paraId="00D66AEE">
            <w:pPr>
              <w:adjustRightInd w:val="0"/>
              <w:snapToGrid w:val="0"/>
              <w:spacing w:line="360" w:lineRule="auto"/>
              <w:jc w:val="center"/>
              <w:rPr>
                <w:rFonts w:hint="eastAsia" w:ascii="宋体" w:hAnsi="宋体" w:cs="宋体"/>
                <w:sz w:val="24"/>
              </w:rPr>
            </w:pPr>
            <w:r>
              <w:rPr>
                <w:rFonts w:hint="eastAsia" w:ascii="宋体" w:hAnsi="宋体" w:cs="宋体"/>
                <w:sz w:val="24"/>
              </w:rPr>
              <w:t>　</w:t>
            </w:r>
          </w:p>
        </w:tc>
      </w:tr>
      <w:tr w14:paraId="43A9F89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7B01E482">
            <w:pPr>
              <w:adjustRightInd w:val="0"/>
              <w:snapToGrid w:val="0"/>
              <w:spacing w:line="360" w:lineRule="auto"/>
              <w:jc w:val="center"/>
              <w:rPr>
                <w:rFonts w:hint="eastAsia" w:ascii="宋体" w:hAnsi="宋体" w:cs="宋体"/>
                <w:sz w:val="24"/>
              </w:rPr>
            </w:pPr>
            <w:r>
              <w:rPr>
                <w:rFonts w:hint="eastAsia" w:ascii="宋体" w:hAnsi="宋体" w:cs="宋体"/>
                <w:sz w:val="24"/>
              </w:rPr>
              <w:t>5</w:t>
            </w:r>
          </w:p>
        </w:tc>
        <w:tc>
          <w:tcPr>
            <w:tcW w:w="2347" w:type="dxa"/>
            <w:tcMar>
              <w:top w:w="15" w:type="dxa"/>
              <w:left w:w="15" w:type="dxa"/>
              <w:bottom w:w="0" w:type="dxa"/>
              <w:right w:w="15" w:type="dxa"/>
            </w:tcMar>
            <w:vAlign w:val="center"/>
          </w:tcPr>
          <w:p w14:paraId="417FED91">
            <w:pPr>
              <w:adjustRightInd w:val="0"/>
              <w:snapToGrid w:val="0"/>
              <w:spacing w:line="360" w:lineRule="auto"/>
              <w:jc w:val="center"/>
              <w:rPr>
                <w:rFonts w:hint="eastAsia" w:ascii="宋体" w:hAnsi="宋体" w:cs="宋体"/>
                <w:sz w:val="24"/>
              </w:rPr>
            </w:pPr>
          </w:p>
        </w:tc>
        <w:tc>
          <w:tcPr>
            <w:tcW w:w="2378" w:type="dxa"/>
            <w:tcMar>
              <w:top w:w="15" w:type="dxa"/>
              <w:left w:w="15" w:type="dxa"/>
              <w:bottom w:w="0" w:type="dxa"/>
              <w:right w:w="15" w:type="dxa"/>
            </w:tcMar>
            <w:vAlign w:val="center"/>
          </w:tcPr>
          <w:p w14:paraId="62179F98">
            <w:pPr>
              <w:adjustRightInd w:val="0"/>
              <w:snapToGrid w:val="0"/>
              <w:spacing w:line="360" w:lineRule="auto"/>
              <w:jc w:val="center"/>
              <w:rPr>
                <w:rFonts w:hint="eastAsia" w:ascii="宋体" w:hAnsi="宋体" w:cs="宋体"/>
                <w:sz w:val="24"/>
              </w:rPr>
            </w:pPr>
            <w:r>
              <w:rPr>
                <w:rFonts w:hint="eastAsia" w:ascii="宋体" w:hAnsi="宋体" w:cs="宋体"/>
                <w:sz w:val="24"/>
              </w:rPr>
              <w:t>　</w:t>
            </w:r>
          </w:p>
        </w:tc>
        <w:tc>
          <w:tcPr>
            <w:tcW w:w="1455" w:type="dxa"/>
            <w:tcMar>
              <w:top w:w="15" w:type="dxa"/>
              <w:left w:w="15" w:type="dxa"/>
              <w:bottom w:w="0" w:type="dxa"/>
              <w:right w:w="15" w:type="dxa"/>
            </w:tcMar>
            <w:vAlign w:val="center"/>
          </w:tcPr>
          <w:p w14:paraId="2AB93EFE">
            <w:pPr>
              <w:adjustRightInd w:val="0"/>
              <w:snapToGrid w:val="0"/>
              <w:spacing w:line="360" w:lineRule="auto"/>
              <w:jc w:val="center"/>
              <w:rPr>
                <w:rFonts w:hint="eastAsia" w:ascii="宋体" w:hAnsi="宋体" w:cs="宋体"/>
                <w:sz w:val="24"/>
              </w:rPr>
            </w:pPr>
          </w:p>
        </w:tc>
        <w:tc>
          <w:tcPr>
            <w:tcW w:w="1470" w:type="dxa"/>
            <w:tcMar>
              <w:top w:w="15" w:type="dxa"/>
              <w:left w:w="15" w:type="dxa"/>
              <w:bottom w:w="0" w:type="dxa"/>
              <w:right w:w="15" w:type="dxa"/>
            </w:tcMar>
            <w:vAlign w:val="center"/>
          </w:tcPr>
          <w:p w14:paraId="4E20A3A7">
            <w:pPr>
              <w:adjustRightInd w:val="0"/>
              <w:snapToGrid w:val="0"/>
              <w:spacing w:line="360" w:lineRule="auto"/>
              <w:jc w:val="center"/>
              <w:rPr>
                <w:rFonts w:hint="eastAsia" w:ascii="宋体" w:hAnsi="宋体" w:cs="宋体"/>
                <w:sz w:val="24"/>
              </w:rPr>
            </w:pPr>
            <w:r>
              <w:rPr>
                <w:rFonts w:hint="eastAsia" w:ascii="宋体" w:hAnsi="宋体" w:cs="宋体"/>
                <w:sz w:val="24"/>
              </w:rPr>
              <w:t>　</w:t>
            </w:r>
          </w:p>
        </w:tc>
      </w:tr>
      <w:tr w14:paraId="67EF9FD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495EE0F3">
            <w:pPr>
              <w:adjustRightInd w:val="0"/>
              <w:snapToGrid w:val="0"/>
              <w:spacing w:line="360" w:lineRule="auto"/>
              <w:jc w:val="center"/>
              <w:rPr>
                <w:rFonts w:hint="eastAsia" w:ascii="宋体" w:hAnsi="宋体" w:cs="宋体"/>
                <w:sz w:val="24"/>
              </w:rPr>
            </w:pPr>
            <w:r>
              <w:rPr>
                <w:rFonts w:hint="eastAsia" w:ascii="宋体" w:hAnsi="宋体" w:cs="宋体"/>
                <w:sz w:val="24"/>
              </w:rPr>
              <w:t>……</w:t>
            </w:r>
          </w:p>
        </w:tc>
        <w:tc>
          <w:tcPr>
            <w:tcW w:w="2347" w:type="dxa"/>
            <w:tcMar>
              <w:top w:w="15" w:type="dxa"/>
              <w:left w:w="15" w:type="dxa"/>
              <w:bottom w:w="0" w:type="dxa"/>
              <w:right w:w="15" w:type="dxa"/>
            </w:tcMar>
            <w:vAlign w:val="center"/>
          </w:tcPr>
          <w:p w14:paraId="7C671836">
            <w:pPr>
              <w:adjustRightInd w:val="0"/>
              <w:snapToGrid w:val="0"/>
              <w:spacing w:line="360" w:lineRule="auto"/>
              <w:jc w:val="center"/>
              <w:rPr>
                <w:rFonts w:hint="eastAsia" w:ascii="宋体" w:hAnsi="宋体" w:cs="宋体"/>
                <w:sz w:val="24"/>
              </w:rPr>
            </w:pPr>
          </w:p>
        </w:tc>
        <w:tc>
          <w:tcPr>
            <w:tcW w:w="2378" w:type="dxa"/>
            <w:tcMar>
              <w:top w:w="15" w:type="dxa"/>
              <w:left w:w="15" w:type="dxa"/>
              <w:bottom w:w="0" w:type="dxa"/>
              <w:right w:w="15" w:type="dxa"/>
            </w:tcMar>
            <w:vAlign w:val="center"/>
          </w:tcPr>
          <w:p w14:paraId="47B6D028">
            <w:pPr>
              <w:adjustRightInd w:val="0"/>
              <w:snapToGrid w:val="0"/>
              <w:spacing w:line="360" w:lineRule="auto"/>
              <w:jc w:val="center"/>
              <w:rPr>
                <w:rFonts w:hint="eastAsia" w:ascii="宋体" w:hAnsi="宋体" w:cs="宋体"/>
                <w:sz w:val="24"/>
              </w:rPr>
            </w:pPr>
            <w:r>
              <w:rPr>
                <w:rFonts w:hint="eastAsia" w:ascii="宋体" w:hAnsi="宋体" w:cs="宋体"/>
                <w:sz w:val="24"/>
              </w:rPr>
              <w:t>　</w:t>
            </w:r>
          </w:p>
        </w:tc>
        <w:tc>
          <w:tcPr>
            <w:tcW w:w="1455" w:type="dxa"/>
            <w:tcMar>
              <w:top w:w="15" w:type="dxa"/>
              <w:left w:w="15" w:type="dxa"/>
              <w:bottom w:w="0" w:type="dxa"/>
              <w:right w:w="15" w:type="dxa"/>
            </w:tcMar>
            <w:vAlign w:val="center"/>
          </w:tcPr>
          <w:p w14:paraId="277BEB8F">
            <w:pPr>
              <w:adjustRightInd w:val="0"/>
              <w:snapToGrid w:val="0"/>
              <w:spacing w:line="360" w:lineRule="auto"/>
              <w:jc w:val="center"/>
              <w:rPr>
                <w:rFonts w:hint="eastAsia" w:ascii="宋体" w:hAnsi="宋体" w:cs="宋体"/>
                <w:sz w:val="24"/>
              </w:rPr>
            </w:pPr>
          </w:p>
        </w:tc>
        <w:tc>
          <w:tcPr>
            <w:tcW w:w="1470" w:type="dxa"/>
            <w:tcMar>
              <w:top w:w="15" w:type="dxa"/>
              <w:left w:w="15" w:type="dxa"/>
              <w:bottom w:w="0" w:type="dxa"/>
              <w:right w:w="15" w:type="dxa"/>
            </w:tcMar>
            <w:vAlign w:val="center"/>
          </w:tcPr>
          <w:p w14:paraId="230E761A">
            <w:pPr>
              <w:adjustRightInd w:val="0"/>
              <w:snapToGrid w:val="0"/>
              <w:spacing w:line="360" w:lineRule="auto"/>
              <w:jc w:val="center"/>
              <w:rPr>
                <w:rFonts w:hint="eastAsia" w:ascii="宋体" w:hAnsi="宋体" w:cs="宋体"/>
                <w:sz w:val="24"/>
              </w:rPr>
            </w:pPr>
            <w:r>
              <w:rPr>
                <w:rFonts w:hint="eastAsia" w:ascii="宋体" w:hAnsi="宋体" w:cs="宋体"/>
                <w:sz w:val="24"/>
              </w:rPr>
              <w:t>　</w:t>
            </w:r>
          </w:p>
        </w:tc>
      </w:tr>
    </w:tbl>
    <w:p w14:paraId="2AD6A5E5">
      <w:pPr>
        <w:pStyle w:val="8"/>
        <w:adjustRightInd w:val="0"/>
        <w:snapToGrid w:val="0"/>
        <w:spacing w:line="360" w:lineRule="auto"/>
        <w:ind w:firstLine="388" w:firstLineChars="200"/>
        <w:rPr>
          <w:rFonts w:hint="eastAsia" w:ascii="宋体" w:hAnsi="宋体" w:eastAsia="宋体" w:cs="宋体"/>
          <w:bCs/>
          <w:snapToGrid w:val="0"/>
          <w:kern w:val="0"/>
          <w:sz w:val="21"/>
          <w:szCs w:val="21"/>
        </w:rPr>
      </w:pPr>
      <w:r>
        <w:rPr>
          <w:rFonts w:hint="eastAsia" w:ascii="宋体" w:hAnsi="宋体" w:eastAsia="宋体" w:cs="宋体"/>
          <w:bCs/>
          <w:snapToGrid w:val="0"/>
          <w:kern w:val="0"/>
          <w:sz w:val="21"/>
          <w:szCs w:val="21"/>
        </w:rPr>
        <w:t>注：</w:t>
      </w:r>
    </w:p>
    <w:p w14:paraId="721E7281">
      <w:pPr>
        <w:pStyle w:val="8"/>
        <w:adjustRightInd w:val="0"/>
        <w:snapToGrid w:val="0"/>
        <w:spacing w:line="360" w:lineRule="auto"/>
        <w:ind w:firstLine="448" w:firstLineChars="200"/>
        <w:rPr>
          <w:rFonts w:hint="eastAsia" w:ascii="宋体" w:hAnsi="宋体" w:eastAsia="宋体" w:cs="宋体"/>
          <w:bCs/>
          <w:sz w:val="24"/>
          <w:szCs w:val="24"/>
        </w:rPr>
      </w:pPr>
      <w:r>
        <w:rPr>
          <w:rFonts w:hint="eastAsia" w:ascii="宋体" w:hAnsi="宋体" w:eastAsia="宋体" w:cs="宋体"/>
          <w:bCs/>
          <w:sz w:val="24"/>
          <w:szCs w:val="24"/>
        </w:rPr>
        <w:t>1.“招标文件商务要求”一栏应按照招标文件第二章《项目招标需求》中商务要求的内容逐项填写</w:t>
      </w:r>
      <w:r>
        <w:rPr>
          <w:rFonts w:hint="eastAsia" w:ascii="宋体" w:hAnsi="宋体" w:eastAsia="宋体" w:cs="宋体"/>
          <w:bCs/>
          <w:sz w:val="24"/>
          <w:szCs w:val="24"/>
          <w:lang w:val="zh-CN"/>
        </w:rPr>
        <w:t>，否则按照投标无效处理。</w:t>
      </w:r>
    </w:p>
    <w:p w14:paraId="3DA29943">
      <w:pPr>
        <w:pStyle w:val="8"/>
        <w:adjustRightInd w:val="0"/>
        <w:snapToGrid w:val="0"/>
        <w:spacing w:line="360" w:lineRule="auto"/>
        <w:ind w:firstLine="448" w:firstLineChars="200"/>
        <w:rPr>
          <w:rFonts w:hint="eastAsia" w:ascii="宋体" w:hAnsi="宋体" w:eastAsia="宋体" w:cs="宋体"/>
          <w:bCs/>
          <w:sz w:val="24"/>
          <w:szCs w:val="24"/>
        </w:rPr>
      </w:pPr>
      <w:r>
        <w:rPr>
          <w:rFonts w:hint="eastAsia" w:ascii="宋体" w:hAnsi="宋体" w:eastAsia="宋体" w:cs="宋体"/>
          <w:bCs/>
          <w:sz w:val="24"/>
          <w:szCs w:val="24"/>
        </w:rPr>
        <w:t>2.“投标文件商务应答”一栏必须</w:t>
      </w:r>
      <w:r>
        <w:rPr>
          <w:rFonts w:hint="eastAsia" w:ascii="宋体" w:hAnsi="宋体" w:eastAsia="宋体" w:cs="宋体"/>
          <w:bCs/>
          <w:sz w:val="24"/>
          <w:szCs w:val="24"/>
          <w:lang w:val="zh-CN"/>
        </w:rPr>
        <w:t>如实</w:t>
      </w:r>
      <w:r>
        <w:rPr>
          <w:rFonts w:hint="eastAsia" w:ascii="宋体" w:hAnsi="宋体" w:eastAsia="宋体" w:cs="宋体"/>
          <w:bCs/>
          <w:sz w:val="24"/>
          <w:szCs w:val="24"/>
        </w:rPr>
        <w:t>并按照商务要求的内容逐项填写投标商务条款的应答内容</w:t>
      </w:r>
      <w:r>
        <w:rPr>
          <w:rFonts w:hint="eastAsia" w:ascii="宋体" w:hAnsi="宋体" w:eastAsia="宋体" w:cs="宋体"/>
          <w:bCs/>
          <w:sz w:val="24"/>
          <w:szCs w:val="24"/>
          <w:lang w:val="zh-CN"/>
        </w:rPr>
        <w:t>，否则按照投标无效处理。</w:t>
      </w:r>
    </w:p>
    <w:p w14:paraId="1BDE0AAE">
      <w:pPr>
        <w:widowControl/>
        <w:spacing w:line="360" w:lineRule="auto"/>
        <w:ind w:firstLine="448" w:firstLineChars="200"/>
        <w:jc w:val="left"/>
        <w:rPr>
          <w:rFonts w:hint="eastAsia" w:ascii="宋体" w:hAnsi="宋体" w:cs="宋体"/>
          <w:bCs/>
          <w:sz w:val="24"/>
          <w:lang w:val="zh-CN"/>
        </w:rPr>
      </w:pPr>
      <w:r>
        <w:rPr>
          <w:rFonts w:hint="eastAsia" w:ascii="宋体" w:hAnsi="宋体" w:cs="宋体"/>
          <w:bCs/>
          <w:sz w:val="24"/>
          <w:lang w:val="zh-CN"/>
        </w:rPr>
        <w:t>3.“偏离情况”</w:t>
      </w:r>
      <w:r>
        <w:rPr>
          <w:rFonts w:hint="eastAsia" w:ascii="宋体" w:hAnsi="宋体" w:cs="宋体"/>
          <w:bCs/>
          <w:sz w:val="24"/>
        </w:rPr>
        <w:t>一</w:t>
      </w:r>
      <w:r>
        <w:rPr>
          <w:rFonts w:hint="eastAsia" w:ascii="宋体" w:hAnsi="宋体" w:cs="宋体"/>
          <w:bCs/>
          <w:sz w:val="24"/>
          <w:lang w:val="zh-CN"/>
        </w:rPr>
        <w:t>栏中</w:t>
      </w:r>
      <w:r>
        <w:rPr>
          <w:rFonts w:hint="eastAsia" w:ascii="宋体" w:hAnsi="宋体" w:cs="宋体"/>
          <w:bCs/>
          <w:sz w:val="24"/>
        </w:rPr>
        <w:t>必须</w:t>
      </w:r>
      <w:r>
        <w:rPr>
          <w:rFonts w:hint="eastAsia" w:ascii="宋体" w:hAnsi="宋体" w:cs="宋体"/>
          <w:bCs/>
          <w:sz w:val="24"/>
          <w:lang w:val="zh-CN"/>
        </w:rPr>
        <w:t>如实</w:t>
      </w:r>
      <w:r>
        <w:rPr>
          <w:rFonts w:hint="eastAsia" w:ascii="宋体" w:hAnsi="宋体" w:cs="宋体"/>
          <w:bCs/>
          <w:sz w:val="24"/>
        </w:rPr>
        <w:t>并按照商务要求的内容逐项</w:t>
      </w:r>
      <w:r>
        <w:rPr>
          <w:rFonts w:hint="eastAsia" w:ascii="宋体" w:hAnsi="宋体" w:cs="宋体"/>
          <w:bCs/>
          <w:sz w:val="24"/>
          <w:lang w:val="zh-CN"/>
        </w:rPr>
        <w:t>填写“正偏离”、“负偏离”或“无偏离”，招标文件第二章《项目招标需求》中商务要求内容均为实质性条款，投标人的投标必须完全满足或者正偏离，否则按照投标无效处理。</w:t>
      </w:r>
    </w:p>
    <w:p w14:paraId="74507F2B">
      <w:pPr>
        <w:widowControl/>
        <w:spacing w:line="360" w:lineRule="auto"/>
        <w:ind w:firstLine="448" w:firstLineChars="200"/>
        <w:jc w:val="left"/>
        <w:rPr>
          <w:rFonts w:hint="eastAsia" w:ascii="宋体" w:hAnsi="宋体" w:cs="宋体"/>
          <w:bCs/>
          <w:sz w:val="24"/>
        </w:rPr>
      </w:pPr>
      <w:r>
        <w:rPr>
          <w:rFonts w:hint="eastAsia" w:ascii="宋体" w:hAnsi="宋体" w:cs="宋体"/>
          <w:bCs/>
          <w:sz w:val="24"/>
        </w:rPr>
        <w:t>4.“说明”一</w:t>
      </w:r>
      <w:r>
        <w:rPr>
          <w:rFonts w:hint="eastAsia" w:ascii="宋体" w:hAnsi="宋体" w:cs="宋体"/>
          <w:bCs/>
          <w:sz w:val="24"/>
          <w:lang w:val="zh-CN"/>
        </w:rPr>
        <w:t>栏中</w:t>
      </w:r>
      <w:r>
        <w:rPr>
          <w:rFonts w:hint="eastAsia" w:ascii="宋体" w:hAnsi="宋体" w:cs="宋体"/>
          <w:bCs/>
          <w:sz w:val="24"/>
        </w:rPr>
        <w:t>为除以上所述内容外，投标人认为本表格需要提供的其他内容。</w:t>
      </w:r>
    </w:p>
    <w:p w14:paraId="398BE54D">
      <w:pPr>
        <w:pStyle w:val="8"/>
        <w:adjustRightInd w:val="0"/>
        <w:snapToGrid w:val="0"/>
        <w:spacing w:line="360" w:lineRule="auto"/>
        <w:ind w:firstLine="0"/>
        <w:rPr>
          <w:rFonts w:hint="eastAsia" w:ascii="宋体" w:hAnsi="宋体" w:eastAsia="宋体" w:cs="宋体"/>
          <w:snapToGrid w:val="0"/>
          <w:kern w:val="0"/>
          <w:sz w:val="24"/>
          <w:szCs w:val="24"/>
        </w:rPr>
      </w:pPr>
    </w:p>
    <w:p w14:paraId="3144E3F3">
      <w:pPr>
        <w:pStyle w:val="8"/>
        <w:adjustRightInd w:val="0"/>
        <w:snapToGrid w:val="0"/>
        <w:spacing w:line="360" w:lineRule="auto"/>
        <w:ind w:firstLine="0"/>
        <w:rPr>
          <w:rFonts w:hint="eastAsia" w:ascii="宋体" w:hAnsi="宋体" w:eastAsia="宋体" w:cs="宋体"/>
          <w:snapToGrid w:val="0"/>
          <w:kern w:val="0"/>
          <w:sz w:val="24"/>
          <w:szCs w:val="24"/>
        </w:rPr>
      </w:pPr>
    </w:p>
    <w:p w14:paraId="7602E684">
      <w:pPr>
        <w:pStyle w:val="8"/>
        <w:adjustRightInd w:val="0"/>
        <w:snapToGrid w:val="0"/>
        <w:spacing w:line="360" w:lineRule="auto"/>
        <w:ind w:firstLine="0"/>
        <w:rPr>
          <w:rFonts w:hint="eastAsia" w:ascii="宋体" w:hAnsi="宋体" w:eastAsia="宋体" w:cs="宋体"/>
          <w:snapToGrid w:val="0"/>
          <w:kern w:val="0"/>
          <w:sz w:val="24"/>
          <w:szCs w:val="24"/>
        </w:rPr>
      </w:pPr>
    </w:p>
    <w:p w14:paraId="33696315">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0B8CCDF2">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37506B69">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500AC0CC">
      <w:pPr>
        <w:adjustRightInd w:val="0"/>
        <w:snapToGrid w:val="0"/>
        <w:spacing w:line="360" w:lineRule="auto"/>
        <w:ind w:firstLine="2016" w:firstLineChars="900"/>
        <w:outlineLvl w:val="0"/>
        <w:rPr>
          <w:rFonts w:hint="eastAsia" w:ascii="宋体" w:hAnsi="宋体" w:cs="宋体"/>
          <w:sz w:val="24"/>
        </w:rPr>
      </w:pPr>
      <w:r>
        <w:rPr>
          <w:rFonts w:hint="eastAsia" w:ascii="宋体" w:hAnsi="宋体" w:cs="宋体"/>
          <w:sz w:val="24"/>
        </w:rPr>
        <w:t xml:space="preserve">                 </w:t>
      </w:r>
    </w:p>
    <w:p w14:paraId="69C28374">
      <w:pPr>
        <w:autoSpaceDE w:val="0"/>
        <w:autoSpaceDN w:val="0"/>
        <w:adjustRightInd w:val="0"/>
        <w:spacing w:before="156" w:beforeLines="50" w:after="156" w:afterLines="50" w:line="360" w:lineRule="auto"/>
        <w:rPr>
          <w:rFonts w:hint="eastAsia" w:ascii="宋体" w:hAnsi="宋体" w:cs="宋体"/>
          <w:kern w:val="0"/>
          <w:szCs w:val="21"/>
        </w:rPr>
      </w:pPr>
      <w:r>
        <w:rPr>
          <w:rFonts w:hint="eastAsia" w:ascii="宋体" w:hAnsi="宋体" w:cs="宋体"/>
          <w:sz w:val="24"/>
        </w:rPr>
        <w:t xml:space="preserve">    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792D5A70">
      <w:pPr>
        <w:pStyle w:val="2"/>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四、项目负责人、管理及技术人员一览表</w:t>
      </w:r>
    </w:p>
    <w:p w14:paraId="30D6F2AF">
      <w:pPr>
        <w:autoSpaceDE w:val="0"/>
        <w:autoSpaceDN w:val="0"/>
        <w:adjustRightInd w:val="0"/>
        <w:spacing w:before="156" w:beforeLines="50" w:after="156" w:afterLines="50" w:line="360" w:lineRule="auto"/>
        <w:jc w:val="center"/>
        <w:rPr>
          <w:rFonts w:hint="eastAsia" w:ascii="宋体" w:hAnsi="宋体" w:cs="宋体"/>
          <w:kern w:val="0"/>
          <w:szCs w:val="21"/>
        </w:rPr>
      </w:pPr>
      <w:r>
        <w:rPr>
          <w:rFonts w:hint="eastAsia" w:ascii="宋体" w:hAnsi="宋体" w:cs="宋体"/>
          <w:kern w:val="0"/>
          <w:sz w:val="24"/>
        </w:rPr>
        <w:t>（如果有，提供）</w:t>
      </w:r>
    </w:p>
    <w:tbl>
      <w:tblPr>
        <w:tblStyle w:val="15"/>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66"/>
        <w:gridCol w:w="1051"/>
        <w:gridCol w:w="669"/>
        <w:gridCol w:w="855"/>
        <w:gridCol w:w="705"/>
        <w:gridCol w:w="1200"/>
        <w:gridCol w:w="784"/>
        <w:gridCol w:w="870"/>
        <w:gridCol w:w="1389"/>
      </w:tblGrid>
      <w:tr w14:paraId="2BF0872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866" w:type="dxa"/>
            <w:vAlign w:val="center"/>
          </w:tcPr>
          <w:p w14:paraId="13D3F3C7">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序号</w:t>
            </w:r>
          </w:p>
        </w:tc>
        <w:tc>
          <w:tcPr>
            <w:tcW w:w="1051" w:type="dxa"/>
            <w:vAlign w:val="center"/>
          </w:tcPr>
          <w:p w14:paraId="6A4AB618">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姓名</w:t>
            </w:r>
          </w:p>
        </w:tc>
        <w:tc>
          <w:tcPr>
            <w:tcW w:w="669" w:type="dxa"/>
            <w:vAlign w:val="center"/>
          </w:tcPr>
          <w:p w14:paraId="4B876C49">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性别</w:t>
            </w:r>
          </w:p>
        </w:tc>
        <w:tc>
          <w:tcPr>
            <w:tcW w:w="855" w:type="dxa"/>
            <w:vAlign w:val="center"/>
          </w:tcPr>
          <w:p w14:paraId="46D9817C">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年龄</w:t>
            </w:r>
          </w:p>
        </w:tc>
        <w:tc>
          <w:tcPr>
            <w:tcW w:w="705" w:type="dxa"/>
            <w:vAlign w:val="center"/>
          </w:tcPr>
          <w:p w14:paraId="25A7961D">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学历</w:t>
            </w:r>
          </w:p>
        </w:tc>
        <w:tc>
          <w:tcPr>
            <w:tcW w:w="1200" w:type="dxa"/>
            <w:vAlign w:val="center"/>
          </w:tcPr>
          <w:p w14:paraId="3E4802F6">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职称/资格</w:t>
            </w:r>
          </w:p>
        </w:tc>
        <w:tc>
          <w:tcPr>
            <w:tcW w:w="784" w:type="dxa"/>
            <w:vAlign w:val="center"/>
          </w:tcPr>
          <w:p w14:paraId="23D686F8">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专业</w:t>
            </w:r>
          </w:p>
        </w:tc>
        <w:tc>
          <w:tcPr>
            <w:tcW w:w="870" w:type="dxa"/>
            <w:vAlign w:val="center"/>
          </w:tcPr>
          <w:p w14:paraId="21D8F627">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经验</w:t>
            </w:r>
          </w:p>
          <w:p w14:paraId="4EA7BCED">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年限</w:t>
            </w:r>
          </w:p>
        </w:tc>
        <w:tc>
          <w:tcPr>
            <w:tcW w:w="1389" w:type="dxa"/>
            <w:vAlign w:val="center"/>
          </w:tcPr>
          <w:p w14:paraId="5DDD22A8">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在本项目中担任职务</w:t>
            </w:r>
          </w:p>
        </w:tc>
      </w:tr>
      <w:tr w14:paraId="7F310F2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866" w:type="dxa"/>
            <w:vAlign w:val="center"/>
          </w:tcPr>
          <w:p w14:paraId="617A0234">
            <w:pPr>
              <w:pStyle w:val="32"/>
              <w:spacing w:line="360" w:lineRule="auto"/>
              <w:jc w:val="center"/>
              <w:rPr>
                <w:rFonts w:hint="eastAsia" w:ascii="宋体" w:hAnsi="宋体" w:cs="宋体"/>
                <w:sz w:val="24"/>
                <w:szCs w:val="24"/>
              </w:rPr>
            </w:pPr>
            <w:r>
              <w:rPr>
                <w:rFonts w:hint="eastAsia" w:ascii="宋体" w:hAnsi="宋体" w:cs="宋体"/>
                <w:sz w:val="24"/>
                <w:szCs w:val="24"/>
              </w:rPr>
              <w:t>1</w:t>
            </w:r>
          </w:p>
        </w:tc>
        <w:tc>
          <w:tcPr>
            <w:tcW w:w="1051" w:type="dxa"/>
            <w:vAlign w:val="center"/>
          </w:tcPr>
          <w:p w14:paraId="04E51DC6">
            <w:pPr>
              <w:pStyle w:val="32"/>
              <w:spacing w:line="360" w:lineRule="auto"/>
              <w:rPr>
                <w:rFonts w:hint="eastAsia" w:ascii="宋体" w:hAnsi="宋体" w:cs="宋体"/>
                <w:sz w:val="24"/>
                <w:szCs w:val="24"/>
              </w:rPr>
            </w:pPr>
          </w:p>
        </w:tc>
        <w:tc>
          <w:tcPr>
            <w:tcW w:w="669" w:type="dxa"/>
            <w:vAlign w:val="center"/>
          </w:tcPr>
          <w:p w14:paraId="34E9BA0B">
            <w:pPr>
              <w:pStyle w:val="32"/>
              <w:spacing w:line="360" w:lineRule="auto"/>
              <w:rPr>
                <w:rFonts w:hint="eastAsia" w:ascii="宋体" w:hAnsi="宋体" w:cs="宋体"/>
                <w:sz w:val="24"/>
                <w:szCs w:val="24"/>
              </w:rPr>
            </w:pPr>
          </w:p>
        </w:tc>
        <w:tc>
          <w:tcPr>
            <w:tcW w:w="855" w:type="dxa"/>
            <w:vAlign w:val="center"/>
          </w:tcPr>
          <w:p w14:paraId="040575BD">
            <w:pPr>
              <w:pStyle w:val="32"/>
              <w:spacing w:line="360" w:lineRule="auto"/>
              <w:rPr>
                <w:rFonts w:hint="eastAsia" w:ascii="宋体" w:hAnsi="宋体" w:cs="宋体"/>
                <w:sz w:val="24"/>
                <w:szCs w:val="24"/>
              </w:rPr>
            </w:pPr>
          </w:p>
        </w:tc>
        <w:tc>
          <w:tcPr>
            <w:tcW w:w="705" w:type="dxa"/>
            <w:vAlign w:val="center"/>
          </w:tcPr>
          <w:p w14:paraId="7C426EB6">
            <w:pPr>
              <w:pStyle w:val="32"/>
              <w:spacing w:line="360" w:lineRule="auto"/>
              <w:rPr>
                <w:rFonts w:hint="eastAsia" w:ascii="宋体" w:hAnsi="宋体" w:cs="宋体"/>
                <w:sz w:val="24"/>
                <w:szCs w:val="24"/>
              </w:rPr>
            </w:pPr>
          </w:p>
        </w:tc>
        <w:tc>
          <w:tcPr>
            <w:tcW w:w="1200" w:type="dxa"/>
            <w:vAlign w:val="center"/>
          </w:tcPr>
          <w:p w14:paraId="0A2CD448">
            <w:pPr>
              <w:pStyle w:val="32"/>
              <w:spacing w:line="360" w:lineRule="auto"/>
              <w:rPr>
                <w:rFonts w:hint="eastAsia" w:ascii="宋体" w:hAnsi="宋体" w:cs="宋体"/>
                <w:sz w:val="24"/>
                <w:szCs w:val="24"/>
              </w:rPr>
            </w:pPr>
          </w:p>
        </w:tc>
        <w:tc>
          <w:tcPr>
            <w:tcW w:w="784" w:type="dxa"/>
            <w:vAlign w:val="center"/>
          </w:tcPr>
          <w:p w14:paraId="703CDD73">
            <w:pPr>
              <w:pStyle w:val="32"/>
              <w:spacing w:line="360" w:lineRule="auto"/>
              <w:rPr>
                <w:rFonts w:hint="eastAsia" w:ascii="宋体" w:hAnsi="宋体" w:cs="宋体"/>
                <w:sz w:val="24"/>
                <w:szCs w:val="24"/>
              </w:rPr>
            </w:pPr>
          </w:p>
        </w:tc>
        <w:tc>
          <w:tcPr>
            <w:tcW w:w="870" w:type="dxa"/>
            <w:vAlign w:val="center"/>
          </w:tcPr>
          <w:p w14:paraId="731CFD53">
            <w:pPr>
              <w:pStyle w:val="32"/>
              <w:spacing w:line="360" w:lineRule="auto"/>
              <w:rPr>
                <w:rFonts w:hint="eastAsia" w:ascii="宋体" w:hAnsi="宋体" w:cs="宋体"/>
                <w:sz w:val="24"/>
                <w:szCs w:val="24"/>
              </w:rPr>
            </w:pPr>
          </w:p>
        </w:tc>
        <w:tc>
          <w:tcPr>
            <w:tcW w:w="1389" w:type="dxa"/>
            <w:vAlign w:val="center"/>
          </w:tcPr>
          <w:p w14:paraId="0EFE54A6">
            <w:pPr>
              <w:pStyle w:val="32"/>
              <w:spacing w:line="360" w:lineRule="auto"/>
              <w:rPr>
                <w:rFonts w:hint="eastAsia" w:ascii="宋体" w:hAnsi="宋体" w:cs="宋体"/>
                <w:sz w:val="24"/>
                <w:szCs w:val="24"/>
              </w:rPr>
            </w:pPr>
          </w:p>
        </w:tc>
      </w:tr>
      <w:tr w14:paraId="3292C43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866" w:type="dxa"/>
            <w:vAlign w:val="center"/>
          </w:tcPr>
          <w:p w14:paraId="28A0EA55">
            <w:pPr>
              <w:pStyle w:val="32"/>
              <w:spacing w:line="360" w:lineRule="auto"/>
              <w:jc w:val="center"/>
              <w:rPr>
                <w:rFonts w:hint="eastAsia" w:ascii="宋体" w:hAnsi="宋体" w:cs="宋体"/>
                <w:sz w:val="24"/>
                <w:szCs w:val="24"/>
              </w:rPr>
            </w:pPr>
            <w:r>
              <w:rPr>
                <w:rFonts w:hint="eastAsia" w:ascii="宋体" w:hAnsi="宋体" w:cs="宋体"/>
                <w:sz w:val="24"/>
                <w:szCs w:val="24"/>
              </w:rPr>
              <w:t>2</w:t>
            </w:r>
          </w:p>
        </w:tc>
        <w:tc>
          <w:tcPr>
            <w:tcW w:w="1051" w:type="dxa"/>
            <w:vAlign w:val="center"/>
          </w:tcPr>
          <w:p w14:paraId="0CDFDE01">
            <w:pPr>
              <w:pStyle w:val="32"/>
              <w:spacing w:line="360" w:lineRule="auto"/>
              <w:rPr>
                <w:rFonts w:hint="eastAsia" w:ascii="宋体" w:hAnsi="宋体" w:cs="宋体"/>
                <w:sz w:val="24"/>
                <w:szCs w:val="24"/>
              </w:rPr>
            </w:pPr>
          </w:p>
        </w:tc>
        <w:tc>
          <w:tcPr>
            <w:tcW w:w="669" w:type="dxa"/>
            <w:vAlign w:val="center"/>
          </w:tcPr>
          <w:p w14:paraId="1D6A8B3A">
            <w:pPr>
              <w:pStyle w:val="32"/>
              <w:spacing w:line="360" w:lineRule="auto"/>
              <w:rPr>
                <w:rFonts w:hint="eastAsia" w:ascii="宋体" w:hAnsi="宋体" w:cs="宋体"/>
                <w:sz w:val="24"/>
                <w:szCs w:val="24"/>
              </w:rPr>
            </w:pPr>
          </w:p>
        </w:tc>
        <w:tc>
          <w:tcPr>
            <w:tcW w:w="855" w:type="dxa"/>
            <w:vAlign w:val="center"/>
          </w:tcPr>
          <w:p w14:paraId="3FAC70BE">
            <w:pPr>
              <w:pStyle w:val="32"/>
              <w:spacing w:line="360" w:lineRule="auto"/>
              <w:rPr>
                <w:rFonts w:hint="eastAsia" w:ascii="宋体" w:hAnsi="宋体" w:cs="宋体"/>
                <w:sz w:val="24"/>
                <w:szCs w:val="24"/>
              </w:rPr>
            </w:pPr>
          </w:p>
        </w:tc>
        <w:tc>
          <w:tcPr>
            <w:tcW w:w="705" w:type="dxa"/>
            <w:vAlign w:val="center"/>
          </w:tcPr>
          <w:p w14:paraId="61448158">
            <w:pPr>
              <w:pStyle w:val="32"/>
              <w:spacing w:line="360" w:lineRule="auto"/>
              <w:rPr>
                <w:rFonts w:hint="eastAsia" w:ascii="宋体" w:hAnsi="宋体" w:cs="宋体"/>
                <w:sz w:val="24"/>
                <w:szCs w:val="24"/>
              </w:rPr>
            </w:pPr>
          </w:p>
        </w:tc>
        <w:tc>
          <w:tcPr>
            <w:tcW w:w="1200" w:type="dxa"/>
            <w:vAlign w:val="center"/>
          </w:tcPr>
          <w:p w14:paraId="2E4DEDDF">
            <w:pPr>
              <w:pStyle w:val="32"/>
              <w:spacing w:line="360" w:lineRule="auto"/>
              <w:rPr>
                <w:rFonts w:hint="eastAsia" w:ascii="宋体" w:hAnsi="宋体" w:cs="宋体"/>
                <w:sz w:val="24"/>
                <w:szCs w:val="24"/>
              </w:rPr>
            </w:pPr>
          </w:p>
        </w:tc>
        <w:tc>
          <w:tcPr>
            <w:tcW w:w="784" w:type="dxa"/>
            <w:vAlign w:val="center"/>
          </w:tcPr>
          <w:p w14:paraId="7434120B">
            <w:pPr>
              <w:pStyle w:val="32"/>
              <w:spacing w:line="360" w:lineRule="auto"/>
              <w:rPr>
                <w:rFonts w:hint="eastAsia" w:ascii="宋体" w:hAnsi="宋体" w:cs="宋体"/>
                <w:sz w:val="24"/>
                <w:szCs w:val="24"/>
              </w:rPr>
            </w:pPr>
          </w:p>
        </w:tc>
        <w:tc>
          <w:tcPr>
            <w:tcW w:w="870" w:type="dxa"/>
            <w:vAlign w:val="center"/>
          </w:tcPr>
          <w:p w14:paraId="3D85DFD2">
            <w:pPr>
              <w:pStyle w:val="32"/>
              <w:spacing w:line="360" w:lineRule="auto"/>
              <w:rPr>
                <w:rFonts w:hint="eastAsia" w:ascii="宋体" w:hAnsi="宋体" w:cs="宋体"/>
                <w:sz w:val="24"/>
                <w:szCs w:val="24"/>
              </w:rPr>
            </w:pPr>
          </w:p>
        </w:tc>
        <w:tc>
          <w:tcPr>
            <w:tcW w:w="1389" w:type="dxa"/>
            <w:vAlign w:val="center"/>
          </w:tcPr>
          <w:p w14:paraId="5B4A7F84">
            <w:pPr>
              <w:pStyle w:val="32"/>
              <w:spacing w:line="360" w:lineRule="auto"/>
              <w:rPr>
                <w:rFonts w:hint="eastAsia" w:ascii="宋体" w:hAnsi="宋体" w:cs="宋体"/>
                <w:sz w:val="24"/>
                <w:szCs w:val="24"/>
              </w:rPr>
            </w:pPr>
          </w:p>
        </w:tc>
      </w:tr>
      <w:tr w14:paraId="36B1796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866" w:type="dxa"/>
            <w:vAlign w:val="center"/>
          </w:tcPr>
          <w:p w14:paraId="43EFC2B8">
            <w:pPr>
              <w:pStyle w:val="32"/>
              <w:spacing w:line="360" w:lineRule="auto"/>
              <w:jc w:val="center"/>
              <w:rPr>
                <w:rFonts w:hint="eastAsia" w:ascii="宋体" w:hAnsi="宋体" w:cs="宋体"/>
                <w:sz w:val="24"/>
                <w:szCs w:val="24"/>
              </w:rPr>
            </w:pPr>
            <w:r>
              <w:rPr>
                <w:rFonts w:hint="eastAsia" w:ascii="宋体" w:hAnsi="宋体" w:cs="宋体"/>
                <w:sz w:val="24"/>
                <w:szCs w:val="24"/>
              </w:rPr>
              <w:t>3</w:t>
            </w:r>
          </w:p>
        </w:tc>
        <w:tc>
          <w:tcPr>
            <w:tcW w:w="1051" w:type="dxa"/>
            <w:vAlign w:val="center"/>
          </w:tcPr>
          <w:p w14:paraId="32BE5A7F">
            <w:pPr>
              <w:pStyle w:val="32"/>
              <w:spacing w:line="360" w:lineRule="auto"/>
              <w:rPr>
                <w:rFonts w:hint="eastAsia" w:ascii="宋体" w:hAnsi="宋体" w:cs="宋体"/>
                <w:sz w:val="24"/>
                <w:szCs w:val="24"/>
              </w:rPr>
            </w:pPr>
          </w:p>
        </w:tc>
        <w:tc>
          <w:tcPr>
            <w:tcW w:w="669" w:type="dxa"/>
            <w:vAlign w:val="center"/>
          </w:tcPr>
          <w:p w14:paraId="07C065CC">
            <w:pPr>
              <w:pStyle w:val="32"/>
              <w:spacing w:line="360" w:lineRule="auto"/>
              <w:rPr>
                <w:rFonts w:hint="eastAsia" w:ascii="宋体" w:hAnsi="宋体" w:cs="宋体"/>
                <w:sz w:val="24"/>
                <w:szCs w:val="24"/>
              </w:rPr>
            </w:pPr>
          </w:p>
        </w:tc>
        <w:tc>
          <w:tcPr>
            <w:tcW w:w="855" w:type="dxa"/>
            <w:vAlign w:val="center"/>
          </w:tcPr>
          <w:p w14:paraId="0E828224">
            <w:pPr>
              <w:pStyle w:val="32"/>
              <w:spacing w:line="360" w:lineRule="auto"/>
              <w:rPr>
                <w:rFonts w:hint="eastAsia" w:ascii="宋体" w:hAnsi="宋体" w:cs="宋体"/>
                <w:sz w:val="24"/>
                <w:szCs w:val="24"/>
              </w:rPr>
            </w:pPr>
          </w:p>
        </w:tc>
        <w:tc>
          <w:tcPr>
            <w:tcW w:w="705" w:type="dxa"/>
            <w:vAlign w:val="center"/>
          </w:tcPr>
          <w:p w14:paraId="0234CC52">
            <w:pPr>
              <w:pStyle w:val="32"/>
              <w:spacing w:line="360" w:lineRule="auto"/>
              <w:rPr>
                <w:rFonts w:hint="eastAsia" w:ascii="宋体" w:hAnsi="宋体" w:cs="宋体"/>
                <w:sz w:val="24"/>
                <w:szCs w:val="24"/>
              </w:rPr>
            </w:pPr>
          </w:p>
        </w:tc>
        <w:tc>
          <w:tcPr>
            <w:tcW w:w="1200" w:type="dxa"/>
            <w:vAlign w:val="center"/>
          </w:tcPr>
          <w:p w14:paraId="108CE33F">
            <w:pPr>
              <w:pStyle w:val="32"/>
              <w:spacing w:line="360" w:lineRule="auto"/>
              <w:rPr>
                <w:rFonts w:hint="eastAsia" w:ascii="宋体" w:hAnsi="宋体" w:cs="宋体"/>
                <w:sz w:val="24"/>
                <w:szCs w:val="24"/>
              </w:rPr>
            </w:pPr>
          </w:p>
        </w:tc>
        <w:tc>
          <w:tcPr>
            <w:tcW w:w="784" w:type="dxa"/>
            <w:vAlign w:val="center"/>
          </w:tcPr>
          <w:p w14:paraId="7B333B6B">
            <w:pPr>
              <w:pStyle w:val="32"/>
              <w:spacing w:line="360" w:lineRule="auto"/>
              <w:rPr>
                <w:rFonts w:hint="eastAsia" w:ascii="宋体" w:hAnsi="宋体" w:cs="宋体"/>
                <w:sz w:val="24"/>
                <w:szCs w:val="24"/>
              </w:rPr>
            </w:pPr>
          </w:p>
        </w:tc>
        <w:tc>
          <w:tcPr>
            <w:tcW w:w="870" w:type="dxa"/>
            <w:vAlign w:val="center"/>
          </w:tcPr>
          <w:p w14:paraId="0DAC1EDD">
            <w:pPr>
              <w:pStyle w:val="32"/>
              <w:spacing w:line="360" w:lineRule="auto"/>
              <w:rPr>
                <w:rFonts w:hint="eastAsia" w:ascii="宋体" w:hAnsi="宋体" w:cs="宋体"/>
                <w:sz w:val="24"/>
                <w:szCs w:val="24"/>
              </w:rPr>
            </w:pPr>
          </w:p>
        </w:tc>
        <w:tc>
          <w:tcPr>
            <w:tcW w:w="1389" w:type="dxa"/>
            <w:vAlign w:val="center"/>
          </w:tcPr>
          <w:p w14:paraId="63890410">
            <w:pPr>
              <w:pStyle w:val="32"/>
              <w:spacing w:line="360" w:lineRule="auto"/>
              <w:rPr>
                <w:rFonts w:hint="eastAsia" w:ascii="宋体" w:hAnsi="宋体" w:cs="宋体"/>
                <w:sz w:val="24"/>
                <w:szCs w:val="24"/>
              </w:rPr>
            </w:pPr>
          </w:p>
        </w:tc>
      </w:tr>
      <w:tr w14:paraId="5F2D479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53637D0C">
            <w:pPr>
              <w:pStyle w:val="32"/>
              <w:spacing w:line="360" w:lineRule="auto"/>
              <w:ind w:firstLine="112" w:firstLineChars="50"/>
              <w:jc w:val="center"/>
              <w:rPr>
                <w:rFonts w:hint="eastAsia" w:ascii="宋体" w:hAnsi="宋体" w:cs="宋体"/>
                <w:sz w:val="24"/>
                <w:szCs w:val="24"/>
              </w:rPr>
            </w:pPr>
            <w:r>
              <w:rPr>
                <w:rFonts w:hint="eastAsia" w:ascii="宋体" w:hAnsi="宋体" w:cs="宋体"/>
                <w:sz w:val="24"/>
                <w:szCs w:val="24"/>
              </w:rPr>
              <w:t>4</w:t>
            </w:r>
          </w:p>
        </w:tc>
        <w:tc>
          <w:tcPr>
            <w:tcW w:w="1051" w:type="dxa"/>
            <w:vAlign w:val="center"/>
          </w:tcPr>
          <w:p w14:paraId="469971AB">
            <w:pPr>
              <w:pStyle w:val="32"/>
              <w:spacing w:line="360" w:lineRule="auto"/>
              <w:rPr>
                <w:rFonts w:hint="eastAsia" w:ascii="宋体" w:hAnsi="宋体" w:cs="宋体"/>
                <w:sz w:val="24"/>
                <w:szCs w:val="24"/>
              </w:rPr>
            </w:pPr>
          </w:p>
        </w:tc>
        <w:tc>
          <w:tcPr>
            <w:tcW w:w="669" w:type="dxa"/>
            <w:vAlign w:val="center"/>
          </w:tcPr>
          <w:p w14:paraId="39EBF891">
            <w:pPr>
              <w:pStyle w:val="32"/>
              <w:spacing w:line="360" w:lineRule="auto"/>
              <w:rPr>
                <w:rFonts w:hint="eastAsia" w:ascii="宋体" w:hAnsi="宋体" w:cs="宋体"/>
                <w:sz w:val="24"/>
                <w:szCs w:val="24"/>
              </w:rPr>
            </w:pPr>
          </w:p>
        </w:tc>
        <w:tc>
          <w:tcPr>
            <w:tcW w:w="855" w:type="dxa"/>
            <w:vAlign w:val="center"/>
          </w:tcPr>
          <w:p w14:paraId="12AE1236">
            <w:pPr>
              <w:pStyle w:val="32"/>
              <w:spacing w:line="360" w:lineRule="auto"/>
              <w:rPr>
                <w:rFonts w:hint="eastAsia" w:ascii="宋体" w:hAnsi="宋体" w:cs="宋体"/>
                <w:sz w:val="24"/>
                <w:szCs w:val="24"/>
              </w:rPr>
            </w:pPr>
          </w:p>
        </w:tc>
        <w:tc>
          <w:tcPr>
            <w:tcW w:w="705" w:type="dxa"/>
            <w:vAlign w:val="center"/>
          </w:tcPr>
          <w:p w14:paraId="055EEB6E">
            <w:pPr>
              <w:pStyle w:val="32"/>
              <w:spacing w:line="360" w:lineRule="auto"/>
              <w:rPr>
                <w:rFonts w:hint="eastAsia" w:ascii="宋体" w:hAnsi="宋体" w:cs="宋体"/>
                <w:sz w:val="24"/>
                <w:szCs w:val="24"/>
              </w:rPr>
            </w:pPr>
          </w:p>
        </w:tc>
        <w:tc>
          <w:tcPr>
            <w:tcW w:w="1200" w:type="dxa"/>
            <w:vAlign w:val="center"/>
          </w:tcPr>
          <w:p w14:paraId="1660A78B">
            <w:pPr>
              <w:pStyle w:val="32"/>
              <w:spacing w:line="360" w:lineRule="auto"/>
              <w:rPr>
                <w:rFonts w:hint="eastAsia" w:ascii="宋体" w:hAnsi="宋体" w:cs="宋体"/>
                <w:sz w:val="24"/>
                <w:szCs w:val="24"/>
              </w:rPr>
            </w:pPr>
          </w:p>
        </w:tc>
        <w:tc>
          <w:tcPr>
            <w:tcW w:w="784" w:type="dxa"/>
            <w:vAlign w:val="center"/>
          </w:tcPr>
          <w:p w14:paraId="4A2394E5">
            <w:pPr>
              <w:pStyle w:val="32"/>
              <w:spacing w:line="360" w:lineRule="auto"/>
              <w:rPr>
                <w:rFonts w:hint="eastAsia" w:ascii="宋体" w:hAnsi="宋体" w:cs="宋体"/>
                <w:sz w:val="24"/>
                <w:szCs w:val="24"/>
              </w:rPr>
            </w:pPr>
          </w:p>
        </w:tc>
        <w:tc>
          <w:tcPr>
            <w:tcW w:w="870" w:type="dxa"/>
            <w:vAlign w:val="center"/>
          </w:tcPr>
          <w:p w14:paraId="77FC2E7D">
            <w:pPr>
              <w:pStyle w:val="32"/>
              <w:spacing w:line="360" w:lineRule="auto"/>
              <w:rPr>
                <w:rFonts w:hint="eastAsia" w:ascii="宋体" w:hAnsi="宋体" w:cs="宋体"/>
                <w:sz w:val="24"/>
                <w:szCs w:val="24"/>
              </w:rPr>
            </w:pPr>
          </w:p>
        </w:tc>
        <w:tc>
          <w:tcPr>
            <w:tcW w:w="1389" w:type="dxa"/>
            <w:vAlign w:val="center"/>
          </w:tcPr>
          <w:p w14:paraId="6DCE8F50">
            <w:pPr>
              <w:pStyle w:val="32"/>
              <w:spacing w:line="360" w:lineRule="auto"/>
              <w:rPr>
                <w:rFonts w:hint="eastAsia" w:ascii="宋体" w:hAnsi="宋体" w:cs="宋体"/>
                <w:sz w:val="24"/>
                <w:szCs w:val="24"/>
              </w:rPr>
            </w:pPr>
          </w:p>
        </w:tc>
      </w:tr>
      <w:tr w14:paraId="08FDB88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261D54D1">
            <w:pPr>
              <w:pStyle w:val="32"/>
              <w:spacing w:line="360" w:lineRule="auto"/>
              <w:jc w:val="center"/>
              <w:rPr>
                <w:rFonts w:hint="eastAsia" w:ascii="宋体" w:hAnsi="宋体" w:cs="宋体"/>
                <w:sz w:val="24"/>
                <w:szCs w:val="24"/>
              </w:rPr>
            </w:pPr>
            <w:r>
              <w:rPr>
                <w:rFonts w:hint="eastAsia" w:ascii="宋体" w:hAnsi="宋体" w:cs="宋体"/>
                <w:sz w:val="24"/>
                <w:szCs w:val="24"/>
              </w:rPr>
              <w:t>5</w:t>
            </w:r>
          </w:p>
        </w:tc>
        <w:tc>
          <w:tcPr>
            <w:tcW w:w="1051" w:type="dxa"/>
            <w:vAlign w:val="center"/>
          </w:tcPr>
          <w:p w14:paraId="13CEE7BD">
            <w:pPr>
              <w:pStyle w:val="32"/>
              <w:spacing w:line="360" w:lineRule="auto"/>
              <w:rPr>
                <w:rFonts w:hint="eastAsia" w:ascii="宋体" w:hAnsi="宋体" w:cs="宋体"/>
                <w:sz w:val="24"/>
                <w:szCs w:val="24"/>
              </w:rPr>
            </w:pPr>
          </w:p>
        </w:tc>
        <w:tc>
          <w:tcPr>
            <w:tcW w:w="669" w:type="dxa"/>
            <w:vAlign w:val="center"/>
          </w:tcPr>
          <w:p w14:paraId="1AE450CF">
            <w:pPr>
              <w:pStyle w:val="32"/>
              <w:spacing w:line="360" w:lineRule="auto"/>
              <w:rPr>
                <w:rFonts w:hint="eastAsia" w:ascii="宋体" w:hAnsi="宋体" w:cs="宋体"/>
                <w:sz w:val="24"/>
                <w:szCs w:val="24"/>
              </w:rPr>
            </w:pPr>
          </w:p>
        </w:tc>
        <w:tc>
          <w:tcPr>
            <w:tcW w:w="855" w:type="dxa"/>
            <w:vAlign w:val="center"/>
          </w:tcPr>
          <w:p w14:paraId="64A5FDAC">
            <w:pPr>
              <w:pStyle w:val="32"/>
              <w:spacing w:line="360" w:lineRule="auto"/>
              <w:rPr>
                <w:rFonts w:hint="eastAsia" w:ascii="宋体" w:hAnsi="宋体" w:cs="宋体"/>
                <w:sz w:val="24"/>
                <w:szCs w:val="24"/>
              </w:rPr>
            </w:pPr>
          </w:p>
        </w:tc>
        <w:tc>
          <w:tcPr>
            <w:tcW w:w="705" w:type="dxa"/>
            <w:vAlign w:val="center"/>
          </w:tcPr>
          <w:p w14:paraId="0B7EAF55">
            <w:pPr>
              <w:pStyle w:val="32"/>
              <w:spacing w:line="360" w:lineRule="auto"/>
              <w:rPr>
                <w:rFonts w:hint="eastAsia" w:ascii="宋体" w:hAnsi="宋体" w:cs="宋体"/>
                <w:sz w:val="24"/>
                <w:szCs w:val="24"/>
              </w:rPr>
            </w:pPr>
          </w:p>
        </w:tc>
        <w:tc>
          <w:tcPr>
            <w:tcW w:w="1200" w:type="dxa"/>
            <w:vAlign w:val="center"/>
          </w:tcPr>
          <w:p w14:paraId="57E15363">
            <w:pPr>
              <w:pStyle w:val="32"/>
              <w:spacing w:line="360" w:lineRule="auto"/>
              <w:rPr>
                <w:rFonts w:hint="eastAsia" w:ascii="宋体" w:hAnsi="宋体" w:cs="宋体"/>
                <w:sz w:val="24"/>
                <w:szCs w:val="24"/>
              </w:rPr>
            </w:pPr>
          </w:p>
        </w:tc>
        <w:tc>
          <w:tcPr>
            <w:tcW w:w="784" w:type="dxa"/>
            <w:vAlign w:val="center"/>
          </w:tcPr>
          <w:p w14:paraId="47ADDCF3">
            <w:pPr>
              <w:pStyle w:val="32"/>
              <w:spacing w:line="360" w:lineRule="auto"/>
              <w:rPr>
                <w:rFonts w:hint="eastAsia" w:ascii="宋体" w:hAnsi="宋体" w:cs="宋体"/>
                <w:sz w:val="24"/>
                <w:szCs w:val="24"/>
              </w:rPr>
            </w:pPr>
          </w:p>
        </w:tc>
        <w:tc>
          <w:tcPr>
            <w:tcW w:w="870" w:type="dxa"/>
            <w:vAlign w:val="center"/>
          </w:tcPr>
          <w:p w14:paraId="31324FAD">
            <w:pPr>
              <w:pStyle w:val="32"/>
              <w:spacing w:line="360" w:lineRule="auto"/>
              <w:rPr>
                <w:rFonts w:hint="eastAsia" w:ascii="宋体" w:hAnsi="宋体" w:cs="宋体"/>
                <w:sz w:val="24"/>
                <w:szCs w:val="24"/>
              </w:rPr>
            </w:pPr>
          </w:p>
        </w:tc>
        <w:tc>
          <w:tcPr>
            <w:tcW w:w="1389" w:type="dxa"/>
            <w:vAlign w:val="center"/>
          </w:tcPr>
          <w:p w14:paraId="21EC561E">
            <w:pPr>
              <w:pStyle w:val="32"/>
              <w:spacing w:line="360" w:lineRule="auto"/>
              <w:rPr>
                <w:rFonts w:hint="eastAsia" w:ascii="宋体" w:hAnsi="宋体" w:cs="宋体"/>
                <w:sz w:val="24"/>
                <w:szCs w:val="24"/>
              </w:rPr>
            </w:pPr>
          </w:p>
        </w:tc>
      </w:tr>
      <w:tr w14:paraId="4E87CF2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22A2CCA5">
            <w:pPr>
              <w:pStyle w:val="32"/>
              <w:spacing w:line="360" w:lineRule="auto"/>
              <w:jc w:val="center"/>
              <w:rPr>
                <w:rFonts w:hint="eastAsia" w:ascii="宋体" w:hAnsi="宋体" w:cs="宋体"/>
                <w:sz w:val="24"/>
                <w:szCs w:val="24"/>
              </w:rPr>
            </w:pPr>
            <w:r>
              <w:rPr>
                <w:rFonts w:hint="eastAsia" w:ascii="宋体" w:hAnsi="宋体" w:cs="宋体"/>
                <w:sz w:val="24"/>
                <w:szCs w:val="24"/>
              </w:rPr>
              <w:t>6</w:t>
            </w:r>
          </w:p>
        </w:tc>
        <w:tc>
          <w:tcPr>
            <w:tcW w:w="1051" w:type="dxa"/>
            <w:vAlign w:val="center"/>
          </w:tcPr>
          <w:p w14:paraId="56814EF7">
            <w:pPr>
              <w:pStyle w:val="32"/>
              <w:spacing w:line="360" w:lineRule="auto"/>
              <w:rPr>
                <w:rFonts w:hint="eastAsia" w:ascii="宋体" w:hAnsi="宋体" w:cs="宋体"/>
                <w:sz w:val="24"/>
                <w:szCs w:val="24"/>
              </w:rPr>
            </w:pPr>
          </w:p>
        </w:tc>
        <w:tc>
          <w:tcPr>
            <w:tcW w:w="669" w:type="dxa"/>
            <w:vAlign w:val="center"/>
          </w:tcPr>
          <w:p w14:paraId="0AB41E1F">
            <w:pPr>
              <w:pStyle w:val="32"/>
              <w:spacing w:line="360" w:lineRule="auto"/>
              <w:rPr>
                <w:rFonts w:hint="eastAsia" w:ascii="宋体" w:hAnsi="宋体" w:cs="宋体"/>
                <w:sz w:val="24"/>
                <w:szCs w:val="24"/>
              </w:rPr>
            </w:pPr>
          </w:p>
        </w:tc>
        <w:tc>
          <w:tcPr>
            <w:tcW w:w="855" w:type="dxa"/>
            <w:vAlign w:val="center"/>
          </w:tcPr>
          <w:p w14:paraId="3B631D3B">
            <w:pPr>
              <w:pStyle w:val="32"/>
              <w:spacing w:line="360" w:lineRule="auto"/>
              <w:rPr>
                <w:rFonts w:hint="eastAsia" w:ascii="宋体" w:hAnsi="宋体" w:cs="宋体"/>
                <w:sz w:val="24"/>
                <w:szCs w:val="24"/>
              </w:rPr>
            </w:pPr>
          </w:p>
        </w:tc>
        <w:tc>
          <w:tcPr>
            <w:tcW w:w="705" w:type="dxa"/>
            <w:vAlign w:val="center"/>
          </w:tcPr>
          <w:p w14:paraId="5F1C5A26">
            <w:pPr>
              <w:pStyle w:val="32"/>
              <w:spacing w:line="360" w:lineRule="auto"/>
              <w:rPr>
                <w:rFonts w:hint="eastAsia" w:ascii="宋体" w:hAnsi="宋体" w:cs="宋体"/>
                <w:sz w:val="24"/>
                <w:szCs w:val="24"/>
              </w:rPr>
            </w:pPr>
          </w:p>
        </w:tc>
        <w:tc>
          <w:tcPr>
            <w:tcW w:w="1200" w:type="dxa"/>
            <w:vAlign w:val="center"/>
          </w:tcPr>
          <w:p w14:paraId="4E3994EC">
            <w:pPr>
              <w:pStyle w:val="32"/>
              <w:spacing w:line="360" w:lineRule="auto"/>
              <w:rPr>
                <w:rFonts w:hint="eastAsia" w:ascii="宋体" w:hAnsi="宋体" w:cs="宋体"/>
                <w:sz w:val="24"/>
                <w:szCs w:val="24"/>
              </w:rPr>
            </w:pPr>
          </w:p>
        </w:tc>
        <w:tc>
          <w:tcPr>
            <w:tcW w:w="784" w:type="dxa"/>
            <w:vAlign w:val="center"/>
          </w:tcPr>
          <w:p w14:paraId="678C2FF4">
            <w:pPr>
              <w:pStyle w:val="32"/>
              <w:spacing w:line="360" w:lineRule="auto"/>
              <w:rPr>
                <w:rFonts w:hint="eastAsia" w:ascii="宋体" w:hAnsi="宋体" w:cs="宋体"/>
                <w:sz w:val="24"/>
                <w:szCs w:val="24"/>
              </w:rPr>
            </w:pPr>
          </w:p>
        </w:tc>
        <w:tc>
          <w:tcPr>
            <w:tcW w:w="870" w:type="dxa"/>
            <w:vAlign w:val="center"/>
          </w:tcPr>
          <w:p w14:paraId="343635A5">
            <w:pPr>
              <w:pStyle w:val="32"/>
              <w:spacing w:line="360" w:lineRule="auto"/>
              <w:rPr>
                <w:rFonts w:hint="eastAsia" w:ascii="宋体" w:hAnsi="宋体" w:cs="宋体"/>
                <w:sz w:val="24"/>
                <w:szCs w:val="24"/>
              </w:rPr>
            </w:pPr>
          </w:p>
        </w:tc>
        <w:tc>
          <w:tcPr>
            <w:tcW w:w="1389" w:type="dxa"/>
            <w:vAlign w:val="center"/>
          </w:tcPr>
          <w:p w14:paraId="01A073C3">
            <w:pPr>
              <w:pStyle w:val="32"/>
              <w:spacing w:line="360" w:lineRule="auto"/>
              <w:rPr>
                <w:rFonts w:hint="eastAsia" w:ascii="宋体" w:hAnsi="宋体" w:cs="宋体"/>
                <w:sz w:val="24"/>
                <w:szCs w:val="24"/>
              </w:rPr>
            </w:pPr>
          </w:p>
        </w:tc>
      </w:tr>
      <w:tr w14:paraId="5651CF8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1547673C">
            <w:pPr>
              <w:pStyle w:val="32"/>
              <w:spacing w:line="360" w:lineRule="auto"/>
              <w:jc w:val="center"/>
              <w:rPr>
                <w:rFonts w:hint="eastAsia" w:ascii="宋体" w:hAnsi="宋体" w:cs="宋体"/>
                <w:sz w:val="24"/>
                <w:szCs w:val="24"/>
              </w:rPr>
            </w:pPr>
            <w:r>
              <w:rPr>
                <w:rFonts w:hint="eastAsia" w:ascii="宋体" w:hAnsi="宋体" w:cs="宋体"/>
                <w:sz w:val="24"/>
                <w:szCs w:val="24"/>
              </w:rPr>
              <w:t>…</w:t>
            </w:r>
          </w:p>
        </w:tc>
        <w:tc>
          <w:tcPr>
            <w:tcW w:w="1051" w:type="dxa"/>
            <w:vAlign w:val="center"/>
          </w:tcPr>
          <w:p w14:paraId="0344AA47">
            <w:pPr>
              <w:pStyle w:val="32"/>
              <w:spacing w:line="360" w:lineRule="auto"/>
              <w:rPr>
                <w:rFonts w:hint="eastAsia" w:ascii="宋体" w:hAnsi="宋体" w:cs="宋体"/>
                <w:sz w:val="24"/>
                <w:szCs w:val="24"/>
              </w:rPr>
            </w:pPr>
          </w:p>
        </w:tc>
        <w:tc>
          <w:tcPr>
            <w:tcW w:w="669" w:type="dxa"/>
            <w:vAlign w:val="center"/>
          </w:tcPr>
          <w:p w14:paraId="67DD1A37">
            <w:pPr>
              <w:pStyle w:val="32"/>
              <w:spacing w:line="360" w:lineRule="auto"/>
              <w:rPr>
                <w:rFonts w:hint="eastAsia" w:ascii="宋体" w:hAnsi="宋体" w:cs="宋体"/>
                <w:sz w:val="24"/>
                <w:szCs w:val="24"/>
              </w:rPr>
            </w:pPr>
          </w:p>
        </w:tc>
        <w:tc>
          <w:tcPr>
            <w:tcW w:w="855" w:type="dxa"/>
            <w:vAlign w:val="center"/>
          </w:tcPr>
          <w:p w14:paraId="01E3E8A1">
            <w:pPr>
              <w:pStyle w:val="32"/>
              <w:spacing w:line="360" w:lineRule="auto"/>
              <w:rPr>
                <w:rFonts w:hint="eastAsia" w:ascii="宋体" w:hAnsi="宋体" w:cs="宋体"/>
                <w:sz w:val="24"/>
                <w:szCs w:val="24"/>
              </w:rPr>
            </w:pPr>
          </w:p>
        </w:tc>
        <w:tc>
          <w:tcPr>
            <w:tcW w:w="705" w:type="dxa"/>
            <w:vAlign w:val="center"/>
          </w:tcPr>
          <w:p w14:paraId="11B27928">
            <w:pPr>
              <w:pStyle w:val="32"/>
              <w:spacing w:line="360" w:lineRule="auto"/>
              <w:rPr>
                <w:rFonts w:hint="eastAsia" w:ascii="宋体" w:hAnsi="宋体" w:cs="宋体"/>
                <w:sz w:val="24"/>
                <w:szCs w:val="24"/>
              </w:rPr>
            </w:pPr>
          </w:p>
        </w:tc>
        <w:tc>
          <w:tcPr>
            <w:tcW w:w="1200" w:type="dxa"/>
            <w:vAlign w:val="center"/>
          </w:tcPr>
          <w:p w14:paraId="2B62D926">
            <w:pPr>
              <w:pStyle w:val="32"/>
              <w:spacing w:line="360" w:lineRule="auto"/>
              <w:rPr>
                <w:rFonts w:hint="eastAsia" w:ascii="宋体" w:hAnsi="宋体" w:cs="宋体"/>
                <w:sz w:val="24"/>
                <w:szCs w:val="24"/>
              </w:rPr>
            </w:pPr>
          </w:p>
        </w:tc>
        <w:tc>
          <w:tcPr>
            <w:tcW w:w="784" w:type="dxa"/>
            <w:vAlign w:val="center"/>
          </w:tcPr>
          <w:p w14:paraId="2DB67012">
            <w:pPr>
              <w:pStyle w:val="32"/>
              <w:spacing w:line="360" w:lineRule="auto"/>
              <w:rPr>
                <w:rFonts w:hint="eastAsia" w:ascii="宋体" w:hAnsi="宋体" w:cs="宋体"/>
                <w:sz w:val="24"/>
                <w:szCs w:val="24"/>
              </w:rPr>
            </w:pPr>
          </w:p>
        </w:tc>
        <w:tc>
          <w:tcPr>
            <w:tcW w:w="870" w:type="dxa"/>
            <w:vAlign w:val="center"/>
          </w:tcPr>
          <w:p w14:paraId="06945CB0">
            <w:pPr>
              <w:pStyle w:val="32"/>
              <w:spacing w:line="360" w:lineRule="auto"/>
              <w:rPr>
                <w:rFonts w:hint="eastAsia" w:ascii="宋体" w:hAnsi="宋体" w:cs="宋体"/>
                <w:sz w:val="24"/>
                <w:szCs w:val="24"/>
              </w:rPr>
            </w:pPr>
          </w:p>
        </w:tc>
        <w:tc>
          <w:tcPr>
            <w:tcW w:w="1389" w:type="dxa"/>
            <w:vAlign w:val="center"/>
          </w:tcPr>
          <w:p w14:paraId="44C79D17">
            <w:pPr>
              <w:pStyle w:val="32"/>
              <w:spacing w:line="360" w:lineRule="auto"/>
              <w:rPr>
                <w:rFonts w:hint="eastAsia" w:ascii="宋体" w:hAnsi="宋体" w:cs="宋体"/>
                <w:sz w:val="24"/>
                <w:szCs w:val="24"/>
              </w:rPr>
            </w:pPr>
          </w:p>
        </w:tc>
      </w:tr>
      <w:tr w14:paraId="0F5DF17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25E082B3">
            <w:pPr>
              <w:pStyle w:val="32"/>
              <w:spacing w:line="360" w:lineRule="auto"/>
              <w:rPr>
                <w:rFonts w:hint="eastAsia" w:ascii="宋体" w:hAnsi="宋体" w:cs="宋体"/>
                <w:sz w:val="24"/>
                <w:szCs w:val="24"/>
              </w:rPr>
            </w:pPr>
          </w:p>
        </w:tc>
        <w:tc>
          <w:tcPr>
            <w:tcW w:w="1051" w:type="dxa"/>
            <w:vAlign w:val="center"/>
          </w:tcPr>
          <w:p w14:paraId="76C13D70">
            <w:pPr>
              <w:pStyle w:val="32"/>
              <w:spacing w:line="360" w:lineRule="auto"/>
              <w:rPr>
                <w:rFonts w:hint="eastAsia" w:ascii="宋体" w:hAnsi="宋体" w:cs="宋体"/>
                <w:sz w:val="24"/>
                <w:szCs w:val="24"/>
              </w:rPr>
            </w:pPr>
          </w:p>
        </w:tc>
        <w:tc>
          <w:tcPr>
            <w:tcW w:w="669" w:type="dxa"/>
            <w:vAlign w:val="center"/>
          </w:tcPr>
          <w:p w14:paraId="3DB96EBD">
            <w:pPr>
              <w:pStyle w:val="32"/>
              <w:spacing w:line="360" w:lineRule="auto"/>
              <w:rPr>
                <w:rFonts w:hint="eastAsia" w:ascii="宋体" w:hAnsi="宋体" w:cs="宋体"/>
                <w:sz w:val="24"/>
                <w:szCs w:val="24"/>
              </w:rPr>
            </w:pPr>
          </w:p>
        </w:tc>
        <w:tc>
          <w:tcPr>
            <w:tcW w:w="855" w:type="dxa"/>
            <w:vAlign w:val="center"/>
          </w:tcPr>
          <w:p w14:paraId="36F6FF98">
            <w:pPr>
              <w:pStyle w:val="32"/>
              <w:spacing w:line="360" w:lineRule="auto"/>
              <w:rPr>
                <w:rFonts w:hint="eastAsia" w:ascii="宋体" w:hAnsi="宋体" w:cs="宋体"/>
                <w:sz w:val="24"/>
                <w:szCs w:val="24"/>
              </w:rPr>
            </w:pPr>
          </w:p>
        </w:tc>
        <w:tc>
          <w:tcPr>
            <w:tcW w:w="705" w:type="dxa"/>
            <w:vAlign w:val="center"/>
          </w:tcPr>
          <w:p w14:paraId="4F75BBF3">
            <w:pPr>
              <w:pStyle w:val="32"/>
              <w:spacing w:line="360" w:lineRule="auto"/>
              <w:rPr>
                <w:rFonts w:hint="eastAsia" w:ascii="宋体" w:hAnsi="宋体" w:cs="宋体"/>
                <w:sz w:val="24"/>
                <w:szCs w:val="24"/>
              </w:rPr>
            </w:pPr>
          </w:p>
        </w:tc>
        <w:tc>
          <w:tcPr>
            <w:tcW w:w="1200" w:type="dxa"/>
            <w:vAlign w:val="center"/>
          </w:tcPr>
          <w:p w14:paraId="5CFD19D4">
            <w:pPr>
              <w:pStyle w:val="32"/>
              <w:spacing w:line="360" w:lineRule="auto"/>
              <w:rPr>
                <w:rFonts w:hint="eastAsia" w:ascii="宋体" w:hAnsi="宋体" w:cs="宋体"/>
                <w:sz w:val="24"/>
                <w:szCs w:val="24"/>
              </w:rPr>
            </w:pPr>
          </w:p>
        </w:tc>
        <w:tc>
          <w:tcPr>
            <w:tcW w:w="784" w:type="dxa"/>
            <w:vAlign w:val="center"/>
          </w:tcPr>
          <w:p w14:paraId="0DFDFC98">
            <w:pPr>
              <w:pStyle w:val="32"/>
              <w:spacing w:line="360" w:lineRule="auto"/>
              <w:rPr>
                <w:rFonts w:hint="eastAsia" w:ascii="宋体" w:hAnsi="宋体" w:cs="宋体"/>
                <w:sz w:val="24"/>
                <w:szCs w:val="24"/>
              </w:rPr>
            </w:pPr>
          </w:p>
        </w:tc>
        <w:tc>
          <w:tcPr>
            <w:tcW w:w="870" w:type="dxa"/>
            <w:vAlign w:val="center"/>
          </w:tcPr>
          <w:p w14:paraId="1DAFD700">
            <w:pPr>
              <w:pStyle w:val="32"/>
              <w:spacing w:line="360" w:lineRule="auto"/>
              <w:rPr>
                <w:rFonts w:hint="eastAsia" w:ascii="宋体" w:hAnsi="宋体" w:cs="宋体"/>
                <w:sz w:val="24"/>
                <w:szCs w:val="24"/>
              </w:rPr>
            </w:pPr>
          </w:p>
        </w:tc>
        <w:tc>
          <w:tcPr>
            <w:tcW w:w="1389" w:type="dxa"/>
            <w:vAlign w:val="center"/>
          </w:tcPr>
          <w:p w14:paraId="7A8DB5EE">
            <w:pPr>
              <w:pStyle w:val="32"/>
              <w:spacing w:line="360" w:lineRule="auto"/>
              <w:rPr>
                <w:rFonts w:hint="eastAsia" w:ascii="宋体" w:hAnsi="宋体" w:cs="宋体"/>
                <w:sz w:val="24"/>
                <w:szCs w:val="24"/>
              </w:rPr>
            </w:pPr>
          </w:p>
        </w:tc>
      </w:tr>
      <w:tr w14:paraId="33CA282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6815B5FA">
            <w:pPr>
              <w:pStyle w:val="32"/>
              <w:spacing w:line="360" w:lineRule="auto"/>
              <w:rPr>
                <w:rFonts w:hint="eastAsia" w:ascii="宋体" w:hAnsi="宋体" w:cs="宋体"/>
                <w:sz w:val="24"/>
                <w:szCs w:val="24"/>
              </w:rPr>
            </w:pPr>
          </w:p>
        </w:tc>
        <w:tc>
          <w:tcPr>
            <w:tcW w:w="1051" w:type="dxa"/>
            <w:vAlign w:val="center"/>
          </w:tcPr>
          <w:p w14:paraId="1831549B">
            <w:pPr>
              <w:pStyle w:val="32"/>
              <w:spacing w:line="360" w:lineRule="auto"/>
              <w:rPr>
                <w:rFonts w:hint="eastAsia" w:ascii="宋体" w:hAnsi="宋体" w:cs="宋体"/>
                <w:sz w:val="24"/>
                <w:szCs w:val="24"/>
              </w:rPr>
            </w:pPr>
          </w:p>
        </w:tc>
        <w:tc>
          <w:tcPr>
            <w:tcW w:w="669" w:type="dxa"/>
            <w:vAlign w:val="center"/>
          </w:tcPr>
          <w:p w14:paraId="7C37CD68">
            <w:pPr>
              <w:pStyle w:val="32"/>
              <w:spacing w:line="360" w:lineRule="auto"/>
              <w:rPr>
                <w:rFonts w:hint="eastAsia" w:ascii="宋体" w:hAnsi="宋体" w:cs="宋体"/>
                <w:sz w:val="24"/>
                <w:szCs w:val="24"/>
              </w:rPr>
            </w:pPr>
          </w:p>
        </w:tc>
        <w:tc>
          <w:tcPr>
            <w:tcW w:w="855" w:type="dxa"/>
            <w:vAlign w:val="center"/>
          </w:tcPr>
          <w:p w14:paraId="33F0F64C">
            <w:pPr>
              <w:pStyle w:val="32"/>
              <w:spacing w:line="360" w:lineRule="auto"/>
              <w:rPr>
                <w:rFonts w:hint="eastAsia" w:ascii="宋体" w:hAnsi="宋体" w:cs="宋体"/>
                <w:sz w:val="24"/>
                <w:szCs w:val="24"/>
              </w:rPr>
            </w:pPr>
          </w:p>
        </w:tc>
        <w:tc>
          <w:tcPr>
            <w:tcW w:w="705" w:type="dxa"/>
            <w:vAlign w:val="center"/>
          </w:tcPr>
          <w:p w14:paraId="44C66F55">
            <w:pPr>
              <w:pStyle w:val="32"/>
              <w:spacing w:line="360" w:lineRule="auto"/>
              <w:rPr>
                <w:rFonts w:hint="eastAsia" w:ascii="宋体" w:hAnsi="宋体" w:cs="宋体"/>
                <w:sz w:val="24"/>
                <w:szCs w:val="24"/>
              </w:rPr>
            </w:pPr>
          </w:p>
        </w:tc>
        <w:tc>
          <w:tcPr>
            <w:tcW w:w="1200" w:type="dxa"/>
            <w:vAlign w:val="center"/>
          </w:tcPr>
          <w:p w14:paraId="02436EA3">
            <w:pPr>
              <w:pStyle w:val="32"/>
              <w:spacing w:line="360" w:lineRule="auto"/>
              <w:rPr>
                <w:rFonts w:hint="eastAsia" w:ascii="宋体" w:hAnsi="宋体" w:cs="宋体"/>
                <w:sz w:val="24"/>
                <w:szCs w:val="24"/>
              </w:rPr>
            </w:pPr>
          </w:p>
        </w:tc>
        <w:tc>
          <w:tcPr>
            <w:tcW w:w="784" w:type="dxa"/>
            <w:vAlign w:val="center"/>
          </w:tcPr>
          <w:p w14:paraId="61C2CD25">
            <w:pPr>
              <w:pStyle w:val="32"/>
              <w:spacing w:line="360" w:lineRule="auto"/>
              <w:rPr>
                <w:rFonts w:hint="eastAsia" w:ascii="宋体" w:hAnsi="宋体" w:cs="宋体"/>
                <w:sz w:val="24"/>
                <w:szCs w:val="24"/>
              </w:rPr>
            </w:pPr>
          </w:p>
        </w:tc>
        <w:tc>
          <w:tcPr>
            <w:tcW w:w="870" w:type="dxa"/>
            <w:vAlign w:val="center"/>
          </w:tcPr>
          <w:p w14:paraId="1AE3B8AF">
            <w:pPr>
              <w:pStyle w:val="32"/>
              <w:spacing w:line="360" w:lineRule="auto"/>
              <w:rPr>
                <w:rFonts w:hint="eastAsia" w:ascii="宋体" w:hAnsi="宋体" w:cs="宋体"/>
                <w:sz w:val="24"/>
                <w:szCs w:val="24"/>
              </w:rPr>
            </w:pPr>
          </w:p>
        </w:tc>
        <w:tc>
          <w:tcPr>
            <w:tcW w:w="1389" w:type="dxa"/>
            <w:vAlign w:val="center"/>
          </w:tcPr>
          <w:p w14:paraId="32600B23">
            <w:pPr>
              <w:pStyle w:val="32"/>
              <w:spacing w:line="360" w:lineRule="auto"/>
              <w:rPr>
                <w:rFonts w:hint="eastAsia" w:ascii="宋体" w:hAnsi="宋体" w:cs="宋体"/>
                <w:sz w:val="24"/>
                <w:szCs w:val="24"/>
              </w:rPr>
            </w:pPr>
          </w:p>
        </w:tc>
      </w:tr>
      <w:tr w14:paraId="66AF157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632416A6">
            <w:pPr>
              <w:pStyle w:val="32"/>
              <w:spacing w:line="360" w:lineRule="auto"/>
              <w:rPr>
                <w:rFonts w:hint="eastAsia" w:ascii="宋体" w:hAnsi="宋体" w:cs="宋体"/>
                <w:sz w:val="24"/>
                <w:szCs w:val="24"/>
              </w:rPr>
            </w:pPr>
          </w:p>
        </w:tc>
        <w:tc>
          <w:tcPr>
            <w:tcW w:w="1051" w:type="dxa"/>
            <w:vAlign w:val="center"/>
          </w:tcPr>
          <w:p w14:paraId="3E689B16">
            <w:pPr>
              <w:pStyle w:val="32"/>
              <w:spacing w:line="360" w:lineRule="auto"/>
              <w:rPr>
                <w:rFonts w:hint="eastAsia" w:ascii="宋体" w:hAnsi="宋体" w:cs="宋体"/>
                <w:sz w:val="24"/>
                <w:szCs w:val="24"/>
              </w:rPr>
            </w:pPr>
          </w:p>
        </w:tc>
        <w:tc>
          <w:tcPr>
            <w:tcW w:w="669" w:type="dxa"/>
            <w:vAlign w:val="center"/>
          </w:tcPr>
          <w:p w14:paraId="38069ECB">
            <w:pPr>
              <w:pStyle w:val="32"/>
              <w:spacing w:line="360" w:lineRule="auto"/>
              <w:rPr>
                <w:rFonts w:hint="eastAsia" w:ascii="宋体" w:hAnsi="宋体" w:cs="宋体"/>
                <w:sz w:val="24"/>
                <w:szCs w:val="24"/>
              </w:rPr>
            </w:pPr>
          </w:p>
        </w:tc>
        <w:tc>
          <w:tcPr>
            <w:tcW w:w="855" w:type="dxa"/>
            <w:vAlign w:val="center"/>
          </w:tcPr>
          <w:p w14:paraId="14F51C34">
            <w:pPr>
              <w:pStyle w:val="32"/>
              <w:spacing w:line="360" w:lineRule="auto"/>
              <w:rPr>
                <w:rFonts w:hint="eastAsia" w:ascii="宋体" w:hAnsi="宋体" w:cs="宋体"/>
                <w:sz w:val="24"/>
                <w:szCs w:val="24"/>
              </w:rPr>
            </w:pPr>
          </w:p>
        </w:tc>
        <w:tc>
          <w:tcPr>
            <w:tcW w:w="705" w:type="dxa"/>
            <w:vAlign w:val="center"/>
          </w:tcPr>
          <w:p w14:paraId="3E5E9B5F">
            <w:pPr>
              <w:pStyle w:val="32"/>
              <w:spacing w:line="360" w:lineRule="auto"/>
              <w:rPr>
                <w:rFonts w:hint="eastAsia" w:ascii="宋体" w:hAnsi="宋体" w:cs="宋体"/>
                <w:sz w:val="24"/>
                <w:szCs w:val="24"/>
              </w:rPr>
            </w:pPr>
          </w:p>
        </w:tc>
        <w:tc>
          <w:tcPr>
            <w:tcW w:w="1200" w:type="dxa"/>
            <w:vAlign w:val="center"/>
          </w:tcPr>
          <w:p w14:paraId="6598C91E">
            <w:pPr>
              <w:pStyle w:val="32"/>
              <w:spacing w:line="360" w:lineRule="auto"/>
              <w:rPr>
                <w:rFonts w:hint="eastAsia" w:ascii="宋体" w:hAnsi="宋体" w:cs="宋体"/>
                <w:sz w:val="24"/>
                <w:szCs w:val="24"/>
              </w:rPr>
            </w:pPr>
          </w:p>
        </w:tc>
        <w:tc>
          <w:tcPr>
            <w:tcW w:w="784" w:type="dxa"/>
            <w:vAlign w:val="center"/>
          </w:tcPr>
          <w:p w14:paraId="4829800A">
            <w:pPr>
              <w:pStyle w:val="32"/>
              <w:spacing w:line="360" w:lineRule="auto"/>
              <w:rPr>
                <w:rFonts w:hint="eastAsia" w:ascii="宋体" w:hAnsi="宋体" w:cs="宋体"/>
                <w:sz w:val="24"/>
                <w:szCs w:val="24"/>
              </w:rPr>
            </w:pPr>
          </w:p>
        </w:tc>
        <w:tc>
          <w:tcPr>
            <w:tcW w:w="870" w:type="dxa"/>
            <w:vAlign w:val="center"/>
          </w:tcPr>
          <w:p w14:paraId="1196179E">
            <w:pPr>
              <w:pStyle w:val="32"/>
              <w:spacing w:line="360" w:lineRule="auto"/>
              <w:rPr>
                <w:rFonts w:hint="eastAsia" w:ascii="宋体" w:hAnsi="宋体" w:cs="宋体"/>
                <w:sz w:val="24"/>
                <w:szCs w:val="24"/>
              </w:rPr>
            </w:pPr>
          </w:p>
        </w:tc>
        <w:tc>
          <w:tcPr>
            <w:tcW w:w="1389" w:type="dxa"/>
            <w:vAlign w:val="center"/>
          </w:tcPr>
          <w:p w14:paraId="01105269">
            <w:pPr>
              <w:pStyle w:val="32"/>
              <w:spacing w:line="360" w:lineRule="auto"/>
              <w:rPr>
                <w:rFonts w:hint="eastAsia" w:ascii="宋体" w:hAnsi="宋体" w:cs="宋体"/>
                <w:sz w:val="24"/>
                <w:szCs w:val="24"/>
              </w:rPr>
            </w:pPr>
          </w:p>
        </w:tc>
      </w:tr>
      <w:tr w14:paraId="7B3AA25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0D833C21">
            <w:pPr>
              <w:pStyle w:val="32"/>
              <w:spacing w:line="360" w:lineRule="auto"/>
              <w:rPr>
                <w:rFonts w:hint="eastAsia" w:ascii="宋体" w:hAnsi="宋体" w:cs="宋体"/>
                <w:sz w:val="24"/>
                <w:szCs w:val="24"/>
              </w:rPr>
            </w:pPr>
          </w:p>
        </w:tc>
        <w:tc>
          <w:tcPr>
            <w:tcW w:w="1051" w:type="dxa"/>
            <w:vAlign w:val="center"/>
          </w:tcPr>
          <w:p w14:paraId="1A7EB513">
            <w:pPr>
              <w:pStyle w:val="32"/>
              <w:spacing w:line="360" w:lineRule="auto"/>
              <w:rPr>
                <w:rFonts w:hint="eastAsia" w:ascii="宋体" w:hAnsi="宋体" w:cs="宋体"/>
                <w:sz w:val="24"/>
                <w:szCs w:val="24"/>
              </w:rPr>
            </w:pPr>
          </w:p>
        </w:tc>
        <w:tc>
          <w:tcPr>
            <w:tcW w:w="669" w:type="dxa"/>
            <w:vAlign w:val="center"/>
          </w:tcPr>
          <w:p w14:paraId="373D56A8">
            <w:pPr>
              <w:pStyle w:val="32"/>
              <w:spacing w:line="360" w:lineRule="auto"/>
              <w:rPr>
                <w:rFonts w:hint="eastAsia" w:ascii="宋体" w:hAnsi="宋体" w:cs="宋体"/>
                <w:sz w:val="24"/>
                <w:szCs w:val="24"/>
              </w:rPr>
            </w:pPr>
          </w:p>
        </w:tc>
        <w:tc>
          <w:tcPr>
            <w:tcW w:w="855" w:type="dxa"/>
            <w:vAlign w:val="center"/>
          </w:tcPr>
          <w:p w14:paraId="635F671E">
            <w:pPr>
              <w:pStyle w:val="32"/>
              <w:spacing w:line="360" w:lineRule="auto"/>
              <w:rPr>
                <w:rFonts w:hint="eastAsia" w:ascii="宋体" w:hAnsi="宋体" w:cs="宋体"/>
                <w:sz w:val="24"/>
                <w:szCs w:val="24"/>
              </w:rPr>
            </w:pPr>
          </w:p>
        </w:tc>
        <w:tc>
          <w:tcPr>
            <w:tcW w:w="705" w:type="dxa"/>
            <w:vAlign w:val="center"/>
          </w:tcPr>
          <w:p w14:paraId="31D40270">
            <w:pPr>
              <w:pStyle w:val="32"/>
              <w:spacing w:line="360" w:lineRule="auto"/>
              <w:rPr>
                <w:rFonts w:hint="eastAsia" w:ascii="宋体" w:hAnsi="宋体" w:cs="宋体"/>
                <w:sz w:val="24"/>
                <w:szCs w:val="24"/>
              </w:rPr>
            </w:pPr>
          </w:p>
        </w:tc>
        <w:tc>
          <w:tcPr>
            <w:tcW w:w="1200" w:type="dxa"/>
            <w:vAlign w:val="center"/>
          </w:tcPr>
          <w:p w14:paraId="2150E847">
            <w:pPr>
              <w:pStyle w:val="32"/>
              <w:spacing w:line="360" w:lineRule="auto"/>
              <w:rPr>
                <w:rFonts w:hint="eastAsia" w:ascii="宋体" w:hAnsi="宋体" w:cs="宋体"/>
                <w:sz w:val="24"/>
                <w:szCs w:val="24"/>
              </w:rPr>
            </w:pPr>
          </w:p>
        </w:tc>
        <w:tc>
          <w:tcPr>
            <w:tcW w:w="784" w:type="dxa"/>
            <w:vAlign w:val="center"/>
          </w:tcPr>
          <w:p w14:paraId="67302168">
            <w:pPr>
              <w:pStyle w:val="32"/>
              <w:spacing w:line="360" w:lineRule="auto"/>
              <w:rPr>
                <w:rFonts w:hint="eastAsia" w:ascii="宋体" w:hAnsi="宋体" w:cs="宋体"/>
                <w:sz w:val="24"/>
                <w:szCs w:val="24"/>
              </w:rPr>
            </w:pPr>
          </w:p>
        </w:tc>
        <w:tc>
          <w:tcPr>
            <w:tcW w:w="870" w:type="dxa"/>
            <w:vAlign w:val="center"/>
          </w:tcPr>
          <w:p w14:paraId="44A2DB55">
            <w:pPr>
              <w:pStyle w:val="32"/>
              <w:spacing w:line="360" w:lineRule="auto"/>
              <w:rPr>
                <w:rFonts w:hint="eastAsia" w:ascii="宋体" w:hAnsi="宋体" w:cs="宋体"/>
                <w:sz w:val="24"/>
                <w:szCs w:val="24"/>
              </w:rPr>
            </w:pPr>
          </w:p>
        </w:tc>
        <w:tc>
          <w:tcPr>
            <w:tcW w:w="1389" w:type="dxa"/>
            <w:vAlign w:val="center"/>
          </w:tcPr>
          <w:p w14:paraId="3050A62A">
            <w:pPr>
              <w:pStyle w:val="32"/>
              <w:spacing w:line="360" w:lineRule="auto"/>
              <w:rPr>
                <w:rFonts w:hint="eastAsia" w:ascii="宋体" w:hAnsi="宋体" w:cs="宋体"/>
                <w:sz w:val="24"/>
                <w:szCs w:val="24"/>
              </w:rPr>
            </w:pPr>
          </w:p>
        </w:tc>
      </w:tr>
    </w:tbl>
    <w:p w14:paraId="77547D80">
      <w:pPr>
        <w:pStyle w:val="32"/>
        <w:spacing w:line="360" w:lineRule="auto"/>
        <w:ind w:firstLine="388" w:firstLineChars="200"/>
        <w:rPr>
          <w:rFonts w:hint="eastAsia" w:ascii="宋体" w:hAnsi="宋体" w:cs="宋体"/>
          <w:szCs w:val="21"/>
        </w:rPr>
      </w:pPr>
      <w:r>
        <w:rPr>
          <w:rFonts w:hint="eastAsia" w:ascii="宋体" w:hAnsi="宋体" w:cs="宋体"/>
          <w:szCs w:val="21"/>
        </w:rPr>
        <w:t>注：</w:t>
      </w:r>
    </w:p>
    <w:p w14:paraId="7869143A">
      <w:pPr>
        <w:pStyle w:val="32"/>
        <w:spacing w:line="360" w:lineRule="auto"/>
        <w:ind w:firstLine="388" w:firstLineChars="200"/>
        <w:rPr>
          <w:rFonts w:hint="eastAsia" w:ascii="宋体" w:hAnsi="宋体" w:cs="宋体"/>
          <w:szCs w:val="21"/>
        </w:rPr>
      </w:pPr>
      <w:r>
        <w:rPr>
          <w:rFonts w:hint="eastAsia" w:ascii="宋体" w:hAnsi="宋体" w:cs="宋体"/>
          <w:szCs w:val="21"/>
        </w:rPr>
        <w:t>1.上表列出的人员，需附其资格证书的复印件。</w:t>
      </w:r>
    </w:p>
    <w:p w14:paraId="53008DBF">
      <w:pPr>
        <w:pStyle w:val="32"/>
        <w:spacing w:line="360" w:lineRule="auto"/>
        <w:ind w:firstLine="388" w:firstLineChars="200"/>
        <w:rPr>
          <w:rFonts w:hint="eastAsia" w:ascii="宋体" w:hAnsi="宋体" w:cs="宋体"/>
          <w:szCs w:val="21"/>
        </w:rPr>
      </w:pPr>
      <w:r>
        <w:rPr>
          <w:rFonts w:hint="eastAsia" w:ascii="宋体" w:hAnsi="宋体" w:cs="宋体"/>
          <w:szCs w:val="21"/>
        </w:rPr>
        <w:t>2.招标文件中要求提供上述人员在本单位货物的证明或其他材料的，应按要求在本表后提供。</w:t>
      </w:r>
    </w:p>
    <w:p w14:paraId="14302C05">
      <w:pPr>
        <w:pStyle w:val="2"/>
        <w:spacing w:line="360" w:lineRule="auto"/>
        <w:rPr>
          <w:rFonts w:hint="eastAsia" w:ascii="宋体" w:hAnsi="宋体" w:cs="宋体"/>
          <w:b w:val="0"/>
          <w:bCs w:val="0"/>
          <w:kern w:val="0"/>
          <w:sz w:val="30"/>
          <w:szCs w:val="30"/>
        </w:rPr>
      </w:pPr>
    </w:p>
    <w:p w14:paraId="60C1F78B">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122D570E">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354963F7">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5005C3D0">
      <w:pPr>
        <w:adjustRightInd w:val="0"/>
        <w:snapToGrid w:val="0"/>
        <w:spacing w:line="360" w:lineRule="auto"/>
        <w:ind w:firstLine="2016" w:firstLineChars="900"/>
        <w:outlineLvl w:val="0"/>
        <w:rPr>
          <w:rFonts w:hint="eastAsia" w:ascii="宋体" w:hAnsi="宋体" w:cs="宋体"/>
          <w:sz w:val="24"/>
        </w:rPr>
      </w:pPr>
      <w:r>
        <w:rPr>
          <w:rFonts w:hint="eastAsia" w:ascii="宋体" w:hAnsi="宋体" w:cs="宋体"/>
          <w:sz w:val="24"/>
        </w:rPr>
        <w:t xml:space="preserve">                 </w:t>
      </w:r>
    </w:p>
    <w:p w14:paraId="59481FC5">
      <w:pPr>
        <w:autoSpaceDE w:val="0"/>
        <w:autoSpaceDN w:val="0"/>
        <w:adjustRightInd w:val="0"/>
        <w:spacing w:before="156" w:beforeLines="50" w:after="156" w:afterLines="50" w:line="360" w:lineRule="auto"/>
        <w:rPr>
          <w:rFonts w:hint="eastAsia" w:ascii="宋体" w:hAnsi="宋体" w:cs="宋体"/>
          <w:kern w:val="0"/>
          <w:szCs w:val="21"/>
        </w:rPr>
      </w:pPr>
      <w:r>
        <w:rPr>
          <w:rFonts w:hint="eastAsia" w:ascii="宋体" w:hAnsi="宋体" w:cs="宋体"/>
          <w:sz w:val="24"/>
        </w:rPr>
        <w:t xml:space="preserve">    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613E8F0B">
      <w:pPr>
        <w:autoSpaceDE w:val="0"/>
        <w:autoSpaceDN w:val="0"/>
        <w:adjustRightInd w:val="0"/>
        <w:spacing w:before="156" w:beforeLines="50" w:after="156" w:afterLines="50" w:line="360" w:lineRule="auto"/>
        <w:rPr>
          <w:rFonts w:hint="eastAsia" w:ascii="宋体" w:hAnsi="宋体" w:cs="宋体"/>
          <w:kern w:val="0"/>
          <w:szCs w:val="21"/>
        </w:rPr>
      </w:pPr>
    </w:p>
    <w:p w14:paraId="517050EA">
      <w:pPr>
        <w:pStyle w:val="2"/>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五、类似项目业绩一览表</w:t>
      </w:r>
    </w:p>
    <w:p w14:paraId="503066D4">
      <w:pPr>
        <w:autoSpaceDE w:val="0"/>
        <w:autoSpaceDN w:val="0"/>
        <w:adjustRightInd w:val="0"/>
        <w:spacing w:before="156" w:beforeLines="50" w:after="156" w:afterLines="50" w:line="360" w:lineRule="auto"/>
        <w:jc w:val="center"/>
        <w:rPr>
          <w:rFonts w:hint="eastAsia" w:ascii="宋体" w:hAnsi="宋体" w:cs="宋体"/>
          <w:kern w:val="0"/>
          <w:sz w:val="24"/>
        </w:rPr>
      </w:pPr>
      <w:r>
        <w:rPr>
          <w:rFonts w:hint="eastAsia" w:ascii="宋体" w:hAnsi="宋体" w:cs="宋体"/>
          <w:kern w:val="0"/>
          <w:sz w:val="24"/>
        </w:rPr>
        <w:t>（如果有，提供）</w:t>
      </w:r>
    </w:p>
    <w:p w14:paraId="43BA4867">
      <w:pPr>
        <w:autoSpaceDE w:val="0"/>
        <w:autoSpaceDN w:val="0"/>
        <w:adjustRightInd w:val="0"/>
        <w:spacing w:before="156" w:beforeLines="50" w:after="156" w:afterLines="50" w:line="360" w:lineRule="auto"/>
        <w:rPr>
          <w:rFonts w:hint="eastAsia" w:ascii="宋体" w:hAnsi="宋体" w:cs="宋体"/>
          <w:kern w:val="0"/>
          <w:szCs w:val="21"/>
        </w:rPr>
      </w:pPr>
      <w:r>
        <w:rPr>
          <w:rFonts w:hint="eastAsia" w:ascii="宋体" w:hAnsi="宋体" w:cs="宋体"/>
          <w:kern w:val="0"/>
          <w:szCs w:val="21"/>
        </w:rPr>
        <w:t xml:space="preserve">    </w:t>
      </w:r>
    </w:p>
    <w:tbl>
      <w:tblPr>
        <w:tblStyle w:val="15"/>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64"/>
        <w:gridCol w:w="1216"/>
        <w:gridCol w:w="1845"/>
        <w:gridCol w:w="795"/>
        <w:gridCol w:w="1240"/>
        <w:gridCol w:w="1982"/>
        <w:gridCol w:w="915"/>
      </w:tblGrid>
      <w:tr w14:paraId="45AE525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764" w:type="dxa"/>
            <w:vAlign w:val="center"/>
          </w:tcPr>
          <w:p w14:paraId="7D40A510">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序号</w:t>
            </w:r>
          </w:p>
        </w:tc>
        <w:tc>
          <w:tcPr>
            <w:tcW w:w="1216" w:type="dxa"/>
            <w:vAlign w:val="center"/>
          </w:tcPr>
          <w:p w14:paraId="1F79D9A1">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项目单位</w:t>
            </w:r>
          </w:p>
        </w:tc>
        <w:tc>
          <w:tcPr>
            <w:tcW w:w="1845" w:type="dxa"/>
            <w:vAlign w:val="center"/>
          </w:tcPr>
          <w:p w14:paraId="0C12DEC3">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项目名称</w:t>
            </w:r>
          </w:p>
        </w:tc>
        <w:tc>
          <w:tcPr>
            <w:tcW w:w="795" w:type="dxa"/>
            <w:vAlign w:val="center"/>
          </w:tcPr>
          <w:p w14:paraId="66AF70E1">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合同总价</w:t>
            </w:r>
          </w:p>
        </w:tc>
        <w:tc>
          <w:tcPr>
            <w:tcW w:w="1240" w:type="dxa"/>
            <w:vAlign w:val="center"/>
          </w:tcPr>
          <w:p w14:paraId="5159A79A">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项目起止时间</w:t>
            </w:r>
          </w:p>
        </w:tc>
        <w:tc>
          <w:tcPr>
            <w:tcW w:w="1982" w:type="dxa"/>
            <w:vAlign w:val="center"/>
          </w:tcPr>
          <w:p w14:paraId="6F6B523A">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项目单位</w:t>
            </w:r>
            <w:r>
              <w:rPr>
                <w:rFonts w:hint="eastAsia" w:ascii="宋体" w:hAnsi="宋体" w:cs="宋体"/>
                <w:sz w:val="24"/>
              </w:rPr>
              <w:t xml:space="preserve">      </w:t>
            </w:r>
            <w:r>
              <w:rPr>
                <w:rFonts w:hint="eastAsia" w:ascii="宋体" w:hAnsi="宋体" w:cs="宋体"/>
                <w:sz w:val="24"/>
                <w:lang w:val="zh-CN"/>
              </w:rPr>
              <w:t>联系人电话</w:t>
            </w:r>
          </w:p>
        </w:tc>
        <w:tc>
          <w:tcPr>
            <w:tcW w:w="915" w:type="dxa"/>
            <w:vAlign w:val="center"/>
          </w:tcPr>
          <w:p w14:paraId="3957B2CA">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备注</w:t>
            </w:r>
          </w:p>
        </w:tc>
      </w:tr>
      <w:tr w14:paraId="7BDA454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764" w:type="dxa"/>
            <w:vAlign w:val="center"/>
          </w:tcPr>
          <w:p w14:paraId="680DD992">
            <w:pPr>
              <w:pStyle w:val="33"/>
              <w:spacing w:line="360" w:lineRule="auto"/>
              <w:jc w:val="center"/>
              <w:rPr>
                <w:rFonts w:hint="eastAsia" w:ascii="宋体" w:hAnsi="宋体" w:cs="宋体"/>
                <w:sz w:val="24"/>
              </w:rPr>
            </w:pPr>
            <w:r>
              <w:rPr>
                <w:rFonts w:hint="eastAsia" w:ascii="宋体" w:hAnsi="宋体" w:cs="宋体"/>
                <w:sz w:val="24"/>
              </w:rPr>
              <w:t>1</w:t>
            </w:r>
          </w:p>
        </w:tc>
        <w:tc>
          <w:tcPr>
            <w:tcW w:w="1216" w:type="dxa"/>
            <w:vAlign w:val="center"/>
          </w:tcPr>
          <w:p w14:paraId="5C3AB1B0">
            <w:pPr>
              <w:pStyle w:val="33"/>
              <w:spacing w:line="360" w:lineRule="auto"/>
              <w:jc w:val="center"/>
              <w:rPr>
                <w:rFonts w:hint="eastAsia" w:ascii="宋体" w:hAnsi="宋体" w:cs="宋体"/>
                <w:sz w:val="24"/>
              </w:rPr>
            </w:pPr>
          </w:p>
        </w:tc>
        <w:tc>
          <w:tcPr>
            <w:tcW w:w="1845" w:type="dxa"/>
          </w:tcPr>
          <w:p w14:paraId="5140EC67">
            <w:pPr>
              <w:pStyle w:val="33"/>
              <w:spacing w:line="360" w:lineRule="auto"/>
              <w:rPr>
                <w:rFonts w:hint="eastAsia" w:ascii="宋体" w:hAnsi="宋体" w:cs="宋体"/>
                <w:sz w:val="24"/>
              </w:rPr>
            </w:pPr>
          </w:p>
        </w:tc>
        <w:tc>
          <w:tcPr>
            <w:tcW w:w="795" w:type="dxa"/>
          </w:tcPr>
          <w:p w14:paraId="7D8A8683">
            <w:pPr>
              <w:pStyle w:val="33"/>
              <w:spacing w:line="360" w:lineRule="auto"/>
              <w:rPr>
                <w:rFonts w:hint="eastAsia" w:ascii="宋体" w:hAnsi="宋体" w:cs="宋体"/>
                <w:sz w:val="24"/>
              </w:rPr>
            </w:pPr>
          </w:p>
        </w:tc>
        <w:tc>
          <w:tcPr>
            <w:tcW w:w="1240" w:type="dxa"/>
          </w:tcPr>
          <w:p w14:paraId="73143643">
            <w:pPr>
              <w:pStyle w:val="33"/>
              <w:spacing w:line="360" w:lineRule="auto"/>
              <w:rPr>
                <w:rFonts w:hint="eastAsia" w:ascii="宋体" w:hAnsi="宋体" w:cs="宋体"/>
                <w:sz w:val="24"/>
              </w:rPr>
            </w:pPr>
          </w:p>
        </w:tc>
        <w:tc>
          <w:tcPr>
            <w:tcW w:w="1982" w:type="dxa"/>
          </w:tcPr>
          <w:p w14:paraId="0EAF5BC8">
            <w:pPr>
              <w:pStyle w:val="33"/>
              <w:spacing w:line="360" w:lineRule="auto"/>
              <w:rPr>
                <w:rFonts w:hint="eastAsia" w:ascii="宋体" w:hAnsi="宋体" w:cs="宋体"/>
                <w:sz w:val="24"/>
              </w:rPr>
            </w:pPr>
          </w:p>
        </w:tc>
        <w:tc>
          <w:tcPr>
            <w:tcW w:w="915" w:type="dxa"/>
          </w:tcPr>
          <w:p w14:paraId="1C9F0B9B">
            <w:pPr>
              <w:pStyle w:val="33"/>
              <w:spacing w:line="360" w:lineRule="auto"/>
              <w:rPr>
                <w:rFonts w:hint="eastAsia" w:ascii="宋体" w:hAnsi="宋体" w:cs="宋体"/>
                <w:sz w:val="24"/>
              </w:rPr>
            </w:pPr>
          </w:p>
        </w:tc>
      </w:tr>
      <w:tr w14:paraId="1E0667E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764" w:type="dxa"/>
            <w:vAlign w:val="center"/>
          </w:tcPr>
          <w:p w14:paraId="37C078B3">
            <w:pPr>
              <w:pStyle w:val="33"/>
              <w:spacing w:line="360" w:lineRule="auto"/>
              <w:jc w:val="center"/>
              <w:rPr>
                <w:rFonts w:hint="eastAsia" w:ascii="宋体" w:hAnsi="宋体" w:cs="宋体"/>
                <w:sz w:val="24"/>
              </w:rPr>
            </w:pPr>
            <w:r>
              <w:rPr>
                <w:rFonts w:hint="eastAsia" w:ascii="宋体" w:hAnsi="宋体" w:cs="宋体"/>
                <w:sz w:val="24"/>
              </w:rPr>
              <w:t>2</w:t>
            </w:r>
          </w:p>
        </w:tc>
        <w:tc>
          <w:tcPr>
            <w:tcW w:w="1216" w:type="dxa"/>
            <w:vAlign w:val="center"/>
          </w:tcPr>
          <w:p w14:paraId="20352746">
            <w:pPr>
              <w:pStyle w:val="33"/>
              <w:spacing w:line="360" w:lineRule="auto"/>
              <w:jc w:val="center"/>
              <w:rPr>
                <w:rFonts w:hint="eastAsia" w:ascii="宋体" w:hAnsi="宋体" w:cs="宋体"/>
                <w:sz w:val="24"/>
              </w:rPr>
            </w:pPr>
          </w:p>
        </w:tc>
        <w:tc>
          <w:tcPr>
            <w:tcW w:w="1845" w:type="dxa"/>
          </w:tcPr>
          <w:p w14:paraId="5849252F">
            <w:pPr>
              <w:pStyle w:val="33"/>
              <w:spacing w:line="360" w:lineRule="auto"/>
              <w:rPr>
                <w:rFonts w:hint="eastAsia" w:ascii="宋体" w:hAnsi="宋体" w:cs="宋体"/>
                <w:sz w:val="24"/>
              </w:rPr>
            </w:pPr>
          </w:p>
        </w:tc>
        <w:tc>
          <w:tcPr>
            <w:tcW w:w="795" w:type="dxa"/>
          </w:tcPr>
          <w:p w14:paraId="73ACD89D">
            <w:pPr>
              <w:pStyle w:val="33"/>
              <w:spacing w:line="360" w:lineRule="auto"/>
              <w:rPr>
                <w:rFonts w:hint="eastAsia" w:ascii="宋体" w:hAnsi="宋体" w:cs="宋体"/>
                <w:sz w:val="24"/>
              </w:rPr>
            </w:pPr>
          </w:p>
        </w:tc>
        <w:tc>
          <w:tcPr>
            <w:tcW w:w="1240" w:type="dxa"/>
          </w:tcPr>
          <w:p w14:paraId="2C88AFAA">
            <w:pPr>
              <w:pStyle w:val="33"/>
              <w:spacing w:line="360" w:lineRule="auto"/>
              <w:rPr>
                <w:rFonts w:hint="eastAsia" w:ascii="宋体" w:hAnsi="宋体" w:cs="宋体"/>
                <w:sz w:val="24"/>
              </w:rPr>
            </w:pPr>
          </w:p>
        </w:tc>
        <w:tc>
          <w:tcPr>
            <w:tcW w:w="1982" w:type="dxa"/>
          </w:tcPr>
          <w:p w14:paraId="69412E07">
            <w:pPr>
              <w:pStyle w:val="33"/>
              <w:spacing w:line="360" w:lineRule="auto"/>
              <w:rPr>
                <w:rFonts w:hint="eastAsia" w:ascii="宋体" w:hAnsi="宋体" w:cs="宋体"/>
                <w:sz w:val="24"/>
              </w:rPr>
            </w:pPr>
          </w:p>
        </w:tc>
        <w:tc>
          <w:tcPr>
            <w:tcW w:w="915" w:type="dxa"/>
          </w:tcPr>
          <w:p w14:paraId="35D20099">
            <w:pPr>
              <w:pStyle w:val="33"/>
              <w:spacing w:line="360" w:lineRule="auto"/>
              <w:rPr>
                <w:rFonts w:hint="eastAsia" w:ascii="宋体" w:hAnsi="宋体" w:cs="宋体"/>
                <w:sz w:val="24"/>
              </w:rPr>
            </w:pPr>
          </w:p>
        </w:tc>
      </w:tr>
      <w:tr w14:paraId="2F6EEE2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764" w:type="dxa"/>
            <w:vAlign w:val="center"/>
          </w:tcPr>
          <w:p w14:paraId="11CFD613">
            <w:pPr>
              <w:pStyle w:val="33"/>
              <w:spacing w:line="360" w:lineRule="auto"/>
              <w:jc w:val="center"/>
              <w:rPr>
                <w:rFonts w:hint="eastAsia" w:ascii="宋体" w:hAnsi="宋体" w:cs="宋体"/>
                <w:sz w:val="24"/>
              </w:rPr>
            </w:pPr>
            <w:r>
              <w:rPr>
                <w:rFonts w:hint="eastAsia" w:ascii="宋体" w:hAnsi="宋体" w:cs="宋体"/>
                <w:sz w:val="24"/>
              </w:rPr>
              <w:t>3</w:t>
            </w:r>
          </w:p>
        </w:tc>
        <w:tc>
          <w:tcPr>
            <w:tcW w:w="1216" w:type="dxa"/>
            <w:vAlign w:val="center"/>
          </w:tcPr>
          <w:p w14:paraId="6DD6BE9A">
            <w:pPr>
              <w:pStyle w:val="33"/>
              <w:spacing w:line="360" w:lineRule="auto"/>
              <w:jc w:val="center"/>
              <w:rPr>
                <w:rFonts w:hint="eastAsia" w:ascii="宋体" w:hAnsi="宋体" w:cs="宋体"/>
                <w:sz w:val="24"/>
              </w:rPr>
            </w:pPr>
          </w:p>
        </w:tc>
        <w:tc>
          <w:tcPr>
            <w:tcW w:w="1845" w:type="dxa"/>
          </w:tcPr>
          <w:p w14:paraId="553BD5A4">
            <w:pPr>
              <w:pStyle w:val="33"/>
              <w:spacing w:line="360" w:lineRule="auto"/>
              <w:rPr>
                <w:rFonts w:hint="eastAsia" w:ascii="宋体" w:hAnsi="宋体" w:cs="宋体"/>
                <w:sz w:val="24"/>
              </w:rPr>
            </w:pPr>
          </w:p>
        </w:tc>
        <w:tc>
          <w:tcPr>
            <w:tcW w:w="795" w:type="dxa"/>
          </w:tcPr>
          <w:p w14:paraId="67C1F8B6">
            <w:pPr>
              <w:pStyle w:val="33"/>
              <w:spacing w:line="360" w:lineRule="auto"/>
              <w:rPr>
                <w:rFonts w:hint="eastAsia" w:ascii="宋体" w:hAnsi="宋体" w:cs="宋体"/>
                <w:sz w:val="24"/>
              </w:rPr>
            </w:pPr>
          </w:p>
        </w:tc>
        <w:tc>
          <w:tcPr>
            <w:tcW w:w="1240" w:type="dxa"/>
          </w:tcPr>
          <w:p w14:paraId="5D7A80B0">
            <w:pPr>
              <w:pStyle w:val="33"/>
              <w:spacing w:line="360" w:lineRule="auto"/>
              <w:rPr>
                <w:rFonts w:hint="eastAsia" w:ascii="宋体" w:hAnsi="宋体" w:cs="宋体"/>
                <w:sz w:val="24"/>
              </w:rPr>
            </w:pPr>
          </w:p>
        </w:tc>
        <w:tc>
          <w:tcPr>
            <w:tcW w:w="1982" w:type="dxa"/>
          </w:tcPr>
          <w:p w14:paraId="592BC6A0">
            <w:pPr>
              <w:pStyle w:val="33"/>
              <w:spacing w:line="360" w:lineRule="auto"/>
              <w:rPr>
                <w:rFonts w:hint="eastAsia" w:ascii="宋体" w:hAnsi="宋体" w:cs="宋体"/>
                <w:sz w:val="24"/>
              </w:rPr>
            </w:pPr>
          </w:p>
        </w:tc>
        <w:tc>
          <w:tcPr>
            <w:tcW w:w="915" w:type="dxa"/>
          </w:tcPr>
          <w:p w14:paraId="3E75C1D7">
            <w:pPr>
              <w:pStyle w:val="33"/>
              <w:spacing w:line="360" w:lineRule="auto"/>
              <w:rPr>
                <w:rFonts w:hint="eastAsia" w:ascii="宋体" w:hAnsi="宋体" w:cs="宋体"/>
                <w:sz w:val="24"/>
              </w:rPr>
            </w:pPr>
          </w:p>
        </w:tc>
      </w:tr>
      <w:tr w14:paraId="1D45FFE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4FF53013">
            <w:pPr>
              <w:pStyle w:val="33"/>
              <w:spacing w:line="360" w:lineRule="auto"/>
              <w:jc w:val="center"/>
              <w:rPr>
                <w:rFonts w:hint="eastAsia" w:ascii="宋体" w:hAnsi="宋体" w:cs="宋体"/>
                <w:sz w:val="24"/>
              </w:rPr>
            </w:pPr>
            <w:r>
              <w:rPr>
                <w:rFonts w:hint="eastAsia" w:ascii="宋体" w:hAnsi="宋体" w:cs="宋体"/>
                <w:sz w:val="24"/>
              </w:rPr>
              <w:t>4</w:t>
            </w:r>
          </w:p>
        </w:tc>
        <w:tc>
          <w:tcPr>
            <w:tcW w:w="1216" w:type="dxa"/>
          </w:tcPr>
          <w:p w14:paraId="7C2D0F91">
            <w:pPr>
              <w:pStyle w:val="33"/>
              <w:spacing w:line="360" w:lineRule="auto"/>
              <w:rPr>
                <w:rFonts w:hint="eastAsia" w:ascii="宋体" w:hAnsi="宋体" w:cs="宋体"/>
                <w:sz w:val="24"/>
              </w:rPr>
            </w:pPr>
          </w:p>
        </w:tc>
        <w:tc>
          <w:tcPr>
            <w:tcW w:w="1845" w:type="dxa"/>
          </w:tcPr>
          <w:p w14:paraId="2786A089">
            <w:pPr>
              <w:pStyle w:val="33"/>
              <w:spacing w:line="360" w:lineRule="auto"/>
              <w:rPr>
                <w:rFonts w:hint="eastAsia" w:ascii="宋体" w:hAnsi="宋体" w:cs="宋体"/>
                <w:sz w:val="24"/>
              </w:rPr>
            </w:pPr>
          </w:p>
        </w:tc>
        <w:tc>
          <w:tcPr>
            <w:tcW w:w="795" w:type="dxa"/>
          </w:tcPr>
          <w:p w14:paraId="35113AF7">
            <w:pPr>
              <w:pStyle w:val="33"/>
              <w:spacing w:line="360" w:lineRule="auto"/>
              <w:rPr>
                <w:rFonts w:hint="eastAsia" w:ascii="宋体" w:hAnsi="宋体" w:cs="宋体"/>
                <w:sz w:val="24"/>
              </w:rPr>
            </w:pPr>
          </w:p>
        </w:tc>
        <w:tc>
          <w:tcPr>
            <w:tcW w:w="1240" w:type="dxa"/>
          </w:tcPr>
          <w:p w14:paraId="3FB1E1B3">
            <w:pPr>
              <w:pStyle w:val="33"/>
              <w:spacing w:line="360" w:lineRule="auto"/>
              <w:rPr>
                <w:rFonts w:hint="eastAsia" w:ascii="宋体" w:hAnsi="宋体" w:cs="宋体"/>
                <w:sz w:val="24"/>
              </w:rPr>
            </w:pPr>
          </w:p>
        </w:tc>
        <w:tc>
          <w:tcPr>
            <w:tcW w:w="1982" w:type="dxa"/>
          </w:tcPr>
          <w:p w14:paraId="36DA0E0D">
            <w:pPr>
              <w:pStyle w:val="33"/>
              <w:spacing w:line="360" w:lineRule="auto"/>
              <w:rPr>
                <w:rFonts w:hint="eastAsia" w:ascii="宋体" w:hAnsi="宋体" w:cs="宋体"/>
                <w:sz w:val="24"/>
              </w:rPr>
            </w:pPr>
          </w:p>
        </w:tc>
        <w:tc>
          <w:tcPr>
            <w:tcW w:w="915" w:type="dxa"/>
          </w:tcPr>
          <w:p w14:paraId="0A5535B9">
            <w:pPr>
              <w:pStyle w:val="33"/>
              <w:spacing w:line="360" w:lineRule="auto"/>
              <w:rPr>
                <w:rFonts w:hint="eastAsia" w:ascii="宋体" w:hAnsi="宋体" w:cs="宋体"/>
                <w:sz w:val="24"/>
              </w:rPr>
            </w:pPr>
          </w:p>
        </w:tc>
      </w:tr>
      <w:tr w14:paraId="5E1A543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6ADFA376">
            <w:pPr>
              <w:pStyle w:val="33"/>
              <w:spacing w:line="360" w:lineRule="auto"/>
              <w:jc w:val="center"/>
              <w:rPr>
                <w:rFonts w:hint="eastAsia" w:ascii="宋体" w:hAnsi="宋体" w:cs="宋体"/>
                <w:sz w:val="24"/>
              </w:rPr>
            </w:pPr>
            <w:r>
              <w:rPr>
                <w:rFonts w:hint="eastAsia" w:ascii="宋体" w:hAnsi="宋体" w:cs="宋体"/>
                <w:sz w:val="24"/>
              </w:rPr>
              <w:t>5</w:t>
            </w:r>
          </w:p>
        </w:tc>
        <w:tc>
          <w:tcPr>
            <w:tcW w:w="1216" w:type="dxa"/>
          </w:tcPr>
          <w:p w14:paraId="1024D974">
            <w:pPr>
              <w:pStyle w:val="33"/>
              <w:spacing w:line="360" w:lineRule="auto"/>
              <w:rPr>
                <w:rFonts w:hint="eastAsia" w:ascii="宋体" w:hAnsi="宋体" w:cs="宋体"/>
                <w:sz w:val="24"/>
              </w:rPr>
            </w:pPr>
          </w:p>
        </w:tc>
        <w:tc>
          <w:tcPr>
            <w:tcW w:w="1845" w:type="dxa"/>
          </w:tcPr>
          <w:p w14:paraId="39D7878B">
            <w:pPr>
              <w:pStyle w:val="33"/>
              <w:spacing w:line="360" w:lineRule="auto"/>
              <w:rPr>
                <w:rFonts w:hint="eastAsia" w:ascii="宋体" w:hAnsi="宋体" w:cs="宋体"/>
                <w:sz w:val="24"/>
              </w:rPr>
            </w:pPr>
          </w:p>
        </w:tc>
        <w:tc>
          <w:tcPr>
            <w:tcW w:w="795" w:type="dxa"/>
          </w:tcPr>
          <w:p w14:paraId="5EB24BC3">
            <w:pPr>
              <w:pStyle w:val="33"/>
              <w:spacing w:line="360" w:lineRule="auto"/>
              <w:rPr>
                <w:rFonts w:hint="eastAsia" w:ascii="宋体" w:hAnsi="宋体" w:cs="宋体"/>
                <w:sz w:val="24"/>
              </w:rPr>
            </w:pPr>
          </w:p>
        </w:tc>
        <w:tc>
          <w:tcPr>
            <w:tcW w:w="1240" w:type="dxa"/>
          </w:tcPr>
          <w:p w14:paraId="14DBE160">
            <w:pPr>
              <w:pStyle w:val="33"/>
              <w:spacing w:line="360" w:lineRule="auto"/>
              <w:rPr>
                <w:rFonts w:hint="eastAsia" w:ascii="宋体" w:hAnsi="宋体" w:cs="宋体"/>
                <w:sz w:val="24"/>
              </w:rPr>
            </w:pPr>
          </w:p>
        </w:tc>
        <w:tc>
          <w:tcPr>
            <w:tcW w:w="1982" w:type="dxa"/>
          </w:tcPr>
          <w:p w14:paraId="71778F51">
            <w:pPr>
              <w:pStyle w:val="33"/>
              <w:spacing w:line="360" w:lineRule="auto"/>
              <w:rPr>
                <w:rFonts w:hint="eastAsia" w:ascii="宋体" w:hAnsi="宋体" w:cs="宋体"/>
                <w:sz w:val="24"/>
              </w:rPr>
            </w:pPr>
          </w:p>
        </w:tc>
        <w:tc>
          <w:tcPr>
            <w:tcW w:w="915" w:type="dxa"/>
          </w:tcPr>
          <w:p w14:paraId="32BB2715">
            <w:pPr>
              <w:pStyle w:val="33"/>
              <w:spacing w:line="360" w:lineRule="auto"/>
              <w:rPr>
                <w:rFonts w:hint="eastAsia" w:ascii="宋体" w:hAnsi="宋体" w:cs="宋体"/>
                <w:sz w:val="24"/>
              </w:rPr>
            </w:pPr>
          </w:p>
        </w:tc>
      </w:tr>
      <w:tr w14:paraId="585DDCA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7923545E">
            <w:pPr>
              <w:pStyle w:val="33"/>
              <w:spacing w:line="360" w:lineRule="auto"/>
              <w:jc w:val="center"/>
              <w:rPr>
                <w:rFonts w:hint="eastAsia" w:ascii="宋体" w:hAnsi="宋体" w:cs="宋体"/>
                <w:sz w:val="24"/>
              </w:rPr>
            </w:pPr>
            <w:r>
              <w:rPr>
                <w:rFonts w:hint="eastAsia" w:ascii="宋体" w:hAnsi="宋体" w:cs="宋体"/>
                <w:sz w:val="24"/>
              </w:rPr>
              <w:t>6</w:t>
            </w:r>
          </w:p>
        </w:tc>
        <w:tc>
          <w:tcPr>
            <w:tcW w:w="1216" w:type="dxa"/>
          </w:tcPr>
          <w:p w14:paraId="33580E7C">
            <w:pPr>
              <w:pStyle w:val="33"/>
              <w:spacing w:line="360" w:lineRule="auto"/>
              <w:rPr>
                <w:rFonts w:hint="eastAsia" w:ascii="宋体" w:hAnsi="宋体" w:cs="宋体"/>
                <w:sz w:val="24"/>
              </w:rPr>
            </w:pPr>
          </w:p>
        </w:tc>
        <w:tc>
          <w:tcPr>
            <w:tcW w:w="1845" w:type="dxa"/>
          </w:tcPr>
          <w:p w14:paraId="2883E211">
            <w:pPr>
              <w:pStyle w:val="33"/>
              <w:spacing w:line="360" w:lineRule="auto"/>
              <w:rPr>
                <w:rFonts w:hint="eastAsia" w:ascii="宋体" w:hAnsi="宋体" w:cs="宋体"/>
                <w:sz w:val="24"/>
              </w:rPr>
            </w:pPr>
          </w:p>
        </w:tc>
        <w:tc>
          <w:tcPr>
            <w:tcW w:w="795" w:type="dxa"/>
          </w:tcPr>
          <w:p w14:paraId="1B02D03B">
            <w:pPr>
              <w:pStyle w:val="33"/>
              <w:spacing w:line="360" w:lineRule="auto"/>
              <w:rPr>
                <w:rFonts w:hint="eastAsia" w:ascii="宋体" w:hAnsi="宋体" w:cs="宋体"/>
                <w:sz w:val="24"/>
              </w:rPr>
            </w:pPr>
          </w:p>
        </w:tc>
        <w:tc>
          <w:tcPr>
            <w:tcW w:w="1240" w:type="dxa"/>
          </w:tcPr>
          <w:p w14:paraId="439BFB3C">
            <w:pPr>
              <w:pStyle w:val="33"/>
              <w:spacing w:line="360" w:lineRule="auto"/>
              <w:rPr>
                <w:rFonts w:hint="eastAsia" w:ascii="宋体" w:hAnsi="宋体" w:cs="宋体"/>
                <w:sz w:val="24"/>
              </w:rPr>
            </w:pPr>
          </w:p>
        </w:tc>
        <w:tc>
          <w:tcPr>
            <w:tcW w:w="1982" w:type="dxa"/>
          </w:tcPr>
          <w:p w14:paraId="79AE5876">
            <w:pPr>
              <w:pStyle w:val="33"/>
              <w:spacing w:line="360" w:lineRule="auto"/>
              <w:rPr>
                <w:rFonts w:hint="eastAsia" w:ascii="宋体" w:hAnsi="宋体" w:cs="宋体"/>
                <w:sz w:val="24"/>
              </w:rPr>
            </w:pPr>
          </w:p>
        </w:tc>
        <w:tc>
          <w:tcPr>
            <w:tcW w:w="915" w:type="dxa"/>
          </w:tcPr>
          <w:p w14:paraId="7FA84A42">
            <w:pPr>
              <w:pStyle w:val="33"/>
              <w:spacing w:line="360" w:lineRule="auto"/>
              <w:rPr>
                <w:rFonts w:hint="eastAsia" w:ascii="宋体" w:hAnsi="宋体" w:cs="宋体"/>
                <w:sz w:val="24"/>
              </w:rPr>
            </w:pPr>
          </w:p>
        </w:tc>
      </w:tr>
      <w:tr w14:paraId="171C470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7FF69772">
            <w:pPr>
              <w:pStyle w:val="33"/>
              <w:spacing w:line="360" w:lineRule="auto"/>
              <w:jc w:val="center"/>
              <w:rPr>
                <w:rFonts w:hint="eastAsia" w:ascii="宋体" w:hAnsi="宋体" w:cs="宋体"/>
                <w:sz w:val="24"/>
              </w:rPr>
            </w:pPr>
            <w:r>
              <w:rPr>
                <w:rFonts w:hint="eastAsia" w:ascii="宋体" w:hAnsi="宋体" w:cs="宋体"/>
                <w:sz w:val="24"/>
              </w:rPr>
              <w:t>…</w:t>
            </w:r>
          </w:p>
        </w:tc>
        <w:tc>
          <w:tcPr>
            <w:tcW w:w="1216" w:type="dxa"/>
          </w:tcPr>
          <w:p w14:paraId="28D1A6FF">
            <w:pPr>
              <w:pStyle w:val="33"/>
              <w:spacing w:line="360" w:lineRule="auto"/>
              <w:rPr>
                <w:rFonts w:hint="eastAsia" w:ascii="宋体" w:hAnsi="宋体" w:cs="宋体"/>
                <w:sz w:val="24"/>
              </w:rPr>
            </w:pPr>
          </w:p>
        </w:tc>
        <w:tc>
          <w:tcPr>
            <w:tcW w:w="1845" w:type="dxa"/>
          </w:tcPr>
          <w:p w14:paraId="2877AAA7">
            <w:pPr>
              <w:pStyle w:val="33"/>
              <w:spacing w:line="360" w:lineRule="auto"/>
              <w:rPr>
                <w:rFonts w:hint="eastAsia" w:ascii="宋体" w:hAnsi="宋体" w:cs="宋体"/>
                <w:sz w:val="24"/>
              </w:rPr>
            </w:pPr>
          </w:p>
        </w:tc>
        <w:tc>
          <w:tcPr>
            <w:tcW w:w="795" w:type="dxa"/>
          </w:tcPr>
          <w:p w14:paraId="2BBA9A21">
            <w:pPr>
              <w:pStyle w:val="33"/>
              <w:spacing w:line="360" w:lineRule="auto"/>
              <w:rPr>
                <w:rFonts w:hint="eastAsia" w:ascii="宋体" w:hAnsi="宋体" w:cs="宋体"/>
                <w:sz w:val="24"/>
              </w:rPr>
            </w:pPr>
          </w:p>
        </w:tc>
        <w:tc>
          <w:tcPr>
            <w:tcW w:w="1240" w:type="dxa"/>
          </w:tcPr>
          <w:p w14:paraId="787273D6">
            <w:pPr>
              <w:pStyle w:val="33"/>
              <w:spacing w:line="360" w:lineRule="auto"/>
              <w:rPr>
                <w:rFonts w:hint="eastAsia" w:ascii="宋体" w:hAnsi="宋体" w:cs="宋体"/>
                <w:sz w:val="24"/>
              </w:rPr>
            </w:pPr>
          </w:p>
        </w:tc>
        <w:tc>
          <w:tcPr>
            <w:tcW w:w="1982" w:type="dxa"/>
          </w:tcPr>
          <w:p w14:paraId="17230A9E">
            <w:pPr>
              <w:pStyle w:val="33"/>
              <w:spacing w:line="360" w:lineRule="auto"/>
              <w:rPr>
                <w:rFonts w:hint="eastAsia" w:ascii="宋体" w:hAnsi="宋体" w:cs="宋体"/>
                <w:sz w:val="24"/>
              </w:rPr>
            </w:pPr>
          </w:p>
        </w:tc>
        <w:tc>
          <w:tcPr>
            <w:tcW w:w="915" w:type="dxa"/>
          </w:tcPr>
          <w:p w14:paraId="7E1B53B0">
            <w:pPr>
              <w:pStyle w:val="33"/>
              <w:spacing w:line="360" w:lineRule="auto"/>
              <w:rPr>
                <w:rFonts w:hint="eastAsia" w:ascii="宋体" w:hAnsi="宋体" w:cs="宋体"/>
                <w:sz w:val="24"/>
              </w:rPr>
            </w:pPr>
          </w:p>
        </w:tc>
      </w:tr>
      <w:tr w14:paraId="6D66B21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10E5FB6C">
            <w:pPr>
              <w:pStyle w:val="33"/>
              <w:spacing w:line="360" w:lineRule="auto"/>
              <w:rPr>
                <w:rFonts w:hint="eastAsia" w:ascii="宋体" w:hAnsi="宋体" w:cs="宋体"/>
                <w:sz w:val="24"/>
              </w:rPr>
            </w:pPr>
          </w:p>
        </w:tc>
        <w:tc>
          <w:tcPr>
            <w:tcW w:w="1216" w:type="dxa"/>
          </w:tcPr>
          <w:p w14:paraId="181D7F27">
            <w:pPr>
              <w:pStyle w:val="33"/>
              <w:spacing w:line="360" w:lineRule="auto"/>
              <w:rPr>
                <w:rFonts w:hint="eastAsia" w:ascii="宋体" w:hAnsi="宋体" w:cs="宋体"/>
                <w:sz w:val="24"/>
              </w:rPr>
            </w:pPr>
          </w:p>
        </w:tc>
        <w:tc>
          <w:tcPr>
            <w:tcW w:w="1845" w:type="dxa"/>
          </w:tcPr>
          <w:p w14:paraId="1A543F99">
            <w:pPr>
              <w:pStyle w:val="33"/>
              <w:spacing w:line="360" w:lineRule="auto"/>
              <w:rPr>
                <w:rFonts w:hint="eastAsia" w:ascii="宋体" w:hAnsi="宋体" w:cs="宋体"/>
                <w:sz w:val="24"/>
              </w:rPr>
            </w:pPr>
          </w:p>
        </w:tc>
        <w:tc>
          <w:tcPr>
            <w:tcW w:w="795" w:type="dxa"/>
          </w:tcPr>
          <w:p w14:paraId="7B7B48BF">
            <w:pPr>
              <w:pStyle w:val="33"/>
              <w:spacing w:line="360" w:lineRule="auto"/>
              <w:rPr>
                <w:rFonts w:hint="eastAsia" w:ascii="宋体" w:hAnsi="宋体" w:cs="宋体"/>
                <w:sz w:val="24"/>
              </w:rPr>
            </w:pPr>
          </w:p>
        </w:tc>
        <w:tc>
          <w:tcPr>
            <w:tcW w:w="1240" w:type="dxa"/>
          </w:tcPr>
          <w:p w14:paraId="638AF0A1">
            <w:pPr>
              <w:pStyle w:val="33"/>
              <w:spacing w:line="360" w:lineRule="auto"/>
              <w:rPr>
                <w:rFonts w:hint="eastAsia" w:ascii="宋体" w:hAnsi="宋体" w:cs="宋体"/>
                <w:sz w:val="24"/>
              </w:rPr>
            </w:pPr>
          </w:p>
        </w:tc>
        <w:tc>
          <w:tcPr>
            <w:tcW w:w="1982" w:type="dxa"/>
          </w:tcPr>
          <w:p w14:paraId="660D1435">
            <w:pPr>
              <w:pStyle w:val="33"/>
              <w:spacing w:line="360" w:lineRule="auto"/>
              <w:rPr>
                <w:rFonts w:hint="eastAsia" w:ascii="宋体" w:hAnsi="宋体" w:cs="宋体"/>
                <w:sz w:val="24"/>
              </w:rPr>
            </w:pPr>
          </w:p>
        </w:tc>
        <w:tc>
          <w:tcPr>
            <w:tcW w:w="915" w:type="dxa"/>
          </w:tcPr>
          <w:p w14:paraId="7DB3FEF9">
            <w:pPr>
              <w:pStyle w:val="33"/>
              <w:spacing w:line="360" w:lineRule="auto"/>
              <w:rPr>
                <w:rFonts w:hint="eastAsia" w:ascii="宋体" w:hAnsi="宋体" w:cs="宋体"/>
                <w:sz w:val="24"/>
              </w:rPr>
            </w:pPr>
          </w:p>
        </w:tc>
      </w:tr>
      <w:tr w14:paraId="29C54C3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0261D9A4">
            <w:pPr>
              <w:pStyle w:val="33"/>
              <w:spacing w:line="360" w:lineRule="auto"/>
              <w:rPr>
                <w:rFonts w:hint="eastAsia" w:ascii="宋体" w:hAnsi="宋体" w:cs="宋体"/>
                <w:sz w:val="24"/>
              </w:rPr>
            </w:pPr>
          </w:p>
        </w:tc>
        <w:tc>
          <w:tcPr>
            <w:tcW w:w="1216" w:type="dxa"/>
          </w:tcPr>
          <w:p w14:paraId="5FA5B1C4">
            <w:pPr>
              <w:pStyle w:val="33"/>
              <w:spacing w:line="360" w:lineRule="auto"/>
              <w:rPr>
                <w:rFonts w:hint="eastAsia" w:ascii="宋体" w:hAnsi="宋体" w:cs="宋体"/>
                <w:sz w:val="24"/>
              </w:rPr>
            </w:pPr>
          </w:p>
        </w:tc>
        <w:tc>
          <w:tcPr>
            <w:tcW w:w="1845" w:type="dxa"/>
          </w:tcPr>
          <w:p w14:paraId="494CBEE5">
            <w:pPr>
              <w:pStyle w:val="33"/>
              <w:spacing w:line="360" w:lineRule="auto"/>
              <w:rPr>
                <w:rFonts w:hint="eastAsia" w:ascii="宋体" w:hAnsi="宋体" w:cs="宋体"/>
                <w:sz w:val="24"/>
              </w:rPr>
            </w:pPr>
          </w:p>
        </w:tc>
        <w:tc>
          <w:tcPr>
            <w:tcW w:w="795" w:type="dxa"/>
          </w:tcPr>
          <w:p w14:paraId="4CAF58B5">
            <w:pPr>
              <w:pStyle w:val="33"/>
              <w:spacing w:line="360" w:lineRule="auto"/>
              <w:rPr>
                <w:rFonts w:hint="eastAsia" w:ascii="宋体" w:hAnsi="宋体" w:cs="宋体"/>
                <w:sz w:val="24"/>
              </w:rPr>
            </w:pPr>
          </w:p>
        </w:tc>
        <w:tc>
          <w:tcPr>
            <w:tcW w:w="1240" w:type="dxa"/>
          </w:tcPr>
          <w:p w14:paraId="6161FA98">
            <w:pPr>
              <w:pStyle w:val="33"/>
              <w:spacing w:line="360" w:lineRule="auto"/>
              <w:rPr>
                <w:rFonts w:hint="eastAsia" w:ascii="宋体" w:hAnsi="宋体" w:cs="宋体"/>
                <w:sz w:val="24"/>
              </w:rPr>
            </w:pPr>
          </w:p>
        </w:tc>
        <w:tc>
          <w:tcPr>
            <w:tcW w:w="1982" w:type="dxa"/>
          </w:tcPr>
          <w:p w14:paraId="1C872F5A">
            <w:pPr>
              <w:pStyle w:val="33"/>
              <w:spacing w:line="360" w:lineRule="auto"/>
              <w:rPr>
                <w:rFonts w:hint="eastAsia" w:ascii="宋体" w:hAnsi="宋体" w:cs="宋体"/>
                <w:sz w:val="24"/>
              </w:rPr>
            </w:pPr>
          </w:p>
        </w:tc>
        <w:tc>
          <w:tcPr>
            <w:tcW w:w="915" w:type="dxa"/>
          </w:tcPr>
          <w:p w14:paraId="2E379BDE">
            <w:pPr>
              <w:pStyle w:val="33"/>
              <w:spacing w:line="360" w:lineRule="auto"/>
              <w:rPr>
                <w:rFonts w:hint="eastAsia" w:ascii="宋体" w:hAnsi="宋体" w:cs="宋体"/>
                <w:sz w:val="24"/>
              </w:rPr>
            </w:pPr>
          </w:p>
        </w:tc>
      </w:tr>
      <w:tr w14:paraId="485C984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34109BB0">
            <w:pPr>
              <w:pStyle w:val="33"/>
              <w:spacing w:line="360" w:lineRule="auto"/>
              <w:rPr>
                <w:rFonts w:hint="eastAsia" w:ascii="宋体" w:hAnsi="宋体" w:cs="宋体"/>
                <w:sz w:val="24"/>
              </w:rPr>
            </w:pPr>
          </w:p>
        </w:tc>
        <w:tc>
          <w:tcPr>
            <w:tcW w:w="1216" w:type="dxa"/>
          </w:tcPr>
          <w:p w14:paraId="4BB56DA0">
            <w:pPr>
              <w:pStyle w:val="33"/>
              <w:spacing w:line="360" w:lineRule="auto"/>
              <w:rPr>
                <w:rFonts w:hint="eastAsia" w:ascii="宋体" w:hAnsi="宋体" w:cs="宋体"/>
                <w:sz w:val="24"/>
              </w:rPr>
            </w:pPr>
          </w:p>
        </w:tc>
        <w:tc>
          <w:tcPr>
            <w:tcW w:w="1845" w:type="dxa"/>
          </w:tcPr>
          <w:p w14:paraId="0F5F8BB9">
            <w:pPr>
              <w:pStyle w:val="33"/>
              <w:spacing w:line="360" w:lineRule="auto"/>
              <w:rPr>
                <w:rFonts w:hint="eastAsia" w:ascii="宋体" w:hAnsi="宋体" w:cs="宋体"/>
                <w:sz w:val="24"/>
              </w:rPr>
            </w:pPr>
          </w:p>
        </w:tc>
        <w:tc>
          <w:tcPr>
            <w:tcW w:w="795" w:type="dxa"/>
          </w:tcPr>
          <w:p w14:paraId="7ED99B38">
            <w:pPr>
              <w:pStyle w:val="33"/>
              <w:spacing w:line="360" w:lineRule="auto"/>
              <w:rPr>
                <w:rFonts w:hint="eastAsia" w:ascii="宋体" w:hAnsi="宋体" w:cs="宋体"/>
                <w:sz w:val="24"/>
              </w:rPr>
            </w:pPr>
          </w:p>
        </w:tc>
        <w:tc>
          <w:tcPr>
            <w:tcW w:w="1240" w:type="dxa"/>
          </w:tcPr>
          <w:p w14:paraId="52580675">
            <w:pPr>
              <w:pStyle w:val="33"/>
              <w:spacing w:line="360" w:lineRule="auto"/>
              <w:rPr>
                <w:rFonts w:hint="eastAsia" w:ascii="宋体" w:hAnsi="宋体" w:cs="宋体"/>
                <w:sz w:val="24"/>
              </w:rPr>
            </w:pPr>
          </w:p>
        </w:tc>
        <w:tc>
          <w:tcPr>
            <w:tcW w:w="1982" w:type="dxa"/>
          </w:tcPr>
          <w:p w14:paraId="4897904D">
            <w:pPr>
              <w:pStyle w:val="33"/>
              <w:spacing w:line="360" w:lineRule="auto"/>
              <w:rPr>
                <w:rFonts w:hint="eastAsia" w:ascii="宋体" w:hAnsi="宋体" w:cs="宋体"/>
                <w:sz w:val="24"/>
              </w:rPr>
            </w:pPr>
          </w:p>
        </w:tc>
        <w:tc>
          <w:tcPr>
            <w:tcW w:w="915" w:type="dxa"/>
          </w:tcPr>
          <w:p w14:paraId="2F7F039E">
            <w:pPr>
              <w:pStyle w:val="33"/>
              <w:spacing w:line="360" w:lineRule="auto"/>
              <w:rPr>
                <w:rFonts w:hint="eastAsia" w:ascii="宋体" w:hAnsi="宋体" w:cs="宋体"/>
                <w:sz w:val="24"/>
              </w:rPr>
            </w:pPr>
          </w:p>
        </w:tc>
      </w:tr>
      <w:tr w14:paraId="1122317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751D0150">
            <w:pPr>
              <w:pStyle w:val="33"/>
              <w:spacing w:line="360" w:lineRule="auto"/>
              <w:rPr>
                <w:rFonts w:hint="eastAsia" w:ascii="宋体" w:hAnsi="宋体" w:cs="宋体"/>
                <w:sz w:val="24"/>
              </w:rPr>
            </w:pPr>
          </w:p>
        </w:tc>
        <w:tc>
          <w:tcPr>
            <w:tcW w:w="1216" w:type="dxa"/>
          </w:tcPr>
          <w:p w14:paraId="0CB0E71A">
            <w:pPr>
              <w:pStyle w:val="33"/>
              <w:spacing w:line="360" w:lineRule="auto"/>
              <w:rPr>
                <w:rFonts w:hint="eastAsia" w:ascii="宋体" w:hAnsi="宋体" w:cs="宋体"/>
                <w:sz w:val="24"/>
              </w:rPr>
            </w:pPr>
          </w:p>
        </w:tc>
        <w:tc>
          <w:tcPr>
            <w:tcW w:w="1845" w:type="dxa"/>
          </w:tcPr>
          <w:p w14:paraId="1B0F91C7">
            <w:pPr>
              <w:pStyle w:val="33"/>
              <w:spacing w:line="360" w:lineRule="auto"/>
              <w:rPr>
                <w:rFonts w:hint="eastAsia" w:ascii="宋体" w:hAnsi="宋体" w:cs="宋体"/>
                <w:sz w:val="24"/>
              </w:rPr>
            </w:pPr>
          </w:p>
        </w:tc>
        <w:tc>
          <w:tcPr>
            <w:tcW w:w="795" w:type="dxa"/>
          </w:tcPr>
          <w:p w14:paraId="52BAD81F">
            <w:pPr>
              <w:pStyle w:val="33"/>
              <w:spacing w:line="360" w:lineRule="auto"/>
              <w:rPr>
                <w:rFonts w:hint="eastAsia" w:ascii="宋体" w:hAnsi="宋体" w:cs="宋体"/>
                <w:sz w:val="24"/>
              </w:rPr>
            </w:pPr>
          </w:p>
        </w:tc>
        <w:tc>
          <w:tcPr>
            <w:tcW w:w="1240" w:type="dxa"/>
          </w:tcPr>
          <w:p w14:paraId="66307942">
            <w:pPr>
              <w:pStyle w:val="33"/>
              <w:spacing w:line="360" w:lineRule="auto"/>
              <w:rPr>
                <w:rFonts w:hint="eastAsia" w:ascii="宋体" w:hAnsi="宋体" w:cs="宋体"/>
                <w:sz w:val="24"/>
              </w:rPr>
            </w:pPr>
          </w:p>
        </w:tc>
        <w:tc>
          <w:tcPr>
            <w:tcW w:w="1982" w:type="dxa"/>
          </w:tcPr>
          <w:p w14:paraId="77843D58">
            <w:pPr>
              <w:pStyle w:val="33"/>
              <w:spacing w:line="360" w:lineRule="auto"/>
              <w:rPr>
                <w:rFonts w:hint="eastAsia" w:ascii="宋体" w:hAnsi="宋体" w:cs="宋体"/>
                <w:sz w:val="24"/>
              </w:rPr>
            </w:pPr>
          </w:p>
        </w:tc>
        <w:tc>
          <w:tcPr>
            <w:tcW w:w="915" w:type="dxa"/>
          </w:tcPr>
          <w:p w14:paraId="7C5FD15A">
            <w:pPr>
              <w:pStyle w:val="33"/>
              <w:spacing w:line="360" w:lineRule="auto"/>
              <w:rPr>
                <w:rFonts w:hint="eastAsia" w:ascii="宋体" w:hAnsi="宋体" w:cs="宋体"/>
                <w:sz w:val="24"/>
              </w:rPr>
            </w:pPr>
          </w:p>
        </w:tc>
      </w:tr>
    </w:tbl>
    <w:p w14:paraId="611979D0">
      <w:pPr>
        <w:pStyle w:val="33"/>
        <w:tabs>
          <w:tab w:val="left" w:pos="1050"/>
          <w:tab w:val="left" w:pos="1838"/>
        </w:tabs>
        <w:spacing w:line="360" w:lineRule="auto"/>
        <w:rPr>
          <w:rFonts w:hint="eastAsia" w:ascii="宋体" w:hAnsi="宋体" w:cs="宋体"/>
          <w:szCs w:val="21"/>
        </w:rPr>
      </w:pPr>
      <w:r>
        <w:rPr>
          <w:rFonts w:hint="eastAsia" w:ascii="宋体" w:hAnsi="宋体" w:cs="宋体"/>
          <w:szCs w:val="21"/>
        </w:rPr>
        <w:t>注：</w:t>
      </w:r>
    </w:p>
    <w:p w14:paraId="4A48CC5A">
      <w:pPr>
        <w:pStyle w:val="33"/>
        <w:tabs>
          <w:tab w:val="left" w:pos="1050"/>
          <w:tab w:val="left" w:pos="1838"/>
        </w:tabs>
        <w:spacing w:line="360" w:lineRule="auto"/>
        <w:ind w:firstLine="388" w:firstLineChars="200"/>
        <w:rPr>
          <w:rFonts w:hint="eastAsia" w:ascii="宋体" w:hAnsi="宋体" w:cs="宋体"/>
          <w:kern w:val="0"/>
          <w:szCs w:val="21"/>
        </w:rPr>
      </w:pPr>
      <w:r>
        <w:rPr>
          <w:rFonts w:hint="eastAsia" w:ascii="宋体" w:hAnsi="宋体" w:cs="宋体"/>
          <w:szCs w:val="21"/>
        </w:rPr>
        <w:t>供应商应在本表后按照招标文件要求提供相关证明材料，合同可只提供首页、含金额页、盖章页。</w:t>
      </w:r>
    </w:p>
    <w:p w14:paraId="769FB0B1">
      <w:pPr>
        <w:pStyle w:val="2"/>
        <w:spacing w:line="360" w:lineRule="auto"/>
        <w:rPr>
          <w:rFonts w:hint="eastAsia" w:ascii="宋体" w:hAnsi="宋体" w:cs="宋体"/>
          <w:b w:val="0"/>
          <w:bCs w:val="0"/>
          <w:kern w:val="0"/>
          <w:sz w:val="30"/>
          <w:szCs w:val="30"/>
        </w:rPr>
      </w:pPr>
    </w:p>
    <w:p w14:paraId="5B773E78">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07CE04CE">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4966F71E">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0C1CA6D2">
      <w:pPr>
        <w:adjustRightInd w:val="0"/>
        <w:snapToGrid w:val="0"/>
        <w:spacing w:line="360" w:lineRule="auto"/>
        <w:ind w:firstLine="2016" w:firstLineChars="900"/>
        <w:outlineLvl w:val="0"/>
        <w:rPr>
          <w:rFonts w:hint="eastAsia" w:ascii="宋体" w:hAnsi="宋体" w:cs="宋体"/>
          <w:sz w:val="24"/>
        </w:rPr>
      </w:pPr>
      <w:r>
        <w:rPr>
          <w:rFonts w:hint="eastAsia" w:ascii="宋体" w:hAnsi="宋体" w:cs="宋体"/>
          <w:sz w:val="24"/>
        </w:rPr>
        <w:t xml:space="preserve">                 </w:t>
      </w:r>
    </w:p>
    <w:p w14:paraId="7C7F8DFC">
      <w:pPr>
        <w:autoSpaceDE w:val="0"/>
        <w:autoSpaceDN w:val="0"/>
        <w:adjustRightInd w:val="0"/>
        <w:spacing w:before="156" w:beforeLines="50" w:after="156" w:afterLines="50" w:line="360" w:lineRule="auto"/>
        <w:rPr>
          <w:rFonts w:hint="eastAsia" w:ascii="宋体" w:hAnsi="宋体" w:cs="宋体"/>
          <w:kern w:val="0"/>
          <w:szCs w:val="21"/>
        </w:rPr>
      </w:pPr>
      <w:r>
        <w:rPr>
          <w:rFonts w:hint="eastAsia" w:ascii="宋体" w:hAnsi="宋体" w:cs="宋体"/>
          <w:sz w:val="24"/>
        </w:rPr>
        <w:t xml:space="preserve">    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17C4C9D5">
      <w:pPr>
        <w:spacing w:line="360" w:lineRule="auto"/>
        <w:rPr>
          <w:rFonts w:hint="eastAsia" w:ascii="宋体" w:hAnsi="宋体" w:cs="宋体"/>
        </w:rPr>
      </w:pPr>
    </w:p>
    <w:p w14:paraId="21EB8A34">
      <w:pPr>
        <w:pStyle w:val="2"/>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六、商务评审类证书一览表</w:t>
      </w:r>
    </w:p>
    <w:p w14:paraId="264C5A63">
      <w:pPr>
        <w:autoSpaceDE w:val="0"/>
        <w:autoSpaceDN w:val="0"/>
        <w:adjustRightInd w:val="0"/>
        <w:spacing w:before="156" w:beforeLines="50" w:after="156" w:afterLines="50" w:line="360" w:lineRule="auto"/>
        <w:jc w:val="center"/>
        <w:rPr>
          <w:rFonts w:hint="eastAsia" w:ascii="宋体" w:hAnsi="宋体" w:cs="宋体"/>
          <w:kern w:val="0"/>
          <w:sz w:val="24"/>
        </w:rPr>
      </w:pPr>
      <w:r>
        <w:rPr>
          <w:rFonts w:hint="eastAsia" w:ascii="宋体" w:hAnsi="宋体" w:cs="宋体"/>
          <w:kern w:val="0"/>
          <w:sz w:val="24"/>
        </w:rPr>
        <w:t>（如果有，提供）</w:t>
      </w:r>
    </w:p>
    <w:p w14:paraId="25687DB7">
      <w:pPr>
        <w:pStyle w:val="34"/>
        <w:spacing w:line="360" w:lineRule="auto"/>
        <w:rPr>
          <w:rFonts w:hint="eastAsia" w:ascii="宋体" w:hAnsi="宋体" w:cs="宋体"/>
        </w:rPr>
      </w:pPr>
    </w:p>
    <w:tbl>
      <w:tblPr>
        <w:tblStyle w:val="15"/>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932"/>
        <w:gridCol w:w="2335"/>
        <w:gridCol w:w="2337"/>
        <w:gridCol w:w="1795"/>
      </w:tblGrid>
      <w:tr w14:paraId="446A443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trHeight w:val="567" w:hRule="atLeast"/>
        </w:trPr>
        <w:tc>
          <w:tcPr>
            <w:tcW w:w="1932" w:type="dxa"/>
            <w:vAlign w:val="center"/>
          </w:tcPr>
          <w:p w14:paraId="745E6995">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证书名称</w:t>
            </w:r>
          </w:p>
        </w:tc>
        <w:tc>
          <w:tcPr>
            <w:tcW w:w="2335" w:type="dxa"/>
            <w:vAlign w:val="center"/>
          </w:tcPr>
          <w:p w14:paraId="033D948B">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发证单位</w:t>
            </w:r>
          </w:p>
        </w:tc>
        <w:tc>
          <w:tcPr>
            <w:tcW w:w="2337" w:type="dxa"/>
            <w:vAlign w:val="center"/>
          </w:tcPr>
          <w:p w14:paraId="599276E8">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证书等级</w:t>
            </w:r>
          </w:p>
        </w:tc>
        <w:tc>
          <w:tcPr>
            <w:tcW w:w="1795" w:type="dxa"/>
            <w:vAlign w:val="center"/>
          </w:tcPr>
          <w:p w14:paraId="5DD50510">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证书有效期</w:t>
            </w:r>
          </w:p>
        </w:tc>
      </w:tr>
      <w:tr w14:paraId="29EBD80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2490E3D5">
            <w:pPr>
              <w:pStyle w:val="34"/>
              <w:spacing w:line="360" w:lineRule="auto"/>
              <w:jc w:val="center"/>
              <w:rPr>
                <w:rFonts w:hint="eastAsia" w:ascii="宋体" w:hAnsi="宋体" w:cs="宋体"/>
                <w:sz w:val="24"/>
                <w:szCs w:val="24"/>
              </w:rPr>
            </w:pPr>
          </w:p>
        </w:tc>
        <w:tc>
          <w:tcPr>
            <w:tcW w:w="2335" w:type="dxa"/>
            <w:vAlign w:val="center"/>
          </w:tcPr>
          <w:p w14:paraId="2E02BE5D">
            <w:pPr>
              <w:pStyle w:val="34"/>
              <w:spacing w:line="360" w:lineRule="auto"/>
              <w:jc w:val="center"/>
              <w:rPr>
                <w:rFonts w:hint="eastAsia" w:ascii="宋体" w:hAnsi="宋体" w:cs="宋体"/>
                <w:sz w:val="24"/>
                <w:szCs w:val="24"/>
              </w:rPr>
            </w:pPr>
          </w:p>
        </w:tc>
        <w:tc>
          <w:tcPr>
            <w:tcW w:w="2337" w:type="dxa"/>
            <w:vAlign w:val="center"/>
          </w:tcPr>
          <w:p w14:paraId="00F6D7C4">
            <w:pPr>
              <w:pStyle w:val="34"/>
              <w:spacing w:line="360" w:lineRule="auto"/>
              <w:jc w:val="center"/>
              <w:rPr>
                <w:rFonts w:hint="eastAsia" w:ascii="宋体" w:hAnsi="宋体" w:cs="宋体"/>
                <w:sz w:val="24"/>
                <w:szCs w:val="24"/>
              </w:rPr>
            </w:pPr>
          </w:p>
        </w:tc>
        <w:tc>
          <w:tcPr>
            <w:tcW w:w="1795" w:type="dxa"/>
            <w:vAlign w:val="center"/>
          </w:tcPr>
          <w:p w14:paraId="27FF01FF">
            <w:pPr>
              <w:pStyle w:val="34"/>
              <w:spacing w:line="360" w:lineRule="auto"/>
              <w:jc w:val="center"/>
              <w:rPr>
                <w:rFonts w:hint="eastAsia" w:ascii="宋体" w:hAnsi="宋体" w:cs="宋体"/>
                <w:sz w:val="24"/>
                <w:szCs w:val="24"/>
              </w:rPr>
            </w:pPr>
          </w:p>
        </w:tc>
      </w:tr>
      <w:tr w14:paraId="2A640FE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23BBFD6F">
            <w:pPr>
              <w:pStyle w:val="34"/>
              <w:spacing w:line="360" w:lineRule="auto"/>
              <w:jc w:val="center"/>
              <w:rPr>
                <w:rFonts w:hint="eastAsia" w:ascii="宋体" w:hAnsi="宋体" w:cs="宋体"/>
                <w:sz w:val="24"/>
                <w:szCs w:val="24"/>
              </w:rPr>
            </w:pPr>
          </w:p>
        </w:tc>
        <w:tc>
          <w:tcPr>
            <w:tcW w:w="2335" w:type="dxa"/>
            <w:vAlign w:val="center"/>
          </w:tcPr>
          <w:p w14:paraId="4B901A30">
            <w:pPr>
              <w:pStyle w:val="34"/>
              <w:spacing w:line="360" w:lineRule="auto"/>
              <w:jc w:val="center"/>
              <w:rPr>
                <w:rFonts w:hint="eastAsia" w:ascii="宋体" w:hAnsi="宋体" w:cs="宋体"/>
                <w:sz w:val="24"/>
                <w:szCs w:val="24"/>
              </w:rPr>
            </w:pPr>
          </w:p>
        </w:tc>
        <w:tc>
          <w:tcPr>
            <w:tcW w:w="2337" w:type="dxa"/>
            <w:vAlign w:val="center"/>
          </w:tcPr>
          <w:p w14:paraId="7F88D070">
            <w:pPr>
              <w:pStyle w:val="34"/>
              <w:spacing w:line="360" w:lineRule="auto"/>
              <w:jc w:val="center"/>
              <w:rPr>
                <w:rFonts w:hint="eastAsia" w:ascii="宋体" w:hAnsi="宋体" w:cs="宋体"/>
                <w:sz w:val="24"/>
                <w:szCs w:val="24"/>
              </w:rPr>
            </w:pPr>
          </w:p>
        </w:tc>
        <w:tc>
          <w:tcPr>
            <w:tcW w:w="1795" w:type="dxa"/>
            <w:vAlign w:val="center"/>
          </w:tcPr>
          <w:p w14:paraId="74405C80">
            <w:pPr>
              <w:pStyle w:val="34"/>
              <w:spacing w:line="360" w:lineRule="auto"/>
              <w:jc w:val="center"/>
              <w:rPr>
                <w:rFonts w:hint="eastAsia" w:ascii="宋体" w:hAnsi="宋体" w:cs="宋体"/>
                <w:sz w:val="24"/>
                <w:szCs w:val="24"/>
              </w:rPr>
            </w:pPr>
          </w:p>
        </w:tc>
      </w:tr>
      <w:tr w14:paraId="1AA4F5C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1EA9E6E1">
            <w:pPr>
              <w:pStyle w:val="34"/>
              <w:spacing w:line="360" w:lineRule="auto"/>
              <w:jc w:val="center"/>
              <w:rPr>
                <w:rFonts w:hint="eastAsia" w:ascii="宋体" w:hAnsi="宋体" w:cs="宋体"/>
                <w:sz w:val="24"/>
                <w:szCs w:val="24"/>
              </w:rPr>
            </w:pPr>
          </w:p>
        </w:tc>
        <w:tc>
          <w:tcPr>
            <w:tcW w:w="2335" w:type="dxa"/>
            <w:vAlign w:val="center"/>
          </w:tcPr>
          <w:p w14:paraId="6BC629A9">
            <w:pPr>
              <w:pStyle w:val="34"/>
              <w:spacing w:line="360" w:lineRule="auto"/>
              <w:jc w:val="center"/>
              <w:rPr>
                <w:rFonts w:hint="eastAsia" w:ascii="宋体" w:hAnsi="宋体" w:cs="宋体"/>
                <w:sz w:val="24"/>
                <w:szCs w:val="24"/>
              </w:rPr>
            </w:pPr>
          </w:p>
        </w:tc>
        <w:tc>
          <w:tcPr>
            <w:tcW w:w="2337" w:type="dxa"/>
            <w:vAlign w:val="center"/>
          </w:tcPr>
          <w:p w14:paraId="178620FB">
            <w:pPr>
              <w:pStyle w:val="34"/>
              <w:spacing w:line="360" w:lineRule="auto"/>
              <w:jc w:val="center"/>
              <w:rPr>
                <w:rFonts w:hint="eastAsia" w:ascii="宋体" w:hAnsi="宋体" w:cs="宋体"/>
                <w:sz w:val="24"/>
                <w:szCs w:val="24"/>
              </w:rPr>
            </w:pPr>
          </w:p>
        </w:tc>
        <w:tc>
          <w:tcPr>
            <w:tcW w:w="1795" w:type="dxa"/>
            <w:vAlign w:val="center"/>
          </w:tcPr>
          <w:p w14:paraId="5007534C">
            <w:pPr>
              <w:pStyle w:val="34"/>
              <w:spacing w:line="360" w:lineRule="auto"/>
              <w:jc w:val="center"/>
              <w:rPr>
                <w:rFonts w:hint="eastAsia" w:ascii="宋体" w:hAnsi="宋体" w:cs="宋体"/>
                <w:sz w:val="24"/>
                <w:szCs w:val="24"/>
              </w:rPr>
            </w:pPr>
          </w:p>
        </w:tc>
      </w:tr>
      <w:tr w14:paraId="5E6FFA9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11E7BCD9">
            <w:pPr>
              <w:pStyle w:val="34"/>
              <w:spacing w:line="360" w:lineRule="auto"/>
              <w:jc w:val="center"/>
              <w:rPr>
                <w:rFonts w:hint="eastAsia" w:ascii="宋体" w:hAnsi="宋体" w:cs="宋体"/>
                <w:sz w:val="24"/>
                <w:szCs w:val="24"/>
              </w:rPr>
            </w:pPr>
          </w:p>
        </w:tc>
        <w:tc>
          <w:tcPr>
            <w:tcW w:w="2335" w:type="dxa"/>
            <w:vAlign w:val="center"/>
          </w:tcPr>
          <w:p w14:paraId="483033F3">
            <w:pPr>
              <w:pStyle w:val="34"/>
              <w:spacing w:line="360" w:lineRule="auto"/>
              <w:jc w:val="center"/>
              <w:rPr>
                <w:rFonts w:hint="eastAsia" w:ascii="宋体" w:hAnsi="宋体" w:cs="宋体"/>
                <w:sz w:val="24"/>
                <w:szCs w:val="24"/>
              </w:rPr>
            </w:pPr>
          </w:p>
        </w:tc>
        <w:tc>
          <w:tcPr>
            <w:tcW w:w="2337" w:type="dxa"/>
            <w:vAlign w:val="center"/>
          </w:tcPr>
          <w:p w14:paraId="0622AC0C">
            <w:pPr>
              <w:pStyle w:val="34"/>
              <w:spacing w:line="360" w:lineRule="auto"/>
              <w:jc w:val="center"/>
              <w:rPr>
                <w:rFonts w:hint="eastAsia" w:ascii="宋体" w:hAnsi="宋体" w:cs="宋体"/>
                <w:sz w:val="24"/>
                <w:szCs w:val="24"/>
              </w:rPr>
            </w:pPr>
          </w:p>
        </w:tc>
        <w:tc>
          <w:tcPr>
            <w:tcW w:w="1795" w:type="dxa"/>
            <w:vAlign w:val="center"/>
          </w:tcPr>
          <w:p w14:paraId="722F492A">
            <w:pPr>
              <w:pStyle w:val="34"/>
              <w:spacing w:line="360" w:lineRule="auto"/>
              <w:jc w:val="center"/>
              <w:rPr>
                <w:rFonts w:hint="eastAsia" w:ascii="宋体" w:hAnsi="宋体" w:cs="宋体"/>
                <w:sz w:val="24"/>
                <w:szCs w:val="24"/>
              </w:rPr>
            </w:pPr>
          </w:p>
        </w:tc>
      </w:tr>
      <w:tr w14:paraId="562BECD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7F9DC646">
            <w:pPr>
              <w:pStyle w:val="34"/>
              <w:spacing w:line="360" w:lineRule="auto"/>
              <w:jc w:val="center"/>
              <w:rPr>
                <w:rFonts w:hint="eastAsia" w:ascii="宋体" w:hAnsi="宋体" w:cs="宋体"/>
                <w:sz w:val="24"/>
                <w:szCs w:val="24"/>
              </w:rPr>
            </w:pPr>
          </w:p>
        </w:tc>
        <w:tc>
          <w:tcPr>
            <w:tcW w:w="2335" w:type="dxa"/>
            <w:vAlign w:val="center"/>
          </w:tcPr>
          <w:p w14:paraId="58FB18BD">
            <w:pPr>
              <w:pStyle w:val="34"/>
              <w:spacing w:line="360" w:lineRule="auto"/>
              <w:jc w:val="center"/>
              <w:rPr>
                <w:rFonts w:hint="eastAsia" w:ascii="宋体" w:hAnsi="宋体" w:cs="宋体"/>
                <w:sz w:val="24"/>
                <w:szCs w:val="24"/>
              </w:rPr>
            </w:pPr>
          </w:p>
        </w:tc>
        <w:tc>
          <w:tcPr>
            <w:tcW w:w="2337" w:type="dxa"/>
            <w:vAlign w:val="center"/>
          </w:tcPr>
          <w:p w14:paraId="38DB3350">
            <w:pPr>
              <w:pStyle w:val="34"/>
              <w:spacing w:line="360" w:lineRule="auto"/>
              <w:jc w:val="center"/>
              <w:rPr>
                <w:rFonts w:hint="eastAsia" w:ascii="宋体" w:hAnsi="宋体" w:cs="宋体"/>
                <w:sz w:val="24"/>
                <w:szCs w:val="24"/>
              </w:rPr>
            </w:pPr>
          </w:p>
        </w:tc>
        <w:tc>
          <w:tcPr>
            <w:tcW w:w="1795" w:type="dxa"/>
            <w:vAlign w:val="center"/>
          </w:tcPr>
          <w:p w14:paraId="1A4B3CD6">
            <w:pPr>
              <w:pStyle w:val="34"/>
              <w:spacing w:line="360" w:lineRule="auto"/>
              <w:jc w:val="center"/>
              <w:rPr>
                <w:rFonts w:hint="eastAsia" w:ascii="宋体" w:hAnsi="宋体" w:cs="宋体"/>
                <w:sz w:val="24"/>
                <w:szCs w:val="24"/>
              </w:rPr>
            </w:pPr>
          </w:p>
        </w:tc>
      </w:tr>
      <w:tr w14:paraId="4A7B922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277942A4">
            <w:pPr>
              <w:pStyle w:val="34"/>
              <w:spacing w:line="360" w:lineRule="auto"/>
              <w:jc w:val="center"/>
              <w:rPr>
                <w:rFonts w:hint="eastAsia" w:ascii="宋体" w:hAnsi="宋体" w:cs="宋体"/>
                <w:sz w:val="24"/>
                <w:szCs w:val="24"/>
              </w:rPr>
            </w:pPr>
          </w:p>
        </w:tc>
        <w:tc>
          <w:tcPr>
            <w:tcW w:w="2335" w:type="dxa"/>
            <w:vAlign w:val="center"/>
          </w:tcPr>
          <w:p w14:paraId="70A00E25">
            <w:pPr>
              <w:pStyle w:val="34"/>
              <w:spacing w:line="360" w:lineRule="auto"/>
              <w:jc w:val="center"/>
              <w:rPr>
                <w:rFonts w:hint="eastAsia" w:ascii="宋体" w:hAnsi="宋体" w:cs="宋体"/>
                <w:sz w:val="24"/>
                <w:szCs w:val="24"/>
              </w:rPr>
            </w:pPr>
          </w:p>
        </w:tc>
        <w:tc>
          <w:tcPr>
            <w:tcW w:w="2337" w:type="dxa"/>
            <w:vAlign w:val="center"/>
          </w:tcPr>
          <w:p w14:paraId="65C057B9">
            <w:pPr>
              <w:pStyle w:val="34"/>
              <w:spacing w:line="360" w:lineRule="auto"/>
              <w:jc w:val="center"/>
              <w:rPr>
                <w:rFonts w:hint="eastAsia" w:ascii="宋体" w:hAnsi="宋体" w:cs="宋体"/>
                <w:sz w:val="24"/>
                <w:szCs w:val="24"/>
              </w:rPr>
            </w:pPr>
          </w:p>
        </w:tc>
        <w:tc>
          <w:tcPr>
            <w:tcW w:w="1795" w:type="dxa"/>
            <w:vAlign w:val="center"/>
          </w:tcPr>
          <w:p w14:paraId="033C6B6E">
            <w:pPr>
              <w:pStyle w:val="34"/>
              <w:spacing w:line="360" w:lineRule="auto"/>
              <w:jc w:val="center"/>
              <w:rPr>
                <w:rFonts w:hint="eastAsia" w:ascii="宋体" w:hAnsi="宋体" w:cs="宋体"/>
                <w:sz w:val="24"/>
                <w:szCs w:val="24"/>
              </w:rPr>
            </w:pPr>
          </w:p>
        </w:tc>
      </w:tr>
      <w:tr w14:paraId="2A0897D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68D5EBA1">
            <w:pPr>
              <w:pStyle w:val="34"/>
              <w:spacing w:line="360" w:lineRule="auto"/>
              <w:jc w:val="center"/>
              <w:rPr>
                <w:rFonts w:hint="eastAsia" w:ascii="宋体" w:hAnsi="宋体" w:cs="宋体"/>
                <w:sz w:val="24"/>
                <w:szCs w:val="24"/>
              </w:rPr>
            </w:pPr>
          </w:p>
        </w:tc>
        <w:tc>
          <w:tcPr>
            <w:tcW w:w="2335" w:type="dxa"/>
            <w:vAlign w:val="center"/>
          </w:tcPr>
          <w:p w14:paraId="54179A78">
            <w:pPr>
              <w:pStyle w:val="34"/>
              <w:spacing w:line="360" w:lineRule="auto"/>
              <w:jc w:val="center"/>
              <w:rPr>
                <w:rFonts w:hint="eastAsia" w:ascii="宋体" w:hAnsi="宋体" w:cs="宋体"/>
                <w:sz w:val="24"/>
                <w:szCs w:val="24"/>
              </w:rPr>
            </w:pPr>
          </w:p>
        </w:tc>
        <w:tc>
          <w:tcPr>
            <w:tcW w:w="2337" w:type="dxa"/>
            <w:vAlign w:val="center"/>
          </w:tcPr>
          <w:p w14:paraId="0D7E85A5">
            <w:pPr>
              <w:pStyle w:val="34"/>
              <w:spacing w:line="360" w:lineRule="auto"/>
              <w:jc w:val="center"/>
              <w:rPr>
                <w:rFonts w:hint="eastAsia" w:ascii="宋体" w:hAnsi="宋体" w:cs="宋体"/>
                <w:sz w:val="24"/>
                <w:szCs w:val="24"/>
              </w:rPr>
            </w:pPr>
          </w:p>
        </w:tc>
        <w:tc>
          <w:tcPr>
            <w:tcW w:w="1795" w:type="dxa"/>
            <w:vAlign w:val="center"/>
          </w:tcPr>
          <w:p w14:paraId="04FC6FB2">
            <w:pPr>
              <w:pStyle w:val="34"/>
              <w:spacing w:line="360" w:lineRule="auto"/>
              <w:jc w:val="center"/>
              <w:rPr>
                <w:rFonts w:hint="eastAsia" w:ascii="宋体" w:hAnsi="宋体" w:cs="宋体"/>
                <w:sz w:val="24"/>
                <w:szCs w:val="24"/>
              </w:rPr>
            </w:pPr>
          </w:p>
        </w:tc>
      </w:tr>
      <w:tr w14:paraId="0C9ABD5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616DC45E">
            <w:pPr>
              <w:pStyle w:val="34"/>
              <w:spacing w:line="360" w:lineRule="auto"/>
              <w:jc w:val="center"/>
              <w:rPr>
                <w:rFonts w:hint="eastAsia" w:ascii="宋体" w:hAnsi="宋体" w:cs="宋体"/>
                <w:sz w:val="24"/>
                <w:szCs w:val="24"/>
              </w:rPr>
            </w:pPr>
          </w:p>
        </w:tc>
        <w:tc>
          <w:tcPr>
            <w:tcW w:w="2335" w:type="dxa"/>
            <w:vAlign w:val="center"/>
          </w:tcPr>
          <w:p w14:paraId="5A1B847B">
            <w:pPr>
              <w:pStyle w:val="34"/>
              <w:spacing w:line="360" w:lineRule="auto"/>
              <w:jc w:val="center"/>
              <w:rPr>
                <w:rFonts w:hint="eastAsia" w:ascii="宋体" w:hAnsi="宋体" w:cs="宋体"/>
                <w:sz w:val="24"/>
                <w:szCs w:val="24"/>
              </w:rPr>
            </w:pPr>
          </w:p>
        </w:tc>
        <w:tc>
          <w:tcPr>
            <w:tcW w:w="2337" w:type="dxa"/>
            <w:vAlign w:val="center"/>
          </w:tcPr>
          <w:p w14:paraId="292E4D2A">
            <w:pPr>
              <w:pStyle w:val="34"/>
              <w:spacing w:line="360" w:lineRule="auto"/>
              <w:jc w:val="center"/>
              <w:rPr>
                <w:rFonts w:hint="eastAsia" w:ascii="宋体" w:hAnsi="宋体" w:cs="宋体"/>
                <w:sz w:val="24"/>
                <w:szCs w:val="24"/>
              </w:rPr>
            </w:pPr>
          </w:p>
        </w:tc>
        <w:tc>
          <w:tcPr>
            <w:tcW w:w="1795" w:type="dxa"/>
            <w:vAlign w:val="center"/>
          </w:tcPr>
          <w:p w14:paraId="092BD1BB">
            <w:pPr>
              <w:pStyle w:val="34"/>
              <w:spacing w:line="360" w:lineRule="auto"/>
              <w:jc w:val="center"/>
              <w:rPr>
                <w:rFonts w:hint="eastAsia" w:ascii="宋体" w:hAnsi="宋体" w:cs="宋体"/>
                <w:sz w:val="24"/>
                <w:szCs w:val="24"/>
              </w:rPr>
            </w:pPr>
          </w:p>
        </w:tc>
      </w:tr>
      <w:tr w14:paraId="7CD6E35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1A3BC129">
            <w:pPr>
              <w:pStyle w:val="34"/>
              <w:spacing w:line="360" w:lineRule="auto"/>
              <w:jc w:val="center"/>
              <w:rPr>
                <w:rFonts w:hint="eastAsia" w:ascii="宋体" w:hAnsi="宋体" w:cs="宋体"/>
                <w:sz w:val="24"/>
                <w:szCs w:val="24"/>
              </w:rPr>
            </w:pPr>
          </w:p>
        </w:tc>
        <w:tc>
          <w:tcPr>
            <w:tcW w:w="2335" w:type="dxa"/>
            <w:vAlign w:val="center"/>
          </w:tcPr>
          <w:p w14:paraId="35CF21B1">
            <w:pPr>
              <w:pStyle w:val="34"/>
              <w:spacing w:line="360" w:lineRule="auto"/>
              <w:jc w:val="center"/>
              <w:rPr>
                <w:rFonts w:hint="eastAsia" w:ascii="宋体" w:hAnsi="宋体" w:cs="宋体"/>
                <w:sz w:val="24"/>
                <w:szCs w:val="24"/>
              </w:rPr>
            </w:pPr>
          </w:p>
        </w:tc>
        <w:tc>
          <w:tcPr>
            <w:tcW w:w="2337" w:type="dxa"/>
            <w:vAlign w:val="center"/>
          </w:tcPr>
          <w:p w14:paraId="47E6847A">
            <w:pPr>
              <w:pStyle w:val="34"/>
              <w:spacing w:line="360" w:lineRule="auto"/>
              <w:jc w:val="center"/>
              <w:rPr>
                <w:rFonts w:hint="eastAsia" w:ascii="宋体" w:hAnsi="宋体" w:cs="宋体"/>
                <w:sz w:val="24"/>
                <w:szCs w:val="24"/>
              </w:rPr>
            </w:pPr>
          </w:p>
        </w:tc>
        <w:tc>
          <w:tcPr>
            <w:tcW w:w="1795" w:type="dxa"/>
            <w:vAlign w:val="center"/>
          </w:tcPr>
          <w:p w14:paraId="6DD79E33">
            <w:pPr>
              <w:pStyle w:val="34"/>
              <w:spacing w:line="360" w:lineRule="auto"/>
              <w:jc w:val="center"/>
              <w:rPr>
                <w:rFonts w:hint="eastAsia" w:ascii="宋体" w:hAnsi="宋体" w:cs="宋体"/>
                <w:sz w:val="24"/>
                <w:szCs w:val="24"/>
              </w:rPr>
            </w:pPr>
          </w:p>
        </w:tc>
      </w:tr>
      <w:tr w14:paraId="4656DDE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2577D66F">
            <w:pPr>
              <w:pStyle w:val="34"/>
              <w:spacing w:line="360" w:lineRule="auto"/>
              <w:jc w:val="center"/>
              <w:rPr>
                <w:rFonts w:hint="eastAsia" w:ascii="宋体" w:hAnsi="宋体" w:cs="宋体"/>
                <w:sz w:val="24"/>
                <w:szCs w:val="24"/>
              </w:rPr>
            </w:pPr>
          </w:p>
        </w:tc>
        <w:tc>
          <w:tcPr>
            <w:tcW w:w="2335" w:type="dxa"/>
            <w:vAlign w:val="center"/>
          </w:tcPr>
          <w:p w14:paraId="0970AF62">
            <w:pPr>
              <w:pStyle w:val="34"/>
              <w:spacing w:line="360" w:lineRule="auto"/>
              <w:jc w:val="center"/>
              <w:rPr>
                <w:rFonts w:hint="eastAsia" w:ascii="宋体" w:hAnsi="宋体" w:cs="宋体"/>
                <w:sz w:val="24"/>
                <w:szCs w:val="24"/>
              </w:rPr>
            </w:pPr>
          </w:p>
        </w:tc>
        <w:tc>
          <w:tcPr>
            <w:tcW w:w="2337" w:type="dxa"/>
            <w:vAlign w:val="center"/>
          </w:tcPr>
          <w:p w14:paraId="52853AD1">
            <w:pPr>
              <w:pStyle w:val="34"/>
              <w:spacing w:line="360" w:lineRule="auto"/>
              <w:jc w:val="center"/>
              <w:rPr>
                <w:rFonts w:hint="eastAsia" w:ascii="宋体" w:hAnsi="宋体" w:cs="宋体"/>
                <w:sz w:val="24"/>
                <w:szCs w:val="24"/>
              </w:rPr>
            </w:pPr>
          </w:p>
        </w:tc>
        <w:tc>
          <w:tcPr>
            <w:tcW w:w="1795" w:type="dxa"/>
            <w:vAlign w:val="center"/>
          </w:tcPr>
          <w:p w14:paraId="7D2CDD0A">
            <w:pPr>
              <w:pStyle w:val="34"/>
              <w:spacing w:line="360" w:lineRule="auto"/>
              <w:jc w:val="center"/>
              <w:rPr>
                <w:rFonts w:hint="eastAsia" w:ascii="宋体" w:hAnsi="宋体" w:cs="宋体"/>
                <w:sz w:val="24"/>
                <w:szCs w:val="24"/>
              </w:rPr>
            </w:pPr>
          </w:p>
        </w:tc>
      </w:tr>
      <w:tr w14:paraId="5AE1251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654965B1">
            <w:pPr>
              <w:pStyle w:val="34"/>
              <w:spacing w:line="360" w:lineRule="auto"/>
              <w:jc w:val="center"/>
              <w:rPr>
                <w:rFonts w:hint="eastAsia" w:ascii="宋体" w:hAnsi="宋体" w:cs="宋体"/>
                <w:sz w:val="24"/>
                <w:szCs w:val="24"/>
              </w:rPr>
            </w:pPr>
          </w:p>
        </w:tc>
        <w:tc>
          <w:tcPr>
            <w:tcW w:w="2335" w:type="dxa"/>
            <w:vAlign w:val="center"/>
          </w:tcPr>
          <w:p w14:paraId="2995411B">
            <w:pPr>
              <w:pStyle w:val="34"/>
              <w:spacing w:line="360" w:lineRule="auto"/>
              <w:jc w:val="center"/>
              <w:rPr>
                <w:rFonts w:hint="eastAsia" w:ascii="宋体" w:hAnsi="宋体" w:cs="宋体"/>
                <w:sz w:val="24"/>
                <w:szCs w:val="24"/>
              </w:rPr>
            </w:pPr>
          </w:p>
        </w:tc>
        <w:tc>
          <w:tcPr>
            <w:tcW w:w="2337" w:type="dxa"/>
            <w:vAlign w:val="center"/>
          </w:tcPr>
          <w:p w14:paraId="0B7ADAC6">
            <w:pPr>
              <w:pStyle w:val="34"/>
              <w:spacing w:line="360" w:lineRule="auto"/>
              <w:jc w:val="center"/>
              <w:rPr>
                <w:rFonts w:hint="eastAsia" w:ascii="宋体" w:hAnsi="宋体" w:cs="宋体"/>
                <w:sz w:val="24"/>
                <w:szCs w:val="24"/>
              </w:rPr>
            </w:pPr>
          </w:p>
        </w:tc>
        <w:tc>
          <w:tcPr>
            <w:tcW w:w="1795" w:type="dxa"/>
            <w:vAlign w:val="center"/>
          </w:tcPr>
          <w:p w14:paraId="76EC79CD">
            <w:pPr>
              <w:pStyle w:val="34"/>
              <w:spacing w:line="360" w:lineRule="auto"/>
              <w:jc w:val="center"/>
              <w:rPr>
                <w:rFonts w:hint="eastAsia" w:ascii="宋体" w:hAnsi="宋体" w:cs="宋体"/>
                <w:sz w:val="24"/>
                <w:szCs w:val="24"/>
              </w:rPr>
            </w:pPr>
          </w:p>
        </w:tc>
      </w:tr>
      <w:tr w14:paraId="2F47EDE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29F7B419">
            <w:pPr>
              <w:pStyle w:val="34"/>
              <w:spacing w:line="360" w:lineRule="auto"/>
              <w:jc w:val="center"/>
              <w:rPr>
                <w:rFonts w:hint="eastAsia" w:ascii="宋体" w:hAnsi="宋体" w:cs="宋体"/>
                <w:sz w:val="24"/>
                <w:szCs w:val="24"/>
              </w:rPr>
            </w:pPr>
          </w:p>
        </w:tc>
        <w:tc>
          <w:tcPr>
            <w:tcW w:w="2335" w:type="dxa"/>
            <w:vAlign w:val="center"/>
          </w:tcPr>
          <w:p w14:paraId="0BC62AF8">
            <w:pPr>
              <w:pStyle w:val="34"/>
              <w:spacing w:line="360" w:lineRule="auto"/>
              <w:jc w:val="center"/>
              <w:rPr>
                <w:rFonts w:hint="eastAsia" w:ascii="宋体" w:hAnsi="宋体" w:cs="宋体"/>
                <w:sz w:val="24"/>
                <w:szCs w:val="24"/>
              </w:rPr>
            </w:pPr>
          </w:p>
        </w:tc>
        <w:tc>
          <w:tcPr>
            <w:tcW w:w="2337" w:type="dxa"/>
            <w:vAlign w:val="center"/>
          </w:tcPr>
          <w:p w14:paraId="2F8099A6">
            <w:pPr>
              <w:pStyle w:val="34"/>
              <w:spacing w:line="360" w:lineRule="auto"/>
              <w:jc w:val="center"/>
              <w:rPr>
                <w:rFonts w:hint="eastAsia" w:ascii="宋体" w:hAnsi="宋体" w:cs="宋体"/>
                <w:sz w:val="24"/>
                <w:szCs w:val="24"/>
              </w:rPr>
            </w:pPr>
          </w:p>
        </w:tc>
        <w:tc>
          <w:tcPr>
            <w:tcW w:w="1795" w:type="dxa"/>
            <w:vAlign w:val="center"/>
          </w:tcPr>
          <w:p w14:paraId="2785A3CB">
            <w:pPr>
              <w:pStyle w:val="34"/>
              <w:spacing w:line="360" w:lineRule="auto"/>
              <w:jc w:val="center"/>
              <w:rPr>
                <w:rFonts w:hint="eastAsia" w:ascii="宋体" w:hAnsi="宋体" w:cs="宋体"/>
                <w:sz w:val="24"/>
                <w:szCs w:val="24"/>
              </w:rPr>
            </w:pPr>
          </w:p>
        </w:tc>
      </w:tr>
      <w:tr w14:paraId="037D866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12F9A563">
            <w:pPr>
              <w:pStyle w:val="34"/>
              <w:spacing w:line="360" w:lineRule="auto"/>
              <w:jc w:val="center"/>
              <w:rPr>
                <w:rFonts w:hint="eastAsia" w:ascii="宋体" w:hAnsi="宋体" w:cs="宋体"/>
                <w:sz w:val="24"/>
                <w:szCs w:val="24"/>
              </w:rPr>
            </w:pPr>
          </w:p>
        </w:tc>
        <w:tc>
          <w:tcPr>
            <w:tcW w:w="2335" w:type="dxa"/>
            <w:vAlign w:val="center"/>
          </w:tcPr>
          <w:p w14:paraId="7397B1B1">
            <w:pPr>
              <w:pStyle w:val="34"/>
              <w:spacing w:line="360" w:lineRule="auto"/>
              <w:jc w:val="center"/>
              <w:rPr>
                <w:rFonts w:hint="eastAsia" w:ascii="宋体" w:hAnsi="宋体" w:cs="宋体"/>
                <w:sz w:val="24"/>
                <w:szCs w:val="24"/>
              </w:rPr>
            </w:pPr>
          </w:p>
        </w:tc>
        <w:tc>
          <w:tcPr>
            <w:tcW w:w="2337" w:type="dxa"/>
            <w:vAlign w:val="center"/>
          </w:tcPr>
          <w:p w14:paraId="7C4C585E">
            <w:pPr>
              <w:pStyle w:val="34"/>
              <w:spacing w:line="360" w:lineRule="auto"/>
              <w:jc w:val="center"/>
              <w:rPr>
                <w:rFonts w:hint="eastAsia" w:ascii="宋体" w:hAnsi="宋体" w:cs="宋体"/>
                <w:sz w:val="24"/>
                <w:szCs w:val="24"/>
              </w:rPr>
            </w:pPr>
          </w:p>
        </w:tc>
        <w:tc>
          <w:tcPr>
            <w:tcW w:w="1795" w:type="dxa"/>
            <w:vAlign w:val="center"/>
          </w:tcPr>
          <w:p w14:paraId="29EDF345">
            <w:pPr>
              <w:pStyle w:val="34"/>
              <w:spacing w:line="360" w:lineRule="auto"/>
              <w:jc w:val="center"/>
              <w:rPr>
                <w:rFonts w:hint="eastAsia" w:ascii="宋体" w:hAnsi="宋体" w:cs="宋体"/>
                <w:sz w:val="24"/>
                <w:szCs w:val="24"/>
              </w:rPr>
            </w:pPr>
          </w:p>
        </w:tc>
      </w:tr>
    </w:tbl>
    <w:p w14:paraId="5710B05B">
      <w:pPr>
        <w:pStyle w:val="34"/>
        <w:tabs>
          <w:tab w:val="left" w:pos="1050"/>
        </w:tabs>
        <w:spacing w:line="360" w:lineRule="auto"/>
        <w:ind w:firstLine="388" w:firstLineChars="200"/>
        <w:jc w:val="both"/>
        <w:rPr>
          <w:rFonts w:hint="eastAsia" w:ascii="宋体" w:hAnsi="宋体" w:cs="宋体"/>
          <w:szCs w:val="21"/>
        </w:rPr>
      </w:pPr>
      <w:r>
        <w:rPr>
          <w:rFonts w:hint="eastAsia" w:ascii="宋体" w:hAnsi="宋体" w:cs="宋体"/>
          <w:szCs w:val="21"/>
        </w:rPr>
        <w:t>注：</w:t>
      </w:r>
    </w:p>
    <w:p w14:paraId="3EC345DE">
      <w:pPr>
        <w:pStyle w:val="35"/>
        <w:widowControl/>
        <w:tabs>
          <w:tab w:val="left" w:pos="0"/>
        </w:tabs>
        <w:spacing w:line="360" w:lineRule="auto"/>
        <w:ind w:firstLine="386"/>
        <w:rPr>
          <w:rFonts w:hint="eastAsia" w:ascii="宋体" w:hAnsi="宋体" w:cs="宋体"/>
          <w:szCs w:val="21"/>
        </w:rPr>
      </w:pPr>
      <w:r>
        <w:rPr>
          <w:rFonts w:hint="eastAsia" w:ascii="宋体" w:hAnsi="宋体" w:cs="宋体"/>
          <w:szCs w:val="21"/>
        </w:rPr>
        <w:t>1.本表填写除资格审查内容外的认证、信誉、奖励、荣誉等商务评审因素涉及的证书。</w:t>
      </w:r>
    </w:p>
    <w:p w14:paraId="20DCAEBB">
      <w:pPr>
        <w:pStyle w:val="33"/>
        <w:tabs>
          <w:tab w:val="left" w:pos="0"/>
        </w:tabs>
        <w:spacing w:line="360" w:lineRule="auto"/>
        <w:ind w:firstLine="388" w:firstLineChars="200"/>
        <w:rPr>
          <w:rFonts w:hint="eastAsia" w:ascii="宋体" w:hAnsi="宋体" w:cs="宋体"/>
          <w:szCs w:val="21"/>
        </w:rPr>
      </w:pPr>
      <w:r>
        <w:rPr>
          <w:rFonts w:hint="eastAsia" w:ascii="宋体" w:hAnsi="宋体" w:cs="宋体"/>
          <w:szCs w:val="21"/>
        </w:rPr>
        <w:t>2.请投标人严格按照要求在本表后提交相关证明材料，否则有可能影响评审结果。</w:t>
      </w:r>
    </w:p>
    <w:p w14:paraId="3DB6C0DA">
      <w:pPr>
        <w:autoSpaceDE w:val="0"/>
        <w:autoSpaceDN w:val="0"/>
        <w:adjustRightInd w:val="0"/>
        <w:spacing w:before="156" w:beforeLines="50" w:after="156" w:afterLines="50" w:line="360" w:lineRule="auto"/>
        <w:rPr>
          <w:rFonts w:hint="eastAsia" w:ascii="宋体" w:hAnsi="宋体" w:cs="宋体"/>
          <w:kern w:val="0"/>
          <w:szCs w:val="21"/>
        </w:rPr>
      </w:pPr>
    </w:p>
    <w:p w14:paraId="1743D351">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6DCF3173">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4545639C">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35D36008">
      <w:pPr>
        <w:adjustRightInd w:val="0"/>
        <w:snapToGrid w:val="0"/>
        <w:spacing w:line="360" w:lineRule="auto"/>
        <w:ind w:firstLine="2016" w:firstLineChars="900"/>
        <w:outlineLvl w:val="0"/>
        <w:rPr>
          <w:rFonts w:hint="eastAsia" w:ascii="宋体" w:hAnsi="宋体" w:cs="宋体"/>
          <w:sz w:val="24"/>
        </w:rPr>
      </w:pPr>
      <w:r>
        <w:rPr>
          <w:rFonts w:hint="eastAsia" w:ascii="宋体" w:hAnsi="宋体" w:cs="宋体"/>
          <w:sz w:val="24"/>
        </w:rPr>
        <w:t xml:space="preserve">                 </w:t>
      </w:r>
    </w:p>
    <w:p w14:paraId="104A72A5">
      <w:pPr>
        <w:autoSpaceDE w:val="0"/>
        <w:autoSpaceDN w:val="0"/>
        <w:adjustRightInd w:val="0"/>
        <w:spacing w:before="156" w:beforeLines="50" w:after="156" w:afterLines="50" w:line="360" w:lineRule="auto"/>
        <w:rPr>
          <w:rFonts w:hint="eastAsia" w:ascii="宋体" w:hAnsi="宋体" w:cs="宋体"/>
          <w:kern w:val="0"/>
          <w:szCs w:val="21"/>
        </w:rPr>
      </w:pPr>
      <w:r>
        <w:rPr>
          <w:rFonts w:hint="eastAsia" w:ascii="宋体" w:hAnsi="宋体" w:cs="宋体"/>
          <w:sz w:val="24"/>
        </w:rPr>
        <w:t xml:space="preserve">    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40E14B6B">
      <w:pPr>
        <w:spacing w:line="360" w:lineRule="auto"/>
        <w:rPr>
          <w:rFonts w:hint="eastAsia" w:ascii="宋体" w:hAnsi="宋体" w:cs="宋体"/>
        </w:rPr>
      </w:pPr>
    </w:p>
    <w:p w14:paraId="336C5E32">
      <w:pPr>
        <w:spacing w:line="360" w:lineRule="auto"/>
        <w:rPr>
          <w:rFonts w:hint="eastAsia" w:ascii="宋体" w:hAnsi="宋体" w:cs="宋体"/>
        </w:rPr>
      </w:pPr>
    </w:p>
    <w:p w14:paraId="59CC782E">
      <w:pPr>
        <w:pStyle w:val="2"/>
        <w:spacing w:line="360" w:lineRule="auto"/>
        <w:jc w:val="center"/>
        <w:rPr>
          <w:rFonts w:hint="eastAsia" w:ascii="宋体" w:hAnsi="宋体" w:cs="宋体"/>
          <w:b w:val="0"/>
          <w:bCs w:val="0"/>
          <w:kern w:val="0"/>
          <w:sz w:val="30"/>
          <w:szCs w:val="30"/>
        </w:rPr>
        <w:sectPr>
          <w:pgSz w:w="11907" w:h="16840"/>
          <w:pgMar w:top="1440" w:right="1803" w:bottom="1440" w:left="1803" w:header="851" w:footer="850" w:gutter="0"/>
          <w:cols w:space="720" w:num="1"/>
          <w:titlePg/>
          <w:docGrid w:type="linesAndChars" w:linePitch="312" w:charSpace="-3473"/>
        </w:sectPr>
      </w:pPr>
    </w:p>
    <w:p w14:paraId="74905ECE">
      <w:pPr>
        <w:pStyle w:val="2"/>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七、招标文件要求提供或投标人认为需要提供的其它商务材料</w:t>
      </w:r>
    </w:p>
    <w:p w14:paraId="17ED5FC3">
      <w:pPr>
        <w:autoSpaceDE w:val="0"/>
        <w:autoSpaceDN w:val="0"/>
        <w:adjustRightInd w:val="0"/>
        <w:spacing w:before="156" w:beforeLines="50" w:after="156" w:afterLines="50" w:line="360" w:lineRule="auto"/>
        <w:jc w:val="center"/>
        <w:rPr>
          <w:rFonts w:hint="eastAsia" w:ascii="宋体" w:hAnsi="宋体" w:cs="宋体"/>
          <w:kern w:val="0"/>
          <w:sz w:val="24"/>
        </w:rPr>
      </w:pPr>
      <w:r>
        <w:rPr>
          <w:rFonts w:hint="eastAsia" w:ascii="宋体" w:hAnsi="宋体" w:cs="宋体"/>
          <w:kern w:val="0"/>
          <w:sz w:val="24"/>
        </w:rPr>
        <w:t>（如果有，提供）</w:t>
      </w:r>
    </w:p>
    <w:p w14:paraId="213F661C">
      <w:pPr>
        <w:spacing w:line="360" w:lineRule="auto"/>
        <w:rPr>
          <w:rFonts w:hint="eastAsia" w:ascii="宋体" w:hAnsi="宋体" w:cs="宋体"/>
        </w:rPr>
      </w:pPr>
    </w:p>
    <w:p w14:paraId="72484223">
      <w:pPr>
        <w:spacing w:line="360" w:lineRule="auto"/>
        <w:rPr>
          <w:rFonts w:hint="eastAsia" w:ascii="宋体" w:hAnsi="宋体" w:cs="宋体"/>
        </w:rPr>
      </w:pPr>
      <w:r>
        <w:rPr>
          <w:rFonts w:hint="eastAsia" w:ascii="宋体" w:hAnsi="宋体" w:cs="宋体"/>
        </w:rPr>
        <w:t xml:space="preserve">    </w:t>
      </w:r>
    </w:p>
    <w:p w14:paraId="42FC2A23">
      <w:pPr>
        <w:spacing w:line="360" w:lineRule="auto"/>
        <w:rPr>
          <w:rFonts w:hint="eastAsia" w:ascii="宋体" w:hAnsi="宋体" w:cs="宋体"/>
          <w:b/>
          <w:sz w:val="28"/>
          <w:szCs w:val="28"/>
        </w:rPr>
      </w:pPr>
    </w:p>
    <w:p w14:paraId="50EE49CE">
      <w:pPr>
        <w:spacing w:line="360" w:lineRule="auto"/>
        <w:rPr>
          <w:rFonts w:hint="eastAsia" w:ascii="宋体" w:hAnsi="宋体" w:cs="宋体"/>
          <w:b/>
          <w:sz w:val="28"/>
          <w:szCs w:val="28"/>
        </w:rPr>
      </w:pPr>
    </w:p>
    <w:p w14:paraId="6BC1D9C0">
      <w:pPr>
        <w:spacing w:line="360" w:lineRule="auto"/>
        <w:rPr>
          <w:rFonts w:hint="eastAsia" w:ascii="宋体" w:hAnsi="宋体" w:cs="宋体"/>
          <w:b/>
          <w:sz w:val="28"/>
          <w:szCs w:val="28"/>
        </w:rPr>
      </w:pPr>
    </w:p>
    <w:p w14:paraId="33A4E9F7">
      <w:pPr>
        <w:spacing w:line="360" w:lineRule="auto"/>
        <w:rPr>
          <w:rFonts w:hint="eastAsia" w:ascii="宋体" w:hAnsi="宋体" w:cs="宋体"/>
          <w:b/>
          <w:sz w:val="28"/>
          <w:szCs w:val="28"/>
        </w:rPr>
      </w:pPr>
    </w:p>
    <w:p w14:paraId="17EEE1E4">
      <w:pPr>
        <w:spacing w:line="360" w:lineRule="auto"/>
        <w:rPr>
          <w:rFonts w:hint="eastAsia" w:ascii="宋体" w:hAnsi="宋体" w:cs="宋体"/>
          <w:b/>
          <w:sz w:val="28"/>
          <w:szCs w:val="28"/>
        </w:rPr>
      </w:pPr>
    </w:p>
    <w:p w14:paraId="0D705365">
      <w:pPr>
        <w:spacing w:line="360" w:lineRule="auto"/>
        <w:rPr>
          <w:rFonts w:hint="eastAsia" w:ascii="宋体" w:hAnsi="宋体" w:cs="宋体"/>
          <w:b/>
          <w:sz w:val="28"/>
          <w:szCs w:val="28"/>
        </w:rPr>
      </w:pPr>
    </w:p>
    <w:p w14:paraId="60CA2408">
      <w:pPr>
        <w:spacing w:line="360" w:lineRule="auto"/>
        <w:rPr>
          <w:rFonts w:hint="eastAsia" w:ascii="宋体" w:hAnsi="宋体" w:cs="宋体"/>
          <w:b/>
          <w:sz w:val="28"/>
          <w:szCs w:val="28"/>
        </w:rPr>
      </w:pPr>
    </w:p>
    <w:p w14:paraId="4CF57C50">
      <w:pPr>
        <w:spacing w:line="360" w:lineRule="auto"/>
        <w:rPr>
          <w:rFonts w:hint="eastAsia" w:ascii="宋体" w:hAnsi="宋体" w:cs="宋体"/>
          <w:b/>
          <w:sz w:val="28"/>
          <w:szCs w:val="28"/>
        </w:rPr>
      </w:pPr>
    </w:p>
    <w:p w14:paraId="73A2B529">
      <w:pPr>
        <w:spacing w:line="360" w:lineRule="auto"/>
        <w:rPr>
          <w:rFonts w:hint="eastAsia" w:ascii="宋体" w:hAnsi="宋体" w:cs="宋体"/>
          <w:b/>
          <w:sz w:val="28"/>
          <w:szCs w:val="28"/>
        </w:rPr>
      </w:pPr>
    </w:p>
    <w:p w14:paraId="18466DD9">
      <w:pPr>
        <w:spacing w:line="360" w:lineRule="auto"/>
        <w:rPr>
          <w:rFonts w:hint="eastAsia" w:ascii="宋体" w:hAnsi="宋体" w:cs="宋体"/>
          <w:b/>
          <w:sz w:val="28"/>
          <w:szCs w:val="28"/>
        </w:rPr>
      </w:pPr>
    </w:p>
    <w:p w14:paraId="65F3ACD3">
      <w:pPr>
        <w:spacing w:line="360" w:lineRule="auto"/>
        <w:rPr>
          <w:rFonts w:hint="eastAsia" w:ascii="宋体" w:hAnsi="宋体" w:cs="宋体"/>
          <w:b/>
          <w:sz w:val="28"/>
          <w:szCs w:val="28"/>
        </w:rPr>
      </w:pPr>
    </w:p>
    <w:p w14:paraId="2D7DCF13">
      <w:pPr>
        <w:pStyle w:val="4"/>
        <w:numPr>
          <w:ilvl w:val="0"/>
          <w:numId w:val="0"/>
        </w:numPr>
        <w:spacing w:line="360" w:lineRule="auto"/>
        <w:ind w:left="709"/>
        <w:rPr>
          <w:rFonts w:hint="eastAsia" w:ascii="宋体" w:hAnsi="宋体" w:eastAsia="宋体" w:cs="宋体"/>
        </w:rPr>
      </w:pPr>
    </w:p>
    <w:p w14:paraId="7D22E80F">
      <w:pPr>
        <w:spacing w:line="360" w:lineRule="auto"/>
        <w:rPr>
          <w:rFonts w:hint="eastAsia" w:ascii="宋体" w:hAnsi="宋体" w:cs="宋体"/>
        </w:rPr>
      </w:pPr>
    </w:p>
    <w:p w14:paraId="160E7018">
      <w:pPr>
        <w:pStyle w:val="4"/>
        <w:numPr>
          <w:ilvl w:val="0"/>
          <w:numId w:val="0"/>
        </w:numPr>
        <w:spacing w:line="360" w:lineRule="auto"/>
        <w:ind w:left="709"/>
        <w:rPr>
          <w:rFonts w:hint="eastAsia" w:ascii="宋体" w:hAnsi="宋体" w:eastAsia="宋体" w:cs="宋体"/>
        </w:rPr>
      </w:pPr>
    </w:p>
    <w:p w14:paraId="6FF19E04">
      <w:pPr>
        <w:spacing w:line="360" w:lineRule="auto"/>
        <w:rPr>
          <w:rFonts w:hint="eastAsia" w:ascii="宋体" w:hAnsi="宋体" w:cs="宋体"/>
        </w:rPr>
      </w:pPr>
    </w:p>
    <w:p w14:paraId="5D186620">
      <w:pPr>
        <w:spacing w:line="360" w:lineRule="auto"/>
        <w:jc w:val="center"/>
        <w:outlineLvl w:val="1"/>
        <w:rPr>
          <w:rFonts w:hint="eastAsia" w:ascii="宋体" w:hAnsi="宋体" w:cs="宋体"/>
          <w:b/>
          <w:bCs/>
          <w:kern w:val="0"/>
          <w:sz w:val="52"/>
          <w:szCs w:val="52"/>
        </w:rPr>
      </w:pPr>
    </w:p>
    <w:p w14:paraId="5F7137D2">
      <w:pPr>
        <w:spacing w:line="360" w:lineRule="auto"/>
        <w:jc w:val="center"/>
        <w:outlineLvl w:val="1"/>
        <w:rPr>
          <w:rFonts w:hint="eastAsia" w:ascii="宋体" w:hAnsi="宋体" w:cs="宋体"/>
          <w:b/>
          <w:bCs/>
          <w:kern w:val="0"/>
          <w:sz w:val="52"/>
          <w:szCs w:val="52"/>
        </w:rPr>
      </w:pPr>
    </w:p>
    <w:p w14:paraId="7AF2460A">
      <w:pPr>
        <w:spacing w:line="360" w:lineRule="auto"/>
        <w:jc w:val="center"/>
        <w:outlineLvl w:val="1"/>
        <w:rPr>
          <w:rFonts w:hint="eastAsia" w:ascii="宋体" w:hAnsi="宋体" w:cs="宋体"/>
          <w:b/>
          <w:bCs/>
          <w:kern w:val="0"/>
          <w:sz w:val="52"/>
          <w:szCs w:val="52"/>
        </w:rPr>
      </w:pPr>
      <w:r>
        <w:rPr>
          <w:rFonts w:hint="eastAsia" w:ascii="宋体" w:hAnsi="宋体" w:cs="宋体"/>
          <w:b/>
          <w:bCs/>
          <w:kern w:val="0"/>
          <w:sz w:val="52"/>
          <w:szCs w:val="52"/>
        </w:rPr>
        <w:t>第三部分  技术文件</w:t>
      </w:r>
    </w:p>
    <w:p w14:paraId="5AC3C7AE">
      <w:pPr>
        <w:spacing w:line="360" w:lineRule="auto"/>
        <w:rPr>
          <w:rFonts w:hint="eastAsia" w:ascii="宋体" w:hAnsi="宋体" w:cs="宋体"/>
          <w:bCs/>
          <w:kern w:val="0"/>
          <w:sz w:val="30"/>
          <w:szCs w:val="30"/>
        </w:rPr>
      </w:pPr>
      <w:r>
        <w:rPr>
          <w:rFonts w:hint="eastAsia" w:ascii="宋体" w:hAnsi="宋体" w:cs="宋体"/>
          <w:bCs/>
          <w:kern w:val="0"/>
          <w:sz w:val="30"/>
          <w:szCs w:val="30"/>
        </w:rPr>
        <w:br w:type="page"/>
      </w:r>
    </w:p>
    <w:p w14:paraId="1B435C4B">
      <w:pPr>
        <w:autoSpaceDE w:val="0"/>
        <w:autoSpaceDN w:val="0"/>
        <w:adjustRightInd w:val="0"/>
        <w:spacing w:before="156" w:beforeLines="50" w:after="156" w:afterLines="50" w:line="360" w:lineRule="auto"/>
        <w:jc w:val="center"/>
        <w:rPr>
          <w:rFonts w:hint="eastAsia" w:ascii="宋体" w:hAnsi="宋体" w:cs="宋体"/>
          <w:b/>
          <w:bCs/>
          <w:kern w:val="0"/>
          <w:sz w:val="30"/>
          <w:szCs w:val="30"/>
        </w:rPr>
      </w:pPr>
      <w:r>
        <w:rPr>
          <w:rFonts w:hint="eastAsia" w:ascii="宋体" w:hAnsi="宋体" w:cs="宋体"/>
          <w:bCs/>
          <w:kern w:val="0"/>
          <w:sz w:val="30"/>
          <w:szCs w:val="30"/>
        </w:rPr>
        <w:t>一、技术条款偏离表</w:t>
      </w:r>
    </w:p>
    <w:p w14:paraId="5E4D40D5">
      <w:pPr>
        <w:adjustRightInd w:val="0"/>
        <w:snapToGrid w:val="0"/>
        <w:spacing w:line="360" w:lineRule="auto"/>
        <w:rPr>
          <w:rFonts w:hint="eastAsia" w:ascii="宋体" w:hAnsi="宋体" w:cs="宋体"/>
          <w:sz w:val="24"/>
        </w:rPr>
      </w:pPr>
    </w:p>
    <w:tbl>
      <w:tblPr>
        <w:tblStyle w:val="15"/>
        <w:tblW w:w="9200"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88"/>
        <w:gridCol w:w="1252"/>
        <w:gridCol w:w="1490"/>
        <w:gridCol w:w="1340"/>
        <w:gridCol w:w="1341"/>
        <w:gridCol w:w="970"/>
        <w:gridCol w:w="969"/>
        <w:gridCol w:w="950"/>
      </w:tblGrid>
      <w:tr w14:paraId="375D656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95" w:hRule="atLeast"/>
          <w:jc w:val="center"/>
        </w:trPr>
        <w:tc>
          <w:tcPr>
            <w:tcW w:w="888" w:type="dxa"/>
            <w:vAlign w:val="center"/>
          </w:tcPr>
          <w:p w14:paraId="2B4E8E73">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序号</w:t>
            </w:r>
          </w:p>
        </w:tc>
        <w:tc>
          <w:tcPr>
            <w:tcW w:w="1252" w:type="dxa"/>
            <w:vAlign w:val="center"/>
          </w:tcPr>
          <w:p w14:paraId="36BDCDEB">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rPr>
              <w:t>采购标的</w:t>
            </w:r>
            <w:r>
              <w:rPr>
                <w:rFonts w:hint="eastAsia" w:ascii="宋体" w:hAnsi="宋体" w:cs="宋体"/>
                <w:sz w:val="24"/>
                <w:lang w:val="zh-CN"/>
              </w:rPr>
              <w:t>名称</w:t>
            </w:r>
          </w:p>
        </w:tc>
        <w:tc>
          <w:tcPr>
            <w:tcW w:w="1490" w:type="dxa"/>
            <w:vAlign w:val="center"/>
          </w:tcPr>
          <w:p w14:paraId="0FA570A7">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rPr>
              <w:t>招标文件规定的具体参数值或功能</w:t>
            </w:r>
            <w:r>
              <w:rPr>
                <w:rFonts w:hint="eastAsia" w:ascii="宋体" w:hAnsi="宋体" w:cs="宋体"/>
                <w:sz w:val="24"/>
                <w:lang w:val="zh-CN"/>
              </w:rPr>
              <w:t>要求</w:t>
            </w:r>
            <w:r>
              <w:rPr>
                <w:rFonts w:hint="eastAsia" w:ascii="宋体" w:hAnsi="宋体" w:cs="宋体"/>
                <w:sz w:val="24"/>
              </w:rPr>
              <w:t>表述</w:t>
            </w:r>
          </w:p>
        </w:tc>
        <w:tc>
          <w:tcPr>
            <w:tcW w:w="1340" w:type="dxa"/>
            <w:vAlign w:val="center"/>
          </w:tcPr>
          <w:p w14:paraId="0EE6AF44">
            <w:pPr>
              <w:autoSpaceDE w:val="0"/>
              <w:autoSpaceDN w:val="0"/>
              <w:adjustRightInd w:val="0"/>
              <w:spacing w:line="360" w:lineRule="auto"/>
              <w:jc w:val="center"/>
              <w:rPr>
                <w:rFonts w:hint="eastAsia" w:ascii="宋体" w:hAnsi="宋体" w:cs="宋体"/>
                <w:sz w:val="24"/>
              </w:rPr>
            </w:pPr>
            <w:r>
              <w:rPr>
                <w:rFonts w:hint="eastAsia" w:ascii="宋体" w:hAnsi="宋体" w:cs="宋体"/>
                <w:sz w:val="24"/>
              </w:rPr>
              <w:t>招标文件规定的数量及单位要求</w:t>
            </w:r>
          </w:p>
        </w:tc>
        <w:tc>
          <w:tcPr>
            <w:tcW w:w="1341" w:type="dxa"/>
            <w:vAlign w:val="center"/>
          </w:tcPr>
          <w:p w14:paraId="03355120">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rPr>
              <w:t>投标文件对具体参数值或功能</w:t>
            </w:r>
            <w:r>
              <w:rPr>
                <w:rFonts w:hint="eastAsia" w:ascii="宋体" w:hAnsi="宋体" w:cs="宋体"/>
                <w:sz w:val="24"/>
                <w:lang w:val="zh-CN"/>
              </w:rPr>
              <w:t>要求</w:t>
            </w:r>
            <w:r>
              <w:rPr>
                <w:rFonts w:hint="eastAsia" w:ascii="宋体" w:hAnsi="宋体" w:cs="宋体"/>
                <w:sz w:val="24"/>
              </w:rPr>
              <w:t>表述</w:t>
            </w:r>
            <w:r>
              <w:rPr>
                <w:rFonts w:hint="eastAsia" w:ascii="宋体" w:hAnsi="宋体" w:cs="宋体"/>
                <w:sz w:val="24"/>
                <w:lang w:val="zh-CN"/>
              </w:rPr>
              <w:t>应答</w:t>
            </w:r>
          </w:p>
        </w:tc>
        <w:tc>
          <w:tcPr>
            <w:tcW w:w="970" w:type="dxa"/>
            <w:vAlign w:val="center"/>
          </w:tcPr>
          <w:p w14:paraId="49B6E077">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rPr>
              <w:t>投标文件对数量及单位</w:t>
            </w:r>
            <w:r>
              <w:rPr>
                <w:rFonts w:hint="eastAsia" w:ascii="宋体" w:hAnsi="宋体" w:cs="宋体"/>
                <w:sz w:val="24"/>
                <w:lang w:val="zh-CN"/>
              </w:rPr>
              <w:t>应答</w:t>
            </w:r>
          </w:p>
        </w:tc>
        <w:tc>
          <w:tcPr>
            <w:tcW w:w="969" w:type="dxa"/>
            <w:vAlign w:val="center"/>
          </w:tcPr>
          <w:p w14:paraId="45CB6251">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偏离</w:t>
            </w:r>
          </w:p>
          <w:p w14:paraId="4CCEDDCD">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情况</w:t>
            </w:r>
          </w:p>
        </w:tc>
        <w:tc>
          <w:tcPr>
            <w:tcW w:w="950" w:type="dxa"/>
            <w:vAlign w:val="center"/>
          </w:tcPr>
          <w:p w14:paraId="05A29983">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说明</w:t>
            </w:r>
          </w:p>
        </w:tc>
      </w:tr>
      <w:tr w14:paraId="0DE66E5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6" w:hRule="atLeast"/>
          <w:jc w:val="center"/>
        </w:trPr>
        <w:tc>
          <w:tcPr>
            <w:tcW w:w="888" w:type="dxa"/>
            <w:vAlign w:val="center"/>
          </w:tcPr>
          <w:p w14:paraId="096BFD3D">
            <w:pPr>
              <w:spacing w:line="360" w:lineRule="auto"/>
              <w:jc w:val="center"/>
              <w:rPr>
                <w:rFonts w:hint="eastAsia" w:ascii="宋体" w:hAnsi="宋体" w:cs="宋体"/>
                <w:sz w:val="24"/>
              </w:rPr>
            </w:pPr>
            <w:r>
              <w:rPr>
                <w:rFonts w:hint="eastAsia" w:ascii="宋体" w:hAnsi="宋体" w:cs="宋体"/>
                <w:sz w:val="24"/>
              </w:rPr>
              <w:t>1</w:t>
            </w:r>
          </w:p>
        </w:tc>
        <w:tc>
          <w:tcPr>
            <w:tcW w:w="1252" w:type="dxa"/>
            <w:vAlign w:val="center"/>
          </w:tcPr>
          <w:p w14:paraId="2ADAD5B6">
            <w:pPr>
              <w:spacing w:line="360" w:lineRule="auto"/>
              <w:jc w:val="center"/>
              <w:rPr>
                <w:rFonts w:hint="eastAsia" w:ascii="宋体" w:hAnsi="宋体" w:cs="宋体"/>
                <w:sz w:val="24"/>
              </w:rPr>
            </w:pPr>
          </w:p>
        </w:tc>
        <w:tc>
          <w:tcPr>
            <w:tcW w:w="1490" w:type="dxa"/>
            <w:vAlign w:val="center"/>
          </w:tcPr>
          <w:p w14:paraId="5E54C88E">
            <w:pPr>
              <w:spacing w:line="360" w:lineRule="auto"/>
              <w:jc w:val="center"/>
              <w:rPr>
                <w:rFonts w:hint="eastAsia" w:ascii="宋体" w:hAnsi="宋体" w:cs="宋体"/>
                <w:sz w:val="24"/>
              </w:rPr>
            </w:pPr>
          </w:p>
        </w:tc>
        <w:tc>
          <w:tcPr>
            <w:tcW w:w="1340" w:type="dxa"/>
            <w:vAlign w:val="center"/>
          </w:tcPr>
          <w:p w14:paraId="45ED5FD0">
            <w:pPr>
              <w:spacing w:line="360" w:lineRule="auto"/>
              <w:jc w:val="center"/>
              <w:rPr>
                <w:rFonts w:hint="eastAsia" w:ascii="宋体" w:hAnsi="宋体" w:cs="宋体"/>
                <w:sz w:val="24"/>
              </w:rPr>
            </w:pPr>
          </w:p>
        </w:tc>
        <w:tc>
          <w:tcPr>
            <w:tcW w:w="1341" w:type="dxa"/>
            <w:vAlign w:val="center"/>
          </w:tcPr>
          <w:p w14:paraId="34157317">
            <w:pPr>
              <w:spacing w:line="360" w:lineRule="auto"/>
              <w:jc w:val="center"/>
              <w:rPr>
                <w:rFonts w:hint="eastAsia" w:ascii="宋体" w:hAnsi="宋体" w:cs="宋体"/>
                <w:sz w:val="24"/>
              </w:rPr>
            </w:pPr>
          </w:p>
        </w:tc>
        <w:tc>
          <w:tcPr>
            <w:tcW w:w="970" w:type="dxa"/>
            <w:vAlign w:val="center"/>
          </w:tcPr>
          <w:p w14:paraId="20980BF5">
            <w:pPr>
              <w:spacing w:line="360" w:lineRule="auto"/>
              <w:jc w:val="center"/>
              <w:rPr>
                <w:rFonts w:hint="eastAsia" w:ascii="宋体" w:hAnsi="宋体" w:cs="宋体"/>
                <w:sz w:val="24"/>
              </w:rPr>
            </w:pPr>
          </w:p>
        </w:tc>
        <w:tc>
          <w:tcPr>
            <w:tcW w:w="969" w:type="dxa"/>
            <w:vAlign w:val="center"/>
          </w:tcPr>
          <w:p w14:paraId="48AFD854">
            <w:pPr>
              <w:spacing w:line="360" w:lineRule="auto"/>
              <w:jc w:val="center"/>
              <w:rPr>
                <w:rFonts w:hint="eastAsia" w:ascii="宋体" w:hAnsi="宋体" w:cs="宋体"/>
                <w:sz w:val="24"/>
              </w:rPr>
            </w:pPr>
          </w:p>
        </w:tc>
        <w:tc>
          <w:tcPr>
            <w:tcW w:w="950" w:type="dxa"/>
            <w:vAlign w:val="center"/>
          </w:tcPr>
          <w:p w14:paraId="7F8820C0">
            <w:pPr>
              <w:spacing w:line="360" w:lineRule="auto"/>
              <w:jc w:val="center"/>
              <w:rPr>
                <w:rFonts w:hint="eastAsia" w:ascii="宋体" w:hAnsi="宋体" w:cs="宋体"/>
                <w:sz w:val="24"/>
              </w:rPr>
            </w:pPr>
          </w:p>
        </w:tc>
      </w:tr>
      <w:tr w14:paraId="5391743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6" w:hRule="atLeast"/>
          <w:jc w:val="center"/>
        </w:trPr>
        <w:tc>
          <w:tcPr>
            <w:tcW w:w="888" w:type="dxa"/>
            <w:vAlign w:val="center"/>
          </w:tcPr>
          <w:p w14:paraId="0AC41779">
            <w:pPr>
              <w:spacing w:line="360" w:lineRule="auto"/>
              <w:jc w:val="center"/>
              <w:rPr>
                <w:rFonts w:hint="eastAsia" w:ascii="宋体" w:hAnsi="宋体" w:cs="宋体"/>
                <w:sz w:val="24"/>
              </w:rPr>
            </w:pPr>
            <w:r>
              <w:rPr>
                <w:rFonts w:hint="eastAsia" w:ascii="宋体" w:hAnsi="宋体" w:cs="宋体"/>
                <w:sz w:val="24"/>
              </w:rPr>
              <w:t>2</w:t>
            </w:r>
          </w:p>
        </w:tc>
        <w:tc>
          <w:tcPr>
            <w:tcW w:w="1252" w:type="dxa"/>
            <w:vAlign w:val="center"/>
          </w:tcPr>
          <w:p w14:paraId="2B1B3BF5">
            <w:pPr>
              <w:spacing w:line="360" w:lineRule="auto"/>
              <w:jc w:val="center"/>
              <w:rPr>
                <w:rFonts w:hint="eastAsia" w:ascii="宋体" w:hAnsi="宋体" w:cs="宋体"/>
                <w:sz w:val="24"/>
              </w:rPr>
            </w:pPr>
          </w:p>
        </w:tc>
        <w:tc>
          <w:tcPr>
            <w:tcW w:w="1490" w:type="dxa"/>
            <w:vAlign w:val="center"/>
          </w:tcPr>
          <w:p w14:paraId="0652DB81">
            <w:pPr>
              <w:spacing w:line="360" w:lineRule="auto"/>
              <w:jc w:val="center"/>
              <w:rPr>
                <w:rFonts w:hint="eastAsia" w:ascii="宋体" w:hAnsi="宋体" w:cs="宋体"/>
                <w:sz w:val="24"/>
              </w:rPr>
            </w:pPr>
          </w:p>
        </w:tc>
        <w:tc>
          <w:tcPr>
            <w:tcW w:w="1340" w:type="dxa"/>
            <w:vAlign w:val="center"/>
          </w:tcPr>
          <w:p w14:paraId="469AA120">
            <w:pPr>
              <w:spacing w:line="360" w:lineRule="auto"/>
              <w:jc w:val="center"/>
              <w:rPr>
                <w:rFonts w:hint="eastAsia" w:ascii="宋体" w:hAnsi="宋体" w:cs="宋体"/>
                <w:sz w:val="24"/>
              </w:rPr>
            </w:pPr>
          </w:p>
        </w:tc>
        <w:tc>
          <w:tcPr>
            <w:tcW w:w="1341" w:type="dxa"/>
            <w:vAlign w:val="center"/>
          </w:tcPr>
          <w:p w14:paraId="13761830">
            <w:pPr>
              <w:spacing w:line="360" w:lineRule="auto"/>
              <w:jc w:val="center"/>
              <w:rPr>
                <w:rFonts w:hint="eastAsia" w:ascii="宋体" w:hAnsi="宋体" w:cs="宋体"/>
                <w:sz w:val="24"/>
              </w:rPr>
            </w:pPr>
          </w:p>
        </w:tc>
        <w:tc>
          <w:tcPr>
            <w:tcW w:w="970" w:type="dxa"/>
            <w:vAlign w:val="center"/>
          </w:tcPr>
          <w:p w14:paraId="437BBE9D">
            <w:pPr>
              <w:spacing w:line="360" w:lineRule="auto"/>
              <w:jc w:val="center"/>
              <w:rPr>
                <w:rFonts w:hint="eastAsia" w:ascii="宋体" w:hAnsi="宋体" w:cs="宋体"/>
                <w:sz w:val="24"/>
              </w:rPr>
            </w:pPr>
          </w:p>
        </w:tc>
        <w:tc>
          <w:tcPr>
            <w:tcW w:w="969" w:type="dxa"/>
            <w:vAlign w:val="center"/>
          </w:tcPr>
          <w:p w14:paraId="1CF29BC3">
            <w:pPr>
              <w:spacing w:line="360" w:lineRule="auto"/>
              <w:jc w:val="center"/>
              <w:rPr>
                <w:rFonts w:hint="eastAsia" w:ascii="宋体" w:hAnsi="宋体" w:cs="宋体"/>
                <w:sz w:val="24"/>
              </w:rPr>
            </w:pPr>
          </w:p>
        </w:tc>
        <w:tc>
          <w:tcPr>
            <w:tcW w:w="950" w:type="dxa"/>
            <w:vAlign w:val="center"/>
          </w:tcPr>
          <w:p w14:paraId="1ADC3862">
            <w:pPr>
              <w:spacing w:line="360" w:lineRule="auto"/>
              <w:jc w:val="center"/>
              <w:rPr>
                <w:rFonts w:hint="eastAsia" w:ascii="宋体" w:hAnsi="宋体" w:cs="宋体"/>
                <w:sz w:val="24"/>
              </w:rPr>
            </w:pPr>
          </w:p>
        </w:tc>
      </w:tr>
      <w:tr w14:paraId="77B9C20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55" w:hRule="atLeast"/>
          <w:jc w:val="center"/>
        </w:trPr>
        <w:tc>
          <w:tcPr>
            <w:tcW w:w="888" w:type="dxa"/>
            <w:vAlign w:val="center"/>
          </w:tcPr>
          <w:p w14:paraId="5EA4EF72">
            <w:pPr>
              <w:spacing w:line="360" w:lineRule="auto"/>
              <w:jc w:val="center"/>
              <w:rPr>
                <w:rFonts w:hint="eastAsia" w:ascii="宋体" w:hAnsi="宋体" w:cs="宋体"/>
                <w:sz w:val="24"/>
              </w:rPr>
            </w:pPr>
            <w:r>
              <w:rPr>
                <w:rFonts w:hint="eastAsia" w:ascii="宋体" w:hAnsi="宋体" w:cs="宋体"/>
                <w:sz w:val="24"/>
              </w:rPr>
              <w:t>……</w:t>
            </w:r>
          </w:p>
        </w:tc>
        <w:tc>
          <w:tcPr>
            <w:tcW w:w="1252" w:type="dxa"/>
            <w:vAlign w:val="center"/>
          </w:tcPr>
          <w:p w14:paraId="277FC936">
            <w:pPr>
              <w:spacing w:line="360" w:lineRule="auto"/>
              <w:jc w:val="center"/>
              <w:rPr>
                <w:rFonts w:hint="eastAsia" w:ascii="宋体" w:hAnsi="宋体" w:cs="宋体"/>
                <w:sz w:val="24"/>
              </w:rPr>
            </w:pPr>
          </w:p>
        </w:tc>
        <w:tc>
          <w:tcPr>
            <w:tcW w:w="1490" w:type="dxa"/>
            <w:vAlign w:val="center"/>
          </w:tcPr>
          <w:p w14:paraId="4A5A9174">
            <w:pPr>
              <w:spacing w:line="360" w:lineRule="auto"/>
              <w:jc w:val="center"/>
              <w:rPr>
                <w:rFonts w:hint="eastAsia" w:ascii="宋体" w:hAnsi="宋体" w:cs="宋体"/>
                <w:sz w:val="24"/>
              </w:rPr>
            </w:pPr>
          </w:p>
        </w:tc>
        <w:tc>
          <w:tcPr>
            <w:tcW w:w="1340" w:type="dxa"/>
            <w:vAlign w:val="center"/>
          </w:tcPr>
          <w:p w14:paraId="1C2C441C">
            <w:pPr>
              <w:spacing w:line="360" w:lineRule="auto"/>
              <w:jc w:val="center"/>
              <w:rPr>
                <w:rFonts w:hint="eastAsia" w:ascii="宋体" w:hAnsi="宋体" w:cs="宋体"/>
                <w:sz w:val="24"/>
              </w:rPr>
            </w:pPr>
          </w:p>
        </w:tc>
        <w:tc>
          <w:tcPr>
            <w:tcW w:w="1341" w:type="dxa"/>
            <w:vAlign w:val="center"/>
          </w:tcPr>
          <w:p w14:paraId="37CFCAC1">
            <w:pPr>
              <w:spacing w:line="360" w:lineRule="auto"/>
              <w:jc w:val="center"/>
              <w:rPr>
                <w:rFonts w:hint="eastAsia" w:ascii="宋体" w:hAnsi="宋体" w:cs="宋体"/>
                <w:sz w:val="24"/>
              </w:rPr>
            </w:pPr>
          </w:p>
        </w:tc>
        <w:tc>
          <w:tcPr>
            <w:tcW w:w="970" w:type="dxa"/>
            <w:vAlign w:val="center"/>
          </w:tcPr>
          <w:p w14:paraId="2A4825FB">
            <w:pPr>
              <w:spacing w:line="360" w:lineRule="auto"/>
              <w:jc w:val="center"/>
              <w:rPr>
                <w:rFonts w:hint="eastAsia" w:ascii="宋体" w:hAnsi="宋体" w:cs="宋体"/>
                <w:sz w:val="24"/>
              </w:rPr>
            </w:pPr>
          </w:p>
        </w:tc>
        <w:tc>
          <w:tcPr>
            <w:tcW w:w="969" w:type="dxa"/>
            <w:vAlign w:val="center"/>
          </w:tcPr>
          <w:p w14:paraId="2ECF9E56">
            <w:pPr>
              <w:spacing w:line="360" w:lineRule="auto"/>
              <w:jc w:val="center"/>
              <w:rPr>
                <w:rFonts w:hint="eastAsia" w:ascii="宋体" w:hAnsi="宋体" w:cs="宋体"/>
                <w:sz w:val="24"/>
              </w:rPr>
            </w:pPr>
          </w:p>
        </w:tc>
        <w:tc>
          <w:tcPr>
            <w:tcW w:w="950" w:type="dxa"/>
            <w:vAlign w:val="center"/>
          </w:tcPr>
          <w:p w14:paraId="5F75DDA1">
            <w:pPr>
              <w:spacing w:line="360" w:lineRule="auto"/>
              <w:jc w:val="center"/>
              <w:rPr>
                <w:rFonts w:hint="eastAsia" w:ascii="宋体" w:hAnsi="宋体" w:cs="宋体"/>
                <w:sz w:val="24"/>
              </w:rPr>
            </w:pPr>
          </w:p>
        </w:tc>
      </w:tr>
    </w:tbl>
    <w:p w14:paraId="5A8158A3">
      <w:pPr>
        <w:pStyle w:val="8"/>
        <w:adjustRightInd w:val="0"/>
        <w:snapToGrid w:val="0"/>
        <w:spacing w:line="360" w:lineRule="auto"/>
        <w:ind w:firstLine="0"/>
        <w:rPr>
          <w:rFonts w:hint="eastAsia" w:ascii="宋体" w:hAnsi="宋体" w:eastAsia="宋体" w:cs="宋体"/>
          <w:bCs/>
          <w:snapToGrid w:val="0"/>
          <w:kern w:val="0"/>
          <w:sz w:val="21"/>
          <w:szCs w:val="21"/>
        </w:rPr>
      </w:pPr>
    </w:p>
    <w:p w14:paraId="077674CE">
      <w:pPr>
        <w:pStyle w:val="8"/>
        <w:adjustRightInd w:val="0"/>
        <w:snapToGrid w:val="0"/>
        <w:spacing w:line="360" w:lineRule="auto"/>
        <w:ind w:firstLine="0"/>
        <w:rPr>
          <w:rFonts w:hint="eastAsia" w:ascii="宋体" w:hAnsi="宋体" w:eastAsia="宋体" w:cs="宋体"/>
          <w:bCs/>
          <w:snapToGrid w:val="0"/>
          <w:kern w:val="0"/>
          <w:sz w:val="21"/>
          <w:szCs w:val="21"/>
        </w:rPr>
      </w:pPr>
      <w:r>
        <w:rPr>
          <w:rFonts w:hint="eastAsia" w:ascii="宋体" w:hAnsi="宋体" w:eastAsia="宋体" w:cs="宋体"/>
          <w:bCs/>
          <w:snapToGrid w:val="0"/>
          <w:kern w:val="0"/>
          <w:sz w:val="21"/>
          <w:szCs w:val="21"/>
        </w:rPr>
        <w:t>注：</w:t>
      </w:r>
    </w:p>
    <w:p w14:paraId="74F90576">
      <w:pPr>
        <w:pStyle w:val="8"/>
        <w:adjustRightInd w:val="0"/>
        <w:snapToGrid w:val="0"/>
        <w:spacing w:line="360" w:lineRule="auto"/>
        <w:ind w:firstLine="388" w:firstLineChars="200"/>
        <w:rPr>
          <w:rFonts w:hint="eastAsia" w:ascii="宋体" w:hAnsi="宋体" w:eastAsia="宋体" w:cs="宋体"/>
          <w:bCs/>
          <w:snapToGrid w:val="0"/>
          <w:kern w:val="0"/>
          <w:sz w:val="21"/>
          <w:szCs w:val="21"/>
        </w:rPr>
      </w:pPr>
      <w:r>
        <w:rPr>
          <w:rFonts w:hint="eastAsia" w:ascii="宋体" w:hAnsi="宋体" w:eastAsia="宋体" w:cs="宋体"/>
          <w:bCs/>
          <w:snapToGrid w:val="0"/>
          <w:kern w:val="0"/>
          <w:sz w:val="21"/>
          <w:szCs w:val="21"/>
        </w:rPr>
        <w:t>未达到以下提供要求的，</w:t>
      </w:r>
      <w:r>
        <w:rPr>
          <w:rFonts w:hint="eastAsia" w:ascii="宋体" w:hAnsi="宋体" w:eastAsia="宋体" w:cs="宋体"/>
          <w:sz w:val="21"/>
          <w:szCs w:val="21"/>
        </w:rPr>
        <w:t>导致评标委员会据此认定未实质性响应招标文件技术要求或该项技术得分受到影响的，是投标人的风险。</w:t>
      </w:r>
    </w:p>
    <w:p w14:paraId="745C4BF4">
      <w:pPr>
        <w:pStyle w:val="8"/>
        <w:adjustRightInd w:val="0"/>
        <w:snapToGrid w:val="0"/>
        <w:spacing w:line="360" w:lineRule="auto"/>
        <w:ind w:firstLine="388" w:firstLineChars="200"/>
        <w:rPr>
          <w:rFonts w:hint="eastAsia" w:ascii="宋体" w:hAnsi="宋体" w:eastAsia="宋体" w:cs="宋体"/>
          <w:bCs/>
          <w:snapToGrid w:val="0"/>
          <w:kern w:val="0"/>
          <w:sz w:val="21"/>
          <w:szCs w:val="21"/>
        </w:rPr>
      </w:pPr>
      <w:r>
        <w:rPr>
          <w:rFonts w:hint="eastAsia" w:ascii="宋体" w:hAnsi="宋体" w:eastAsia="宋体" w:cs="宋体"/>
          <w:bCs/>
          <w:snapToGrid w:val="0"/>
          <w:kern w:val="0"/>
          <w:sz w:val="21"/>
          <w:szCs w:val="21"/>
        </w:rPr>
        <w:t>1.“招标文件规定的采购标的名称和具体参数值或功能要求表述”及“招标文件规定的数量及单位要求”一栏应按照招标文件第二章《项目招标需求》中的</w:t>
      </w:r>
      <w:r>
        <w:rPr>
          <w:rFonts w:hint="eastAsia" w:ascii="宋体" w:hAnsi="宋体" w:eastAsia="宋体" w:cs="宋体"/>
          <w:sz w:val="21"/>
          <w:szCs w:val="21"/>
        </w:rPr>
        <w:t>技术要求“</w:t>
      </w:r>
      <w:r>
        <w:rPr>
          <w:rFonts w:hint="eastAsia" w:ascii="宋体" w:hAnsi="宋体" w:eastAsia="宋体" w:cs="宋体"/>
          <w:bCs/>
          <w:snapToGrid w:val="0"/>
          <w:kern w:val="0"/>
          <w:sz w:val="21"/>
          <w:szCs w:val="21"/>
        </w:rPr>
        <w:t>采购标的名称和具体参数值或功能要求表述”及“数量及单位”内容逐项填写。</w:t>
      </w:r>
    </w:p>
    <w:p w14:paraId="546AA4A6">
      <w:pPr>
        <w:pStyle w:val="8"/>
        <w:adjustRightInd w:val="0"/>
        <w:snapToGrid w:val="0"/>
        <w:spacing w:line="360" w:lineRule="auto"/>
        <w:ind w:firstLine="388" w:firstLineChars="200"/>
        <w:rPr>
          <w:rFonts w:hint="eastAsia" w:ascii="宋体" w:hAnsi="宋体" w:eastAsia="宋体" w:cs="宋体"/>
          <w:bCs/>
          <w:snapToGrid w:val="0"/>
          <w:kern w:val="0"/>
          <w:sz w:val="21"/>
          <w:szCs w:val="21"/>
        </w:rPr>
      </w:pPr>
      <w:r>
        <w:rPr>
          <w:rFonts w:hint="eastAsia" w:ascii="宋体" w:hAnsi="宋体" w:eastAsia="宋体" w:cs="宋体"/>
          <w:bCs/>
          <w:snapToGrid w:val="0"/>
          <w:kern w:val="0"/>
          <w:sz w:val="21"/>
          <w:szCs w:val="21"/>
        </w:rPr>
        <w:t>2.“投标文件对具体参数值或功能要求表述</w:t>
      </w:r>
      <w:r>
        <w:rPr>
          <w:rFonts w:hint="eastAsia" w:ascii="宋体" w:hAnsi="宋体" w:eastAsia="宋体" w:cs="宋体"/>
          <w:bCs/>
          <w:snapToGrid w:val="0"/>
          <w:kern w:val="0"/>
          <w:sz w:val="21"/>
          <w:szCs w:val="21"/>
          <w:lang w:val="zh-CN"/>
        </w:rPr>
        <w:t>应答</w:t>
      </w:r>
      <w:r>
        <w:rPr>
          <w:rFonts w:hint="eastAsia" w:ascii="宋体" w:hAnsi="宋体" w:eastAsia="宋体" w:cs="宋体"/>
          <w:bCs/>
          <w:snapToGrid w:val="0"/>
          <w:kern w:val="0"/>
          <w:sz w:val="21"/>
          <w:szCs w:val="21"/>
        </w:rPr>
        <w:t>”及“投标文件对数量及单位应答”一栏必须详细填写投标产品的具体参数</w:t>
      </w:r>
      <w:r>
        <w:rPr>
          <w:rFonts w:hint="eastAsia" w:ascii="宋体" w:hAnsi="宋体" w:eastAsia="宋体" w:cs="宋体"/>
          <w:sz w:val="21"/>
          <w:szCs w:val="21"/>
        </w:rPr>
        <w:t>值或</w:t>
      </w:r>
      <w:r>
        <w:rPr>
          <w:rFonts w:hint="eastAsia" w:ascii="宋体" w:hAnsi="宋体" w:eastAsia="宋体" w:cs="宋体"/>
          <w:bCs/>
          <w:snapToGrid w:val="0"/>
          <w:kern w:val="0"/>
          <w:sz w:val="21"/>
          <w:szCs w:val="21"/>
        </w:rPr>
        <w:t>功能要求表述、数量及单位，并应对照本招标文件第二章《项目招标需求》中“具体参数</w:t>
      </w:r>
      <w:r>
        <w:rPr>
          <w:rFonts w:hint="eastAsia" w:ascii="宋体" w:hAnsi="宋体" w:eastAsia="宋体" w:cs="宋体"/>
          <w:sz w:val="21"/>
          <w:szCs w:val="21"/>
        </w:rPr>
        <w:t>值或功能要求表述</w:t>
      </w:r>
      <w:r>
        <w:rPr>
          <w:rFonts w:hint="eastAsia" w:ascii="宋体" w:hAnsi="宋体" w:eastAsia="宋体" w:cs="宋体"/>
          <w:bCs/>
          <w:snapToGrid w:val="0"/>
          <w:kern w:val="0"/>
          <w:sz w:val="21"/>
          <w:szCs w:val="21"/>
        </w:rPr>
        <w:t>”及“数量及单位”对应响应。在本表中</w:t>
      </w:r>
      <w:r>
        <w:rPr>
          <w:rFonts w:hint="eastAsia" w:ascii="宋体" w:hAnsi="宋体" w:eastAsia="宋体" w:cs="宋体"/>
          <w:sz w:val="21"/>
          <w:szCs w:val="21"/>
        </w:rPr>
        <w:t>未提供所投产品的具体参数值或功能要求表述、</w:t>
      </w:r>
      <w:r>
        <w:rPr>
          <w:rFonts w:hint="eastAsia" w:ascii="宋体" w:hAnsi="宋体" w:eastAsia="宋体" w:cs="宋体"/>
          <w:bCs/>
          <w:snapToGrid w:val="0"/>
          <w:kern w:val="0"/>
          <w:sz w:val="21"/>
          <w:szCs w:val="21"/>
        </w:rPr>
        <w:t>数量及单位</w:t>
      </w:r>
      <w:r>
        <w:rPr>
          <w:rFonts w:hint="eastAsia" w:ascii="宋体" w:hAnsi="宋体" w:eastAsia="宋体" w:cs="宋体"/>
          <w:sz w:val="21"/>
          <w:szCs w:val="21"/>
        </w:rPr>
        <w:t>，或原文复制招标文件</w:t>
      </w:r>
      <w:r>
        <w:rPr>
          <w:rFonts w:hint="eastAsia" w:ascii="宋体" w:hAnsi="宋体" w:eastAsia="宋体" w:cs="宋体"/>
          <w:bCs/>
          <w:snapToGrid w:val="0"/>
          <w:kern w:val="0"/>
          <w:sz w:val="21"/>
          <w:szCs w:val="21"/>
        </w:rPr>
        <w:t>第二章《项目招标需求》中</w:t>
      </w:r>
      <w:r>
        <w:rPr>
          <w:rFonts w:hint="eastAsia" w:ascii="宋体" w:hAnsi="宋体" w:eastAsia="宋体" w:cs="宋体"/>
          <w:sz w:val="21"/>
          <w:szCs w:val="21"/>
        </w:rPr>
        <w:t>的具体参数值或功能要求表述内容，导致评标委员会据此认定未实质性响应招标文件技术要求或该项技术得分受到影响的，是投标人的风险。</w:t>
      </w:r>
    </w:p>
    <w:p w14:paraId="219E4CCF">
      <w:pPr>
        <w:pStyle w:val="8"/>
        <w:adjustRightInd w:val="0"/>
        <w:snapToGrid w:val="0"/>
        <w:spacing w:line="360" w:lineRule="auto"/>
        <w:ind w:firstLine="388" w:firstLineChars="200"/>
        <w:rPr>
          <w:rFonts w:hint="eastAsia" w:ascii="宋体" w:hAnsi="宋体" w:eastAsia="宋体" w:cs="宋体"/>
          <w:bCs/>
          <w:snapToGrid w:val="0"/>
          <w:kern w:val="0"/>
          <w:sz w:val="21"/>
          <w:szCs w:val="21"/>
        </w:rPr>
      </w:pPr>
      <w:r>
        <w:rPr>
          <w:rFonts w:hint="eastAsia" w:ascii="宋体" w:hAnsi="宋体" w:eastAsia="宋体" w:cs="宋体"/>
          <w:bCs/>
          <w:snapToGrid w:val="0"/>
          <w:kern w:val="0"/>
          <w:sz w:val="21"/>
          <w:szCs w:val="21"/>
        </w:rPr>
        <w:t>3.“偏离情况”一栏应如实填写“正偏离”、“负偏离”或“无偏离”。</w:t>
      </w:r>
    </w:p>
    <w:p w14:paraId="5740BFE9">
      <w:pPr>
        <w:pStyle w:val="8"/>
        <w:adjustRightInd w:val="0"/>
        <w:snapToGrid w:val="0"/>
        <w:spacing w:line="360" w:lineRule="auto"/>
        <w:ind w:firstLine="388" w:firstLineChars="200"/>
        <w:rPr>
          <w:rFonts w:hint="eastAsia" w:ascii="宋体" w:hAnsi="宋体" w:eastAsia="宋体" w:cs="宋体"/>
          <w:sz w:val="21"/>
          <w:szCs w:val="21"/>
        </w:rPr>
      </w:pPr>
      <w:r>
        <w:rPr>
          <w:rFonts w:hint="eastAsia" w:ascii="宋体" w:hAnsi="宋体" w:eastAsia="宋体" w:cs="宋体"/>
          <w:bCs/>
          <w:snapToGrid w:val="0"/>
          <w:kern w:val="0"/>
          <w:sz w:val="21"/>
          <w:szCs w:val="21"/>
        </w:rPr>
        <w:t>4．投标产品的</w:t>
      </w:r>
      <w:r>
        <w:rPr>
          <w:rFonts w:hint="eastAsia" w:ascii="宋体" w:hAnsi="宋体" w:eastAsia="宋体" w:cs="宋体"/>
          <w:sz w:val="21"/>
          <w:szCs w:val="21"/>
        </w:rPr>
        <w:t>具体参数值或功能要求表述</w:t>
      </w:r>
      <w:r>
        <w:rPr>
          <w:rFonts w:hint="eastAsia" w:ascii="宋体" w:hAnsi="宋体" w:eastAsia="宋体" w:cs="宋体"/>
          <w:bCs/>
          <w:snapToGrid w:val="0"/>
          <w:kern w:val="0"/>
          <w:sz w:val="21"/>
          <w:szCs w:val="21"/>
        </w:rPr>
        <w:t>应尽可能在本部分“</w:t>
      </w:r>
      <w:r>
        <w:rPr>
          <w:rFonts w:hint="eastAsia" w:ascii="宋体" w:hAnsi="宋体" w:eastAsia="宋体" w:cs="宋体"/>
          <w:sz w:val="21"/>
          <w:szCs w:val="21"/>
        </w:rPr>
        <w:t>招标文件要求提供或投标人认为需要提供的其它技术资料</w:t>
      </w:r>
      <w:r>
        <w:rPr>
          <w:rFonts w:hint="eastAsia" w:ascii="宋体" w:hAnsi="宋体" w:eastAsia="宋体" w:cs="宋体"/>
          <w:bCs/>
          <w:snapToGrid w:val="0"/>
          <w:kern w:val="0"/>
          <w:sz w:val="21"/>
          <w:szCs w:val="21"/>
        </w:rPr>
        <w:t>”</w:t>
      </w:r>
      <w:r>
        <w:rPr>
          <w:rFonts w:hint="eastAsia" w:ascii="宋体" w:hAnsi="宋体" w:eastAsia="宋体" w:cs="宋体"/>
          <w:sz w:val="21"/>
          <w:szCs w:val="21"/>
        </w:rPr>
        <w:t>中提</w:t>
      </w:r>
      <w:r>
        <w:rPr>
          <w:rFonts w:hint="eastAsia" w:ascii="宋体" w:hAnsi="宋体" w:eastAsia="宋体" w:cs="宋体"/>
          <w:bCs/>
          <w:snapToGrid w:val="0"/>
          <w:kern w:val="0"/>
          <w:sz w:val="21"/>
          <w:szCs w:val="21"/>
        </w:rPr>
        <w:t>供相应的证</w:t>
      </w:r>
      <w:r>
        <w:rPr>
          <w:rFonts w:hint="eastAsia" w:ascii="宋体" w:hAnsi="宋体" w:eastAsia="宋体" w:cs="宋体"/>
          <w:sz w:val="21"/>
          <w:szCs w:val="21"/>
        </w:rPr>
        <w:t>明材料，以证明投标人响应的真实性。投标人应在“说明”一栏中列出技术参数的证明材料名称及在投标文件中的相应页码。招标文件第二章《项目招标需求》中要求必须提供证明材料的，投标人必须提供,如未提供证明材料或证明材料无效的，将按照投标无效处理。</w:t>
      </w:r>
    </w:p>
    <w:p w14:paraId="7DD735A0">
      <w:pPr>
        <w:pStyle w:val="8"/>
        <w:adjustRightInd w:val="0"/>
        <w:snapToGrid w:val="0"/>
        <w:spacing w:line="360" w:lineRule="auto"/>
        <w:ind w:firstLine="388" w:firstLineChars="200"/>
        <w:rPr>
          <w:rFonts w:hint="eastAsia" w:ascii="宋体" w:hAnsi="宋体" w:eastAsia="宋体" w:cs="宋体"/>
          <w:sz w:val="21"/>
          <w:szCs w:val="21"/>
        </w:rPr>
      </w:pPr>
      <w:r>
        <w:rPr>
          <w:rFonts w:hint="eastAsia" w:ascii="宋体" w:hAnsi="宋体" w:eastAsia="宋体" w:cs="宋体"/>
          <w:sz w:val="21"/>
          <w:szCs w:val="21"/>
        </w:rPr>
        <w:t>5．证明资料均为原件扫描件，只能为以下形式之一或多种，否则将按照证明材料无效处理。</w:t>
      </w:r>
    </w:p>
    <w:p w14:paraId="5C5CEB6D">
      <w:pPr>
        <w:pStyle w:val="8"/>
        <w:adjustRightInd w:val="0"/>
        <w:snapToGrid w:val="0"/>
        <w:spacing w:line="360" w:lineRule="auto"/>
        <w:ind w:firstLine="388" w:firstLineChars="200"/>
        <w:rPr>
          <w:rFonts w:hint="eastAsia" w:ascii="宋体" w:hAnsi="宋体" w:eastAsia="宋体" w:cs="宋体"/>
          <w:sz w:val="21"/>
          <w:szCs w:val="21"/>
        </w:rPr>
      </w:pPr>
      <w:r>
        <w:rPr>
          <w:rFonts w:hint="eastAsia" w:ascii="宋体" w:hAnsi="宋体" w:eastAsia="宋体" w:cs="宋体"/>
          <w:bCs/>
          <w:snapToGrid w:val="0"/>
          <w:kern w:val="0"/>
          <w:sz w:val="21"/>
          <w:szCs w:val="21"/>
        </w:rPr>
        <w:t>（1）</w:t>
      </w:r>
      <w:r>
        <w:rPr>
          <w:rFonts w:hint="eastAsia" w:ascii="宋体" w:hAnsi="宋体" w:eastAsia="宋体" w:cs="宋体"/>
          <w:sz w:val="21"/>
          <w:szCs w:val="21"/>
        </w:rPr>
        <w:t>投标产品的官网截图：投标产品的制造商官方网站截图应是制造商对外公开发布的信息，提供外文官网截图的，必须同时提供加盖投标产品制造商公章的对应外文官网截图的中文翻译说明，评审依据以中文翻译内容为准，外文官网截图仅供参考。产品官网截图的尺寸和清晰度应该能够被阅读、识别和判断；</w:t>
      </w:r>
    </w:p>
    <w:p w14:paraId="5EF9829E">
      <w:pPr>
        <w:pStyle w:val="8"/>
        <w:adjustRightInd w:val="0"/>
        <w:snapToGrid w:val="0"/>
        <w:spacing w:line="360" w:lineRule="auto"/>
        <w:ind w:firstLine="388" w:firstLineChars="200"/>
        <w:rPr>
          <w:rFonts w:hint="eastAsia" w:ascii="宋体" w:hAnsi="宋体" w:eastAsia="宋体" w:cs="宋体"/>
          <w:sz w:val="21"/>
          <w:szCs w:val="21"/>
        </w:rPr>
      </w:pPr>
      <w:r>
        <w:rPr>
          <w:rFonts w:hint="eastAsia" w:ascii="宋体" w:hAnsi="宋体" w:eastAsia="宋体" w:cs="宋体"/>
          <w:bCs/>
          <w:snapToGrid w:val="0"/>
          <w:kern w:val="0"/>
          <w:sz w:val="21"/>
          <w:szCs w:val="21"/>
        </w:rPr>
        <w:t>（2）</w:t>
      </w:r>
      <w:r>
        <w:rPr>
          <w:rFonts w:hint="eastAsia" w:ascii="宋体" w:hAnsi="宋体" w:eastAsia="宋体" w:cs="宋体"/>
          <w:sz w:val="21"/>
          <w:szCs w:val="21"/>
        </w:rPr>
        <w:t>投标产品说明书：投标产品说明书应为制造商公布或出具的中文产品说明书；提供外文说明书的，必须同时提供加盖投标产品制造商公章的对应中文翻译说明，评审依据以中文翻译内容为准，外文说明书仅供参考。产品说明书的尺寸和清晰度应该能够被阅读、识别和判断；</w:t>
      </w:r>
    </w:p>
    <w:p w14:paraId="3EBE70E4">
      <w:pPr>
        <w:pStyle w:val="8"/>
        <w:adjustRightInd w:val="0"/>
        <w:snapToGrid w:val="0"/>
        <w:spacing w:line="360" w:lineRule="auto"/>
        <w:ind w:firstLine="388" w:firstLineChars="200"/>
        <w:rPr>
          <w:rFonts w:hint="eastAsia" w:ascii="宋体" w:hAnsi="宋体" w:eastAsia="宋体" w:cs="宋体"/>
          <w:bCs/>
          <w:snapToGrid w:val="0"/>
          <w:kern w:val="0"/>
          <w:sz w:val="21"/>
          <w:szCs w:val="21"/>
        </w:rPr>
      </w:pPr>
      <w:r>
        <w:rPr>
          <w:rFonts w:hint="eastAsia" w:ascii="宋体" w:hAnsi="宋体" w:eastAsia="宋体" w:cs="宋体"/>
          <w:bCs/>
          <w:snapToGrid w:val="0"/>
          <w:kern w:val="0"/>
          <w:sz w:val="21"/>
          <w:szCs w:val="21"/>
        </w:rPr>
        <w:t>（3）投标产品的宣传彩页：宣传彩页应为制造商公布或出具的中文彩页；提供外文宣传彩页的，必须同时提供加盖投标产品制造商公章的对应中文翻译说明，评审依据以中文翻译内容为准，外文宣传彩页仅供参考。宣传彩页的尺寸和清晰度应该能够被阅读、识别和判断；</w:t>
      </w:r>
    </w:p>
    <w:p w14:paraId="0EB60B65">
      <w:pPr>
        <w:pStyle w:val="8"/>
        <w:adjustRightInd w:val="0"/>
        <w:snapToGrid w:val="0"/>
        <w:spacing w:line="360" w:lineRule="auto"/>
        <w:ind w:firstLine="388" w:firstLineChars="200"/>
        <w:rPr>
          <w:rFonts w:hint="eastAsia" w:ascii="宋体" w:hAnsi="宋体" w:eastAsia="宋体" w:cs="宋体"/>
          <w:bCs/>
          <w:snapToGrid w:val="0"/>
          <w:kern w:val="0"/>
          <w:sz w:val="21"/>
          <w:szCs w:val="21"/>
        </w:rPr>
      </w:pPr>
      <w:r>
        <w:rPr>
          <w:rFonts w:hint="eastAsia" w:ascii="宋体" w:hAnsi="宋体" w:eastAsia="宋体" w:cs="宋体"/>
          <w:bCs/>
          <w:snapToGrid w:val="0"/>
          <w:kern w:val="0"/>
          <w:sz w:val="21"/>
          <w:szCs w:val="21"/>
        </w:rPr>
        <w:t xml:space="preserve">（4）具有我国检测（检验或测试）资质（格）的第三方检测（检验或测试）机构出具的检测、检验或测试报告：检测、检验或测试报告的尺寸和清晰度应该能够被阅读、识别和判断。  </w:t>
      </w:r>
    </w:p>
    <w:p w14:paraId="1B5A53B6">
      <w:pPr>
        <w:adjustRightInd w:val="0"/>
        <w:snapToGrid w:val="0"/>
        <w:spacing w:line="360" w:lineRule="auto"/>
        <w:ind w:firstLine="388" w:firstLineChars="200"/>
        <w:rPr>
          <w:rFonts w:hint="eastAsia" w:ascii="宋体" w:hAnsi="宋体" w:cs="宋体"/>
          <w:bCs/>
          <w:snapToGrid w:val="0"/>
          <w:kern w:val="0"/>
          <w:szCs w:val="21"/>
        </w:rPr>
      </w:pPr>
    </w:p>
    <w:p w14:paraId="231FECF5">
      <w:pPr>
        <w:adjustRightInd w:val="0"/>
        <w:snapToGrid w:val="0"/>
        <w:spacing w:line="360" w:lineRule="auto"/>
        <w:ind w:firstLine="388" w:firstLineChars="200"/>
        <w:rPr>
          <w:rFonts w:hint="eastAsia" w:ascii="宋体" w:hAnsi="宋体" w:cs="宋体"/>
          <w:bCs/>
          <w:snapToGrid w:val="0"/>
          <w:kern w:val="0"/>
          <w:szCs w:val="21"/>
        </w:rPr>
      </w:pPr>
      <w:r>
        <w:rPr>
          <w:rFonts w:hint="eastAsia" w:ascii="宋体" w:hAnsi="宋体" w:cs="宋体"/>
          <w:bCs/>
          <w:snapToGrid w:val="0"/>
          <w:kern w:val="0"/>
          <w:szCs w:val="21"/>
        </w:rPr>
        <w:t xml:space="preserve">投标人名称（签章）： </w:t>
      </w:r>
      <w:r>
        <w:rPr>
          <w:rFonts w:hint="eastAsia" w:ascii="宋体" w:hAnsi="宋体" w:cs="宋体"/>
          <w:szCs w:val="21"/>
          <w:u w:val="single"/>
        </w:rPr>
        <w:t xml:space="preserve">                                    </w:t>
      </w:r>
      <w:r>
        <w:rPr>
          <w:rFonts w:hint="eastAsia" w:ascii="宋体" w:hAnsi="宋体" w:cs="宋体"/>
          <w:bCs/>
          <w:snapToGrid w:val="0"/>
          <w:kern w:val="0"/>
          <w:szCs w:val="21"/>
        </w:rPr>
        <w:t xml:space="preserve">                                   </w:t>
      </w:r>
    </w:p>
    <w:p w14:paraId="180D30DC">
      <w:pPr>
        <w:adjustRightInd w:val="0"/>
        <w:snapToGrid w:val="0"/>
        <w:spacing w:line="360" w:lineRule="auto"/>
        <w:ind w:firstLine="388" w:firstLineChars="200"/>
        <w:rPr>
          <w:rFonts w:hint="eastAsia" w:ascii="宋体" w:hAnsi="宋体" w:cs="宋体"/>
          <w:bCs/>
          <w:snapToGrid w:val="0"/>
          <w:kern w:val="0"/>
          <w:szCs w:val="21"/>
        </w:rPr>
      </w:pPr>
      <w:r>
        <w:rPr>
          <w:rFonts w:hint="eastAsia" w:ascii="宋体" w:hAnsi="宋体" w:cs="宋体"/>
          <w:bCs/>
          <w:snapToGrid w:val="0"/>
          <w:kern w:val="0"/>
          <w:szCs w:val="21"/>
        </w:rPr>
        <w:t>法定代表人（单位负责人）</w:t>
      </w:r>
    </w:p>
    <w:p w14:paraId="7B12D992">
      <w:pPr>
        <w:adjustRightInd w:val="0"/>
        <w:snapToGrid w:val="0"/>
        <w:spacing w:line="360" w:lineRule="auto"/>
        <w:ind w:firstLine="388" w:firstLineChars="200"/>
        <w:rPr>
          <w:rFonts w:hint="eastAsia" w:ascii="宋体" w:hAnsi="宋体" w:cs="宋体"/>
          <w:bCs/>
          <w:snapToGrid w:val="0"/>
          <w:kern w:val="0"/>
          <w:szCs w:val="21"/>
        </w:rPr>
      </w:pPr>
      <w:r>
        <w:rPr>
          <w:rFonts w:hint="eastAsia" w:ascii="宋体" w:hAnsi="宋体" w:cs="宋体"/>
          <w:bCs/>
          <w:snapToGrid w:val="0"/>
          <w:kern w:val="0"/>
          <w:szCs w:val="21"/>
        </w:rPr>
        <w:t>或授权代表（签   章）：</w:t>
      </w:r>
      <w:r>
        <w:rPr>
          <w:rFonts w:hint="eastAsia" w:ascii="宋体" w:hAnsi="宋体" w:cs="宋体"/>
          <w:szCs w:val="21"/>
          <w:u w:val="single"/>
        </w:rPr>
        <w:t xml:space="preserve">                                </w:t>
      </w:r>
      <w:r>
        <w:rPr>
          <w:rFonts w:hint="eastAsia" w:ascii="宋体" w:hAnsi="宋体" w:cs="宋体"/>
          <w:bCs/>
          <w:snapToGrid w:val="0"/>
          <w:kern w:val="0"/>
          <w:szCs w:val="21"/>
        </w:rPr>
        <w:t xml:space="preserve">                                </w:t>
      </w:r>
    </w:p>
    <w:p w14:paraId="68C01238">
      <w:pPr>
        <w:adjustRightInd w:val="0"/>
        <w:snapToGrid w:val="0"/>
        <w:spacing w:line="360" w:lineRule="auto"/>
        <w:ind w:firstLine="1746" w:firstLineChars="900"/>
        <w:outlineLvl w:val="0"/>
        <w:rPr>
          <w:rFonts w:hint="eastAsia" w:ascii="宋体" w:hAnsi="宋体" w:cs="宋体"/>
          <w:bCs/>
          <w:snapToGrid w:val="0"/>
          <w:kern w:val="0"/>
          <w:szCs w:val="21"/>
        </w:rPr>
      </w:pPr>
      <w:r>
        <w:rPr>
          <w:rFonts w:hint="eastAsia" w:ascii="宋体" w:hAnsi="宋体" w:cs="宋体"/>
          <w:bCs/>
          <w:snapToGrid w:val="0"/>
          <w:kern w:val="0"/>
          <w:szCs w:val="21"/>
        </w:rPr>
        <w:t xml:space="preserve">                 </w:t>
      </w:r>
    </w:p>
    <w:p w14:paraId="6443FD19">
      <w:pPr>
        <w:pStyle w:val="8"/>
        <w:adjustRightInd w:val="0"/>
        <w:snapToGrid w:val="0"/>
        <w:spacing w:line="360" w:lineRule="auto"/>
        <w:ind w:firstLine="388" w:firstLineChars="200"/>
        <w:rPr>
          <w:rFonts w:hint="eastAsia" w:ascii="宋体" w:hAnsi="宋体" w:eastAsia="宋体" w:cs="宋体"/>
          <w:snapToGrid w:val="0"/>
          <w:kern w:val="0"/>
          <w:sz w:val="21"/>
          <w:szCs w:val="21"/>
        </w:rPr>
      </w:pPr>
      <w:r>
        <w:rPr>
          <w:rFonts w:hint="eastAsia" w:ascii="宋体" w:hAnsi="宋体" w:eastAsia="宋体" w:cs="宋体"/>
          <w:bCs/>
          <w:snapToGrid w:val="0"/>
          <w:kern w:val="0"/>
          <w:sz w:val="21"/>
          <w:szCs w:val="21"/>
        </w:rPr>
        <w:t>日期：</w:t>
      </w:r>
      <w:r>
        <w:rPr>
          <w:rFonts w:hint="eastAsia" w:ascii="宋体" w:hAnsi="宋体" w:eastAsia="宋体" w:cs="宋体"/>
          <w:snapToGrid w:val="0"/>
          <w:kern w:val="0"/>
          <w:sz w:val="21"/>
          <w:szCs w:val="21"/>
          <w:u w:val="single"/>
        </w:rPr>
        <w:t xml:space="preserve">     </w:t>
      </w:r>
      <w:r>
        <w:rPr>
          <w:rFonts w:hint="eastAsia" w:ascii="宋体" w:hAnsi="宋体" w:eastAsia="宋体" w:cs="宋体"/>
          <w:snapToGrid w:val="0"/>
          <w:kern w:val="0"/>
          <w:sz w:val="21"/>
          <w:szCs w:val="21"/>
        </w:rPr>
        <w:t>年</w:t>
      </w:r>
      <w:r>
        <w:rPr>
          <w:rFonts w:hint="eastAsia" w:ascii="宋体" w:hAnsi="宋体" w:eastAsia="宋体" w:cs="宋体"/>
          <w:snapToGrid w:val="0"/>
          <w:kern w:val="0"/>
          <w:sz w:val="21"/>
          <w:szCs w:val="21"/>
          <w:u w:val="single"/>
        </w:rPr>
        <w:t xml:space="preserve">   </w:t>
      </w:r>
      <w:r>
        <w:rPr>
          <w:rFonts w:hint="eastAsia" w:ascii="宋体" w:hAnsi="宋体" w:eastAsia="宋体" w:cs="宋体"/>
          <w:snapToGrid w:val="0"/>
          <w:kern w:val="0"/>
          <w:sz w:val="21"/>
          <w:szCs w:val="21"/>
        </w:rPr>
        <w:t>月</w:t>
      </w:r>
      <w:r>
        <w:rPr>
          <w:rFonts w:hint="eastAsia" w:ascii="宋体" w:hAnsi="宋体" w:eastAsia="宋体" w:cs="宋体"/>
          <w:snapToGrid w:val="0"/>
          <w:kern w:val="0"/>
          <w:sz w:val="21"/>
          <w:szCs w:val="21"/>
          <w:u w:val="single"/>
        </w:rPr>
        <w:t xml:space="preserve">   </w:t>
      </w:r>
      <w:r>
        <w:rPr>
          <w:rFonts w:hint="eastAsia" w:ascii="宋体" w:hAnsi="宋体" w:eastAsia="宋体" w:cs="宋体"/>
          <w:snapToGrid w:val="0"/>
          <w:kern w:val="0"/>
          <w:sz w:val="21"/>
          <w:szCs w:val="21"/>
        </w:rPr>
        <w:t>日</w:t>
      </w:r>
    </w:p>
    <w:p w14:paraId="0EA8F9EA">
      <w:pPr>
        <w:autoSpaceDE w:val="0"/>
        <w:autoSpaceDN w:val="0"/>
        <w:adjustRightInd w:val="0"/>
        <w:spacing w:before="156" w:beforeLines="50" w:after="156" w:afterLines="50" w:line="360" w:lineRule="auto"/>
        <w:rPr>
          <w:rFonts w:hint="eastAsia" w:ascii="宋体" w:hAnsi="宋体" w:cs="宋体"/>
          <w:bCs/>
          <w:snapToGrid w:val="0"/>
          <w:kern w:val="0"/>
          <w:szCs w:val="21"/>
        </w:rPr>
      </w:pPr>
    </w:p>
    <w:p w14:paraId="49B0AC43">
      <w:pPr>
        <w:spacing w:line="360" w:lineRule="auto"/>
        <w:rPr>
          <w:rFonts w:hint="eastAsia" w:ascii="宋体" w:hAnsi="宋体" w:cs="宋体"/>
          <w:kern w:val="0"/>
          <w:sz w:val="24"/>
        </w:rPr>
      </w:pPr>
      <w:r>
        <w:rPr>
          <w:rFonts w:hint="eastAsia" w:ascii="宋体" w:hAnsi="宋体" w:cs="宋体"/>
          <w:kern w:val="0"/>
          <w:sz w:val="24"/>
        </w:rPr>
        <w:t xml:space="preserve">                             </w:t>
      </w:r>
    </w:p>
    <w:p w14:paraId="18834188">
      <w:pPr>
        <w:rPr>
          <w:rFonts w:hint="eastAsia" w:ascii="宋体" w:hAnsi="宋体" w:cs="宋体"/>
          <w:kern w:val="0"/>
          <w:sz w:val="24"/>
        </w:rPr>
      </w:pPr>
      <w:r>
        <w:rPr>
          <w:rFonts w:hint="eastAsia" w:ascii="宋体" w:hAnsi="宋体" w:cs="宋体"/>
          <w:kern w:val="0"/>
          <w:sz w:val="24"/>
        </w:rPr>
        <w:br w:type="page"/>
      </w:r>
    </w:p>
    <w:p w14:paraId="2BFFF849">
      <w:pPr>
        <w:spacing w:line="360" w:lineRule="auto"/>
        <w:rPr>
          <w:rFonts w:hint="eastAsia" w:ascii="宋体" w:hAnsi="宋体" w:cs="宋体"/>
          <w:bCs/>
          <w:kern w:val="0"/>
          <w:sz w:val="30"/>
          <w:szCs w:val="30"/>
        </w:rPr>
      </w:pPr>
      <w:r>
        <w:rPr>
          <w:rFonts w:hint="eastAsia" w:ascii="宋体" w:hAnsi="宋体" w:cs="宋体"/>
          <w:kern w:val="0"/>
          <w:sz w:val="24"/>
        </w:rPr>
        <w:t xml:space="preserve"> </w:t>
      </w:r>
      <w:r>
        <w:rPr>
          <w:rFonts w:hint="eastAsia" w:ascii="宋体" w:hAnsi="宋体" w:cs="宋体"/>
          <w:bCs/>
          <w:kern w:val="0"/>
          <w:sz w:val="30"/>
          <w:szCs w:val="30"/>
        </w:rPr>
        <w:t>二、进口产品说明</w:t>
      </w:r>
    </w:p>
    <w:p w14:paraId="7AC5A3E9">
      <w:pPr>
        <w:autoSpaceDE w:val="0"/>
        <w:autoSpaceDN w:val="0"/>
        <w:adjustRightInd w:val="0"/>
        <w:spacing w:before="156" w:beforeLines="50" w:after="156" w:afterLines="50" w:line="360" w:lineRule="auto"/>
        <w:rPr>
          <w:rFonts w:hint="eastAsia" w:ascii="宋体" w:hAnsi="宋体" w:cs="宋体"/>
          <w:bCs/>
          <w:kern w:val="0"/>
          <w:sz w:val="24"/>
        </w:rPr>
      </w:pPr>
      <w:r>
        <w:rPr>
          <w:rFonts w:hint="eastAsia" w:ascii="宋体" w:hAnsi="宋体" w:cs="宋体"/>
          <w:bCs/>
          <w:kern w:val="0"/>
          <w:sz w:val="30"/>
          <w:szCs w:val="30"/>
        </w:rPr>
        <w:t xml:space="preserve">                        </w:t>
      </w:r>
      <w:r>
        <w:rPr>
          <w:rFonts w:hint="eastAsia" w:ascii="宋体" w:hAnsi="宋体" w:cs="宋体"/>
          <w:bCs/>
          <w:kern w:val="0"/>
          <w:sz w:val="24"/>
        </w:rPr>
        <w:t>（如果是，提供）</w:t>
      </w:r>
    </w:p>
    <w:p w14:paraId="60F9B12B">
      <w:pPr>
        <w:adjustRightInd w:val="0"/>
        <w:snapToGrid w:val="0"/>
        <w:spacing w:line="360" w:lineRule="auto"/>
        <w:rPr>
          <w:rFonts w:hint="eastAsia" w:ascii="宋体" w:hAnsi="宋体" w:cs="宋体"/>
          <w:b/>
          <w:bCs/>
          <w:kern w:val="0"/>
          <w:sz w:val="30"/>
          <w:szCs w:val="30"/>
        </w:rPr>
      </w:pPr>
    </w:p>
    <w:p w14:paraId="772DA7A1">
      <w:pPr>
        <w:autoSpaceDE w:val="0"/>
        <w:autoSpaceDN w:val="0"/>
        <w:adjustRightInd w:val="0"/>
        <w:spacing w:line="360" w:lineRule="auto"/>
        <w:ind w:firstLine="448" w:firstLineChars="200"/>
        <w:jc w:val="left"/>
        <w:rPr>
          <w:rFonts w:hint="eastAsia" w:ascii="宋体" w:hAnsi="宋体" w:cs="宋体"/>
          <w:kern w:val="0"/>
          <w:sz w:val="24"/>
        </w:rPr>
      </w:pPr>
      <w:r>
        <w:rPr>
          <w:rFonts w:hint="eastAsia" w:ascii="宋体" w:hAnsi="宋体" w:cs="宋体"/>
          <w:kern w:val="0"/>
          <w:sz w:val="24"/>
        </w:rPr>
        <w:t>如投报货物包含进口产品，按下表格式填报进口产品相关信息。（1、除第二章《项目采购需求》中允许投报进口产品的外，供应商不得投报进口产品。2、如允许投报进口产品，不得排斥和限制国产产品参与。）</w:t>
      </w:r>
    </w:p>
    <w:p w14:paraId="2FCCC8A5">
      <w:pPr>
        <w:autoSpaceDE w:val="0"/>
        <w:autoSpaceDN w:val="0"/>
        <w:adjustRightInd w:val="0"/>
        <w:spacing w:line="360" w:lineRule="auto"/>
        <w:jc w:val="left"/>
        <w:rPr>
          <w:rFonts w:hint="eastAsia" w:ascii="宋体" w:hAnsi="宋体" w:cs="宋体"/>
          <w:kern w:val="0"/>
          <w:sz w:val="24"/>
        </w:rPr>
      </w:pPr>
    </w:p>
    <w:tbl>
      <w:tblPr>
        <w:tblStyle w:val="15"/>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570"/>
        <w:gridCol w:w="989"/>
        <w:gridCol w:w="2944"/>
        <w:gridCol w:w="708"/>
        <w:gridCol w:w="2410"/>
        <w:gridCol w:w="896"/>
      </w:tblGrid>
      <w:tr w14:paraId="45A8B7D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70" w:type="dxa"/>
            <w:vAlign w:val="center"/>
          </w:tcPr>
          <w:p w14:paraId="34C1A4D7">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序号</w:t>
            </w:r>
          </w:p>
        </w:tc>
        <w:tc>
          <w:tcPr>
            <w:tcW w:w="989" w:type="dxa"/>
            <w:vAlign w:val="center"/>
          </w:tcPr>
          <w:p w14:paraId="051AC12F">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进口产品名称</w:t>
            </w:r>
          </w:p>
        </w:tc>
        <w:tc>
          <w:tcPr>
            <w:tcW w:w="2944" w:type="dxa"/>
            <w:vAlign w:val="center"/>
          </w:tcPr>
          <w:p w14:paraId="35BE626A">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品牌、型号、规格</w:t>
            </w:r>
          </w:p>
        </w:tc>
        <w:tc>
          <w:tcPr>
            <w:tcW w:w="708" w:type="dxa"/>
            <w:vAlign w:val="center"/>
          </w:tcPr>
          <w:p w14:paraId="4E897082">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数量</w:t>
            </w:r>
          </w:p>
        </w:tc>
        <w:tc>
          <w:tcPr>
            <w:tcW w:w="2410" w:type="dxa"/>
            <w:vAlign w:val="center"/>
          </w:tcPr>
          <w:p w14:paraId="53A0C65D">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制造商名称</w:t>
            </w:r>
          </w:p>
        </w:tc>
        <w:tc>
          <w:tcPr>
            <w:tcW w:w="896" w:type="dxa"/>
            <w:vAlign w:val="center"/>
          </w:tcPr>
          <w:p w14:paraId="640B61B5">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产地</w:t>
            </w:r>
          </w:p>
        </w:tc>
      </w:tr>
      <w:tr w14:paraId="245CA6C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70" w:type="dxa"/>
            <w:vAlign w:val="center"/>
          </w:tcPr>
          <w:p w14:paraId="5A46A64C">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1</w:t>
            </w:r>
          </w:p>
        </w:tc>
        <w:tc>
          <w:tcPr>
            <w:tcW w:w="989" w:type="dxa"/>
            <w:vAlign w:val="center"/>
          </w:tcPr>
          <w:p w14:paraId="3E432B94">
            <w:pPr>
              <w:autoSpaceDE w:val="0"/>
              <w:autoSpaceDN w:val="0"/>
              <w:adjustRightInd w:val="0"/>
              <w:spacing w:line="360" w:lineRule="auto"/>
              <w:jc w:val="center"/>
              <w:rPr>
                <w:rFonts w:hint="eastAsia" w:ascii="宋体" w:hAnsi="宋体" w:cs="宋体"/>
                <w:sz w:val="24"/>
                <w:lang w:val="zh-CN"/>
              </w:rPr>
            </w:pPr>
          </w:p>
        </w:tc>
        <w:tc>
          <w:tcPr>
            <w:tcW w:w="2944" w:type="dxa"/>
            <w:vAlign w:val="center"/>
          </w:tcPr>
          <w:p w14:paraId="3999A682">
            <w:pPr>
              <w:autoSpaceDE w:val="0"/>
              <w:autoSpaceDN w:val="0"/>
              <w:adjustRightInd w:val="0"/>
              <w:spacing w:line="360" w:lineRule="auto"/>
              <w:jc w:val="center"/>
              <w:rPr>
                <w:rFonts w:hint="eastAsia" w:ascii="宋体" w:hAnsi="宋体" w:cs="宋体"/>
                <w:sz w:val="24"/>
                <w:lang w:val="zh-CN"/>
              </w:rPr>
            </w:pPr>
          </w:p>
        </w:tc>
        <w:tc>
          <w:tcPr>
            <w:tcW w:w="708" w:type="dxa"/>
            <w:vAlign w:val="center"/>
          </w:tcPr>
          <w:p w14:paraId="6550D2DB">
            <w:pPr>
              <w:autoSpaceDE w:val="0"/>
              <w:autoSpaceDN w:val="0"/>
              <w:adjustRightInd w:val="0"/>
              <w:spacing w:line="360" w:lineRule="auto"/>
              <w:jc w:val="center"/>
              <w:rPr>
                <w:rFonts w:hint="eastAsia" w:ascii="宋体" w:hAnsi="宋体" w:cs="宋体"/>
                <w:sz w:val="24"/>
                <w:lang w:val="zh-CN"/>
              </w:rPr>
            </w:pPr>
          </w:p>
        </w:tc>
        <w:tc>
          <w:tcPr>
            <w:tcW w:w="2410" w:type="dxa"/>
            <w:vAlign w:val="center"/>
          </w:tcPr>
          <w:p w14:paraId="52D5019E">
            <w:pPr>
              <w:autoSpaceDE w:val="0"/>
              <w:autoSpaceDN w:val="0"/>
              <w:adjustRightInd w:val="0"/>
              <w:spacing w:line="360" w:lineRule="auto"/>
              <w:jc w:val="center"/>
              <w:rPr>
                <w:rFonts w:hint="eastAsia" w:ascii="宋体" w:hAnsi="宋体" w:cs="宋体"/>
                <w:sz w:val="24"/>
                <w:lang w:val="zh-CN"/>
              </w:rPr>
            </w:pPr>
          </w:p>
        </w:tc>
        <w:tc>
          <w:tcPr>
            <w:tcW w:w="896" w:type="dxa"/>
            <w:vAlign w:val="center"/>
          </w:tcPr>
          <w:p w14:paraId="18C64850">
            <w:pPr>
              <w:autoSpaceDE w:val="0"/>
              <w:autoSpaceDN w:val="0"/>
              <w:adjustRightInd w:val="0"/>
              <w:spacing w:line="360" w:lineRule="auto"/>
              <w:jc w:val="center"/>
              <w:rPr>
                <w:rFonts w:hint="eastAsia" w:ascii="宋体" w:hAnsi="宋体" w:cs="宋体"/>
                <w:sz w:val="24"/>
                <w:lang w:val="zh-CN"/>
              </w:rPr>
            </w:pPr>
          </w:p>
        </w:tc>
      </w:tr>
      <w:tr w14:paraId="2FB409C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570" w:type="dxa"/>
            <w:vAlign w:val="center"/>
          </w:tcPr>
          <w:p w14:paraId="449CACE5">
            <w:pPr>
              <w:tabs>
                <w:tab w:val="left" w:pos="82"/>
              </w:tabs>
              <w:adjustRightInd w:val="0"/>
              <w:snapToGrid w:val="0"/>
              <w:spacing w:line="360" w:lineRule="auto"/>
              <w:jc w:val="center"/>
              <w:rPr>
                <w:rFonts w:hint="eastAsia" w:ascii="宋体" w:hAnsi="宋体" w:cs="宋体"/>
                <w:sz w:val="24"/>
              </w:rPr>
            </w:pPr>
            <w:r>
              <w:rPr>
                <w:rFonts w:hint="eastAsia" w:ascii="宋体" w:hAnsi="宋体" w:cs="宋体"/>
                <w:sz w:val="24"/>
              </w:rPr>
              <w:t>2</w:t>
            </w:r>
          </w:p>
        </w:tc>
        <w:tc>
          <w:tcPr>
            <w:tcW w:w="989" w:type="dxa"/>
            <w:vAlign w:val="center"/>
          </w:tcPr>
          <w:p w14:paraId="79F86113">
            <w:pPr>
              <w:spacing w:line="360" w:lineRule="auto"/>
              <w:ind w:left="-44" w:leftChars="-23" w:right="-60" w:rightChars="-31"/>
              <w:jc w:val="left"/>
              <w:rPr>
                <w:rFonts w:hint="eastAsia" w:ascii="宋体" w:hAnsi="宋体" w:cs="宋体"/>
                <w:kern w:val="0"/>
                <w:sz w:val="24"/>
              </w:rPr>
            </w:pPr>
          </w:p>
        </w:tc>
        <w:tc>
          <w:tcPr>
            <w:tcW w:w="2944" w:type="dxa"/>
            <w:vAlign w:val="center"/>
          </w:tcPr>
          <w:p w14:paraId="5313E146">
            <w:pPr>
              <w:spacing w:line="360" w:lineRule="auto"/>
              <w:ind w:left="-44" w:leftChars="-23" w:right="-60" w:rightChars="-31"/>
              <w:jc w:val="left"/>
              <w:rPr>
                <w:rFonts w:hint="eastAsia" w:ascii="宋体" w:hAnsi="宋体" w:cs="宋体"/>
                <w:kern w:val="0"/>
                <w:sz w:val="24"/>
              </w:rPr>
            </w:pPr>
          </w:p>
        </w:tc>
        <w:tc>
          <w:tcPr>
            <w:tcW w:w="708" w:type="dxa"/>
            <w:vAlign w:val="center"/>
          </w:tcPr>
          <w:p w14:paraId="490D201D">
            <w:pPr>
              <w:spacing w:line="360" w:lineRule="auto"/>
              <w:ind w:left="-44" w:leftChars="-23" w:right="-60" w:rightChars="-31"/>
              <w:jc w:val="center"/>
              <w:rPr>
                <w:rFonts w:hint="eastAsia" w:ascii="宋体" w:hAnsi="宋体" w:cs="宋体"/>
                <w:kern w:val="0"/>
                <w:sz w:val="24"/>
              </w:rPr>
            </w:pPr>
          </w:p>
        </w:tc>
        <w:tc>
          <w:tcPr>
            <w:tcW w:w="2410" w:type="dxa"/>
            <w:vAlign w:val="center"/>
          </w:tcPr>
          <w:p w14:paraId="6B7C08CA">
            <w:pPr>
              <w:spacing w:line="360" w:lineRule="auto"/>
              <w:ind w:left="-44" w:leftChars="-23" w:right="-60" w:rightChars="-31"/>
              <w:jc w:val="center"/>
              <w:rPr>
                <w:rFonts w:hint="eastAsia" w:ascii="宋体" w:hAnsi="宋体" w:cs="宋体"/>
                <w:kern w:val="0"/>
                <w:sz w:val="24"/>
              </w:rPr>
            </w:pPr>
          </w:p>
        </w:tc>
        <w:tc>
          <w:tcPr>
            <w:tcW w:w="896" w:type="dxa"/>
          </w:tcPr>
          <w:p w14:paraId="312B4E24">
            <w:pPr>
              <w:spacing w:line="360" w:lineRule="auto"/>
              <w:ind w:left="-44" w:leftChars="-23" w:right="-60" w:rightChars="-31"/>
              <w:jc w:val="left"/>
              <w:rPr>
                <w:rFonts w:hint="eastAsia" w:ascii="宋体" w:hAnsi="宋体" w:cs="宋体"/>
                <w:kern w:val="0"/>
                <w:sz w:val="24"/>
              </w:rPr>
            </w:pPr>
          </w:p>
        </w:tc>
      </w:tr>
      <w:tr w14:paraId="2CBCDDD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570" w:type="dxa"/>
            <w:vAlign w:val="center"/>
          </w:tcPr>
          <w:p w14:paraId="5BA4F75A">
            <w:pPr>
              <w:tabs>
                <w:tab w:val="left" w:pos="82"/>
              </w:tabs>
              <w:adjustRightInd w:val="0"/>
              <w:snapToGrid w:val="0"/>
              <w:spacing w:line="360" w:lineRule="auto"/>
              <w:jc w:val="center"/>
              <w:rPr>
                <w:rFonts w:hint="eastAsia" w:ascii="宋体" w:hAnsi="宋体" w:cs="宋体"/>
                <w:sz w:val="24"/>
              </w:rPr>
            </w:pPr>
            <w:r>
              <w:rPr>
                <w:rFonts w:hint="eastAsia" w:ascii="宋体" w:hAnsi="宋体" w:cs="宋体"/>
                <w:sz w:val="24"/>
              </w:rPr>
              <w:t>3</w:t>
            </w:r>
          </w:p>
        </w:tc>
        <w:tc>
          <w:tcPr>
            <w:tcW w:w="989" w:type="dxa"/>
            <w:vAlign w:val="center"/>
          </w:tcPr>
          <w:p w14:paraId="0C071F13">
            <w:pPr>
              <w:spacing w:line="360" w:lineRule="auto"/>
              <w:ind w:left="-44" w:leftChars="-23" w:right="-60" w:rightChars="-31"/>
              <w:jc w:val="left"/>
              <w:rPr>
                <w:rFonts w:hint="eastAsia" w:ascii="宋体" w:hAnsi="宋体" w:cs="宋体"/>
                <w:kern w:val="0"/>
                <w:sz w:val="24"/>
              </w:rPr>
            </w:pPr>
          </w:p>
        </w:tc>
        <w:tc>
          <w:tcPr>
            <w:tcW w:w="2944" w:type="dxa"/>
            <w:vAlign w:val="center"/>
          </w:tcPr>
          <w:p w14:paraId="758C23EF">
            <w:pPr>
              <w:spacing w:line="360" w:lineRule="auto"/>
              <w:ind w:left="-44" w:leftChars="-23" w:right="-60" w:rightChars="-31"/>
              <w:jc w:val="left"/>
              <w:rPr>
                <w:rFonts w:hint="eastAsia" w:ascii="宋体" w:hAnsi="宋体" w:cs="宋体"/>
                <w:kern w:val="0"/>
                <w:sz w:val="24"/>
              </w:rPr>
            </w:pPr>
          </w:p>
        </w:tc>
        <w:tc>
          <w:tcPr>
            <w:tcW w:w="708" w:type="dxa"/>
            <w:vAlign w:val="center"/>
          </w:tcPr>
          <w:p w14:paraId="5D28F101">
            <w:pPr>
              <w:spacing w:line="360" w:lineRule="auto"/>
              <w:ind w:left="-44" w:leftChars="-23" w:right="-60" w:rightChars="-31"/>
              <w:jc w:val="center"/>
              <w:rPr>
                <w:rFonts w:hint="eastAsia" w:ascii="宋体" w:hAnsi="宋体" w:cs="宋体"/>
                <w:kern w:val="0"/>
                <w:sz w:val="24"/>
              </w:rPr>
            </w:pPr>
          </w:p>
        </w:tc>
        <w:tc>
          <w:tcPr>
            <w:tcW w:w="2410" w:type="dxa"/>
            <w:vAlign w:val="center"/>
          </w:tcPr>
          <w:p w14:paraId="47BCDB1E">
            <w:pPr>
              <w:spacing w:line="360" w:lineRule="auto"/>
              <w:ind w:left="-44" w:leftChars="-23" w:right="-60" w:rightChars="-31"/>
              <w:jc w:val="center"/>
              <w:rPr>
                <w:rFonts w:hint="eastAsia" w:ascii="宋体" w:hAnsi="宋体" w:cs="宋体"/>
                <w:kern w:val="0"/>
                <w:sz w:val="24"/>
              </w:rPr>
            </w:pPr>
          </w:p>
        </w:tc>
        <w:tc>
          <w:tcPr>
            <w:tcW w:w="896" w:type="dxa"/>
          </w:tcPr>
          <w:p w14:paraId="347CBFC7">
            <w:pPr>
              <w:spacing w:line="360" w:lineRule="auto"/>
              <w:ind w:left="-44" w:leftChars="-23" w:right="-60" w:rightChars="-31"/>
              <w:jc w:val="left"/>
              <w:rPr>
                <w:rFonts w:hint="eastAsia" w:ascii="宋体" w:hAnsi="宋体" w:cs="宋体"/>
                <w:kern w:val="0"/>
                <w:sz w:val="24"/>
              </w:rPr>
            </w:pPr>
          </w:p>
        </w:tc>
      </w:tr>
      <w:tr w14:paraId="191C48A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570" w:type="dxa"/>
            <w:vAlign w:val="center"/>
          </w:tcPr>
          <w:p w14:paraId="5F2635EB">
            <w:pPr>
              <w:tabs>
                <w:tab w:val="left" w:pos="82"/>
              </w:tabs>
              <w:adjustRightInd w:val="0"/>
              <w:snapToGrid w:val="0"/>
              <w:spacing w:line="360" w:lineRule="auto"/>
              <w:jc w:val="center"/>
              <w:rPr>
                <w:rFonts w:hint="eastAsia" w:ascii="宋体" w:hAnsi="宋体" w:cs="宋体"/>
                <w:sz w:val="24"/>
              </w:rPr>
            </w:pPr>
            <w:r>
              <w:rPr>
                <w:rFonts w:hint="eastAsia" w:ascii="宋体" w:hAnsi="宋体" w:cs="宋体"/>
                <w:sz w:val="24"/>
              </w:rPr>
              <w:t>…</w:t>
            </w:r>
          </w:p>
        </w:tc>
        <w:tc>
          <w:tcPr>
            <w:tcW w:w="989" w:type="dxa"/>
            <w:vAlign w:val="center"/>
          </w:tcPr>
          <w:p w14:paraId="648A821A">
            <w:pPr>
              <w:spacing w:line="360" w:lineRule="auto"/>
              <w:ind w:left="-44" w:leftChars="-23" w:right="-60" w:rightChars="-31"/>
              <w:jc w:val="left"/>
              <w:rPr>
                <w:rFonts w:hint="eastAsia" w:ascii="宋体" w:hAnsi="宋体" w:cs="宋体"/>
                <w:kern w:val="0"/>
                <w:sz w:val="24"/>
              </w:rPr>
            </w:pPr>
          </w:p>
        </w:tc>
        <w:tc>
          <w:tcPr>
            <w:tcW w:w="2944" w:type="dxa"/>
            <w:vAlign w:val="center"/>
          </w:tcPr>
          <w:p w14:paraId="62A05675">
            <w:pPr>
              <w:spacing w:line="360" w:lineRule="auto"/>
              <w:ind w:left="-44" w:leftChars="-23" w:right="-60" w:rightChars="-31"/>
              <w:jc w:val="left"/>
              <w:rPr>
                <w:rFonts w:hint="eastAsia" w:ascii="宋体" w:hAnsi="宋体" w:cs="宋体"/>
                <w:kern w:val="0"/>
                <w:sz w:val="24"/>
              </w:rPr>
            </w:pPr>
          </w:p>
        </w:tc>
        <w:tc>
          <w:tcPr>
            <w:tcW w:w="708" w:type="dxa"/>
            <w:vAlign w:val="center"/>
          </w:tcPr>
          <w:p w14:paraId="561E8065">
            <w:pPr>
              <w:spacing w:line="360" w:lineRule="auto"/>
              <w:ind w:left="-44" w:leftChars="-23" w:right="-60" w:rightChars="-31"/>
              <w:jc w:val="center"/>
              <w:rPr>
                <w:rFonts w:hint="eastAsia" w:ascii="宋体" w:hAnsi="宋体" w:cs="宋体"/>
                <w:kern w:val="0"/>
                <w:sz w:val="24"/>
              </w:rPr>
            </w:pPr>
          </w:p>
        </w:tc>
        <w:tc>
          <w:tcPr>
            <w:tcW w:w="2410" w:type="dxa"/>
            <w:vAlign w:val="center"/>
          </w:tcPr>
          <w:p w14:paraId="77EA1BE1">
            <w:pPr>
              <w:spacing w:line="360" w:lineRule="auto"/>
              <w:ind w:left="-44" w:leftChars="-23" w:right="-60" w:rightChars="-31"/>
              <w:jc w:val="center"/>
              <w:rPr>
                <w:rFonts w:hint="eastAsia" w:ascii="宋体" w:hAnsi="宋体" w:cs="宋体"/>
                <w:kern w:val="0"/>
                <w:sz w:val="24"/>
              </w:rPr>
            </w:pPr>
          </w:p>
        </w:tc>
        <w:tc>
          <w:tcPr>
            <w:tcW w:w="896" w:type="dxa"/>
          </w:tcPr>
          <w:p w14:paraId="4208AE38">
            <w:pPr>
              <w:spacing w:line="360" w:lineRule="auto"/>
              <w:ind w:left="-44" w:leftChars="-23" w:right="-60" w:rightChars="-31"/>
              <w:jc w:val="left"/>
              <w:rPr>
                <w:rFonts w:hint="eastAsia" w:ascii="宋体" w:hAnsi="宋体" w:cs="宋体"/>
                <w:kern w:val="0"/>
                <w:sz w:val="24"/>
              </w:rPr>
            </w:pPr>
          </w:p>
        </w:tc>
      </w:tr>
    </w:tbl>
    <w:p w14:paraId="64E65F96">
      <w:pPr>
        <w:pStyle w:val="5"/>
        <w:spacing w:line="360" w:lineRule="auto"/>
        <w:ind w:firstLine="0"/>
        <w:rPr>
          <w:rFonts w:hint="eastAsia" w:ascii="宋体" w:hAnsi="宋体" w:cs="宋体"/>
        </w:rPr>
      </w:pPr>
    </w:p>
    <w:p w14:paraId="1B6B5901">
      <w:pPr>
        <w:pStyle w:val="5"/>
        <w:spacing w:line="360" w:lineRule="auto"/>
        <w:rPr>
          <w:rFonts w:hint="eastAsia" w:ascii="宋体" w:hAnsi="宋体" w:cs="宋体"/>
        </w:rPr>
      </w:pPr>
    </w:p>
    <w:p w14:paraId="329DA3B7">
      <w:pPr>
        <w:pStyle w:val="5"/>
        <w:spacing w:line="360" w:lineRule="auto"/>
        <w:rPr>
          <w:rFonts w:hint="eastAsia" w:ascii="宋体" w:hAnsi="宋体" w:cs="宋体"/>
        </w:rPr>
      </w:pPr>
    </w:p>
    <w:p w14:paraId="776A3116">
      <w:pPr>
        <w:pStyle w:val="5"/>
        <w:spacing w:line="360" w:lineRule="auto"/>
        <w:rPr>
          <w:rFonts w:hint="eastAsia" w:ascii="宋体" w:hAnsi="宋体" w:cs="宋体"/>
        </w:rPr>
      </w:pPr>
    </w:p>
    <w:p w14:paraId="36C1F977">
      <w:pPr>
        <w:pStyle w:val="5"/>
        <w:spacing w:line="360" w:lineRule="auto"/>
        <w:rPr>
          <w:rFonts w:hint="eastAsia" w:ascii="宋体" w:hAnsi="宋体" w:cs="宋体"/>
        </w:rPr>
      </w:pPr>
    </w:p>
    <w:p w14:paraId="1BFBE343">
      <w:pPr>
        <w:pStyle w:val="5"/>
        <w:spacing w:line="360" w:lineRule="auto"/>
        <w:rPr>
          <w:rFonts w:hint="eastAsia" w:ascii="宋体" w:hAnsi="宋体" w:cs="宋体"/>
        </w:rPr>
      </w:pPr>
    </w:p>
    <w:p w14:paraId="743991E9">
      <w:pPr>
        <w:pStyle w:val="5"/>
        <w:spacing w:line="360" w:lineRule="auto"/>
        <w:rPr>
          <w:rFonts w:hint="eastAsia" w:ascii="宋体" w:hAnsi="宋体" w:cs="宋体"/>
        </w:rPr>
      </w:pPr>
    </w:p>
    <w:p w14:paraId="7B2EBBC3">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580C098B">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76316955">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75EE0C8E">
      <w:pPr>
        <w:adjustRightInd w:val="0"/>
        <w:snapToGrid w:val="0"/>
        <w:spacing w:line="360" w:lineRule="auto"/>
        <w:ind w:firstLine="2016" w:firstLineChars="900"/>
        <w:outlineLvl w:val="0"/>
        <w:rPr>
          <w:rFonts w:hint="eastAsia" w:ascii="宋体" w:hAnsi="宋体" w:cs="宋体"/>
          <w:sz w:val="24"/>
        </w:rPr>
      </w:pPr>
      <w:r>
        <w:rPr>
          <w:rFonts w:hint="eastAsia" w:ascii="宋体" w:hAnsi="宋体" w:cs="宋体"/>
          <w:sz w:val="24"/>
        </w:rPr>
        <w:t xml:space="preserve">                 </w:t>
      </w:r>
    </w:p>
    <w:p w14:paraId="5457E20C">
      <w:pPr>
        <w:autoSpaceDE w:val="0"/>
        <w:autoSpaceDN w:val="0"/>
        <w:adjustRightInd w:val="0"/>
        <w:spacing w:before="156" w:beforeLines="50" w:after="156" w:afterLines="50" w:line="360" w:lineRule="auto"/>
        <w:rPr>
          <w:rFonts w:hint="eastAsia" w:ascii="宋体" w:hAnsi="宋体" w:cs="宋体"/>
          <w:kern w:val="0"/>
          <w:szCs w:val="21"/>
        </w:rPr>
      </w:pPr>
      <w:r>
        <w:rPr>
          <w:rFonts w:hint="eastAsia" w:ascii="宋体" w:hAnsi="宋体" w:cs="宋体"/>
          <w:sz w:val="24"/>
        </w:rPr>
        <w:t xml:space="preserve">    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2607AA7C">
      <w:pPr>
        <w:pStyle w:val="5"/>
        <w:spacing w:line="360" w:lineRule="auto"/>
        <w:rPr>
          <w:rFonts w:hint="eastAsia" w:ascii="宋体" w:hAnsi="宋体" w:cs="宋体"/>
        </w:rPr>
      </w:pPr>
    </w:p>
    <w:p w14:paraId="1CE2C4FA">
      <w:pPr>
        <w:pStyle w:val="5"/>
        <w:spacing w:line="360" w:lineRule="auto"/>
        <w:rPr>
          <w:rFonts w:hint="eastAsia" w:ascii="宋体" w:hAnsi="宋体" w:cs="宋体"/>
        </w:rPr>
      </w:pPr>
    </w:p>
    <w:p w14:paraId="3F6818B7">
      <w:pPr>
        <w:pStyle w:val="5"/>
        <w:spacing w:line="360" w:lineRule="auto"/>
        <w:rPr>
          <w:rFonts w:hint="eastAsia" w:ascii="宋体" w:hAnsi="宋体" w:cs="宋体"/>
        </w:rPr>
      </w:pPr>
    </w:p>
    <w:p w14:paraId="0AEDB9FC">
      <w:pPr>
        <w:spacing w:line="360" w:lineRule="auto"/>
        <w:ind w:firstLine="568" w:firstLineChars="200"/>
        <w:rPr>
          <w:rFonts w:hint="eastAsia" w:ascii="宋体" w:hAnsi="宋体" w:cs="宋体"/>
          <w:kern w:val="0"/>
          <w:sz w:val="30"/>
          <w:szCs w:val="30"/>
        </w:rPr>
      </w:pPr>
      <w:r>
        <w:rPr>
          <w:rFonts w:hint="eastAsia" w:ascii="宋体" w:hAnsi="宋体" w:cs="宋体"/>
          <w:kern w:val="0"/>
          <w:sz w:val="30"/>
          <w:szCs w:val="30"/>
        </w:rPr>
        <w:t>三、节能产品、环境标志产品政府强制采购认证证书一览表</w:t>
      </w:r>
    </w:p>
    <w:p w14:paraId="57125092">
      <w:pPr>
        <w:pStyle w:val="34"/>
        <w:spacing w:line="360" w:lineRule="auto"/>
        <w:jc w:val="center"/>
        <w:rPr>
          <w:rFonts w:hint="eastAsia" w:ascii="宋体" w:hAnsi="宋体" w:cs="宋体"/>
          <w:szCs w:val="21"/>
        </w:rPr>
      </w:pPr>
      <w:r>
        <w:rPr>
          <w:rFonts w:hint="eastAsia" w:ascii="宋体" w:hAnsi="宋体" w:cs="宋体"/>
        </w:rPr>
        <w:t>（如果有，提供）</w:t>
      </w:r>
    </w:p>
    <w:p w14:paraId="1519D3AC">
      <w:pPr>
        <w:pStyle w:val="5"/>
        <w:spacing w:line="360" w:lineRule="auto"/>
        <w:ind w:firstLine="0"/>
        <w:rPr>
          <w:rFonts w:hint="eastAsia" w:ascii="宋体" w:hAnsi="宋体" w:cs="宋体"/>
        </w:rPr>
      </w:pPr>
    </w:p>
    <w:p w14:paraId="1B098DAA">
      <w:pPr>
        <w:adjustRightInd w:val="0"/>
        <w:snapToGrid w:val="0"/>
        <w:spacing w:line="360" w:lineRule="auto"/>
        <w:rPr>
          <w:rFonts w:hint="eastAsia" w:ascii="宋体" w:hAnsi="宋体" w:cs="宋体"/>
          <w:szCs w:val="21"/>
        </w:rPr>
      </w:pPr>
    </w:p>
    <w:tbl>
      <w:tblPr>
        <w:tblStyle w:val="15"/>
        <w:tblpPr w:leftFromText="180" w:rightFromText="180" w:vertAnchor="text" w:horzAnchor="margin" w:tblpY="-43"/>
        <w:tblOverlap w:val="never"/>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60"/>
        <w:gridCol w:w="1134"/>
        <w:gridCol w:w="1134"/>
        <w:gridCol w:w="1134"/>
        <w:gridCol w:w="1559"/>
        <w:gridCol w:w="1206"/>
      </w:tblGrid>
      <w:tr w14:paraId="32E20E1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4D1AB9C3">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序号</w:t>
            </w:r>
          </w:p>
        </w:tc>
        <w:tc>
          <w:tcPr>
            <w:tcW w:w="1560" w:type="dxa"/>
            <w:vAlign w:val="center"/>
          </w:tcPr>
          <w:p w14:paraId="1F8650E4">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品目</w:t>
            </w:r>
          </w:p>
        </w:tc>
        <w:tc>
          <w:tcPr>
            <w:tcW w:w="1134" w:type="dxa"/>
            <w:vAlign w:val="center"/>
          </w:tcPr>
          <w:p w14:paraId="1CBFFA0C">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产品名称</w:t>
            </w:r>
          </w:p>
        </w:tc>
        <w:tc>
          <w:tcPr>
            <w:tcW w:w="1134" w:type="dxa"/>
            <w:vAlign w:val="center"/>
          </w:tcPr>
          <w:p w14:paraId="1BA02E01">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规格型号</w:t>
            </w:r>
          </w:p>
        </w:tc>
        <w:tc>
          <w:tcPr>
            <w:tcW w:w="1134" w:type="dxa"/>
            <w:vAlign w:val="center"/>
          </w:tcPr>
          <w:p w14:paraId="35387D70">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证书编号</w:t>
            </w:r>
          </w:p>
        </w:tc>
        <w:tc>
          <w:tcPr>
            <w:tcW w:w="1559" w:type="dxa"/>
            <w:vAlign w:val="center"/>
          </w:tcPr>
          <w:p w14:paraId="592B4255">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证书到期日期</w:t>
            </w:r>
          </w:p>
        </w:tc>
        <w:tc>
          <w:tcPr>
            <w:tcW w:w="1206" w:type="dxa"/>
            <w:vAlign w:val="center"/>
          </w:tcPr>
          <w:p w14:paraId="304C9D5F">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发证机构</w:t>
            </w:r>
          </w:p>
        </w:tc>
      </w:tr>
      <w:tr w14:paraId="5021063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53D6EE17">
            <w:pPr>
              <w:adjustRightInd w:val="0"/>
              <w:snapToGrid w:val="0"/>
              <w:spacing w:line="360" w:lineRule="auto"/>
              <w:jc w:val="center"/>
              <w:rPr>
                <w:rFonts w:hint="eastAsia" w:ascii="宋体" w:hAnsi="宋体" w:cs="宋体"/>
                <w:sz w:val="24"/>
              </w:rPr>
            </w:pPr>
            <w:r>
              <w:rPr>
                <w:rFonts w:hint="eastAsia" w:ascii="宋体" w:hAnsi="宋体" w:cs="宋体"/>
                <w:sz w:val="24"/>
              </w:rPr>
              <w:t>1</w:t>
            </w:r>
          </w:p>
        </w:tc>
        <w:tc>
          <w:tcPr>
            <w:tcW w:w="1560" w:type="dxa"/>
            <w:vAlign w:val="center"/>
          </w:tcPr>
          <w:p w14:paraId="0933A3F6">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4625FB95">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56A1DB94">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7C7D4FF9">
            <w:pPr>
              <w:adjustRightInd w:val="0"/>
              <w:snapToGrid w:val="0"/>
              <w:spacing w:line="360" w:lineRule="auto"/>
              <w:rPr>
                <w:rFonts w:hint="eastAsia" w:ascii="宋体" w:hAnsi="宋体" w:cs="宋体"/>
                <w:sz w:val="24"/>
              </w:rPr>
            </w:pPr>
            <w:r>
              <w:rPr>
                <w:rFonts w:hint="eastAsia" w:ascii="宋体" w:hAnsi="宋体" w:cs="宋体"/>
                <w:sz w:val="24"/>
              </w:rPr>
              <w:t>　</w:t>
            </w:r>
          </w:p>
        </w:tc>
        <w:tc>
          <w:tcPr>
            <w:tcW w:w="1559" w:type="dxa"/>
            <w:vAlign w:val="center"/>
          </w:tcPr>
          <w:p w14:paraId="46068655">
            <w:pPr>
              <w:adjustRightInd w:val="0"/>
              <w:snapToGrid w:val="0"/>
              <w:spacing w:line="360" w:lineRule="auto"/>
              <w:rPr>
                <w:rFonts w:hint="eastAsia" w:ascii="宋体" w:hAnsi="宋体" w:cs="宋体"/>
                <w:sz w:val="24"/>
              </w:rPr>
            </w:pPr>
            <w:r>
              <w:rPr>
                <w:rFonts w:hint="eastAsia" w:ascii="宋体" w:hAnsi="宋体" w:cs="宋体"/>
                <w:sz w:val="24"/>
              </w:rPr>
              <w:t>　</w:t>
            </w:r>
          </w:p>
        </w:tc>
        <w:tc>
          <w:tcPr>
            <w:tcW w:w="1206" w:type="dxa"/>
            <w:vAlign w:val="center"/>
          </w:tcPr>
          <w:p w14:paraId="493EED8D">
            <w:pPr>
              <w:adjustRightInd w:val="0"/>
              <w:snapToGrid w:val="0"/>
              <w:spacing w:line="360" w:lineRule="auto"/>
              <w:rPr>
                <w:rFonts w:hint="eastAsia" w:ascii="宋体" w:hAnsi="宋体" w:cs="宋体"/>
                <w:sz w:val="24"/>
              </w:rPr>
            </w:pPr>
            <w:r>
              <w:rPr>
                <w:rFonts w:hint="eastAsia" w:ascii="宋体" w:hAnsi="宋体" w:cs="宋体"/>
                <w:sz w:val="24"/>
              </w:rPr>
              <w:t>　</w:t>
            </w:r>
          </w:p>
        </w:tc>
      </w:tr>
      <w:tr w14:paraId="36AA2CC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25DEA189">
            <w:pPr>
              <w:adjustRightInd w:val="0"/>
              <w:snapToGrid w:val="0"/>
              <w:spacing w:line="360" w:lineRule="auto"/>
              <w:jc w:val="center"/>
              <w:rPr>
                <w:rFonts w:hint="eastAsia" w:ascii="宋体" w:hAnsi="宋体" w:cs="宋体"/>
                <w:sz w:val="24"/>
              </w:rPr>
            </w:pPr>
            <w:r>
              <w:rPr>
                <w:rFonts w:hint="eastAsia" w:ascii="宋体" w:hAnsi="宋体" w:cs="宋体"/>
                <w:sz w:val="24"/>
              </w:rPr>
              <w:t>2</w:t>
            </w:r>
          </w:p>
        </w:tc>
        <w:tc>
          <w:tcPr>
            <w:tcW w:w="1560" w:type="dxa"/>
            <w:vAlign w:val="center"/>
          </w:tcPr>
          <w:p w14:paraId="11F033AA">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3A0F9118">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442EB93F">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0D080E17">
            <w:pPr>
              <w:adjustRightInd w:val="0"/>
              <w:snapToGrid w:val="0"/>
              <w:spacing w:line="360" w:lineRule="auto"/>
              <w:rPr>
                <w:rFonts w:hint="eastAsia" w:ascii="宋体" w:hAnsi="宋体" w:cs="宋体"/>
                <w:sz w:val="24"/>
              </w:rPr>
            </w:pPr>
            <w:r>
              <w:rPr>
                <w:rFonts w:hint="eastAsia" w:ascii="宋体" w:hAnsi="宋体" w:cs="宋体"/>
                <w:sz w:val="24"/>
              </w:rPr>
              <w:t>　</w:t>
            </w:r>
          </w:p>
        </w:tc>
        <w:tc>
          <w:tcPr>
            <w:tcW w:w="1559" w:type="dxa"/>
            <w:vAlign w:val="center"/>
          </w:tcPr>
          <w:p w14:paraId="78852820">
            <w:pPr>
              <w:adjustRightInd w:val="0"/>
              <w:snapToGrid w:val="0"/>
              <w:spacing w:line="360" w:lineRule="auto"/>
              <w:rPr>
                <w:rFonts w:hint="eastAsia" w:ascii="宋体" w:hAnsi="宋体" w:cs="宋体"/>
                <w:sz w:val="24"/>
              </w:rPr>
            </w:pPr>
            <w:r>
              <w:rPr>
                <w:rFonts w:hint="eastAsia" w:ascii="宋体" w:hAnsi="宋体" w:cs="宋体"/>
                <w:sz w:val="24"/>
              </w:rPr>
              <w:t>　</w:t>
            </w:r>
          </w:p>
        </w:tc>
        <w:tc>
          <w:tcPr>
            <w:tcW w:w="1206" w:type="dxa"/>
            <w:vAlign w:val="center"/>
          </w:tcPr>
          <w:p w14:paraId="0BA43633">
            <w:pPr>
              <w:adjustRightInd w:val="0"/>
              <w:snapToGrid w:val="0"/>
              <w:spacing w:line="360" w:lineRule="auto"/>
              <w:rPr>
                <w:rFonts w:hint="eastAsia" w:ascii="宋体" w:hAnsi="宋体" w:cs="宋体"/>
                <w:sz w:val="24"/>
              </w:rPr>
            </w:pPr>
            <w:r>
              <w:rPr>
                <w:rFonts w:hint="eastAsia" w:ascii="宋体" w:hAnsi="宋体" w:cs="宋体"/>
                <w:sz w:val="24"/>
              </w:rPr>
              <w:t>　</w:t>
            </w:r>
          </w:p>
        </w:tc>
      </w:tr>
      <w:tr w14:paraId="1A6DDE4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0542DF03">
            <w:pPr>
              <w:adjustRightInd w:val="0"/>
              <w:snapToGrid w:val="0"/>
              <w:spacing w:line="360" w:lineRule="auto"/>
              <w:jc w:val="center"/>
              <w:rPr>
                <w:rFonts w:hint="eastAsia" w:ascii="宋体" w:hAnsi="宋体" w:cs="宋体"/>
                <w:sz w:val="24"/>
              </w:rPr>
            </w:pPr>
            <w:r>
              <w:rPr>
                <w:rFonts w:hint="eastAsia" w:ascii="宋体" w:hAnsi="宋体" w:cs="宋体"/>
                <w:sz w:val="24"/>
              </w:rPr>
              <w:t>3</w:t>
            </w:r>
          </w:p>
        </w:tc>
        <w:tc>
          <w:tcPr>
            <w:tcW w:w="1560" w:type="dxa"/>
            <w:vAlign w:val="center"/>
          </w:tcPr>
          <w:p w14:paraId="1C5EB112">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57BA98C1">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7836C8A6">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47FCB372">
            <w:pPr>
              <w:adjustRightInd w:val="0"/>
              <w:snapToGrid w:val="0"/>
              <w:spacing w:line="360" w:lineRule="auto"/>
              <w:rPr>
                <w:rFonts w:hint="eastAsia" w:ascii="宋体" w:hAnsi="宋体" w:cs="宋体"/>
                <w:sz w:val="24"/>
              </w:rPr>
            </w:pPr>
            <w:r>
              <w:rPr>
                <w:rFonts w:hint="eastAsia" w:ascii="宋体" w:hAnsi="宋体" w:cs="宋体"/>
                <w:sz w:val="24"/>
              </w:rPr>
              <w:t>　</w:t>
            </w:r>
          </w:p>
        </w:tc>
        <w:tc>
          <w:tcPr>
            <w:tcW w:w="1559" w:type="dxa"/>
            <w:vAlign w:val="center"/>
          </w:tcPr>
          <w:p w14:paraId="65708C63">
            <w:pPr>
              <w:adjustRightInd w:val="0"/>
              <w:snapToGrid w:val="0"/>
              <w:spacing w:line="360" w:lineRule="auto"/>
              <w:rPr>
                <w:rFonts w:hint="eastAsia" w:ascii="宋体" w:hAnsi="宋体" w:cs="宋体"/>
                <w:sz w:val="24"/>
              </w:rPr>
            </w:pPr>
            <w:r>
              <w:rPr>
                <w:rFonts w:hint="eastAsia" w:ascii="宋体" w:hAnsi="宋体" w:cs="宋体"/>
                <w:sz w:val="24"/>
              </w:rPr>
              <w:t>　</w:t>
            </w:r>
          </w:p>
        </w:tc>
        <w:tc>
          <w:tcPr>
            <w:tcW w:w="1206" w:type="dxa"/>
            <w:vAlign w:val="center"/>
          </w:tcPr>
          <w:p w14:paraId="50C07C47">
            <w:pPr>
              <w:adjustRightInd w:val="0"/>
              <w:snapToGrid w:val="0"/>
              <w:spacing w:line="360" w:lineRule="auto"/>
              <w:rPr>
                <w:rFonts w:hint="eastAsia" w:ascii="宋体" w:hAnsi="宋体" w:cs="宋体"/>
                <w:sz w:val="24"/>
              </w:rPr>
            </w:pPr>
            <w:r>
              <w:rPr>
                <w:rFonts w:hint="eastAsia" w:ascii="宋体" w:hAnsi="宋体" w:cs="宋体"/>
                <w:sz w:val="24"/>
              </w:rPr>
              <w:t>　</w:t>
            </w:r>
          </w:p>
        </w:tc>
      </w:tr>
      <w:tr w14:paraId="5AE9552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3F9BED98">
            <w:pPr>
              <w:adjustRightInd w:val="0"/>
              <w:snapToGrid w:val="0"/>
              <w:spacing w:line="360" w:lineRule="auto"/>
              <w:jc w:val="center"/>
              <w:rPr>
                <w:rFonts w:hint="eastAsia" w:ascii="宋体" w:hAnsi="宋体" w:cs="宋体"/>
                <w:sz w:val="24"/>
              </w:rPr>
            </w:pPr>
            <w:r>
              <w:rPr>
                <w:rFonts w:hint="eastAsia" w:ascii="宋体" w:hAnsi="宋体" w:cs="宋体"/>
                <w:sz w:val="24"/>
              </w:rPr>
              <w:t>4</w:t>
            </w:r>
          </w:p>
        </w:tc>
        <w:tc>
          <w:tcPr>
            <w:tcW w:w="1560" w:type="dxa"/>
            <w:vAlign w:val="center"/>
          </w:tcPr>
          <w:p w14:paraId="7E800B15">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571D9988">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7A9E468B">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6DA87428">
            <w:pPr>
              <w:adjustRightInd w:val="0"/>
              <w:snapToGrid w:val="0"/>
              <w:spacing w:line="360" w:lineRule="auto"/>
              <w:rPr>
                <w:rFonts w:hint="eastAsia" w:ascii="宋体" w:hAnsi="宋体" w:cs="宋体"/>
                <w:sz w:val="24"/>
              </w:rPr>
            </w:pPr>
            <w:r>
              <w:rPr>
                <w:rFonts w:hint="eastAsia" w:ascii="宋体" w:hAnsi="宋体" w:cs="宋体"/>
                <w:sz w:val="24"/>
              </w:rPr>
              <w:t>　</w:t>
            </w:r>
          </w:p>
        </w:tc>
        <w:tc>
          <w:tcPr>
            <w:tcW w:w="1559" w:type="dxa"/>
            <w:vAlign w:val="center"/>
          </w:tcPr>
          <w:p w14:paraId="7D5B3794">
            <w:pPr>
              <w:adjustRightInd w:val="0"/>
              <w:snapToGrid w:val="0"/>
              <w:spacing w:line="360" w:lineRule="auto"/>
              <w:rPr>
                <w:rFonts w:hint="eastAsia" w:ascii="宋体" w:hAnsi="宋体" w:cs="宋体"/>
                <w:sz w:val="24"/>
              </w:rPr>
            </w:pPr>
            <w:r>
              <w:rPr>
                <w:rFonts w:hint="eastAsia" w:ascii="宋体" w:hAnsi="宋体" w:cs="宋体"/>
                <w:sz w:val="24"/>
              </w:rPr>
              <w:t>　</w:t>
            </w:r>
          </w:p>
        </w:tc>
        <w:tc>
          <w:tcPr>
            <w:tcW w:w="1206" w:type="dxa"/>
            <w:vAlign w:val="center"/>
          </w:tcPr>
          <w:p w14:paraId="6B90AD1E">
            <w:pPr>
              <w:adjustRightInd w:val="0"/>
              <w:snapToGrid w:val="0"/>
              <w:spacing w:line="360" w:lineRule="auto"/>
              <w:rPr>
                <w:rFonts w:hint="eastAsia" w:ascii="宋体" w:hAnsi="宋体" w:cs="宋体"/>
                <w:sz w:val="24"/>
              </w:rPr>
            </w:pPr>
            <w:r>
              <w:rPr>
                <w:rFonts w:hint="eastAsia" w:ascii="宋体" w:hAnsi="宋体" w:cs="宋体"/>
                <w:sz w:val="24"/>
              </w:rPr>
              <w:t>　</w:t>
            </w:r>
          </w:p>
        </w:tc>
      </w:tr>
      <w:tr w14:paraId="7131817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54E4B636">
            <w:pPr>
              <w:adjustRightInd w:val="0"/>
              <w:snapToGrid w:val="0"/>
              <w:spacing w:line="360" w:lineRule="auto"/>
              <w:jc w:val="center"/>
              <w:rPr>
                <w:rFonts w:hint="eastAsia" w:ascii="宋体" w:hAnsi="宋体" w:cs="宋体"/>
                <w:sz w:val="24"/>
              </w:rPr>
            </w:pPr>
            <w:r>
              <w:rPr>
                <w:rFonts w:hint="eastAsia" w:ascii="宋体" w:hAnsi="宋体" w:cs="宋体"/>
                <w:sz w:val="24"/>
              </w:rPr>
              <w:t>5</w:t>
            </w:r>
          </w:p>
        </w:tc>
        <w:tc>
          <w:tcPr>
            <w:tcW w:w="1560" w:type="dxa"/>
            <w:vAlign w:val="center"/>
          </w:tcPr>
          <w:p w14:paraId="16DF5824">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4E374A42">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58A128BF">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57659750">
            <w:pPr>
              <w:adjustRightInd w:val="0"/>
              <w:snapToGrid w:val="0"/>
              <w:spacing w:line="360" w:lineRule="auto"/>
              <w:rPr>
                <w:rFonts w:hint="eastAsia" w:ascii="宋体" w:hAnsi="宋体" w:cs="宋体"/>
                <w:sz w:val="24"/>
              </w:rPr>
            </w:pPr>
            <w:r>
              <w:rPr>
                <w:rFonts w:hint="eastAsia" w:ascii="宋体" w:hAnsi="宋体" w:cs="宋体"/>
                <w:sz w:val="24"/>
              </w:rPr>
              <w:t>　</w:t>
            </w:r>
          </w:p>
        </w:tc>
        <w:tc>
          <w:tcPr>
            <w:tcW w:w="1559" w:type="dxa"/>
            <w:vAlign w:val="center"/>
          </w:tcPr>
          <w:p w14:paraId="2056C49D">
            <w:pPr>
              <w:adjustRightInd w:val="0"/>
              <w:snapToGrid w:val="0"/>
              <w:spacing w:line="360" w:lineRule="auto"/>
              <w:rPr>
                <w:rFonts w:hint="eastAsia" w:ascii="宋体" w:hAnsi="宋体" w:cs="宋体"/>
                <w:sz w:val="24"/>
              </w:rPr>
            </w:pPr>
            <w:r>
              <w:rPr>
                <w:rFonts w:hint="eastAsia" w:ascii="宋体" w:hAnsi="宋体" w:cs="宋体"/>
                <w:sz w:val="24"/>
              </w:rPr>
              <w:t>　</w:t>
            </w:r>
          </w:p>
        </w:tc>
        <w:tc>
          <w:tcPr>
            <w:tcW w:w="1206" w:type="dxa"/>
            <w:vAlign w:val="center"/>
          </w:tcPr>
          <w:p w14:paraId="32379F20">
            <w:pPr>
              <w:adjustRightInd w:val="0"/>
              <w:snapToGrid w:val="0"/>
              <w:spacing w:line="360" w:lineRule="auto"/>
              <w:rPr>
                <w:rFonts w:hint="eastAsia" w:ascii="宋体" w:hAnsi="宋体" w:cs="宋体"/>
                <w:sz w:val="24"/>
              </w:rPr>
            </w:pPr>
            <w:r>
              <w:rPr>
                <w:rFonts w:hint="eastAsia" w:ascii="宋体" w:hAnsi="宋体" w:cs="宋体"/>
                <w:sz w:val="24"/>
              </w:rPr>
              <w:t>　</w:t>
            </w:r>
          </w:p>
        </w:tc>
      </w:tr>
      <w:tr w14:paraId="213830C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64556899">
            <w:pPr>
              <w:adjustRightInd w:val="0"/>
              <w:snapToGrid w:val="0"/>
              <w:spacing w:line="360" w:lineRule="auto"/>
              <w:jc w:val="center"/>
              <w:rPr>
                <w:rFonts w:hint="eastAsia" w:ascii="宋体" w:hAnsi="宋体" w:cs="宋体"/>
                <w:sz w:val="24"/>
              </w:rPr>
            </w:pPr>
            <w:r>
              <w:rPr>
                <w:rFonts w:hint="eastAsia" w:ascii="宋体" w:hAnsi="宋体" w:cs="宋体"/>
                <w:sz w:val="24"/>
              </w:rPr>
              <w:t>...</w:t>
            </w:r>
          </w:p>
        </w:tc>
        <w:tc>
          <w:tcPr>
            <w:tcW w:w="1560" w:type="dxa"/>
            <w:vAlign w:val="center"/>
          </w:tcPr>
          <w:p w14:paraId="2CDE1112">
            <w:pPr>
              <w:adjustRightInd w:val="0"/>
              <w:snapToGrid w:val="0"/>
              <w:spacing w:line="360" w:lineRule="auto"/>
              <w:rPr>
                <w:rFonts w:hint="eastAsia" w:ascii="宋体" w:hAnsi="宋体" w:cs="宋体"/>
                <w:sz w:val="24"/>
              </w:rPr>
            </w:pPr>
          </w:p>
        </w:tc>
        <w:tc>
          <w:tcPr>
            <w:tcW w:w="1134" w:type="dxa"/>
            <w:vAlign w:val="center"/>
          </w:tcPr>
          <w:p w14:paraId="7E106BEF">
            <w:pPr>
              <w:adjustRightInd w:val="0"/>
              <w:snapToGrid w:val="0"/>
              <w:spacing w:line="360" w:lineRule="auto"/>
              <w:rPr>
                <w:rFonts w:hint="eastAsia" w:ascii="宋体" w:hAnsi="宋体" w:cs="宋体"/>
                <w:sz w:val="24"/>
              </w:rPr>
            </w:pPr>
          </w:p>
        </w:tc>
        <w:tc>
          <w:tcPr>
            <w:tcW w:w="1134" w:type="dxa"/>
            <w:vAlign w:val="center"/>
          </w:tcPr>
          <w:p w14:paraId="63619E73">
            <w:pPr>
              <w:adjustRightInd w:val="0"/>
              <w:snapToGrid w:val="0"/>
              <w:spacing w:line="360" w:lineRule="auto"/>
              <w:rPr>
                <w:rFonts w:hint="eastAsia" w:ascii="宋体" w:hAnsi="宋体" w:cs="宋体"/>
                <w:sz w:val="24"/>
              </w:rPr>
            </w:pPr>
          </w:p>
        </w:tc>
        <w:tc>
          <w:tcPr>
            <w:tcW w:w="1134" w:type="dxa"/>
            <w:vAlign w:val="center"/>
          </w:tcPr>
          <w:p w14:paraId="64B80A85">
            <w:pPr>
              <w:adjustRightInd w:val="0"/>
              <w:snapToGrid w:val="0"/>
              <w:spacing w:line="360" w:lineRule="auto"/>
              <w:rPr>
                <w:rFonts w:hint="eastAsia" w:ascii="宋体" w:hAnsi="宋体" w:cs="宋体"/>
                <w:sz w:val="24"/>
              </w:rPr>
            </w:pPr>
          </w:p>
        </w:tc>
        <w:tc>
          <w:tcPr>
            <w:tcW w:w="1559" w:type="dxa"/>
            <w:vAlign w:val="center"/>
          </w:tcPr>
          <w:p w14:paraId="0AB8B376">
            <w:pPr>
              <w:adjustRightInd w:val="0"/>
              <w:snapToGrid w:val="0"/>
              <w:spacing w:line="360" w:lineRule="auto"/>
              <w:rPr>
                <w:rFonts w:hint="eastAsia" w:ascii="宋体" w:hAnsi="宋体" w:cs="宋体"/>
                <w:sz w:val="24"/>
              </w:rPr>
            </w:pPr>
          </w:p>
        </w:tc>
        <w:tc>
          <w:tcPr>
            <w:tcW w:w="1206" w:type="dxa"/>
            <w:vAlign w:val="center"/>
          </w:tcPr>
          <w:p w14:paraId="1C35F8BB">
            <w:pPr>
              <w:adjustRightInd w:val="0"/>
              <w:snapToGrid w:val="0"/>
              <w:spacing w:line="360" w:lineRule="auto"/>
              <w:rPr>
                <w:rFonts w:hint="eastAsia" w:ascii="宋体" w:hAnsi="宋体" w:cs="宋体"/>
                <w:sz w:val="24"/>
              </w:rPr>
            </w:pPr>
          </w:p>
        </w:tc>
      </w:tr>
    </w:tbl>
    <w:p w14:paraId="3BD3D618">
      <w:pPr>
        <w:adjustRightInd w:val="0"/>
        <w:snapToGrid w:val="0"/>
        <w:spacing w:line="360" w:lineRule="auto"/>
        <w:rPr>
          <w:rFonts w:hint="eastAsia" w:ascii="宋体" w:hAnsi="宋体" w:cs="宋体"/>
          <w:szCs w:val="21"/>
        </w:rPr>
      </w:pPr>
    </w:p>
    <w:p w14:paraId="07AC74FF">
      <w:pPr>
        <w:adjustRightInd w:val="0"/>
        <w:snapToGrid w:val="0"/>
        <w:spacing w:line="360" w:lineRule="auto"/>
        <w:rPr>
          <w:rFonts w:hint="eastAsia" w:ascii="宋体" w:hAnsi="宋体" w:cs="宋体"/>
          <w:szCs w:val="21"/>
        </w:rPr>
      </w:pPr>
      <w:r>
        <w:rPr>
          <w:rFonts w:hint="eastAsia" w:ascii="宋体" w:hAnsi="宋体" w:cs="宋体"/>
          <w:szCs w:val="21"/>
        </w:rPr>
        <w:t>注：</w:t>
      </w:r>
    </w:p>
    <w:p w14:paraId="5A6FBC39">
      <w:pPr>
        <w:adjustRightInd w:val="0"/>
        <w:snapToGrid w:val="0"/>
        <w:spacing w:line="360" w:lineRule="auto"/>
        <w:ind w:firstLine="386"/>
        <w:rPr>
          <w:rFonts w:hint="eastAsia" w:ascii="宋体" w:hAnsi="宋体" w:cs="宋体"/>
          <w:szCs w:val="21"/>
        </w:rPr>
      </w:pPr>
      <w:r>
        <w:rPr>
          <w:rFonts w:hint="eastAsia" w:ascii="宋体" w:hAnsi="宋体" w:cs="宋体"/>
          <w:szCs w:val="21"/>
        </w:rPr>
        <w:t>1.依据《财政部、发展改革委、生态环境部、市场监管总局关于调整优化节能产品、环境标志产品政府采购执行机制的通知》，本次投标产品类别列入投标截止日前最新发布的《节能产品政府采购品目清单》《环境标志产品政府采购品目清单》，且属于政府强制采购产品类别的，须按照要求提供依据国家确定的认证机构出具的、处于有效期之内的节能产品或环境标志产品认证证书，否则投标无效。</w:t>
      </w:r>
    </w:p>
    <w:p w14:paraId="1C8A8D03">
      <w:pPr>
        <w:adjustRightInd w:val="0"/>
        <w:snapToGrid w:val="0"/>
        <w:spacing w:line="360" w:lineRule="auto"/>
        <w:ind w:firstLine="390"/>
        <w:rPr>
          <w:rFonts w:hint="eastAsia" w:ascii="宋体" w:hAnsi="宋体" w:cs="宋体"/>
          <w:szCs w:val="21"/>
        </w:rPr>
      </w:pPr>
      <w:r>
        <w:rPr>
          <w:rFonts w:hint="eastAsia" w:ascii="宋体" w:hAnsi="宋体" w:cs="宋体"/>
          <w:szCs w:val="21"/>
        </w:rPr>
        <w:t>2. 《节能产品政府采购品目清单》《环境标志产品政府采购品目清单》请登录</w:t>
      </w:r>
      <w:r>
        <w:rPr>
          <w:rFonts w:hint="eastAsia" w:ascii="宋体" w:hAnsi="宋体" w:cs="宋体"/>
          <w:sz w:val="24"/>
        </w:rPr>
        <w:t>中国政府采购网</w:t>
      </w:r>
      <w:r>
        <w:fldChar w:fldCharType="begin"/>
      </w:r>
      <w:r>
        <w:instrText xml:space="preserve"> HYPERLINK "http://www.ccgp.gov.cn" </w:instrText>
      </w:r>
      <w:r>
        <w:fldChar w:fldCharType="separate"/>
      </w:r>
      <w:r>
        <w:rPr>
          <w:rStyle w:val="20"/>
          <w:rFonts w:hint="eastAsia" w:ascii="宋体" w:hAnsi="宋体" w:cs="宋体"/>
          <w:color w:val="auto"/>
          <w:sz w:val="24"/>
        </w:rPr>
        <w:t>http://www.ccgp.gov.cn</w:t>
      </w:r>
      <w:r>
        <w:rPr>
          <w:rStyle w:val="20"/>
          <w:rFonts w:hint="eastAsia" w:ascii="宋体" w:hAnsi="宋体" w:cs="宋体"/>
          <w:color w:val="auto"/>
          <w:sz w:val="24"/>
        </w:rPr>
        <w:fldChar w:fldCharType="end"/>
      </w:r>
      <w:r>
        <w:rPr>
          <w:rFonts w:hint="eastAsia" w:ascii="宋体" w:hAnsi="宋体" w:cs="宋体"/>
          <w:sz w:val="24"/>
        </w:rPr>
        <w:t>查询。</w:t>
      </w:r>
    </w:p>
    <w:p w14:paraId="46202876">
      <w:pPr>
        <w:adjustRightInd w:val="0"/>
        <w:snapToGrid w:val="0"/>
        <w:spacing w:line="360" w:lineRule="auto"/>
        <w:ind w:firstLine="390"/>
        <w:rPr>
          <w:rFonts w:hint="eastAsia" w:ascii="宋体" w:hAnsi="宋体" w:cs="宋体"/>
          <w:szCs w:val="21"/>
        </w:rPr>
      </w:pPr>
      <w:r>
        <w:rPr>
          <w:rFonts w:hint="eastAsia" w:ascii="宋体" w:hAnsi="宋体" w:cs="宋体"/>
          <w:szCs w:val="21"/>
        </w:rPr>
        <w:t>3.投标人应在本表后提供表内所列认证证书复印件。</w:t>
      </w:r>
    </w:p>
    <w:p w14:paraId="7B7B68C7">
      <w:pPr>
        <w:adjustRightInd w:val="0"/>
        <w:snapToGrid w:val="0"/>
        <w:spacing w:line="360" w:lineRule="auto"/>
        <w:rPr>
          <w:rFonts w:hint="eastAsia" w:ascii="宋体" w:hAnsi="宋体" w:cs="宋体"/>
          <w:snapToGrid w:val="0"/>
          <w:kern w:val="0"/>
          <w:sz w:val="24"/>
        </w:rPr>
      </w:pPr>
      <w:r>
        <w:rPr>
          <w:rFonts w:hint="eastAsia" w:ascii="宋体" w:hAnsi="宋体" w:cs="宋体"/>
          <w:sz w:val="24"/>
        </w:rPr>
        <w:t xml:space="preserve">  </w:t>
      </w:r>
    </w:p>
    <w:p w14:paraId="3A422570">
      <w:pPr>
        <w:pStyle w:val="8"/>
        <w:adjustRightInd w:val="0"/>
        <w:snapToGrid w:val="0"/>
        <w:spacing w:line="360" w:lineRule="auto"/>
        <w:ind w:firstLine="2912" w:firstLineChars="1300"/>
        <w:rPr>
          <w:rFonts w:hint="eastAsia" w:ascii="宋体" w:hAnsi="宋体" w:eastAsia="宋体" w:cs="宋体"/>
          <w:snapToGrid w:val="0"/>
          <w:kern w:val="0"/>
          <w:sz w:val="24"/>
          <w:szCs w:val="24"/>
        </w:rPr>
      </w:pPr>
    </w:p>
    <w:p w14:paraId="4296EADB">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33CF2172">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65B2A4C9">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47D1C363">
      <w:pPr>
        <w:adjustRightInd w:val="0"/>
        <w:snapToGrid w:val="0"/>
        <w:spacing w:line="360" w:lineRule="auto"/>
        <w:ind w:firstLine="2016" w:firstLineChars="900"/>
        <w:outlineLvl w:val="0"/>
        <w:rPr>
          <w:rFonts w:hint="eastAsia" w:ascii="宋体" w:hAnsi="宋体" w:cs="宋体"/>
          <w:sz w:val="24"/>
        </w:rPr>
      </w:pPr>
      <w:r>
        <w:rPr>
          <w:rFonts w:hint="eastAsia" w:ascii="宋体" w:hAnsi="宋体" w:cs="宋体"/>
          <w:sz w:val="24"/>
        </w:rPr>
        <w:t xml:space="preserve">                 </w:t>
      </w:r>
    </w:p>
    <w:p w14:paraId="60D99C66">
      <w:pPr>
        <w:autoSpaceDE w:val="0"/>
        <w:autoSpaceDN w:val="0"/>
        <w:adjustRightInd w:val="0"/>
        <w:spacing w:before="156" w:beforeLines="50" w:after="156" w:afterLines="50" w:line="360" w:lineRule="auto"/>
        <w:rPr>
          <w:rFonts w:hint="eastAsia" w:ascii="宋体" w:hAnsi="宋体" w:cs="宋体"/>
          <w:kern w:val="0"/>
          <w:szCs w:val="21"/>
        </w:rPr>
      </w:pPr>
      <w:r>
        <w:rPr>
          <w:rFonts w:hint="eastAsia" w:ascii="宋体" w:hAnsi="宋体" w:cs="宋体"/>
          <w:sz w:val="24"/>
        </w:rPr>
        <w:t xml:space="preserve">    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236017F6">
      <w:pPr>
        <w:spacing w:line="360" w:lineRule="auto"/>
        <w:rPr>
          <w:rFonts w:hint="eastAsia" w:ascii="宋体" w:hAnsi="宋体" w:cs="宋体"/>
          <w:kern w:val="0"/>
          <w:sz w:val="30"/>
          <w:szCs w:val="30"/>
        </w:rPr>
      </w:pPr>
      <w:r>
        <w:rPr>
          <w:rFonts w:hint="eastAsia" w:ascii="宋体" w:hAnsi="宋体" w:cs="宋体"/>
          <w:kern w:val="0"/>
          <w:sz w:val="30"/>
          <w:szCs w:val="30"/>
        </w:rPr>
        <w:br w:type="page"/>
      </w:r>
    </w:p>
    <w:p w14:paraId="2F132EBF">
      <w:pPr>
        <w:pStyle w:val="2"/>
        <w:spacing w:line="360" w:lineRule="auto"/>
        <w:ind w:left="720"/>
        <w:rPr>
          <w:rFonts w:hint="eastAsia" w:ascii="宋体" w:hAnsi="宋体" w:cs="宋体"/>
          <w:b w:val="0"/>
          <w:bCs w:val="0"/>
          <w:kern w:val="0"/>
          <w:sz w:val="30"/>
          <w:szCs w:val="30"/>
        </w:rPr>
      </w:pPr>
    </w:p>
    <w:p w14:paraId="3C09C92D">
      <w:pPr>
        <w:pStyle w:val="2"/>
        <w:spacing w:line="360" w:lineRule="auto"/>
        <w:ind w:left="720"/>
        <w:rPr>
          <w:rFonts w:hint="eastAsia" w:ascii="宋体" w:hAnsi="宋体" w:cs="宋体"/>
          <w:b w:val="0"/>
          <w:bCs w:val="0"/>
          <w:kern w:val="0"/>
          <w:sz w:val="30"/>
          <w:szCs w:val="30"/>
        </w:rPr>
      </w:pPr>
      <w:r>
        <w:rPr>
          <w:rFonts w:hint="eastAsia" w:ascii="宋体" w:hAnsi="宋体" w:cs="宋体"/>
          <w:b w:val="0"/>
          <w:bCs w:val="0"/>
          <w:kern w:val="0"/>
          <w:sz w:val="30"/>
          <w:szCs w:val="30"/>
        </w:rPr>
        <w:t>四、节能产品、环境标志产品政府优先采购认证证书一览表</w:t>
      </w:r>
    </w:p>
    <w:p w14:paraId="1E517E0A">
      <w:pPr>
        <w:spacing w:line="360" w:lineRule="auto"/>
        <w:jc w:val="center"/>
        <w:rPr>
          <w:rFonts w:hint="eastAsia" w:ascii="宋体" w:hAnsi="宋体" w:cs="宋体"/>
          <w:kern w:val="0"/>
          <w:sz w:val="30"/>
          <w:szCs w:val="30"/>
        </w:rPr>
      </w:pPr>
      <w:r>
        <w:rPr>
          <w:rFonts w:hint="eastAsia" w:ascii="宋体" w:hAnsi="宋体" w:cs="宋体"/>
        </w:rPr>
        <w:t>（如果有，提供）</w:t>
      </w:r>
    </w:p>
    <w:tbl>
      <w:tblPr>
        <w:tblStyle w:val="15"/>
        <w:tblpPr w:leftFromText="180" w:rightFromText="180" w:vertAnchor="text" w:horzAnchor="margin" w:tblpY="38"/>
        <w:tblOverlap w:val="never"/>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60"/>
        <w:gridCol w:w="1134"/>
        <w:gridCol w:w="1134"/>
        <w:gridCol w:w="1134"/>
        <w:gridCol w:w="1559"/>
        <w:gridCol w:w="1206"/>
      </w:tblGrid>
      <w:tr w14:paraId="224D87F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17F95514">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序号</w:t>
            </w:r>
          </w:p>
        </w:tc>
        <w:tc>
          <w:tcPr>
            <w:tcW w:w="1560" w:type="dxa"/>
            <w:vAlign w:val="center"/>
          </w:tcPr>
          <w:p w14:paraId="62ABD0EE">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品目</w:t>
            </w:r>
          </w:p>
        </w:tc>
        <w:tc>
          <w:tcPr>
            <w:tcW w:w="1134" w:type="dxa"/>
            <w:vAlign w:val="center"/>
          </w:tcPr>
          <w:p w14:paraId="0E96A555">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产品名称</w:t>
            </w:r>
          </w:p>
        </w:tc>
        <w:tc>
          <w:tcPr>
            <w:tcW w:w="1134" w:type="dxa"/>
            <w:vAlign w:val="center"/>
          </w:tcPr>
          <w:p w14:paraId="3939E16B">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规格型号</w:t>
            </w:r>
          </w:p>
        </w:tc>
        <w:tc>
          <w:tcPr>
            <w:tcW w:w="1134" w:type="dxa"/>
            <w:vAlign w:val="center"/>
          </w:tcPr>
          <w:p w14:paraId="68038456">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证书编号</w:t>
            </w:r>
          </w:p>
        </w:tc>
        <w:tc>
          <w:tcPr>
            <w:tcW w:w="1559" w:type="dxa"/>
            <w:vAlign w:val="center"/>
          </w:tcPr>
          <w:p w14:paraId="187A8516">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证书到期日期</w:t>
            </w:r>
          </w:p>
        </w:tc>
        <w:tc>
          <w:tcPr>
            <w:tcW w:w="1206" w:type="dxa"/>
            <w:vAlign w:val="center"/>
          </w:tcPr>
          <w:p w14:paraId="3C823E7D">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发证机构</w:t>
            </w:r>
          </w:p>
        </w:tc>
      </w:tr>
      <w:tr w14:paraId="440657D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501829E0">
            <w:pPr>
              <w:adjustRightInd w:val="0"/>
              <w:snapToGrid w:val="0"/>
              <w:spacing w:line="360" w:lineRule="auto"/>
              <w:jc w:val="center"/>
              <w:rPr>
                <w:rFonts w:hint="eastAsia" w:ascii="宋体" w:hAnsi="宋体" w:cs="宋体"/>
                <w:sz w:val="24"/>
              </w:rPr>
            </w:pPr>
            <w:r>
              <w:rPr>
                <w:rFonts w:hint="eastAsia" w:ascii="宋体" w:hAnsi="宋体" w:cs="宋体"/>
                <w:sz w:val="24"/>
              </w:rPr>
              <w:t>1</w:t>
            </w:r>
          </w:p>
        </w:tc>
        <w:tc>
          <w:tcPr>
            <w:tcW w:w="1560" w:type="dxa"/>
            <w:vAlign w:val="center"/>
          </w:tcPr>
          <w:p w14:paraId="385E95B4">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3F2C59A4">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4D8B65A2">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20007C6C">
            <w:pPr>
              <w:adjustRightInd w:val="0"/>
              <w:snapToGrid w:val="0"/>
              <w:spacing w:line="360" w:lineRule="auto"/>
              <w:rPr>
                <w:rFonts w:hint="eastAsia" w:ascii="宋体" w:hAnsi="宋体" w:cs="宋体"/>
                <w:sz w:val="24"/>
              </w:rPr>
            </w:pPr>
            <w:r>
              <w:rPr>
                <w:rFonts w:hint="eastAsia" w:ascii="宋体" w:hAnsi="宋体" w:cs="宋体"/>
                <w:sz w:val="24"/>
              </w:rPr>
              <w:t>　</w:t>
            </w:r>
          </w:p>
        </w:tc>
        <w:tc>
          <w:tcPr>
            <w:tcW w:w="1559" w:type="dxa"/>
            <w:vAlign w:val="center"/>
          </w:tcPr>
          <w:p w14:paraId="28473ECE">
            <w:pPr>
              <w:adjustRightInd w:val="0"/>
              <w:snapToGrid w:val="0"/>
              <w:spacing w:line="360" w:lineRule="auto"/>
              <w:rPr>
                <w:rFonts w:hint="eastAsia" w:ascii="宋体" w:hAnsi="宋体" w:cs="宋体"/>
                <w:sz w:val="24"/>
              </w:rPr>
            </w:pPr>
            <w:r>
              <w:rPr>
                <w:rFonts w:hint="eastAsia" w:ascii="宋体" w:hAnsi="宋体" w:cs="宋体"/>
                <w:sz w:val="24"/>
              </w:rPr>
              <w:t>　</w:t>
            </w:r>
          </w:p>
        </w:tc>
        <w:tc>
          <w:tcPr>
            <w:tcW w:w="1206" w:type="dxa"/>
            <w:vAlign w:val="center"/>
          </w:tcPr>
          <w:p w14:paraId="17E5FE42">
            <w:pPr>
              <w:adjustRightInd w:val="0"/>
              <w:snapToGrid w:val="0"/>
              <w:spacing w:line="360" w:lineRule="auto"/>
              <w:rPr>
                <w:rFonts w:hint="eastAsia" w:ascii="宋体" w:hAnsi="宋体" w:cs="宋体"/>
                <w:sz w:val="24"/>
              </w:rPr>
            </w:pPr>
            <w:r>
              <w:rPr>
                <w:rFonts w:hint="eastAsia" w:ascii="宋体" w:hAnsi="宋体" w:cs="宋体"/>
                <w:sz w:val="24"/>
              </w:rPr>
              <w:t>　</w:t>
            </w:r>
          </w:p>
        </w:tc>
      </w:tr>
      <w:tr w14:paraId="0368F45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41E6BCAB">
            <w:pPr>
              <w:adjustRightInd w:val="0"/>
              <w:snapToGrid w:val="0"/>
              <w:spacing w:line="360" w:lineRule="auto"/>
              <w:jc w:val="center"/>
              <w:rPr>
                <w:rFonts w:hint="eastAsia" w:ascii="宋体" w:hAnsi="宋体" w:cs="宋体"/>
                <w:sz w:val="24"/>
              </w:rPr>
            </w:pPr>
            <w:r>
              <w:rPr>
                <w:rFonts w:hint="eastAsia" w:ascii="宋体" w:hAnsi="宋体" w:cs="宋体"/>
                <w:sz w:val="24"/>
              </w:rPr>
              <w:t>2</w:t>
            </w:r>
          </w:p>
        </w:tc>
        <w:tc>
          <w:tcPr>
            <w:tcW w:w="1560" w:type="dxa"/>
            <w:vAlign w:val="center"/>
          </w:tcPr>
          <w:p w14:paraId="52920A9D">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40E552BC">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410F23B8">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5EF347B6">
            <w:pPr>
              <w:adjustRightInd w:val="0"/>
              <w:snapToGrid w:val="0"/>
              <w:spacing w:line="360" w:lineRule="auto"/>
              <w:rPr>
                <w:rFonts w:hint="eastAsia" w:ascii="宋体" w:hAnsi="宋体" w:cs="宋体"/>
                <w:sz w:val="24"/>
              </w:rPr>
            </w:pPr>
            <w:r>
              <w:rPr>
                <w:rFonts w:hint="eastAsia" w:ascii="宋体" w:hAnsi="宋体" w:cs="宋体"/>
                <w:sz w:val="24"/>
              </w:rPr>
              <w:t>　</w:t>
            </w:r>
          </w:p>
        </w:tc>
        <w:tc>
          <w:tcPr>
            <w:tcW w:w="1559" w:type="dxa"/>
            <w:vAlign w:val="center"/>
          </w:tcPr>
          <w:p w14:paraId="0A73A3E8">
            <w:pPr>
              <w:adjustRightInd w:val="0"/>
              <w:snapToGrid w:val="0"/>
              <w:spacing w:line="360" w:lineRule="auto"/>
              <w:rPr>
                <w:rFonts w:hint="eastAsia" w:ascii="宋体" w:hAnsi="宋体" w:cs="宋体"/>
                <w:sz w:val="24"/>
              </w:rPr>
            </w:pPr>
            <w:r>
              <w:rPr>
                <w:rFonts w:hint="eastAsia" w:ascii="宋体" w:hAnsi="宋体" w:cs="宋体"/>
                <w:sz w:val="24"/>
              </w:rPr>
              <w:t>　</w:t>
            </w:r>
          </w:p>
        </w:tc>
        <w:tc>
          <w:tcPr>
            <w:tcW w:w="1206" w:type="dxa"/>
            <w:vAlign w:val="center"/>
          </w:tcPr>
          <w:p w14:paraId="6D6E6909">
            <w:pPr>
              <w:adjustRightInd w:val="0"/>
              <w:snapToGrid w:val="0"/>
              <w:spacing w:line="360" w:lineRule="auto"/>
              <w:rPr>
                <w:rFonts w:hint="eastAsia" w:ascii="宋体" w:hAnsi="宋体" w:cs="宋体"/>
                <w:sz w:val="24"/>
              </w:rPr>
            </w:pPr>
            <w:r>
              <w:rPr>
                <w:rFonts w:hint="eastAsia" w:ascii="宋体" w:hAnsi="宋体" w:cs="宋体"/>
                <w:sz w:val="24"/>
              </w:rPr>
              <w:t>　</w:t>
            </w:r>
          </w:p>
        </w:tc>
      </w:tr>
      <w:tr w14:paraId="4DB7478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34E51858">
            <w:pPr>
              <w:adjustRightInd w:val="0"/>
              <w:snapToGrid w:val="0"/>
              <w:spacing w:line="360" w:lineRule="auto"/>
              <w:jc w:val="center"/>
              <w:rPr>
                <w:rFonts w:hint="eastAsia" w:ascii="宋体" w:hAnsi="宋体" w:cs="宋体"/>
                <w:sz w:val="24"/>
              </w:rPr>
            </w:pPr>
            <w:r>
              <w:rPr>
                <w:rFonts w:hint="eastAsia" w:ascii="宋体" w:hAnsi="宋体" w:cs="宋体"/>
                <w:sz w:val="24"/>
              </w:rPr>
              <w:t>3</w:t>
            </w:r>
          </w:p>
        </w:tc>
        <w:tc>
          <w:tcPr>
            <w:tcW w:w="1560" w:type="dxa"/>
            <w:vAlign w:val="center"/>
          </w:tcPr>
          <w:p w14:paraId="68F15F32">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34CE8F02">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7D58A335">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0F34F80B">
            <w:pPr>
              <w:adjustRightInd w:val="0"/>
              <w:snapToGrid w:val="0"/>
              <w:spacing w:line="360" w:lineRule="auto"/>
              <w:rPr>
                <w:rFonts w:hint="eastAsia" w:ascii="宋体" w:hAnsi="宋体" w:cs="宋体"/>
                <w:sz w:val="24"/>
              </w:rPr>
            </w:pPr>
            <w:r>
              <w:rPr>
                <w:rFonts w:hint="eastAsia" w:ascii="宋体" w:hAnsi="宋体" w:cs="宋体"/>
                <w:sz w:val="24"/>
              </w:rPr>
              <w:t>　</w:t>
            </w:r>
          </w:p>
        </w:tc>
        <w:tc>
          <w:tcPr>
            <w:tcW w:w="1559" w:type="dxa"/>
            <w:vAlign w:val="center"/>
          </w:tcPr>
          <w:p w14:paraId="75AC8A66">
            <w:pPr>
              <w:adjustRightInd w:val="0"/>
              <w:snapToGrid w:val="0"/>
              <w:spacing w:line="360" w:lineRule="auto"/>
              <w:rPr>
                <w:rFonts w:hint="eastAsia" w:ascii="宋体" w:hAnsi="宋体" w:cs="宋体"/>
                <w:sz w:val="24"/>
              </w:rPr>
            </w:pPr>
            <w:r>
              <w:rPr>
                <w:rFonts w:hint="eastAsia" w:ascii="宋体" w:hAnsi="宋体" w:cs="宋体"/>
                <w:sz w:val="24"/>
              </w:rPr>
              <w:t>　</w:t>
            </w:r>
          </w:p>
        </w:tc>
        <w:tc>
          <w:tcPr>
            <w:tcW w:w="1206" w:type="dxa"/>
            <w:vAlign w:val="center"/>
          </w:tcPr>
          <w:p w14:paraId="191B37CA">
            <w:pPr>
              <w:adjustRightInd w:val="0"/>
              <w:snapToGrid w:val="0"/>
              <w:spacing w:line="360" w:lineRule="auto"/>
              <w:rPr>
                <w:rFonts w:hint="eastAsia" w:ascii="宋体" w:hAnsi="宋体" w:cs="宋体"/>
                <w:sz w:val="24"/>
              </w:rPr>
            </w:pPr>
            <w:r>
              <w:rPr>
                <w:rFonts w:hint="eastAsia" w:ascii="宋体" w:hAnsi="宋体" w:cs="宋体"/>
                <w:sz w:val="24"/>
              </w:rPr>
              <w:t>　</w:t>
            </w:r>
          </w:p>
        </w:tc>
      </w:tr>
      <w:tr w14:paraId="0D0E2C9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476D61EA">
            <w:pPr>
              <w:adjustRightInd w:val="0"/>
              <w:snapToGrid w:val="0"/>
              <w:spacing w:line="360" w:lineRule="auto"/>
              <w:jc w:val="center"/>
              <w:rPr>
                <w:rFonts w:hint="eastAsia" w:ascii="宋体" w:hAnsi="宋体" w:cs="宋体"/>
                <w:sz w:val="24"/>
              </w:rPr>
            </w:pPr>
            <w:r>
              <w:rPr>
                <w:rFonts w:hint="eastAsia" w:ascii="宋体" w:hAnsi="宋体" w:cs="宋体"/>
                <w:sz w:val="24"/>
              </w:rPr>
              <w:t>4</w:t>
            </w:r>
          </w:p>
        </w:tc>
        <w:tc>
          <w:tcPr>
            <w:tcW w:w="1560" w:type="dxa"/>
            <w:vAlign w:val="center"/>
          </w:tcPr>
          <w:p w14:paraId="05112E7F">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35B4B501">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3663E193">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468620BA">
            <w:pPr>
              <w:adjustRightInd w:val="0"/>
              <w:snapToGrid w:val="0"/>
              <w:spacing w:line="360" w:lineRule="auto"/>
              <w:rPr>
                <w:rFonts w:hint="eastAsia" w:ascii="宋体" w:hAnsi="宋体" w:cs="宋体"/>
                <w:sz w:val="24"/>
              </w:rPr>
            </w:pPr>
            <w:r>
              <w:rPr>
                <w:rFonts w:hint="eastAsia" w:ascii="宋体" w:hAnsi="宋体" w:cs="宋体"/>
                <w:sz w:val="24"/>
              </w:rPr>
              <w:t>　</w:t>
            </w:r>
          </w:p>
        </w:tc>
        <w:tc>
          <w:tcPr>
            <w:tcW w:w="1559" w:type="dxa"/>
            <w:vAlign w:val="center"/>
          </w:tcPr>
          <w:p w14:paraId="50E9EFA7">
            <w:pPr>
              <w:adjustRightInd w:val="0"/>
              <w:snapToGrid w:val="0"/>
              <w:spacing w:line="360" w:lineRule="auto"/>
              <w:rPr>
                <w:rFonts w:hint="eastAsia" w:ascii="宋体" w:hAnsi="宋体" w:cs="宋体"/>
                <w:sz w:val="24"/>
              </w:rPr>
            </w:pPr>
            <w:r>
              <w:rPr>
                <w:rFonts w:hint="eastAsia" w:ascii="宋体" w:hAnsi="宋体" w:cs="宋体"/>
                <w:sz w:val="24"/>
              </w:rPr>
              <w:t>　</w:t>
            </w:r>
          </w:p>
        </w:tc>
        <w:tc>
          <w:tcPr>
            <w:tcW w:w="1206" w:type="dxa"/>
            <w:vAlign w:val="center"/>
          </w:tcPr>
          <w:p w14:paraId="29027A3D">
            <w:pPr>
              <w:adjustRightInd w:val="0"/>
              <w:snapToGrid w:val="0"/>
              <w:spacing w:line="360" w:lineRule="auto"/>
              <w:rPr>
                <w:rFonts w:hint="eastAsia" w:ascii="宋体" w:hAnsi="宋体" w:cs="宋体"/>
                <w:sz w:val="24"/>
              </w:rPr>
            </w:pPr>
            <w:r>
              <w:rPr>
                <w:rFonts w:hint="eastAsia" w:ascii="宋体" w:hAnsi="宋体" w:cs="宋体"/>
                <w:sz w:val="24"/>
              </w:rPr>
              <w:t>　</w:t>
            </w:r>
          </w:p>
        </w:tc>
      </w:tr>
      <w:tr w14:paraId="74A4D26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61356E22">
            <w:pPr>
              <w:adjustRightInd w:val="0"/>
              <w:snapToGrid w:val="0"/>
              <w:spacing w:line="360" w:lineRule="auto"/>
              <w:jc w:val="center"/>
              <w:rPr>
                <w:rFonts w:hint="eastAsia" w:ascii="宋体" w:hAnsi="宋体" w:cs="宋体"/>
                <w:sz w:val="24"/>
              </w:rPr>
            </w:pPr>
            <w:r>
              <w:rPr>
                <w:rFonts w:hint="eastAsia" w:ascii="宋体" w:hAnsi="宋体" w:cs="宋体"/>
                <w:sz w:val="24"/>
              </w:rPr>
              <w:t>5</w:t>
            </w:r>
          </w:p>
        </w:tc>
        <w:tc>
          <w:tcPr>
            <w:tcW w:w="1560" w:type="dxa"/>
            <w:vAlign w:val="center"/>
          </w:tcPr>
          <w:p w14:paraId="5410530C">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20B1F467">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1F6585DF">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67ABF3FE">
            <w:pPr>
              <w:adjustRightInd w:val="0"/>
              <w:snapToGrid w:val="0"/>
              <w:spacing w:line="360" w:lineRule="auto"/>
              <w:rPr>
                <w:rFonts w:hint="eastAsia" w:ascii="宋体" w:hAnsi="宋体" w:cs="宋体"/>
                <w:sz w:val="24"/>
              </w:rPr>
            </w:pPr>
            <w:r>
              <w:rPr>
                <w:rFonts w:hint="eastAsia" w:ascii="宋体" w:hAnsi="宋体" w:cs="宋体"/>
                <w:sz w:val="24"/>
              </w:rPr>
              <w:t>　</w:t>
            </w:r>
          </w:p>
        </w:tc>
        <w:tc>
          <w:tcPr>
            <w:tcW w:w="1559" w:type="dxa"/>
            <w:vAlign w:val="center"/>
          </w:tcPr>
          <w:p w14:paraId="4C3B1A86">
            <w:pPr>
              <w:adjustRightInd w:val="0"/>
              <w:snapToGrid w:val="0"/>
              <w:spacing w:line="360" w:lineRule="auto"/>
              <w:rPr>
                <w:rFonts w:hint="eastAsia" w:ascii="宋体" w:hAnsi="宋体" w:cs="宋体"/>
                <w:sz w:val="24"/>
              </w:rPr>
            </w:pPr>
            <w:r>
              <w:rPr>
                <w:rFonts w:hint="eastAsia" w:ascii="宋体" w:hAnsi="宋体" w:cs="宋体"/>
                <w:sz w:val="24"/>
              </w:rPr>
              <w:t>　</w:t>
            </w:r>
          </w:p>
        </w:tc>
        <w:tc>
          <w:tcPr>
            <w:tcW w:w="1206" w:type="dxa"/>
            <w:vAlign w:val="center"/>
          </w:tcPr>
          <w:p w14:paraId="73E8139D">
            <w:pPr>
              <w:adjustRightInd w:val="0"/>
              <w:snapToGrid w:val="0"/>
              <w:spacing w:line="360" w:lineRule="auto"/>
              <w:rPr>
                <w:rFonts w:hint="eastAsia" w:ascii="宋体" w:hAnsi="宋体" w:cs="宋体"/>
                <w:sz w:val="24"/>
              </w:rPr>
            </w:pPr>
            <w:r>
              <w:rPr>
                <w:rFonts w:hint="eastAsia" w:ascii="宋体" w:hAnsi="宋体" w:cs="宋体"/>
                <w:sz w:val="24"/>
              </w:rPr>
              <w:t>　</w:t>
            </w:r>
          </w:p>
        </w:tc>
      </w:tr>
      <w:tr w14:paraId="26579F5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2FDC8D27">
            <w:pPr>
              <w:adjustRightInd w:val="0"/>
              <w:snapToGrid w:val="0"/>
              <w:spacing w:line="360" w:lineRule="auto"/>
              <w:jc w:val="center"/>
              <w:rPr>
                <w:rFonts w:hint="eastAsia" w:ascii="宋体" w:hAnsi="宋体" w:cs="宋体"/>
                <w:sz w:val="24"/>
              </w:rPr>
            </w:pPr>
            <w:r>
              <w:rPr>
                <w:rFonts w:hint="eastAsia" w:ascii="宋体" w:hAnsi="宋体" w:cs="宋体"/>
                <w:sz w:val="24"/>
              </w:rPr>
              <w:t>...</w:t>
            </w:r>
          </w:p>
        </w:tc>
        <w:tc>
          <w:tcPr>
            <w:tcW w:w="1560" w:type="dxa"/>
            <w:vAlign w:val="center"/>
          </w:tcPr>
          <w:p w14:paraId="43D3AE87">
            <w:pPr>
              <w:adjustRightInd w:val="0"/>
              <w:snapToGrid w:val="0"/>
              <w:spacing w:line="360" w:lineRule="auto"/>
              <w:rPr>
                <w:rFonts w:hint="eastAsia" w:ascii="宋体" w:hAnsi="宋体" w:cs="宋体"/>
                <w:sz w:val="24"/>
              </w:rPr>
            </w:pPr>
          </w:p>
        </w:tc>
        <w:tc>
          <w:tcPr>
            <w:tcW w:w="1134" w:type="dxa"/>
            <w:vAlign w:val="center"/>
          </w:tcPr>
          <w:p w14:paraId="6EEB6603">
            <w:pPr>
              <w:adjustRightInd w:val="0"/>
              <w:snapToGrid w:val="0"/>
              <w:spacing w:line="360" w:lineRule="auto"/>
              <w:rPr>
                <w:rFonts w:hint="eastAsia" w:ascii="宋体" w:hAnsi="宋体" w:cs="宋体"/>
                <w:sz w:val="24"/>
              </w:rPr>
            </w:pPr>
          </w:p>
        </w:tc>
        <w:tc>
          <w:tcPr>
            <w:tcW w:w="1134" w:type="dxa"/>
            <w:vAlign w:val="center"/>
          </w:tcPr>
          <w:p w14:paraId="59A1784E">
            <w:pPr>
              <w:adjustRightInd w:val="0"/>
              <w:snapToGrid w:val="0"/>
              <w:spacing w:line="360" w:lineRule="auto"/>
              <w:rPr>
                <w:rFonts w:hint="eastAsia" w:ascii="宋体" w:hAnsi="宋体" w:cs="宋体"/>
                <w:sz w:val="24"/>
              </w:rPr>
            </w:pPr>
          </w:p>
        </w:tc>
        <w:tc>
          <w:tcPr>
            <w:tcW w:w="1134" w:type="dxa"/>
            <w:vAlign w:val="center"/>
          </w:tcPr>
          <w:p w14:paraId="503C03B2">
            <w:pPr>
              <w:adjustRightInd w:val="0"/>
              <w:snapToGrid w:val="0"/>
              <w:spacing w:line="360" w:lineRule="auto"/>
              <w:rPr>
                <w:rFonts w:hint="eastAsia" w:ascii="宋体" w:hAnsi="宋体" w:cs="宋体"/>
                <w:sz w:val="24"/>
              </w:rPr>
            </w:pPr>
          </w:p>
        </w:tc>
        <w:tc>
          <w:tcPr>
            <w:tcW w:w="1559" w:type="dxa"/>
            <w:vAlign w:val="center"/>
          </w:tcPr>
          <w:p w14:paraId="155AE7A0">
            <w:pPr>
              <w:adjustRightInd w:val="0"/>
              <w:snapToGrid w:val="0"/>
              <w:spacing w:line="360" w:lineRule="auto"/>
              <w:rPr>
                <w:rFonts w:hint="eastAsia" w:ascii="宋体" w:hAnsi="宋体" w:cs="宋体"/>
                <w:sz w:val="24"/>
              </w:rPr>
            </w:pPr>
          </w:p>
        </w:tc>
        <w:tc>
          <w:tcPr>
            <w:tcW w:w="1206" w:type="dxa"/>
            <w:vAlign w:val="center"/>
          </w:tcPr>
          <w:p w14:paraId="314CDC85">
            <w:pPr>
              <w:adjustRightInd w:val="0"/>
              <w:snapToGrid w:val="0"/>
              <w:spacing w:line="360" w:lineRule="auto"/>
              <w:rPr>
                <w:rFonts w:hint="eastAsia" w:ascii="宋体" w:hAnsi="宋体" w:cs="宋体"/>
                <w:sz w:val="24"/>
              </w:rPr>
            </w:pPr>
          </w:p>
        </w:tc>
      </w:tr>
    </w:tbl>
    <w:p w14:paraId="5BD3C567">
      <w:pPr>
        <w:adjustRightInd w:val="0"/>
        <w:snapToGrid w:val="0"/>
        <w:spacing w:line="360" w:lineRule="auto"/>
        <w:ind w:firstLine="388" w:firstLineChars="200"/>
        <w:rPr>
          <w:rFonts w:hint="eastAsia" w:ascii="宋体" w:hAnsi="宋体" w:cs="宋体"/>
          <w:szCs w:val="21"/>
        </w:rPr>
      </w:pPr>
    </w:p>
    <w:p w14:paraId="74BA82E5">
      <w:pPr>
        <w:adjustRightInd w:val="0"/>
        <w:snapToGrid w:val="0"/>
        <w:spacing w:line="360" w:lineRule="auto"/>
        <w:ind w:firstLine="388" w:firstLineChars="200"/>
        <w:rPr>
          <w:rFonts w:hint="eastAsia" w:ascii="宋体" w:hAnsi="宋体" w:cs="宋体"/>
          <w:szCs w:val="21"/>
        </w:rPr>
      </w:pPr>
    </w:p>
    <w:p w14:paraId="381FB6EB">
      <w:pPr>
        <w:adjustRightInd w:val="0"/>
        <w:snapToGrid w:val="0"/>
        <w:spacing w:line="360" w:lineRule="auto"/>
        <w:ind w:firstLine="388" w:firstLineChars="200"/>
        <w:rPr>
          <w:rFonts w:hint="eastAsia" w:ascii="宋体" w:hAnsi="宋体" w:cs="宋体"/>
          <w:szCs w:val="21"/>
        </w:rPr>
      </w:pPr>
      <w:r>
        <w:rPr>
          <w:rFonts w:hint="eastAsia" w:ascii="宋体" w:hAnsi="宋体" w:cs="宋体"/>
          <w:szCs w:val="21"/>
        </w:rPr>
        <w:t>注：</w:t>
      </w:r>
    </w:p>
    <w:p w14:paraId="65C71651">
      <w:pPr>
        <w:adjustRightInd w:val="0"/>
        <w:snapToGrid w:val="0"/>
        <w:spacing w:line="360" w:lineRule="auto"/>
        <w:ind w:firstLine="386"/>
        <w:rPr>
          <w:rFonts w:hint="eastAsia" w:ascii="宋体" w:hAnsi="宋体" w:cs="宋体"/>
          <w:szCs w:val="21"/>
        </w:rPr>
      </w:pPr>
      <w:r>
        <w:rPr>
          <w:rFonts w:hint="eastAsia" w:ascii="宋体" w:hAnsi="宋体" w:cs="宋体"/>
          <w:szCs w:val="21"/>
        </w:rPr>
        <w:t>1.依据《财政部、发展改革委、生态环境部、市场监管总局关于调整优化节能产品、环境标志产品政府采购执行机制的通知》，本次投标产品类别列入投标截止日前最新发布的《节能产品政府采购品目清单》《环境标志产品政府采购品目清单》，且属于政府优先采购产品类别的，须按照要求提供依据国家确定的认证机构出具的、处于有效期之内的节能产品或环境标志产品认证证书，否则不予认定。</w:t>
      </w:r>
    </w:p>
    <w:p w14:paraId="6653FE58">
      <w:pPr>
        <w:adjustRightInd w:val="0"/>
        <w:snapToGrid w:val="0"/>
        <w:spacing w:line="360" w:lineRule="auto"/>
        <w:ind w:firstLine="390"/>
        <w:rPr>
          <w:rFonts w:hint="eastAsia" w:ascii="宋体" w:hAnsi="宋体" w:cs="宋体"/>
          <w:szCs w:val="21"/>
        </w:rPr>
      </w:pPr>
      <w:r>
        <w:rPr>
          <w:rFonts w:hint="eastAsia" w:ascii="宋体" w:hAnsi="宋体" w:cs="宋体"/>
          <w:szCs w:val="21"/>
        </w:rPr>
        <w:t>2. 《节能产品政府采购品目清单》、《环境标志产品政府采购品目清单》请登录</w:t>
      </w:r>
      <w:r>
        <w:rPr>
          <w:rFonts w:hint="eastAsia" w:ascii="宋体" w:hAnsi="宋体" w:cs="宋体"/>
          <w:sz w:val="24"/>
        </w:rPr>
        <w:t>中国政府采购网</w:t>
      </w:r>
      <w:r>
        <w:fldChar w:fldCharType="begin"/>
      </w:r>
      <w:r>
        <w:instrText xml:space="preserve"> HYPERLINK "http://www.ccgp.gov.cn" </w:instrText>
      </w:r>
      <w:r>
        <w:fldChar w:fldCharType="separate"/>
      </w:r>
      <w:r>
        <w:rPr>
          <w:rStyle w:val="20"/>
          <w:rFonts w:hint="eastAsia" w:ascii="宋体" w:hAnsi="宋体" w:cs="宋体"/>
          <w:color w:val="auto"/>
          <w:sz w:val="24"/>
        </w:rPr>
        <w:t>http://www.ccgp.gov.cn</w:t>
      </w:r>
      <w:r>
        <w:rPr>
          <w:rStyle w:val="20"/>
          <w:rFonts w:hint="eastAsia" w:ascii="宋体" w:hAnsi="宋体" w:cs="宋体"/>
          <w:color w:val="auto"/>
          <w:sz w:val="24"/>
        </w:rPr>
        <w:fldChar w:fldCharType="end"/>
      </w:r>
      <w:r>
        <w:rPr>
          <w:rFonts w:hint="eastAsia" w:ascii="宋体" w:hAnsi="宋体" w:cs="宋体"/>
          <w:sz w:val="24"/>
        </w:rPr>
        <w:t>查询。</w:t>
      </w:r>
    </w:p>
    <w:p w14:paraId="46D67F50">
      <w:pPr>
        <w:adjustRightInd w:val="0"/>
        <w:snapToGrid w:val="0"/>
        <w:spacing w:line="360" w:lineRule="auto"/>
        <w:ind w:firstLine="390"/>
        <w:rPr>
          <w:rFonts w:hint="eastAsia" w:ascii="宋体" w:hAnsi="宋体" w:cs="宋体"/>
          <w:szCs w:val="21"/>
        </w:rPr>
      </w:pPr>
      <w:r>
        <w:rPr>
          <w:rFonts w:hint="eastAsia" w:ascii="宋体" w:hAnsi="宋体" w:cs="宋体"/>
          <w:szCs w:val="21"/>
        </w:rPr>
        <w:t>3.投标人应在本表后提供表内所列认证证书复印件。</w:t>
      </w:r>
    </w:p>
    <w:p w14:paraId="29DF99B8">
      <w:pPr>
        <w:adjustRightInd w:val="0"/>
        <w:snapToGrid w:val="0"/>
        <w:spacing w:line="360" w:lineRule="auto"/>
        <w:rPr>
          <w:rFonts w:hint="eastAsia" w:ascii="宋体" w:hAnsi="宋体" w:cs="宋体"/>
          <w:snapToGrid w:val="0"/>
          <w:kern w:val="0"/>
          <w:sz w:val="24"/>
        </w:rPr>
      </w:pPr>
      <w:r>
        <w:rPr>
          <w:rFonts w:hint="eastAsia" w:ascii="宋体" w:hAnsi="宋体" w:cs="宋体"/>
          <w:sz w:val="24"/>
        </w:rPr>
        <w:t xml:space="preserve">  </w:t>
      </w:r>
    </w:p>
    <w:p w14:paraId="452FA901">
      <w:pPr>
        <w:pStyle w:val="8"/>
        <w:adjustRightInd w:val="0"/>
        <w:snapToGrid w:val="0"/>
        <w:spacing w:line="360" w:lineRule="auto"/>
        <w:ind w:firstLine="2912" w:firstLineChars="1300"/>
        <w:rPr>
          <w:rFonts w:hint="eastAsia" w:ascii="宋体" w:hAnsi="宋体" w:eastAsia="宋体" w:cs="宋体"/>
          <w:snapToGrid w:val="0"/>
          <w:kern w:val="0"/>
          <w:sz w:val="24"/>
          <w:szCs w:val="24"/>
        </w:rPr>
      </w:pPr>
    </w:p>
    <w:p w14:paraId="17122C7E">
      <w:pPr>
        <w:pStyle w:val="8"/>
        <w:adjustRightInd w:val="0"/>
        <w:snapToGrid w:val="0"/>
        <w:spacing w:line="360" w:lineRule="auto"/>
        <w:ind w:firstLine="2912" w:firstLineChars="1300"/>
        <w:rPr>
          <w:rFonts w:hint="eastAsia" w:ascii="宋体" w:hAnsi="宋体" w:eastAsia="宋体" w:cs="宋体"/>
          <w:snapToGrid w:val="0"/>
          <w:kern w:val="0"/>
          <w:sz w:val="24"/>
          <w:szCs w:val="24"/>
        </w:rPr>
      </w:pPr>
    </w:p>
    <w:p w14:paraId="018C9092">
      <w:pPr>
        <w:adjustRightInd w:val="0"/>
        <w:snapToGrid w:val="0"/>
        <w:spacing w:line="360" w:lineRule="auto"/>
        <w:ind w:firstLine="388" w:firstLineChars="200"/>
        <w:rPr>
          <w:rFonts w:hint="eastAsia" w:ascii="宋体" w:hAnsi="宋体" w:cs="宋体"/>
          <w:szCs w:val="21"/>
          <w:u w:val="single"/>
        </w:rPr>
      </w:pPr>
      <w:r>
        <w:rPr>
          <w:rFonts w:hint="eastAsia" w:ascii="宋体" w:hAnsi="宋体" w:cs="宋体"/>
          <w:szCs w:val="21"/>
        </w:rPr>
        <w:t>投标人名称（签章）：</w:t>
      </w:r>
      <w:r>
        <w:rPr>
          <w:rFonts w:hint="eastAsia" w:ascii="宋体" w:hAnsi="宋体" w:cs="宋体"/>
          <w:szCs w:val="21"/>
          <w:u w:val="single"/>
        </w:rPr>
        <w:t xml:space="preserve">                                    </w:t>
      </w:r>
    </w:p>
    <w:p w14:paraId="728075D1">
      <w:pPr>
        <w:adjustRightInd w:val="0"/>
        <w:snapToGrid w:val="0"/>
        <w:spacing w:line="360" w:lineRule="auto"/>
        <w:ind w:firstLine="388" w:firstLineChars="200"/>
        <w:rPr>
          <w:rFonts w:hint="eastAsia" w:ascii="宋体" w:hAnsi="宋体" w:cs="宋体"/>
          <w:snapToGrid w:val="0"/>
          <w:kern w:val="0"/>
          <w:szCs w:val="21"/>
        </w:rPr>
      </w:pPr>
      <w:r>
        <w:rPr>
          <w:rFonts w:hint="eastAsia" w:ascii="宋体" w:hAnsi="宋体" w:cs="宋体"/>
          <w:snapToGrid w:val="0"/>
          <w:kern w:val="0"/>
          <w:szCs w:val="21"/>
        </w:rPr>
        <w:t>法定代表人（单位负责人）</w:t>
      </w:r>
    </w:p>
    <w:p w14:paraId="24C5363F">
      <w:pPr>
        <w:adjustRightInd w:val="0"/>
        <w:snapToGrid w:val="0"/>
        <w:spacing w:line="360" w:lineRule="auto"/>
        <w:ind w:firstLine="388" w:firstLineChars="200"/>
        <w:rPr>
          <w:rFonts w:hint="eastAsia" w:ascii="宋体" w:hAnsi="宋体" w:cs="宋体"/>
          <w:szCs w:val="21"/>
        </w:rPr>
      </w:pPr>
      <w:r>
        <w:rPr>
          <w:rFonts w:hint="eastAsia" w:ascii="宋体" w:hAnsi="宋体" w:cs="宋体"/>
          <w:snapToGrid w:val="0"/>
          <w:kern w:val="0"/>
          <w:szCs w:val="21"/>
        </w:rPr>
        <w:t>或授权代表（签   章）</w:t>
      </w:r>
      <w:r>
        <w:rPr>
          <w:rFonts w:hint="eastAsia" w:ascii="宋体" w:hAnsi="宋体" w:cs="宋体"/>
          <w:szCs w:val="21"/>
        </w:rPr>
        <w:t>：</w:t>
      </w:r>
      <w:r>
        <w:rPr>
          <w:rFonts w:hint="eastAsia" w:ascii="宋体" w:hAnsi="宋体" w:cs="宋体"/>
          <w:szCs w:val="21"/>
          <w:u w:val="single"/>
        </w:rPr>
        <w:t xml:space="preserve">                                </w:t>
      </w:r>
    </w:p>
    <w:p w14:paraId="200C6BDC">
      <w:pPr>
        <w:pStyle w:val="8"/>
        <w:adjustRightInd w:val="0"/>
        <w:snapToGrid w:val="0"/>
        <w:spacing w:line="360" w:lineRule="auto"/>
        <w:ind w:firstLine="0"/>
        <w:rPr>
          <w:rFonts w:hint="eastAsia" w:ascii="宋体" w:hAnsi="宋体" w:eastAsia="宋体" w:cs="宋体"/>
          <w:snapToGrid w:val="0"/>
          <w:kern w:val="0"/>
          <w:sz w:val="21"/>
          <w:szCs w:val="21"/>
        </w:rPr>
      </w:pPr>
      <w:r>
        <w:rPr>
          <w:rFonts w:hint="eastAsia" w:ascii="宋体" w:hAnsi="宋体" w:eastAsia="宋体" w:cs="宋体"/>
          <w:snapToGrid w:val="0"/>
          <w:kern w:val="0"/>
          <w:sz w:val="21"/>
          <w:szCs w:val="21"/>
        </w:rPr>
        <w:t xml:space="preserve">                    </w:t>
      </w:r>
    </w:p>
    <w:p w14:paraId="43002E4F">
      <w:pPr>
        <w:pStyle w:val="8"/>
        <w:adjustRightInd w:val="0"/>
        <w:snapToGrid w:val="0"/>
        <w:spacing w:line="360" w:lineRule="auto"/>
        <w:ind w:firstLine="388" w:firstLineChars="200"/>
        <w:rPr>
          <w:rFonts w:hint="eastAsia" w:ascii="宋体" w:hAnsi="宋体" w:eastAsia="宋体" w:cs="宋体"/>
          <w:snapToGrid w:val="0"/>
          <w:kern w:val="0"/>
          <w:sz w:val="21"/>
          <w:szCs w:val="21"/>
        </w:rPr>
      </w:pPr>
      <w:r>
        <w:rPr>
          <w:rFonts w:hint="eastAsia" w:ascii="宋体" w:hAnsi="宋体" w:eastAsia="宋体" w:cs="宋体"/>
          <w:bCs/>
          <w:snapToGrid w:val="0"/>
          <w:kern w:val="0"/>
          <w:sz w:val="21"/>
          <w:szCs w:val="21"/>
        </w:rPr>
        <w:t>日期:</w:t>
      </w:r>
      <w:r>
        <w:rPr>
          <w:rFonts w:hint="eastAsia" w:ascii="宋体" w:hAnsi="宋体" w:eastAsia="宋体" w:cs="宋体"/>
          <w:snapToGrid w:val="0"/>
          <w:kern w:val="0"/>
          <w:sz w:val="21"/>
          <w:szCs w:val="21"/>
          <w:u w:val="single"/>
        </w:rPr>
        <w:t xml:space="preserve">     </w:t>
      </w:r>
      <w:r>
        <w:rPr>
          <w:rFonts w:hint="eastAsia" w:ascii="宋体" w:hAnsi="宋体" w:eastAsia="宋体" w:cs="宋体"/>
          <w:snapToGrid w:val="0"/>
          <w:kern w:val="0"/>
          <w:sz w:val="21"/>
          <w:szCs w:val="21"/>
        </w:rPr>
        <w:t>年</w:t>
      </w:r>
      <w:r>
        <w:rPr>
          <w:rFonts w:hint="eastAsia" w:ascii="宋体" w:hAnsi="宋体" w:eastAsia="宋体" w:cs="宋体"/>
          <w:snapToGrid w:val="0"/>
          <w:kern w:val="0"/>
          <w:sz w:val="21"/>
          <w:szCs w:val="21"/>
          <w:u w:val="single"/>
        </w:rPr>
        <w:t xml:space="preserve">   </w:t>
      </w:r>
      <w:r>
        <w:rPr>
          <w:rFonts w:hint="eastAsia" w:ascii="宋体" w:hAnsi="宋体" w:eastAsia="宋体" w:cs="宋体"/>
          <w:snapToGrid w:val="0"/>
          <w:kern w:val="0"/>
          <w:sz w:val="21"/>
          <w:szCs w:val="21"/>
        </w:rPr>
        <w:t>月</w:t>
      </w:r>
      <w:r>
        <w:rPr>
          <w:rFonts w:hint="eastAsia" w:ascii="宋体" w:hAnsi="宋体" w:eastAsia="宋体" w:cs="宋体"/>
          <w:snapToGrid w:val="0"/>
          <w:kern w:val="0"/>
          <w:sz w:val="21"/>
          <w:szCs w:val="21"/>
          <w:u w:val="single"/>
        </w:rPr>
        <w:t xml:space="preserve">   </w:t>
      </w:r>
      <w:r>
        <w:rPr>
          <w:rFonts w:hint="eastAsia" w:ascii="宋体" w:hAnsi="宋体" w:eastAsia="宋体" w:cs="宋体"/>
          <w:snapToGrid w:val="0"/>
          <w:kern w:val="0"/>
          <w:sz w:val="21"/>
          <w:szCs w:val="21"/>
        </w:rPr>
        <w:t>日</w:t>
      </w:r>
    </w:p>
    <w:p w14:paraId="2A1ED3CF">
      <w:pPr>
        <w:spacing w:line="360" w:lineRule="auto"/>
        <w:rPr>
          <w:rFonts w:hint="eastAsia" w:ascii="宋体" w:hAnsi="宋体" w:cs="宋体"/>
        </w:rPr>
      </w:pPr>
    </w:p>
    <w:p w14:paraId="2D5FB0BF">
      <w:pPr>
        <w:spacing w:line="360" w:lineRule="auto"/>
        <w:rPr>
          <w:rFonts w:hint="eastAsia" w:ascii="宋体" w:hAnsi="宋体" w:cs="宋体"/>
          <w:kern w:val="0"/>
          <w:sz w:val="30"/>
          <w:szCs w:val="30"/>
        </w:rPr>
      </w:pPr>
      <w:r>
        <w:rPr>
          <w:rFonts w:hint="eastAsia" w:ascii="宋体" w:hAnsi="宋体" w:cs="宋体"/>
          <w:kern w:val="0"/>
          <w:sz w:val="30"/>
          <w:szCs w:val="30"/>
        </w:rPr>
        <w:br w:type="page"/>
      </w:r>
    </w:p>
    <w:p w14:paraId="3CFA6A7D">
      <w:pPr>
        <w:pStyle w:val="2"/>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五、招标文件要求提供或投标人认为需要提供的其它技术材料</w:t>
      </w:r>
    </w:p>
    <w:p w14:paraId="6D58C5DC">
      <w:pPr>
        <w:pStyle w:val="2"/>
        <w:spacing w:line="360" w:lineRule="auto"/>
        <w:jc w:val="center"/>
        <w:rPr>
          <w:rFonts w:hint="eastAsia" w:ascii="宋体" w:hAnsi="宋体" w:cs="宋体"/>
          <w:b w:val="0"/>
          <w:bCs w:val="0"/>
          <w:kern w:val="0"/>
          <w:sz w:val="24"/>
          <w:szCs w:val="24"/>
        </w:rPr>
      </w:pPr>
      <w:r>
        <w:rPr>
          <w:rFonts w:hint="eastAsia" w:ascii="宋体" w:hAnsi="宋体" w:cs="宋体"/>
          <w:b w:val="0"/>
          <w:bCs w:val="0"/>
          <w:kern w:val="0"/>
          <w:sz w:val="24"/>
          <w:szCs w:val="24"/>
        </w:rPr>
        <w:t>（如果有，提供）</w:t>
      </w:r>
    </w:p>
    <w:p w14:paraId="4DF02B42">
      <w:pPr>
        <w:pStyle w:val="2"/>
        <w:spacing w:line="360" w:lineRule="auto"/>
        <w:rPr>
          <w:rFonts w:hint="eastAsia" w:ascii="宋体" w:hAnsi="宋体" w:cs="宋体"/>
          <w:b w:val="0"/>
          <w:bCs w:val="0"/>
          <w:kern w:val="0"/>
          <w:sz w:val="30"/>
          <w:szCs w:val="30"/>
        </w:rPr>
      </w:pPr>
    </w:p>
    <w:p w14:paraId="121DC33F">
      <w:pPr>
        <w:pStyle w:val="2"/>
        <w:spacing w:line="360" w:lineRule="auto"/>
        <w:rPr>
          <w:rFonts w:hint="eastAsia" w:ascii="宋体" w:hAnsi="宋体" w:cs="宋体"/>
          <w:b w:val="0"/>
          <w:bCs w:val="0"/>
          <w:kern w:val="0"/>
          <w:sz w:val="30"/>
          <w:szCs w:val="30"/>
        </w:rPr>
      </w:pPr>
    </w:p>
    <w:p w14:paraId="6374F1C0">
      <w:pPr>
        <w:spacing w:line="360" w:lineRule="auto"/>
        <w:jc w:val="center"/>
        <w:outlineLvl w:val="1"/>
        <w:rPr>
          <w:rFonts w:hint="eastAsia" w:ascii="宋体" w:hAnsi="宋体" w:cs="宋体"/>
          <w:b/>
          <w:bCs/>
          <w:kern w:val="0"/>
          <w:sz w:val="52"/>
          <w:szCs w:val="52"/>
        </w:rPr>
      </w:pPr>
    </w:p>
    <w:p w14:paraId="598ED5F7">
      <w:pPr>
        <w:spacing w:line="360" w:lineRule="auto"/>
        <w:outlineLvl w:val="1"/>
        <w:rPr>
          <w:rFonts w:hint="eastAsia" w:ascii="宋体" w:hAnsi="宋体" w:cs="宋体"/>
          <w:b/>
          <w:bCs/>
          <w:kern w:val="0"/>
          <w:sz w:val="52"/>
          <w:szCs w:val="52"/>
        </w:rPr>
      </w:pPr>
    </w:p>
    <w:p w14:paraId="5E88E971">
      <w:pPr>
        <w:spacing w:line="360" w:lineRule="auto"/>
        <w:rPr>
          <w:rFonts w:hint="eastAsia" w:ascii="宋体" w:hAnsi="宋体" w:cs="宋体"/>
          <w:b/>
          <w:bCs/>
          <w:kern w:val="0"/>
          <w:sz w:val="52"/>
          <w:szCs w:val="52"/>
        </w:rPr>
      </w:pPr>
      <w:r>
        <w:rPr>
          <w:rFonts w:hint="eastAsia" w:ascii="宋体" w:hAnsi="宋体" w:cs="宋体"/>
          <w:b/>
          <w:bCs/>
          <w:kern w:val="0"/>
          <w:sz w:val="52"/>
          <w:szCs w:val="52"/>
        </w:rPr>
        <w:br w:type="page"/>
      </w:r>
    </w:p>
    <w:p w14:paraId="0306C1B8">
      <w:pPr>
        <w:spacing w:line="360" w:lineRule="auto"/>
        <w:jc w:val="center"/>
        <w:outlineLvl w:val="1"/>
        <w:rPr>
          <w:rFonts w:hint="eastAsia" w:ascii="宋体" w:hAnsi="宋体" w:cs="宋体"/>
          <w:b/>
          <w:bCs/>
          <w:kern w:val="0"/>
          <w:sz w:val="52"/>
          <w:szCs w:val="52"/>
        </w:rPr>
      </w:pPr>
    </w:p>
    <w:p w14:paraId="198C8C59">
      <w:pPr>
        <w:spacing w:line="360" w:lineRule="auto"/>
        <w:jc w:val="center"/>
        <w:outlineLvl w:val="1"/>
        <w:rPr>
          <w:rFonts w:hint="eastAsia" w:ascii="宋体" w:hAnsi="宋体" w:cs="宋体"/>
          <w:b/>
          <w:bCs/>
          <w:kern w:val="0"/>
          <w:sz w:val="52"/>
          <w:szCs w:val="52"/>
        </w:rPr>
      </w:pPr>
    </w:p>
    <w:p w14:paraId="654634DC">
      <w:pPr>
        <w:spacing w:line="360" w:lineRule="auto"/>
        <w:jc w:val="center"/>
        <w:outlineLvl w:val="1"/>
        <w:rPr>
          <w:rFonts w:hint="eastAsia" w:ascii="宋体" w:hAnsi="宋体" w:cs="宋体"/>
          <w:b/>
          <w:bCs/>
          <w:kern w:val="0"/>
          <w:sz w:val="52"/>
          <w:szCs w:val="52"/>
        </w:rPr>
      </w:pPr>
    </w:p>
    <w:p w14:paraId="7E416409">
      <w:pPr>
        <w:spacing w:line="360" w:lineRule="auto"/>
        <w:jc w:val="center"/>
        <w:outlineLvl w:val="1"/>
        <w:rPr>
          <w:rFonts w:hint="eastAsia" w:ascii="宋体" w:hAnsi="宋体" w:cs="宋体"/>
          <w:b/>
          <w:bCs/>
          <w:kern w:val="0"/>
          <w:sz w:val="52"/>
          <w:szCs w:val="52"/>
        </w:rPr>
      </w:pPr>
    </w:p>
    <w:p w14:paraId="7F5B3A24">
      <w:pPr>
        <w:spacing w:line="360" w:lineRule="auto"/>
        <w:jc w:val="center"/>
        <w:outlineLvl w:val="1"/>
        <w:rPr>
          <w:rFonts w:hint="eastAsia" w:ascii="宋体" w:hAnsi="宋体" w:cs="宋体"/>
          <w:b/>
          <w:bCs/>
          <w:kern w:val="0"/>
          <w:sz w:val="52"/>
          <w:szCs w:val="52"/>
        </w:rPr>
      </w:pPr>
      <w:r>
        <w:rPr>
          <w:rFonts w:hint="eastAsia" w:ascii="宋体" w:hAnsi="宋体" w:cs="宋体"/>
          <w:b/>
          <w:bCs/>
          <w:kern w:val="0"/>
          <w:sz w:val="52"/>
          <w:szCs w:val="52"/>
        </w:rPr>
        <w:t>第四部分  报价文件</w:t>
      </w:r>
    </w:p>
    <w:p w14:paraId="3587232C">
      <w:pPr>
        <w:spacing w:line="360" w:lineRule="auto"/>
        <w:rPr>
          <w:rFonts w:hint="eastAsia" w:ascii="宋体" w:hAnsi="宋体" w:cs="宋体"/>
        </w:rPr>
      </w:pPr>
    </w:p>
    <w:p w14:paraId="6090CB26">
      <w:pPr>
        <w:spacing w:line="360" w:lineRule="auto"/>
        <w:rPr>
          <w:rFonts w:hint="eastAsia" w:ascii="宋体" w:hAnsi="宋体" w:cs="宋体"/>
          <w:kern w:val="0"/>
          <w:sz w:val="30"/>
          <w:szCs w:val="30"/>
        </w:rPr>
      </w:pPr>
      <w:r>
        <w:rPr>
          <w:rFonts w:hint="eastAsia" w:ascii="宋体" w:hAnsi="宋体" w:cs="宋体"/>
          <w:kern w:val="0"/>
          <w:sz w:val="30"/>
          <w:szCs w:val="30"/>
        </w:rPr>
        <w:br w:type="page"/>
      </w:r>
    </w:p>
    <w:p w14:paraId="4AAAD3BD">
      <w:pPr>
        <w:pStyle w:val="2"/>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一、开标一览表</w:t>
      </w:r>
    </w:p>
    <w:p w14:paraId="1F10B115">
      <w:pPr>
        <w:adjustRightInd w:val="0"/>
        <w:snapToGrid w:val="0"/>
        <w:spacing w:line="360" w:lineRule="auto"/>
        <w:rPr>
          <w:rFonts w:hint="eastAsia" w:ascii="宋体" w:hAnsi="宋体" w:cs="宋体"/>
          <w:sz w:val="24"/>
          <w:u w:val="single"/>
        </w:rPr>
      </w:pPr>
      <w:r>
        <w:rPr>
          <w:rFonts w:hint="eastAsia" w:ascii="宋体" w:hAnsi="宋体" w:cs="宋体"/>
          <w:sz w:val="24"/>
        </w:rPr>
        <w:t xml:space="preserve">采购项目名称： </w:t>
      </w:r>
      <w:r>
        <w:rPr>
          <w:rFonts w:hint="eastAsia" w:ascii="宋体" w:hAnsi="宋体" w:cs="宋体"/>
          <w:sz w:val="24"/>
          <w:u w:val="single"/>
        </w:rPr>
        <w:t xml:space="preserve">                         </w:t>
      </w:r>
    </w:p>
    <w:p w14:paraId="071DE738">
      <w:pPr>
        <w:adjustRightInd w:val="0"/>
        <w:snapToGrid w:val="0"/>
        <w:spacing w:line="360" w:lineRule="auto"/>
        <w:rPr>
          <w:rFonts w:hint="eastAsia" w:ascii="宋体" w:hAnsi="宋体" w:cs="宋体"/>
          <w:sz w:val="24"/>
          <w:u w:val="single"/>
        </w:rPr>
      </w:pPr>
      <w:r>
        <w:rPr>
          <w:rFonts w:hint="eastAsia" w:ascii="宋体" w:hAnsi="宋体" w:cs="宋体"/>
          <w:sz w:val="24"/>
        </w:rPr>
        <w:t>采购项目编号：</w:t>
      </w:r>
      <w:r>
        <w:rPr>
          <w:rFonts w:hint="eastAsia" w:ascii="宋体" w:hAnsi="宋体" w:cs="宋体"/>
          <w:i/>
          <w:iCs/>
          <w:sz w:val="24"/>
        </w:rPr>
        <w:t xml:space="preserve"> </w:t>
      </w:r>
      <w:r>
        <w:rPr>
          <w:rFonts w:hint="eastAsia" w:ascii="宋体" w:hAnsi="宋体" w:cs="宋体"/>
          <w:sz w:val="24"/>
          <w:u w:val="single"/>
        </w:rPr>
        <w:t xml:space="preserve">                         </w:t>
      </w:r>
    </w:p>
    <w:tbl>
      <w:tblPr>
        <w:tblStyle w:val="3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03"/>
        <w:gridCol w:w="1703"/>
        <w:gridCol w:w="1703"/>
        <w:gridCol w:w="1704"/>
        <w:gridCol w:w="1704"/>
      </w:tblGrid>
      <w:tr w14:paraId="21AD98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rPr>
        <w:tc>
          <w:tcPr>
            <w:tcW w:w="1703" w:type="dxa"/>
            <w:vMerge w:val="restart"/>
          </w:tcPr>
          <w:p w14:paraId="2583B5DF">
            <w:pPr>
              <w:autoSpaceDE w:val="0"/>
              <w:autoSpaceDN w:val="0"/>
              <w:adjustRightInd w:val="0"/>
              <w:spacing w:line="360" w:lineRule="auto"/>
              <w:rPr>
                <w:rFonts w:hint="eastAsia" w:ascii="宋体" w:hAnsi="宋体" w:cs="宋体"/>
                <w:bCs/>
                <w:snapToGrid w:val="0"/>
                <w:kern w:val="0"/>
                <w:sz w:val="24"/>
              </w:rPr>
            </w:pPr>
          </w:p>
          <w:p w14:paraId="770DD22F">
            <w:pPr>
              <w:autoSpaceDE w:val="0"/>
              <w:autoSpaceDN w:val="0"/>
              <w:adjustRightInd w:val="0"/>
              <w:spacing w:line="360" w:lineRule="auto"/>
              <w:ind w:firstLine="784" w:firstLineChars="350"/>
              <w:rPr>
                <w:rFonts w:hint="eastAsia" w:ascii="宋体" w:hAnsi="宋体" w:cs="宋体"/>
                <w:bCs/>
                <w:snapToGrid w:val="0"/>
                <w:kern w:val="0"/>
                <w:szCs w:val="21"/>
              </w:rPr>
            </w:pPr>
            <w:r>
              <w:rPr>
                <w:rFonts w:hint="eastAsia" w:ascii="宋体" w:hAnsi="宋体" w:cs="宋体"/>
                <w:sz w:val="24"/>
                <w:lang w:val="zh-CN"/>
              </w:rPr>
              <w:t>包号</w:t>
            </w:r>
          </w:p>
        </w:tc>
        <w:tc>
          <w:tcPr>
            <w:tcW w:w="5110" w:type="dxa"/>
            <w:gridSpan w:val="3"/>
          </w:tcPr>
          <w:p w14:paraId="45F59805">
            <w:pPr>
              <w:adjustRightInd w:val="0"/>
              <w:snapToGrid w:val="0"/>
              <w:spacing w:before="78" w:beforeLines="25" w:line="360" w:lineRule="auto"/>
              <w:jc w:val="center"/>
              <w:rPr>
                <w:rFonts w:hint="eastAsia" w:ascii="宋体" w:hAnsi="宋体" w:cs="宋体"/>
                <w:bCs/>
                <w:snapToGrid w:val="0"/>
                <w:kern w:val="0"/>
                <w:szCs w:val="21"/>
              </w:rPr>
            </w:pPr>
            <w:r>
              <w:rPr>
                <w:rFonts w:hint="eastAsia" w:ascii="宋体" w:hAnsi="宋体" w:cs="宋体"/>
                <w:sz w:val="24"/>
                <w:lang w:val="zh-CN"/>
              </w:rPr>
              <w:t>投标报价（人民币元）</w:t>
            </w:r>
          </w:p>
        </w:tc>
        <w:tc>
          <w:tcPr>
            <w:tcW w:w="1704" w:type="dxa"/>
            <w:vMerge w:val="restart"/>
          </w:tcPr>
          <w:p w14:paraId="1AB3F169">
            <w:pPr>
              <w:autoSpaceDE w:val="0"/>
              <w:autoSpaceDN w:val="0"/>
              <w:adjustRightInd w:val="0"/>
              <w:spacing w:line="360" w:lineRule="auto"/>
              <w:jc w:val="center"/>
              <w:rPr>
                <w:rFonts w:hint="eastAsia" w:ascii="宋体" w:hAnsi="宋体" w:cs="宋体"/>
                <w:sz w:val="24"/>
                <w:lang w:val="zh-CN"/>
              </w:rPr>
            </w:pPr>
          </w:p>
          <w:p w14:paraId="58693065">
            <w:pPr>
              <w:autoSpaceDE w:val="0"/>
              <w:autoSpaceDN w:val="0"/>
              <w:adjustRightInd w:val="0"/>
              <w:spacing w:line="360" w:lineRule="auto"/>
              <w:jc w:val="center"/>
              <w:rPr>
                <w:rFonts w:hint="eastAsia" w:ascii="宋体" w:hAnsi="宋体" w:cs="宋体"/>
                <w:bCs/>
                <w:snapToGrid w:val="0"/>
                <w:kern w:val="0"/>
                <w:szCs w:val="21"/>
              </w:rPr>
            </w:pPr>
            <w:r>
              <w:rPr>
                <w:rFonts w:hint="eastAsia" w:ascii="宋体" w:hAnsi="宋体" w:cs="宋体"/>
                <w:sz w:val="24"/>
                <w:lang w:val="zh-CN"/>
              </w:rPr>
              <w:t>备注</w:t>
            </w:r>
          </w:p>
        </w:tc>
      </w:tr>
      <w:tr w14:paraId="4490EC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703" w:type="dxa"/>
            <w:vMerge w:val="continue"/>
          </w:tcPr>
          <w:p w14:paraId="2156A6A4">
            <w:pPr>
              <w:adjustRightInd w:val="0"/>
              <w:snapToGrid w:val="0"/>
              <w:spacing w:before="78" w:beforeLines="25" w:line="360" w:lineRule="auto"/>
              <w:rPr>
                <w:rFonts w:hint="eastAsia" w:ascii="宋体" w:hAnsi="宋体" w:cs="宋体"/>
                <w:bCs/>
                <w:snapToGrid w:val="0"/>
                <w:kern w:val="0"/>
                <w:szCs w:val="21"/>
              </w:rPr>
            </w:pPr>
          </w:p>
        </w:tc>
        <w:tc>
          <w:tcPr>
            <w:tcW w:w="1703" w:type="dxa"/>
          </w:tcPr>
          <w:p w14:paraId="27215EE3">
            <w:pPr>
              <w:adjustRightInd w:val="0"/>
              <w:snapToGrid w:val="0"/>
              <w:spacing w:before="78" w:beforeLines="25" w:line="360" w:lineRule="auto"/>
              <w:rPr>
                <w:rFonts w:hint="eastAsia" w:ascii="宋体" w:hAnsi="宋体" w:cs="宋体"/>
                <w:sz w:val="24"/>
                <w:lang w:val="zh-CN"/>
              </w:rPr>
            </w:pPr>
            <w:r>
              <w:rPr>
                <w:rFonts w:hint="eastAsia" w:ascii="宋体" w:hAnsi="宋体" w:cs="宋体"/>
                <w:sz w:val="24"/>
                <w:lang w:val="zh-CN"/>
              </w:rPr>
              <w:t>大写</w:t>
            </w:r>
          </w:p>
        </w:tc>
        <w:tc>
          <w:tcPr>
            <w:tcW w:w="1703" w:type="dxa"/>
          </w:tcPr>
          <w:p w14:paraId="25E5B04F">
            <w:pPr>
              <w:adjustRightInd w:val="0"/>
              <w:snapToGrid w:val="0"/>
              <w:spacing w:before="78" w:beforeLines="25" w:line="360" w:lineRule="auto"/>
              <w:rPr>
                <w:rFonts w:hint="eastAsia" w:ascii="宋体" w:hAnsi="宋体" w:cs="宋体"/>
                <w:sz w:val="24"/>
                <w:lang w:val="zh-CN"/>
              </w:rPr>
            </w:pPr>
            <w:r>
              <w:rPr>
                <w:rFonts w:hint="eastAsia" w:ascii="宋体" w:hAnsi="宋体" w:cs="宋体"/>
                <w:sz w:val="24"/>
                <w:lang w:val="zh-CN"/>
              </w:rPr>
              <w:t>小写</w:t>
            </w:r>
          </w:p>
        </w:tc>
        <w:tc>
          <w:tcPr>
            <w:tcW w:w="1704" w:type="dxa"/>
          </w:tcPr>
          <w:p w14:paraId="15243850">
            <w:pPr>
              <w:adjustRightInd w:val="0"/>
              <w:snapToGrid w:val="0"/>
              <w:spacing w:before="78" w:beforeLines="25" w:line="360" w:lineRule="auto"/>
              <w:rPr>
                <w:rFonts w:hint="eastAsia" w:ascii="宋体" w:hAnsi="宋体" w:cs="宋体"/>
                <w:sz w:val="24"/>
                <w:lang w:val="zh-CN"/>
              </w:rPr>
            </w:pPr>
            <w:r>
              <w:rPr>
                <w:rFonts w:hint="eastAsia" w:ascii="宋体" w:hAnsi="宋体" w:cs="宋体"/>
                <w:sz w:val="24"/>
                <w:lang w:val="zh-CN"/>
              </w:rPr>
              <w:t>费率/折扣率</w:t>
            </w:r>
          </w:p>
        </w:tc>
        <w:tc>
          <w:tcPr>
            <w:tcW w:w="1704" w:type="dxa"/>
            <w:vMerge w:val="continue"/>
          </w:tcPr>
          <w:p w14:paraId="6567641D">
            <w:pPr>
              <w:adjustRightInd w:val="0"/>
              <w:snapToGrid w:val="0"/>
              <w:spacing w:before="78" w:beforeLines="25" w:line="360" w:lineRule="auto"/>
              <w:rPr>
                <w:rFonts w:hint="eastAsia" w:ascii="宋体" w:hAnsi="宋体" w:cs="宋体"/>
                <w:bCs/>
                <w:snapToGrid w:val="0"/>
                <w:kern w:val="0"/>
                <w:szCs w:val="21"/>
              </w:rPr>
            </w:pPr>
          </w:p>
        </w:tc>
      </w:tr>
      <w:tr w14:paraId="76B39C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trPr>
        <w:tc>
          <w:tcPr>
            <w:tcW w:w="1703" w:type="dxa"/>
          </w:tcPr>
          <w:p w14:paraId="1280904A">
            <w:pPr>
              <w:adjustRightInd w:val="0"/>
              <w:snapToGrid w:val="0"/>
              <w:spacing w:before="78" w:beforeLines="25" w:line="360" w:lineRule="auto"/>
              <w:jc w:val="center"/>
              <w:rPr>
                <w:rFonts w:hint="eastAsia" w:ascii="宋体" w:hAnsi="宋体" w:cs="宋体"/>
                <w:bCs/>
                <w:snapToGrid w:val="0"/>
                <w:kern w:val="0"/>
                <w:szCs w:val="21"/>
              </w:rPr>
            </w:pPr>
            <w:r>
              <w:rPr>
                <w:rFonts w:hint="eastAsia" w:ascii="宋体" w:hAnsi="宋体" w:cs="宋体"/>
                <w:bCs/>
                <w:snapToGrid w:val="0"/>
                <w:kern w:val="0"/>
                <w:sz w:val="24"/>
              </w:rPr>
              <w:t>第   包</w:t>
            </w:r>
          </w:p>
        </w:tc>
        <w:tc>
          <w:tcPr>
            <w:tcW w:w="1703" w:type="dxa"/>
          </w:tcPr>
          <w:p w14:paraId="38C3E854">
            <w:pPr>
              <w:adjustRightInd w:val="0"/>
              <w:snapToGrid w:val="0"/>
              <w:spacing w:before="78" w:beforeLines="25" w:line="360" w:lineRule="auto"/>
              <w:rPr>
                <w:rFonts w:hint="eastAsia" w:ascii="宋体" w:hAnsi="宋体" w:cs="宋体"/>
                <w:bCs/>
                <w:snapToGrid w:val="0"/>
                <w:kern w:val="0"/>
                <w:szCs w:val="21"/>
              </w:rPr>
            </w:pPr>
          </w:p>
        </w:tc>
        <w:tc>
          <w:tcPr>
            <w:tcW w:w="1703" w:type="dxa"/>
          </w:tcPr>
          <w:p w14:paraId="1ACD1F54">
            <w:pPr>
              <w:adjustRightInd w:val="0"/>
              <w:snapToGrid w:val="0"/>
              <w:spacing w:before="78" w:beforeLines="25" w:line="360" w:lineRule="auto"/>
              <w:rPr>
                <w:rFonts w:hint="eastAsia" w:ascii="宋体" w:hAnsi="宋体" w:cs="宋体"/>
                <w:bCs/>
                <w:snapToGrid w:val="0"/>
                <w:kern w:val="0"/>
                <w:szCs w:val="21"/>
              </w:rPr>
            </w:pPr>
          </w:p>
        </w:tc>
        <w:tc>
          <w:tcPr>
            <w:tcW w:w="1704" w:type="dxa"/>
          </w:tcPr>
          <w:p w14:paraId="0F6D6CF9">
            <w:pPr>
              <w:adjustRightInd w:val="0"/>
              <w:snapToGrid w:val="0"/>
              <w:spacing w:before="78" w:beforeLines="25" w:line="360" w:lineRule="auto"/>
              <w:rPr>
                <w:rFonts w:hint="eastAsia" w:ascii="宋体" w:hAnsi="宋体" w:cs="宋体"/>
                <w:bCs/>
                <w:snapToGrid w:val="0"/>
                <w:kern w:val="0"/>
                <w:szCs w:val="21"/>
              </w:rPr>
            </w:pPr>
          </w:p>
        </w:tc>
        <w:tc>
          <w:tcPr>
            <w:tcW w:w="1704" w:type="dxa"/>
          </w:tcPr>
          <w:p w14:paraId="6F19C973">
            <w:pPr>
              <w:adjustRightInd w:val="0"/>
              <w:snapToGrid w:val="0"/>
              <w:spacing w:before="78" w:beforeLines="25" w:line="360" w:lineRule="auto"/>
              <w:rPr>
                <w:rFonts w:hint="eastAsia" w:ascii="宋体" w:hAnsi="宋体" w:cs="宋体"/>
                <w:bCs/>
                <w:snapToGrid w:val="0"/>
                <w:kern w:val="0"/>
                <w:szCs w:val="21"/>
              </w:rPr>
            </w:pPr>
          </w:p>
        </w:tc>
      </w:tr>
    </w:tbl>
    <w:p w14:paraId="7F28BBA0">
      <w:pPr>
        <w:adjustRightInd w:val="0"/>
        <w:snapToGrid w:val="0"/>
        <w:spacing w:before="78" w:beforeLines="25" w:line="360" w:lineRule="auto"/>
        <w:rPr>
          <w:rFonts w:hint="eastAsia" w:ascii="宋体" w:hAnsi="宋体" w:cs="宋体"/>
          <w:bCs/>
          <w:snapToGrid w:val="0"/>
          <w:kern w:val="0"/>
          <w:szCs w:val="21"/>
        </w:rPr>
      </w:pPr>
    </w:p>
    <w:p w14:paraId="1FD28535">
      <w:pPr>
        <w:adjustRightInd w:val="0"/>
        <w:snapToGrid w:val="0"/>
        <w:spacing w:before="78" w:beforeLines="25" w:line="360" w:lineRule="auto"/>
        <w:rPr>
          <w:rFonts w:hint="eastAsia" w:ascii="宋体" w:hAnsi="宋体" w:cs="宋体"/>
          <w:bCs/>
          <w:snapToGrid w:val="0"/>
          <w:kern w:val="0"/>
          <w:szCs w:val="21"/>
        </w:rPr>
      </w:pPr>
      <w:r>
        <w:rPr>
          <w:rFonts w:hint="eastAsia" w:ascii="宋体" w:hAnsi="宋体" w:cs="宋体"/>
          <w:bCs/>
          <w:snapToGrid w:val="0"/>
          <w:kern w:val="0"/>
          <w:szCs w:val="21"/>
        </w:rPr>
        <w:t>注：</w:t>
      </w:r>
    </w:p>
    <w:p w14:paraId="47AF713C">
      <w:pPr>
        <w:adjustRightInd w:val="0"/>
        <w:snapToGrid w:val="0"/>
        <w:spacing w:before="78" w:beforeLines="25" w:line="360" w:lineRule="auto"/>
        <w:ind w:firstLine="386"/>
        <w:rPr>
          <w:rFonts w:hint="eastAsia" w:ascii="宋体" w:hAnsi="宋体" w:cs="宋体"/>
          <w:bCs/>
          <w:snapToGrid w:val="0"/>
          <w:kern w:val="0"/>
          <w:szCs w:val="21"/>
        </w:rPr>
      </w:pPr>
      <w:r>
        <w:rPr>
          <w:rFonts w:hint="eastAsia" w:ascii="宋体" w:hAnsi="宋体" w:cs="宋体"/>
          <w:bCs/>
          <w:snapToGrid w:val="0"/>
          <w:kern w:val="0"/>
          <w:szCs w:val="21"/>
        </w:rPr>
        <w:t>1.投标人提报的投标报价是为完成该包全部工作所需的一切费用（</w:t>
      </w:r>
      <w:r>
        <w:rPr>
          <w:rFonts w:hint="eastAsia" w:ascii="宋体" w:hAnsi="宋体" w:cs="宋体"/>
          <w:szCs w:val="21"/>
        </w:rPr>
        <w:t>具体要求详见</w:t>
      </w:r>
      <w:r>
        <w:rPr>
          <w:rFonts w:hint="eastAsia" w:ascii="宋体" w:hAnsi="宋体" w:cs="宋体"/>
          <w:bCs/>
          <w:snapToGrid w:val="0"/>
          <w:kern w:val="0"/>
          <w:szCs w:val="21"/>
        </w:rPr>
        <w:t>招标文件第五章《投标人须知》中第13.3条的规定）。</w:t>
      </w:r>
    </w:p>
    <w:p w14:paraId="67959B67">
      <w:pPr>
        <w:adjustRightInd w:val="0"/>
        <w:snapToGrid w:val="0"/>
        <w:spacing w:before="78" w:beforeLines="25" w:line="360" w:lineRule="auto"/>
        <w:ind w:firstLine="386"/>
        <w:rPr>
          <w:rFonts w:hint="eastAsia" w:ascii="宋体" w:hAnsi="宋体" w:cs="宋体"/>
          <w:szCs w:val="21"/>
        </w:rPr>
      </w:pPr>
      <w:r>
        <w:rPr>
          <w:rFonts w:hint="eastAsia" w:ascii="宋体" w:hAnsi="宋体" w:cs="宋体"/>
          <w:szCs w:val="21"/>
        </w:rPr>
        <w:t>2.若本项目采用人民币金额方式报价，投标人需在“费率/折扣率”栏填“0” ；若本项目采用费率、折扣率等方式报价，投标人需在“大写”“小写”栏填“零”“0”。</w:t>
      </w:r>
    </w:p>
    <w:p w14:paraId="464C34A2">
      <w:pPr>
        <w:adjustRightInd w:val="0"/>
        <w:snapToGrid w:val="0"/>
        <w:spacing w:line="360" w:lineRule="auto"/>
        <w:rPr>
          <w:rFonts w:hint="eastAsia" w:ascii="宋体" w:hAnsi="宋体" w:cs="宋体"/>
          <w:snapToGrid w:val="0"/>
          <w:kern w:val="0"/>
          <w:sz w:val="24"/>
        </w:rPr>
      </w:pPr>
    </w:p>
    <w:p w14:paraId="21E7E7D7">
      <w:pPr>
        <w:tabs>
          <w:tab w:val="left" w:pos="9450"/>
        </w:tabs>
        <w:spacing w:line="360" w:lineRule="auto"/>
        <w:ind w:right="77" w:rightChars="40" w:firstLine="448" w:firstLineChars="200"/>
        <w:jc w:val="left"/>
        <w:rPr>
          <w:rFonts w:hint="eastAsia" w:ascii="宋体" w:hAnsi="宋体" w:cs="宋体"/>
          <w:sz w:val="24"/>
          <w:szCs w:val="22"/>
        </w:rPr>
      </w:pPr>
    </w:p>
    <w:p w14:paraId="5CF9DD60">
      <w:pPr>
        <w:pStyle w:val="8"/>
        <w:adjustRightInd w:val="0"/>
        <w:snapToGrid w:val="0"/>
        <w:spacing w:before="78" w:beforeLines="25" w:line="360" w:lineRule="auto"/>
        <w:ind w:firstLine="0"/>
        <w:rPr>
          <w:rFonts w:hint="eastAsia" w:ascii="宋体" w:hAnsi="宋体" w:eastAsia="宋体" w:cs="宋体"/>
          <w:bCs/>
          <w:snapToGrid w:val="0"/>
          <w:kern w:val="0"/>
          <w:sz w:val="24"/>
          <w:szCs w:val="24"/>
        </w:rPr>
      </w:pPr>
    </w:p>
    <w:p w14:paraId="28E5FAD0">
      <w:pPr>
        <w:pStyle w:val="8"/>
        <w:adjustRightInd w:val="0"/>
        <w:snapToGrid w:val="0"/>
        <w:spacing w:line="360" w:lineRule="auto"/>
        <w:ind w:firstLine="0"/>
        <w:rPr>
          <w:rFonts w:hint="eastAsia" w:ascii="宋体" w:hAnsi="宋体" w:eastAsia="宋体" w:cs="宋体"/>
          <w:snapToGrid w:val="0"/>
          <w:kern w:val="0"/>
          <w:sz w:val="24"/>
          <w:szCs w:val="24"/>
        </w:rPr>
      </w:pPr>
    </w:p>
    <w:p w14:paraId="702F4524">
      <w:pPr>
        <w:pStyle w:val="8"/>
        <w:adjustRightInd w:val="0"/>
        <w:snapToGrid w:val="0"/>
        <w:spacing w:line="360" w:lineRule="auto"/>
        <w:ind w:firstLine="0"/>
        <w:rPr>
          <w:rFonts w:hint="eastAsia" w:ascii="宋体" w:hAnsi="宋体" w:eastAsia="宋体" w:cs="宋体"/>
          <w:snapToGrid w:val="0"/>
          <w:kern w:val="0"/>
          <w:sz w:val="24"/>
          <w:szCs w:val="24"/>
        </w:rPr>
      </w:pPr>
    </w:p>
    <w:p w14:paraId="50AD4F2C">
      <w:pPr>
        <w:pStyle w:val="8"/>
        <w:adjustRightInd w:val="0"/>
        <w:snapToGrid w:val="0"/>
        <w:spacing w:line="360" w:lineRule="auto"/>
        <w:ind w:firstLine="0"/>
        <w:rPr>
          <w:rFonts w:hint="eastAsia" w:ascii="宋体" w:hAnsi="宋体" w:eastAsia="宋体" w:cs="宋体"/>
          <w:snapToGrid w:val="0"/>
          <w:kern w:val="0"/>
          <w:sz w:val="24"/>
          <w:szCs w:val="24"/>
        </w:rPr>
      </w:pPr>
    </w:p>
    <w:p w14:paraId="070B24F1">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335A01A5">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6FAF1758">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6FB55757">
      <w:pPr>
        <w:tabs>
          <w:tab w:val="left" w:pos="1573"/>
        </w:tabs>
        <w:spacing w:line="360" w:lineRule="auto"/>
        <w:rPr>
          <w:rFonts w:hint="eastAsia" w:ascii="宋体" w:hAnsi="宋体" w:cs="宋体"/>
          <w:sz w:val="24"/>
        </w:rPr>
      </w:pPr>
    </w:p>
    <w:p w14:paraId="546FC954">
      <w:pPr>
        <w:pStyle w:val="8"/>
        <w:adjustRightInd w:val="0"/>
        <w:snapToGrid w:val="0"/>
        <w:spacing w:line="360" w:lineRule="auto"/>
        <w:ind w:firstLine="0"/>
        <w:rPr>
          <w:rFonts w:hint="eastAsia" w:ascii="宋体" w:hAnsi="宋体" w:eastAsia="宋体" w:cs="宋体"/>
          <w:snapToGrid w:val="0"/>
          <w:kern w:val="0"/>
          <w:sz w:val="24"/>
          <w:szCs w:val="24"/>
        </w:rPr>
      </w:pPr>
      <w:r>
        <w:rPr>
          <w:rFonts w:hint="eastAsia" w:ascii="宋体" w:hAnsi="宋体" w:eastAsia="宋体" w:cs="宋体"/>
          <w:snapToGrid w:val="0"/>
          <w:kern w:val="0"/>
          <w:sz w:val="24"/>
          <w:szCs w:val="24"/>
        </w:rPr>
        <w:t xml:space="preserve">                    </w:t>
      </w:r>
    </w:p>
    <w:p w14:paraId="0BE148CB">
      <w:pPr>
        <w:pStyle w:val="8"/>
        <w:adjustRightInd w:val="0"/>
        <w:snapToGrid w:val="0"/>
        <w:spacing w:line="360" w:lineRule="auto"/>
        <w:ind w:firstLine="448" w:firstLineChars="200"/>
        <w:rPr>
          <w:rFonts w:hint="eastAsia" w:ascii="宋体" w:hAnsi="宋体" w:eastAsia="宋体" w:cs="宋体"/>
          <w:snapToGrid w:val="0"/>
          <w:kern w:val="0"/>
          <w:sz w:val="24"/>
          <w:szCs w:val="24"/>
        </w:rPr>
      </w:pPr>
      <w:r>
        <w:rPr>
          <w:rFonts w:hint="eastAsia" w:ascii="宋体" w:hAnsi="宋体" w:eastAsia="宋体" w:cs="宋体"/>
          <w:bCs/>
          <w:snapToGrid w:val="0"/>
          <w:kern w:val="0"/>
          <w:sz w:val="24"/>
          <w:szCs w:val="24"/>
        </w:rPr>
        <w:t>日期:</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年</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月</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日</w:t>
      </w:r>
    </w:p>
    <w:p w14:paraId="63CB0A44">
      <w:pPr>
        <w:autoSpaceDE w:val="0"/>
        <w:autoSpaceDN w:val="0"/>
        <w:adjustRightInd w:val="0"/>
        <w:spacing w:before="156" w:beforeLines="50" w:after="156" w:afterLines="50" w:line="360" w:lineRule="auto"/>
        <w:jc w:val="center"/>
        <w:rPr>
          <w:rFonts w:hint="eastAsia" w:ascii="宋体" w:hAnsi="宋体" w:cs="宋体"/>
          <w:kern w:val="0"/>
          <w:szCs w:val="21"/>
        </w:rPr>
      </w:pPr>
    </w:p>
    <w:p w14:paraId="58D08E17">
      <w:pPr>
        <w:autoSpaceDE w:val="0"/>
        <w:autoSpaceDN w:val="0"/>
        <w:adjustRightInd w:val="0"/>
        <w:spacing w:before="156" w:beforeLines="50" w:after="156" w:afterLines="50" w:line="360" w:lineRule="auto"/>
        <w:jc w:val="center"/>
        <w:rPr>
          <w:rFonts w:hint="eastAsia" w:ascii="宋体" w:hAnsi="宋体" w:cs="宋体"/>
          <w:kern w:val="0"/>
          <w:szCs w:val="21"/>
        </w:rPr>
      </w:pPr>
    </w:p>
    <w:p w14:paraId="29AE10A0">
      <w:pPr>
        <w:spacing w:line="360" w:lineRule="auto"/>
        <w:rPr>
          <w:rFonts w:hint="eastAsia" w:ascii="宋体" w:hAnsi="宋体" w:cs="宋体"/>
          <w:bCs/>
          <w:kern w:val="0"/>
          <w:sz w:val="30"/>
          <w:szCs w:val="30"/>
        </w:rPr>
      </w:pPr>
    </w:p>
    <w:p w14:paraId="0FDE55F4">
      <w:pPr>
        <w:spacing w:line="360" w:lineRule="auto"/>
        <w:ind w:firstLine="2840" w:firstLineChars="1000"/>
        <w:rPr>
          <w:rFonts w:hint="eastAsia" w:ascii="宋体" w:hAnsi="宋体" w:cs="宋体"/>
          <w:bCs/>
          <w:kern w:val="0"/>
          <w:sz w:val="30"/>
          <w:szCs w:val="30"/>
        </w:rPr>
      </w:pPr>
      <w:r>
        <w:rPr>
          <w:rFonts w:hint="eastAsia" w:ascii="宋体" w:hAnsi="宋体" w:cs="宋体"/>
          <w:bCs/>
          <w:kern w:val="0"/>
          <w:sz w:val="30"/>
          <w:szCs w:val="30"/>
        </w:rPr>
        <w:t>二、投标报价明细表</w:t>
      </w:r>
    </w:p>
    <w:p w14:paraId="064D7AFE">
      <w:pPr>
        <w:autoSpaceDE w:val="0"/>
        <w:autoSpaceDN w:val="0"/>
        <w:adjustRightInd w:val="0"/>
        <w:spacing w:before="156" w:beforeLines="50" w:after="156" w:afterLines="50" w:line="360" w:lineRule="auto"/>
        <w:jc w:val="center"/>
        <w:rPr>
          <w:rFonts w:hint="eastAsia" w:ascii="宋体" w:hAnsi="宋体" w:cs="宋体"/>
          <w:kern w:val="0"/>
          <w:sz w:val="24"/>
        </w:rPr>
      </w:pPr>
    </w:p>
    <w:p w14:paraId="08EC1FB8">
      <w:pPr>
        <w:adjustRightInd w:val="0"/>
        <w:snapToGrid w:val="0"/>
        <w:spacing w:line="360" w:lineRule="auto"/>
        <w:outlineLvl w:val="0"/>
        <w:rPr>
          <w:rFonts w:hint="eastAsia" w:ascii="宋体" w:hAnsi="宋体" w:cs="宋体"/>
          <w:bCs/>
          <w:sz w:val="24"/>
          <w:u w:val="single"/>
        </w:rPr>
      </w:pPr>
    </w:p>
    <w:tbl>
      <w:tblPr>
        <w:tblStyle w:val="15"/>
        <w:tblW w:w="8722"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570"/>
        <w:gridCol w:w="1371"/>
        <w:gridCol w:w="1788"/>
        <w:gridCol w:w="794"/>
        <w:gridCol w:w="1470"/>
        <w:gridCol w:w="885"/>
        <w:gridCol w:w="719"/>
        <w:gridCol w:w="1125"/>
      </w:tblGrid>
      <w:tr w14:paraId="5AF0550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70" w:type="dxa"/>
            <w:vAlign w:val="center"/>
          </w:tcPr>
          <w:p w14:paraId="14A6B058">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序号</w:t>
            </w:r>
          </w:p>
        </w:tc>
        <w:tc>
          <w:tcPr>
            <w:tcW w:w="1371" w:type="dxa"/>
            <w:vAlign w:val="center"/>
          </w:tcPr>
          <w:p w14:paraId="51C78795">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品牌、型号、规格</w:t>
            </w:r>
          </w:p>
        </w:tc>
        <w:tc>
          <w:tcPr>
            <w:tcW w:w="1788" w:type="dxa"/>
            <w:vAlign w:val="center"/>
          </w:tcPr>
          <w:p w14:paraId="467D9FC3">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主要技术参数</w:t>
            </w:r>
          </w:p>
        </w:tc>
        <w:tc>
          <w:tcPr>
            <w:tcW w:w="794" w:type="dxa"/>
            <w:vAlign w:val="center"/>
          </w:tcPr>
          <w:p w14:paraId="069BB1EB">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数量</w:t>
            </w:r>
          </w:p>
        </w:tc>
        <w:tc>
          <w:tcPr>
            <w:tcW w:w="1470" w:type="dxa"/>
            <w:vAlign w:val="center"/>
          </w:tcPr>
          <w:p w14:paraId="1191A2B0">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制造商名称</w:t>
            </w:r>
          </w:p>
        </w:tc>
        <w:tc>
          <w:tcPr>
            <w:tcW w:w="885" w:type="dxa"/>
            <w:vAlign w:val="center"/>
          </w:tcPr>
          <w:p w14:paraId="7814A1C1">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产地</w:t>
            </w:r>
          </w:p>
        </w:tc>
        <w:tc>
          <w:tcPr>
            <w:tcW w:w="719" w:type="dxa"/>
            <w:vAlign w:val="center"/>
          </w:tcPr>
          <w:p w14:paraId="72FE77F8">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单价</w:t>
            </w:r>
          </w:p>
        </w:tc>
        <w:tc>
          <w:tcPr>
            <w:tcW w:w="1125" w:type="dxa"/>
            <w:vAlign w:val="center"/>
          </w:tcPr>
          <w:p w14:paraId="4CC20E9A">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分项合计</w:t>
            </w:r>
          </w:p>
        </w:tc>
      </w:tr>
      <w:tr w14:paraId="1B71DCF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70" w:type="dxa"/>
            <w:vAlign w:val="center"/>
          </w:tcPr>
          <w:p w14:paraId="7CF65949">
            <w:pPr>
              <w:numPr>
                <w:ilvl w:val="0"/>
                <w:numId w:val="19"/>
              </w:numPr>
              <w:tabs>
                <w:tab w:val="left" w:pos="82"/>
              </w:tabs>
              <w:adjustRightInd w:val="0"/>
              <w:snapToGrid w:val="0"/>
              <w:spacing w:line="360" w:lineRule="auto"/>
              <w:jc w:val="center"/>
              <w:rPr>
                <w:rFonts w:hint="eastAsia" w:ascii="宋体" w:hAnsi="宋体" w:cs="宋体"/>
                <w:sz w:val="24"/>
              </w:rPr>
            </w:pPr>
          </w:p>
        </w:tc>
        <w:tc>
          <w:tcPr>
            <w:tcW w:w="1371" w:type="dxa"/>
            <w:vAlign w:val="center"/>
          </w:tcPr>
          <w:p w14:paraId="76B806D2">
            <w:pPr>
              <w:tabs>
                <w:tab w:val="left" w:pos="0"/>
                <w:tab w:val="left" w:pos="56"/>
              </w:tabs>
              <w:adjustRightInd w:val="0"/>
              <w:snapToGrid w:val="0"/>
              <w:spacing w:line="360" w:lineRule="auto"/>
              <w:ind w:left="509" w:hanging="511" w:hangingChars="228"/>
              <w:rPr>
                <w:rFonts w:hint="eastAsia" w:ascii="宋体" w:hAnsi="宋体" w:cs="宋体"/>
                <w:sz w:val="24"/>
              </w:rPr>
            </w:pPr>
          </w:p>
        </w:tc>
        <w:tc>
          <w:tcPr>
            <w:tcW w:w="1788" w:type="dxa"/>
            <w:vAlign w:val="center"/>
          </w:tcPr>
          <w:p w14:paraId="4EED2BF7">
            <w:pPr>
              <w:spacing w:line="360" w:lineRule="auto"/>
              <w:ind w:left="-44" w:leftChars="-23" w:right="-60" w:rightChars="-31"/>
              <w:jc w:val="left"/>
              <w:rPr>
                <w:rFonts w:hint="eastAsia" w:ascii="宋体" w:hAnsi="宋体" w:cs="宋体"/>
                <w:kern w:val="0"/>
                <w:sz w:val="24"/>
              </w:rPr>
            </w:pPr>
          </w:p>
        </w:tc>
        <w:tc>
          <w:tcPr>
            <w:tcW w:w="794" w:type="dxa"/>
            <w:vAlign w:val="center"/>
          </w:tcPr>
          <w:p w14:paraId="3123B4A0">
            <w:pPr>
              <w:spacing w:line="360" w:lineRule="auto"/>
              <w:ind w:left="-44" w:leftChars="-23" w:right="-347" w:rightChars="-179"/>
              <w:jc w:val="center"/>
              <w:rPr>
                <w:rFonts w:hint="eastAsia" w:ascii="宋体" w:hAnsi="宋体" w:cs="宋体"/>
                <w:kern w:val="0"/>
                <w:sz w:val="24"/>
              </w:rPr>
            </w:pPr>
          </w:p>
        </w:tc>
        <w:tc>
          <w:tcPr>
            <w:tcW w:w="1470" w:type="dxa"/>
            <w:vAlign w:val="center"/>
          </w:tcPr>
          <w:p w14:paraId="2C78CE8F">
            <w:pPr>
              <w:spacing w:line="360" w:lineRule="auto"/>
              <w:ind w:left="-44" w:leftChars="-23" w:right="-60" w:rightChars="-31"/>
              <w:jc w:val="center"/>
              <w:rPr>
                <w:rFonts w:hint="eastAsia" w:ascii="宋体" w:hAnsi="宋体" w:cs="宋体"/>
                <w:kern w:val="0"/>
                <w:sz w:val="24"/>
              </w:rPr>
            </w:pPr>
          </w:p>
        </w:tc>
        <w:tc>
          <w:tcPr>
            <w:tcW w:w="885" w:type="dxa"/>
          </w:tcPr>
          <w:p w14:paraId="4FE600CB">
            <w:pPr>
              <w:spacing w:line="360" w:lineRule="auto"/>
              <w:ind w:left="-44" w:leftChars="-23" w:right="-60" w:rightChars="-31"/>
              <w:jc w:val="left"/>
              <w:rPr>
                <w:rFonts w:hint="eastAsia" w:ascii="宋体" w:hAnsi="宋体" w:cs="宋体"/>
                <w:kern w:val="0"/>
                <w:sz w:val="24"/>
              </w:rPr>
            </w:pPr>
          </w:p>
        </w:tc>
        <w:tc>
          <w:tcPr>
            <w:tcW w:w="719" w:type="dxa"/>
            <w:vAlign w:val="center"/>
          </w:tcPr>
          <w:p w14:paraId="2F2CF7EE">
            <w:pPr>
              <w:spacing w:line="360" w:lineRule="auto"/>
              <w:ind w:left="-44" w:leftChars="-23" w:right="-60" w:rightChars="-31"/>
              <w:jc w:val="left"/>
              <w:rPr>
                <w:rFonts w:hint="eastAsia" w:ascii="宋体" w:hAnsi="宋体" w:cs="宋体"/>
                <w:kern w:val="0"/>
                <w:sz w:val="24"/>
              </w:rPr>
            </w:pPr>
          </w:p>
        </w:tc>
        <w:tc>
          <w:tcPr>
            <w:tcW w:w="1125" w:type="dxa"/>
            <w:vAlign w:val="center"/>
          </w:tcPr>
          <w:p w14:paraId="2EABA651">
            <w:pPr>
              <w:spacing w:line="360" w:lineRule="auto"/>
              <w:ind w:left="-44" w:leftChars="-23" w:right="-60" w:rightChars="-31"/>
              <w:jc w:val="center"/>
              <w:rPr>
                <w:rFonts w:hint="eastAsia" w:ascii="宋体" w:hAnsi="宋体" w:cs="宋体"/>
                <w:kern w:val="0"/>
                <w:sz w:val="24"/>
              </w:rPr>
            </w:pPr>
          </w:p>
        </w:tc>
      </w:tr>
      <w:tr w14:paraId="3B94CA3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70" w:type="dxa"/>
            <w:vAlign w:val="center"/>
          </w:tcPr>
          <w:p w14:paraId="3E1C7617">
            <w:pPr>
              <w:numPr>
                <w:ilvl w:val="0"/>
                <w:numId w:val="19"/>
              </w:numPr>
              <w:tabs>
                <w:tab w:val="left" w:pos="82"/>
              </w:tabs>
              <w:adjustRightInd w:val="0"/>
              <w:snapToGrid w:val="0"/>
              <w:spacing w:line="360" w:lineRule="auto"/>
              <w:jc w:val="center"/>
              <w:rPr>
                <w:rFonts w:hint="eastAsia" w:ascii="宋体" w:hAnsi="宋体" w:cs="宋体"/>
                <w:sz w:val="24"/>
              </w:rPr>
            </w:pPr>
          </w:p>
        </w:tc>
        <w:tc>
          <w:tcPr>
            <w:tcW w:w="1371" w:type="dxa"/>
            <w:vAlign w:val="center"/>
          </w:tcPr>
          <w:p w14:paraId="534A370F">
            <w:pPr>
              <w:tabs>
                <w:tab w:val="left" w:pos="0"/>
                <w:tab w:val="left" w:pos="56"/>
              </w:tabs>
              <w:adjustRightInd w:val="0"/>
              <w:snapToGrid w:val="0"/>
              <w:spacing w:line="360" w:lineRule="auto"/>
              <w:ind w:left="509" w:hanging="511" w:hangingChars="228"/>
              <w:rPr>
                <w:rFonts w:hint="eastAsia" w:ascii="宋体" w:hAnsi="宋体" w:cs="宋体"/>
                <w:sz w:val="24"/>
              </w:rPr>
            </w:pPr>
          </w:p>
        </w:tc>
        <w:tc>
          <w:tcPr>
            <w:tcW w:w="1788" w:type="dxa"/>
            <w:vAlign w:val="center"/>
          </w:tcPr>
          <w:p w14:paraId="1337A7AD">
            <w:pPr>
              <w:spacing w:line="360" w:lineRule="auto"/>
              <w:ind w:left="-44" w:leftChars="-23" w:right="-60" w:rightChars="-31"/>
              <w:jc w:val="left"/>
              <w:rPr>
                <w:rFonts w:hint="eastAsia" w:ascii="宋体" w:hAnsi="宋体" w:cs="宋体"/>
                <w:kern w:val="0"/>
                <w:sz w:val="24"/>
              </w:rPr>
            </w:pPr>
          </w:p>
        </w:tc>
        <w:tc>
          <w:tcPr>
            <w:tcW w:w="794" w:type="dxa"/>
            <w:vAlign w:val="center"/>
          </w:tcPr>
          <w:p w14:paraId="312F73EF">
            <w:pPr>
              <w:spacing w:line="360" w:lineRule="auto"/>
              <w:ind w:left="-44" w:leftChars="-23" w:right="-60" w:rightChars="-31"/>
              <w:jc w:val="center"/>
              <w:rPr>
                <w:rFonts w:hint="eastAsia" w:ascii="宋体" w:hAnsi="宋体" w:cs="宋体"/>
                <w:kern w:val="0"/>
                <w:sz w:val="24"/>
              </w:rPr>
            </w:pPr>
          </w:p>
        </w:tc>
        <w:tc>
          <w:tcPr>
            <w:tcW w:w="1470" w:type="dxa"/>
            <w:vAlign w:val="center"/>
          </w:tcPr>
          <w:p w14:paraId="188180F3">
            <w:pPr>
              <w:spacing w:line="360" w:lineRule="auto"/>
              <w:ind w:left="-44" w:leftChars="-23" w:right="-60" w:rightChars="-31"/>
              <w:jc w:val="center"/>
              <w:rPr>
                <w:rFonts w:hint="eastAsia" w:ascii="宋体" w:hAnsi="宋体" w:cs="宋体"/>
                <w:kern w:val="0"/>
                <w:sz w:val="24"/>
              </w:rPr>
            </w:pPr>
          </w:p>
        </w:tc>
        <w:tc>
          <w:tcPr>
            <w:tcW w:w="885" w:type="dxa"/>
          </w:tcPr>
          <w:p w14:paraId="6FAD0426">
            <w:pPr>
              <w:spacing w:line="360" w:lineRule="auto"/>
              <w:ind w:left="-44" w:leftChars="-23" w:right="-60" w:rightChars="-31"/>
              <w:jc w:val="left"/>
              <w:rPr>
                <w:rFonts w:hint="eastAsia" w:ascii="宋体" w:hAnsi="宋体" w:cs="宋体"/>
                <w:kern w:val="0"/>
                <w:sz w:val="24"/>
              </w:rPr>
            </w:pPr>
          </w:p>
        </w:tc>
        <w:tc>
          <w:tcPr>
            <w:tcW w:w="719" w:type="dxa"/>
            <w:vAlign w:val="center"/>
          </w:tcPr>
          <w:p w14:paraId="2409A206">
            <w:pPr>
              <w:spacing w:line="360" w:lineRule="auto"/>
              <w:ind w:left="-44" w:leftChars="-23" w:right="-60" w:rightChars="-31"/>
              <w:jc w:val="left"/>
              <w:rPr>
                <w:rFonts w:hint="eastAsia" w:ascii="宋体" w:hAnsi="宋体" w:cs="宋体"/>
                <w:kern w:val="0"/>
                <w:sz w:val="24"/>
              </w:rPr>
            </w:pPr>
          </w:p>
        </w:tc>
        <w:tc>
          <w:tcPr>
            <w:tcW w:w="1125" w:type="dxa"/>
            <w:vAlign w:val="center"/>
          </w:tcPr>
          <w:p w14:paraId="3A615FB9">
            <w:pPr>
              <w:spacing w:line="360" w:lineRule="auto"/>
              <w:ind w:left="-44" w:leftChars="-23" w:right="-60" w:rightChars="-31"/>
              <w:jc w:val="center"/>
              <w:rPr>
                <w:rFonts w:hint="eastAsia" w:ascii="宋体" w:hAnsi="宋体" w:cs="宋体"/>
                <w:kern w:val="0"/>
                <w:sz w:val="24"/>
              </w:rPr>
            </w:pPr>
          </w:p>
        </w:tc>
      </w:tr>
      <w:tr w14:paraId="4444CE6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70" w:type="dxa"/>
            <w:vAlign w:val="center"/>
          </w:tcPr>
          <w:p w14:paraId="1B3493DF">
            <w:pPr>
              <w:numPr>
                <w:ilvl w:val="0"/>
                <w:numId w:val="19"/>
              </w:numPr>
              <w:tabs>
                <w:tab w:val="left" w:pos="82"/>
              </w:tabs>
              <w:adjustRightInd w:val="0"/>
              <w:snapToGrid w:val="0"/>
              <w:spacing w:line="360" w:lineRule="auto"/>
              <w:jc w:val="center"/>
              <w:rPr>
                <w:rFonts w:hint="eastAsia" w:ascii="宋体" w:hAnsi="宋体" w:cs="宋体"/>
                <w:sz w:val="24"/>
              </w:rPr>
            </w:pPr>
          </w:p>
        </w:tc>
        <w:tc>
          <w:tcPr>
            <w:tcW w:w="1371" w:type="dxa"/>
            <w:vAlign w:val="center"/>
          </w:tcPr>
          <w:p w14:paraId="3365B14B">
            <w:pPr>
              <w:tabs>
                <w:tab w:val="left" w:pos="0"/>
                <w:tab w:val="left" w:pos="56"/>
              </w:tabs>
              <w:adjustRightInd w:val="0"/>
              <w:snapToGrid w:val="0"/>
              <w:spacing w:line="360" w:lineRule="auto"/>
              <w:ind w:left="509" w:hanging="511" w:hangingChars="228"/>
              <w:rPr>
                <w:rFonts w:hint="eastAsia" w:ascii="宋体" w:hAnsi="宋体" w:cs="宋体"/>
                <w:sz w:val="24"/>
              </w:rPr>
            </w:pPr>
          </w:p>
        </w:tc>
        <w:tc>
          <w:tcPr>
            <w:tcW w:w="1788" w:type="dxa"/>
            <w:vAlign w:val="center"/>
          </w:tcPr>
          <w:p w14:paraId="63AEE1F5">
            <w:pPr>
              <w:spacing w:line="360" w:lineRule="auto"/>
              <w:ind w:left="-44" w:leftChars="-23" w:right="-60" w:rightChars="-31"/>
              <w:jc w:val="left"/>
              <w:rPr>
                <w:rFonts w:hint="eastAsia" w:ascii="宋体" w:hAnsi="宋体" w:cs="宋体"/>
                <w:kern w:val="0"/>
                <w:sz w:val="24"/>
              </w:rPr>
            </w:pPr>
          </w:p>
        </w:tc>
        <w:tc>
          <w:tcPr>
            <w:tcW w:w="794" w:type="dxa"/>
            <w:vAlign w:val="center"/>
          </w:tcPr>
          <w:p w14:paraId="170070AF">
            <w:pPr>
              <w:spacing w:line="360" w:lineRule="auto"/>
              <w:ind w:left="-44" w:leftChars="-23" w:right="-60" w:rightChars="-31"/>
              <w:jc w:val="center"/>
              <w:rPr>
                <w:rFonts w:hint="eastAsia" w:ascii="宋体" w:hAnsi="宋体" w:cs="宋体"/>
                <w:kern w:val="0"/>
                <w:sz w:val="24"/>
              </w:rPr>
            </w:pPr>
          </w:p>
        </w:tc>
        <w:tc>
          <w:tcPr>
            <w:tcW w:w="1470" w:type="dxa"/>
            <w:vAlign w:val="center"/>
          </w:tcPr>
          <w:p w14:paraId="13D134E1">
            <w:pPr>
              <w:spacing w:line="360" w:lineRule="auto"/>
              <w:ind w:left="-44" w:leftChars="-23" w:right="-60" w:rightChars="-31"/>
              <w:jc w:val="center"/>
              <w:rPr>
                <w:rFonts w:hint="eastAsia" w:ascii="宋体" w:hAnsi="宋体" w:cs="宋体"/>
                <w:kern w:val="0"/>
                <w:sz w:val="24"/>
              </w:rPr>
            </w:pPr>
          </w:p>
        </w:tc>
        <w:tc>
          <w:tcPr>
            <w:tcW w:w="885" w:type="dxa"/>
          </w:tcPr>
          <w:p w14:paraId="7EAD56E1">
            <w:pPr>
              <w:spacing w:line="360" w:lineRule="auto"/>
              <w:ind w:left="-44" w:leftChars="-23" w:right="-60" w:rightChars="-31"/>
              <w:jc w:val="left"/>
              <w:rPr>
                <w:rFonts w:hint="eastAsia" w:ascii="宋体" w:hAnsi="宋体" w:cs="宋体"/>
                <w:kern w:val="0"/>
                <w:sz w:val="24"/>
              </w:rPr>
            </w:pPr>
          </w:p>
        </w:tc>
        <w:tc>
          <w:tcPr>
            <w:tcW w:w="719" w:type="dxa"/>
            <w:vAlign w:val="center"/>
          </w:tcPr>
          <w:p w14:paraId="5A7E97CD">
            <w:pPr>
              <w:spacing w:line="360" w:lineRule="auto"/>
              <w:ind w:left="-44" w:leftChars="-23" w:right="-60" w:rightChars="-31"/>
              <w:jc w:val="left"/>
              <w:rPr>
                <w:rFonts w:hint="eastAsia" w:ascii="宋体" w:hAnsi="宋体" w:cs="宋体"/>
                <w:kern w:val="0"/>
                <w:sz w:val="24"/>
              </w:rPr>
            </w:pPr>
          </w:p>
        </w:tc>
        <w:tc>
          <w:tcPr>
            <w:tcW w:w="1125" w:type="dxa"/>
            <w:vAlign w:val="center"/>
          </w:tcPr>
          <w:p w14:paraId="2CA4EA66">
            <w:pPr>
              <w:spacing w:line="360" w:lineRule="auto"/>
              <w:ind w:left="-44" w:leftChars="-23" w:right="-60" w:rightChars="-31"/>
              <w:jc w:val="center"/>
              <w:rPr>
                <w:rFonts w:hint="eastAsia" w:ascii="宋体" w:hAnsi="宋体" w:cs="宋体"/>
                <w:kern w:val="0"/>
                <w:sz w:val="24"/>
              </w:rPr>
            </w:pPr>
          </w:p>
        </w:tc>
      </w:tr>
      <w:tr w14:paraId="0E31A67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70" w:type="dxa"/>
            <w:vAlign w:val="center"/>
          </w:tcPr>
          <w:p w14:paraId="67484AA1">
            <w:pPr>
              <w:numPr>
                <w:ilvl w:val="0"/>
                <w:numId w:val="19"/>
              </w:numPr>
              <w:tabs>
                <w:tab w:val="left" w:pos="82"/>
              </w:tabs>
              <w:adjustRightInd w:val="0"/>
              <w:snapToGrid w:val="0"/>
              <w:spacing w:line="360" w:lineRule="auto"/>
              <w:jc w:val="center"/>
              <w:rPr>
                <w:rFonts w:hint="eastAsia" w:ascii="宋体" w:hAnsi="宋体" w:cs="宋体"/>
                <w:sz w:val="24"/>
              </w:rPr>
            </w:pPr>
          </w:p>
        </w:tc>
        <w:tc>
          <w:tcPr>
            <w:tcW w:w="1371" w:type="dxa"/>
            <w:vAlign w:val="center"/>
          </w:tcPr>
          <w:p w14:paraId="607D562E">
            <w:pPr>
              <w:tabs>
                <w:tab w:val="left" w:pos="0"/>
                <w:tab w:val="left" w:pos="56"/>
              </w:tabs>
              <w:adjustRightInd w:val="0"/>
              <w:snapToGrid w:val="0"/>
              <w:spacing w:line="360" w:lineRule="auto"/>
              <w:ind w:left="509" w:hanging="511" w:hangingChars="228"/>
              <w:rPr>
                <w:rFonts w:hint="eastAsia" w:ascii="宋体" w:hAnsi="宋体" w:cs="宋体"/>
                <w:sz w:val="24"/>
              </w:rPr>
            </w:pPr>
          </w:p>
        </w:tc>
        <w:tc>
          <w:tcPr>
            <w:tcW w:w="1788" w:type="dxa"/>
            <w:vAlign w:val="center"/>
          </w:tcPr>
          <w:p w14:paraId="1B22306D">
            <w:pPr>
              <w:spacing w:line="360" w:lineRule="auto"/>
              <w:ind w:left="-44" w:leftChars="-23" w:right="-60" w:rightChars="-31"/>
              <w:jc w:val="left"/>
              <w:rPr>
                <w:rFonts w:hint="eastAsia" w:ascii="宋体" w:hAnsi="宋体" w:cs="宋体"/>
                <w:kern w:val="0"/>
                <w:sz w:val="24"/>
              </w:rPr>
            </w:pPr>
          </w:p>
        </w:tc>
        <w:tc>
          <w:tcPr>
            <w:tcW w:w="794" w:type="dxa"/>
            <w:vAlign w:val="center"/>
          </w:tcPr>
          <w:p w14:paraId="74C0B9C8">
            <w:pPr>
              <w:spacing w:line="360" w:lineRule="auto"/>
              <w:ind w:left="-44" w:leftChars="-23" w:right="-60" w:rightChars="-31"/>
              <w:jc w:val="center"/>
              <w:rPr>
                <w:rFonts w:hint="eastAsia" w:ascii="宋体" w:hAnsi="宋体" w:cs="宋体"/>
                <w:kern w:val="0"/>
                <w:sz w:val="24"/>
              </w:rPr>
            </w:pPr>
          </w:p>
        </w:tc>
        <w:tc>
          <w:tcPr>
            <w:tcW w:w="1470" w:type="dxa"/>
            <w:vAlign w:val="center"/>
          </w:tcPr>
          <w:p w14:paraId="64B93D1C">
            <w:pPr>
              <w:spacing w:line="360" w:lineRule="auto"/>
              <w:ind w:left="-44" w:leftChars="-23" w:right="-60" w:rightChars="-31"/>
              <w:jc w:val="center"/>
              <w:rPr>
                <w:rFonts w:hint="eastAsia" w:ascii="宋体" w:hAnsi="宋体" w:cs="宋体"/>
                <w:kern w:val="0"/>
                <w:sz w:val="24"/>
              </w:rPr>
            </w:pPr>
          </w:p>
        </w:tc>
        <w:tc>
          <w:tcPr>
            <w:tcW w:w="885" w:type="dxa"/>
          </w:tcPr>
          <w:p w14:paraId="6E34D908">
            <w:pPr>
              <w:spacing w:line="360" w:lineRule="auto"/>
              <w:ind w:left="-44" w:leftChars="-23" w:right="-60" w:rightChars="-31"/>
              <w:jc w:val="left"/>
              <w:rPr>
                <w:rFonts w:hint="eastAsia" w:ascii="宋体" w:hAnsi="宋体" w:cs="宋体"/>
                <w:kern w:val="0"/>
                <w:sz w:val="24"/>
              </w:rPr>
            </w:pPr>
          </w:p>
        </w:tc>
        <w:tc>
          <w:tcPr>
            <w:tcW w:w="719" w:type="dxa"/>
            <w:vAlign w:val="center"/>
          </w:tcPr>
          <w:p w14:paraId="4A8CC2AF">
            <w:pPr>
              <w:spacing w:line="360" w:lineRule="auto"/>
              <w:ind w:left="-44" w:leftChars="-23" w:right="-60" w:rightChars="-31"/>
              <w:jc w:val="left"/>
              <w:rPr>
                <w:rFonts w:hint="eastAsia" w:ascii="宋体" w:hAnsi="宋体" w:cs="宋体"/>
                <w:kern w:val="0"/>
                <w:sz w:val="24"/>
              </w:rPr>
            </w:pPr>
          </w:p>
        </w:tc>
        <w:tc>
          <w:tcPr>
            <w:tcW w:w="1125" w:type="dxa"/>
            <w:vAlign w:val="center"/>
          </w:tcPr>
          <w:p w14:paraId="30AE175F">
            <w:pPr>
              <w:spacing w:line="360" w:lineRule="auto"/>
              <w:ind w:left="-44" w:leftChars="-23" w:right="-60" w:rightChars="-31"/>
              <w:jc w:val="center"/>
              <w:rPr>
                <w:rFonts w:hint="eastAsia" w:ascii="宋体" w:hAnsi="宋体" w:cs="宋体"/>
                <w:kern w:val="0"/>
                <w:sz w:val="24"/>
              </w:rPr>
            </w:pPr>
          </w:p>
        </w:tc>
      </w:tr>
      <w:tr w14:paraId="40AF062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70" w:type="dxa"/>
            <w:vAlign w:val="center"/>
          </w:tcPr>
          <w:p w14:paraId="35D2A54B">
            <w:pPr>
              <w:numPr>
                <w:ilvl w:val="0"/>
                <w:numId w:val="19"/>
              </w:numPr>
              <w:tabs>
                <w:tab w:val="left" w:pos="82"/>
              </w:tabs>
              <w:adjustRightInd w:val="0"/>
              <w:snapToGrid w:val="0"/>
              <w:spacing w:line="360" w:lineRule="auto"/>
              <w:jc w:val="center"/>
              <w:rPr>
                <w:rFonts w:hint="eastAsia" w:ascii="宋体" w:hAnsi="宋体" w:cs="宋体"/>
                <w:sz w:val="24"/>
              </w:rPr>
            </w:pPr>
          </w:p>
        </w:tc>
        <w:tc>
          <w:tcPr>
            <w:tcW w:w="1371" w:type="dxa"/>
            <w:vAlign w:val="center"/>
          </w:tcPr>
          <w:p w14:paraId="6C8EA66F">
            <w:pPr>
              <w:tabs>
                <w:tab w:val="left" w:pos="0"/>
                <w:tab w:val="left" w:pos="56"/>
              </w:tabs>
              <w:adjustRightInd w:val="0"/>
              <w:snapToGrid w:val="0"/>
              <w:spacing w:line="360" w:lineRule="auto"/>
              <w:ind w:left="509" w:hanging="511" w:hangingChars="228"/>
              <w:rPr>
                <w:rFonts w:hint="eastAsia" w:ascii="宋体" w:hAnsi="宋体" w:cs="宋体"/>
                <w:sz w:val="24"/>
              </w:rPr>
            </w:pPr>
          </w:p>
        </w:tc>
        <w:tc>
          <w:tcPr>
            <w:tcW w:w="1788" w:type="dxa"/>
            <w:vAlign w:val="center"/>
          </w:tcPr>
          <w:p w14:paraId="490C5F5B">
            <w:pPr>
              <w:spacing w:line="360" w:lineRule="auto"/>
              <w:ind w:left="-44" w:leftChars="-23" w:right="-60" w:rightChars="-31"/>
              <w:jc w:val="left"/>
              <w:rPr>
                <w:rFonts w:hint="eastAsia" w:ascii="宋体" w:hAnsi="宋体" w:cs="宋体"/>
                <w:kern w:val="0"/>
                <w:sz w:val="24"/>
              </w:rPr>
            </w:pPr>
          </w:p>
        </w:tc>
        <w:tc>
          <w:tcPr>
            <w:tcW w:w="794" w:type="dxa"/>
            <w:vAlign w:val="center"/>
          </w:tcPr>
          <w:p w14:paraId="4B932EA3">
            <w:pPr>
              <w:spacing w:line="360" w:lineRule="auto"/>
              <w:ind w:left="-44" w:leftChars="-23" w:right="-60" w:rightChars="-31"/>
              <w:jc w:val="center"/>
              <w:rPr>
                <w:rFonts w:hint="eastAsia" w:ascii="宋体" w:hAnsi="宋体" w:cs="宋体"/>
                <w:kern w:val="0"/>
                <w:sz w:val="24"/>
              </w:rPr>
            </w:pPr>
          </w:p>
        </w:tc>
        <w:tc>
          <w:tcPr>
            <w:tcW w:w="1470" w:type="dxa"/>
            <w:vAlign w:val="center"/>
          </w:tcPr>
          <w:p w14:paraId="6368272D">
            <w:pPr>
              <w:spacing w:line="360" w:lineRule="auto"/>
              <w:ind w:left="-44" w:leftChars="-23" w:right="-60" w:rightChars="-31"/>
              <w:jc w:val="center"/>
              <w:rPr>
                <w:rFonts w:hint="eastAsia" w:ascii="宋体" w:hAnsi="宋体" w:cs="宋体"/>
                <w:kern w:val="0"/>
                <w:sz w:val="24"/>
              </w:rPr>
            </w:pPr>
          </w:p>
        </w:tc>
        <w:tc>
          <w:tcPr>
            <w:tcW w:w="885" w:type="dxa"/>
          </w:tcPr>
          <w:p w14:paraId="207943BC">
            <w:pPr>
              <w:spacing w:line="360" w:lineRule="auto"/>
              <w:ind w:left="-44" w:leftChars="-23" w:right="-60" w:rightChars="-31"/>
              <w:jc w:val="left"/>
              <w:rPr>
                <w:rFonts w:hint="eastAsia" w:ascii="宋体" w:hAnsi="宋体" w:cs="宋体"/>
                <w:kern w:val="0"/>
                <w:sz w:val="24"/>
              </w:rPr>
            </w:pPr>
          </w:p>
        </w:tc>
        <w:tc>
          <w:tcPr>
            <w:tcW w:w="719" w:type="dxa"/>
            <w:vAlign w:val="center"/>
          </w:tcPr>
          <w:p w14:paraId="1661C32E">
            <w:pPr>
              <w:spacing w:line="360" w:lineRule="auto"/>
              <w:ind w:left="-44" w:leftChars="-23" w:right="-60" w:rightChars="-31"/>
              <w:jc w:val="left"/>
              <w:rPr>
                <w:rFonts w:hint="eastAsia" w:ascii="宋体" w:hAnsi="宋体" w:cs="宋体"/>
                <w:kern w:val="0"/>
                <w:sz w:val="24"/>
              </w:rPr>
            </w:pPr>
          </w:p>
        </w:tc>
        <w:tc>
          <w:tcPr>
            <w:tcW w:w="1125" w:type="dxa"/>
            <w:vAlign w:val="center"/>
          </w:tcPr>
          <w:p w14:paraId="39843DE3">
            <w:pPr>
              <w:spacing w:line="360" w:lineRule="auto"/>
              <w:ind w:left="-44" w:leftChars="-23" w:right="-60" w:rightChars="-31"/>
              <w:jc w:val="center"/>
              <w:rPr>
                <w:rFonts w:hint="eastAsia" w:ascii="宋体" w:hAnsi="宋体" w:cs="宋体"/>
                <w:kern w:val="0"/>
                <w:sz w:val="24"/>
              </w:rPr>
            </w:pPr>
          </w:p>
        </w:tc>
      </w:tr>
      <w:tr w14:paraId="3A2A211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70" w:type="dxa"/>
            <w:vAlign w:val="center"/>
          </w:tcPr>
          <w:p w14:paraId="3D940FB0">
            <w:pPr>
              <w:tabs>
                <w:tab w:val="left" w:pos="82"/>
              </w:tabs>
              <w:adjustRightInd w:val="0"/>
              <w:snapToGrid w:val="0"/>
              <w:spacing w:line="360" w:lineRule="auto"/>
              <w:jc w:val="center"/>
              <w:rPr>
                <w:rFonts w:hint="eastAsia" w:ascii="宋体" w:hAnsi="宋体" w:cs="宋体"/>
                <w:sz w:val="24"/>
              </w:rPr>
            </w:pPr>
            <w:r>
              <w:rPr>
                <w:rFonts w:hint="eastAsia" w:ascii="宋体" w:hAnsi="宋体" w:cs="宋体"/>
                <w:sz w:val="24"/>
              </w:rPr>
              <w:t>…</w:t>
            </w:r>
          </w:p>
        </w:tc>
        <w:tc>
          <w:tcPr>
            <w:tcW w:w="1371" w:type="dxa"/>
            <w:vAlign w:val="center"/>
          </w:tcPr>
          <w:p w14:paraId="424FEB1A">
            <w:pPr>
              <w:spacing w:line="360" w:lineRule="auto"/>
              <w:ind w:left="-44" w:leftChars="-23" w:right="-60" w:rightChars="-31"/>
              <w:jc w:val="left"/>
              <w:rPr>
                <w:rFonts w:hint="eastAsia" w:ascii="宋体" w:hAnsi="宋体" w:cs="宋体"/>
                <w:kern w:val="0"/>
                <w:sz w:val="24"/>
              </w:rPr>
            </w:pPr>
          </w:p>
        </w:tc>
        <w:tc>
          <w:tcPr>
            <w:tcW w:w="1788" w:type="dxa"/>
            <w:vAlign w:val="center"/>
          </w:tcPr>
          <w:p w14:paraId="55E3AC47">
            <w:pPr>
              <w:spacing w:line="360" w:lineRule="auto"/>
              <w:ind w:left="-44" w:leftChars="-23" w:right="-60" w:rightChars="-31"/>
              <w:jc w:val="left"/>
              <w:rPr>
                <w:rFonts w:hint="eastAsia" w:ascii="宋体" w:hAnsi="宋体" w:cs="宋体"/>
                <w:kern w:val="0"/>
                <w:sz w:val="24"/>
              </w:rPr>
            </w:pPr>
          </w:p>
        </w:tc>
        <w:tc>
          <w:tcPr>
            <w:tcW w:w="794" w:type="dxa"/>
            <w:vAlign w:val="center"/>
          </w:tcPr>
          <w:p w14:paraId="1B4FD948">
            <w:pPr>
              <w:spacing w:line="360" w:lineRule="auto"/>
              <w:ind w:left="-44" w:leftChars="-23" w:right="-60" w:rightChars="-31"/>
              <w:jc w:val="center"/>
              <w:rPr>
                <w:rFonts w:hint="eastAsia" w:ascii="宋体" w:hAnsi="宋体" w:cs="宋体"/>
                <w:kern w:val="0"/>
                <w:sz w:val="24"/>
              </w:rPr>
            </w:pPr>
          </w:p>
        </w:tc>
        <w:tc>
          <w:tcPr>
            <w:tcW w:w="1470" w:type="dxa"/>
            <w:vAlign w:val="center"/>
          </w:tcPr>
          <w:p w14:paraId="41E77797">
            <w:pPr>
              <w:spacing w:line="360" w:lineRule="auto"/>
              <w:ind w:left="-44" w:leftChars="-23" w:right="-60" w:rightChars="-31"/>
              <w:jc w:val="center"/>
              <w:rPr>
                <w:rFonts w:hint="eastAsia" w:ascii="宋体" w:hAnsi="宋体" w:cs="宋体"/>
                <w:kern w:val="0"/>
                <w:sz w:val="24"/>
              </w:rPr>
            </w:pPr>
          </w:p>
        </w:tc>
        <w:tc>
          <w:tcPr>
            <w:tcW w:w="885" w:type="dxa"/>
          </w:tcPr>
          <w:p w14:paraId="4A8D3740">
            <w:pPr>
              <w:spacing w:line="360" w:lineRule="auto"/>
              <w:ind w:left="-44" w:leftChars="-23" w:right="-60" w:rightChars="-31"/>
              <w:jc w:val="left"/>
              <w:rPr>
                <w:rFonts w:hint="eastAsia" w:ascii="宋体" w:hAnsi="宋体" w:cs="宋体"/>
                <w:kern w:val="0"/>
                <w:sz w:val="24"/>
              </w:rPr>
            </w:pPr>
          </w:p>
        </w:tc>
        <w:tc>
          <w:tcPr>
            <w:tcW w:w="719" w:type="dxa"/>
            <w:vAlign w:val="center"/>
          </w:tcPr>
          <w:p w14:paraId="17E863E7">
            <w:pPr>
              <w:spacing w:line="360" w:lineRule="auto"/>
              <w:ind w:left="-44" w:leftChars="-23" w:right="-60" w:rightChars="-31"/>
              <w:jc w:val="left"/>
              <w:rPr>
                <w:rFonts w:hint="eastAsia" w:ascii="宋体" w:hAnsi="宋体" w:cs="宋体"/>
                <w:kern w:val="0"/>
                <w:sz w:val="24"/>
              </w:rPr>
            </w:pPr>
          </w:p>
        </w:tc>
        <w:tc>
          <w:tcPr>
            <w:tcW w:w="1125" w:type="dxa"/>
            <w:vAlign w:val="center"/>
          </w:tcPr>
          <w:p w14:paraId="283ACBB4">
            <w:pPr>
              <w:spacing w:line="360" w:lineRule="auto"/>
              <w:ind w:left="-44" w:leftChars="-23" w:right="-60" w:rightChars="-31"/>
              <w:jc w:val="center"/>
              <w:rPr>
                <w:rFonts w:hint="eastAsia" w:ascii="宋体" w:hAnsi="宋体" w:cs="宋体"/>
                <w:kern w:val="0"/>
                <w:sz w:val="24"/>
              </w:rPr>
            </w:pPr>
          </w:p>
        </w:tc>
      </w:tr>
      <w:tr w14:paraId="35115E7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6878" w:type="dxa"/>
            <w:gridSpan w:val="6"/>
            <w:vAlign w:val="center"/>
          </w:tcPr>
          <w:p w14:paraId="72C1EDD6">
            <w:pPr>
              <w:spacing w:line="360" w:lineRule="auto"/>
              <w:ind w:left="-44" w:leftChars="-23" w:right="-60" w:rightChars="-31"/>
              <w:jc w:val="center"/>
              <w:rPr>
                <w:rFonts w:hint="eastAsia" w:ascii="宋体" w:hAnsi="宋体" w:cs="宋体"/>
                <w:kern w:val="0"/>
                <w:sz w:val="24"/>
              </w:rPr>
            </w:pPr>
            <w:r>
              <w:rPr>
                <w:rFonts w:hint="eastAsia" w:ascii="宋体" w:hAnsi="宋体" w:cs="宋体"/>
                <w:kern w:val="0"/>
                <w:sz w:val="24"/>
              </w:rPr>
              <w:t xml:space="preserve">  合 计</w:t>
            </w:r>
          </w:p>
        </w:tc>
        <w:tc>
          <w:tcPr>
            <w:tcW w:w="1844" w:type="dxa"/>
            <w:gridSpan w:val="2"/>
            <w:vAlign w:val="center"/>
          </w:tcPr>
          <w:p w14:paraId="5C3C7610">
            <w:pPr>
              <w:spacing w:line="360" w:lineRule="auto"/>
              <w:ind w:left="-44" w:leftChars="-23" w:right="-60" w:rightChars="-31"/>
              <w:jc w:val="left"/>
              <w:rPr>
                <w:rFonts w:hint="eastAsia" w:ascii="宋体" w:hAnsi="宋体" w:cs="宋体"/>
                <w:kern w:val="0"/>
                <w:sz w:val="24"/>
              </w:rPr>
            </w:pPr>
          </w:p>
        </w:tc>
      </w:tr>
    </w:tbl>
    <w:p w14:paraId="332D0723">
      <w:pPr>
        <w:spacing w:line="360" w:lineRule="auto"/>
        <w:jc w:val="left"/>
        <w:rPr>
          <w:rFonts w:hint="eastAsia" w:ascii="宋体" w:hAnsi="宋体" w:cs="宋体"/>
          <w:szCs w:val="21"/>
        </w:rPr>
      </w:pPr>
      <w:r>
        <w:rPr>
          <w:rFonts w:hint="eastAsia" w:ascii="宋体" w:hAnsi="宋体" w:cs="宋体"/>
          <w:szCs w:val="21"/>
        </w:rPr>
        <w:t>注：</w:t>
      </w:r>
    </w:p>
    <w:p w14:paraId="353FDDF3">
      <w:pPr>
        <w:spacing w:line="360" w:lineRule="auto"/>
        <w:ind w:left="778" w:leftChars="166" w:hanging="456" w:hangingChars="235"/>
        <w:jc w:val="left"/>
        <w:rPr>
          <w:rFonts w:hint="eastAsia" w:ascii="宋体" w:hAnsi="宋体" w:cs="宋体"/>
          <w:szCs w:val="21"/>
        </w:rPr>
      </w:pPr>
      <w:r>
        <w:rPr>
          <w:rFonts w:hint="eastAsia" w:ascii="宋体" w:hAnsi="宋体" w:cs="宋体"/>
          <w:szCs w:val="21"/>
        </w:rPr>
        <w:t>1．所有价格均用人民币表示，单位为元。</w:t>
      </w:r>
    </w:p>
    <w:p w14:paraId="4AD5A205">
      <w:pPr>
        <w:spacing w:line="360" w:lineRule="auto"/>
        <w:ind w:firstLine="388" w:firstLineChars="200"/>
        <w:jc w:val="left"/>
        <w:rPr>
          <w:rFonts w:hint="eastAsia" w:ascii="宋体" w:hAnsi="宋体" w:cs="宋体"/>
          <w:szCs w:val="21"/>
        </w:rPr>
      </w:pPr>
      <w:r>
        <w:rPr>
          <w:rFonts w:hint="eastAsia" w:ascii="宋体" w:hAnsi="宋体" w:cs="宋体"/>
          <w:szCs w:val="21"/>
        </w:rPr>
        <w:t>2．报价明细表合计应与《开标一览表》中的投标报价一致。</w:t>
      </w:r>
    </w:p>
    <w:p w14:paraId="52A62656">
      <w:pPr>
        <w:spacing w:line="360" w:lineRule="auto"/>
        <w:ind w:firstLine="388" w:firstLineChars="200"/>
        <w:jc w:val="left"/>
        <w:rPr>
          <w:rFonts w:hint="eastAsia" w:ascii="宋体" w:hAnsi="宋体" w:cs="宋体"/>
          <w:bCs/>
          <w:snapToGrid w:val="0"/>
          <w:kern w:val="0"/>
          <w:szCs w:val="21"/>
        </w:rPr>
      </w:pPr>
      <w:r>
        <w:rPr>
          <w:rFonts w:hint="eastAsia" w:ascii="宋体" w:hAnsi="宋体" w:cs="宋体"/>
          <w:szCs w:val="21"/>
        </w:rPr>
        <w:t>3.</w:t>
      </w:r>
      <w:r>
        <w:rPr>
          <w:rFonts w:hint="eastAsia" w:ascii="宋体" w:hAnsi="宋体" w:cs="宋体"/>
          <w:bCs/>
          <w:snapToGrid w:val="0"/>
          <w:kern w:val="0"/>
          <w:szCs w:val="21"/>
        </w:rPr>
        <w:t>投标人提报的投标报价是为完成该包全部工作所需的一切费用（</w:t>
      </w:r>
      <w:r>
        <w:rPr>
          <w:rFonts w:hint="eastAsia" w:ascii="宋体" w:hAnsi="宋体" w:cs="宋体"/>
          <w:szCs w:val="21"/>
        </w:rPr>
        <w:t>具体要求详见</w:t>
      </w:r>
      <w:r>
        <w:rPr>
          <w:rFonts w:hint="eastAsia" w:ascii="宋体" w:hAnsi="宋体" w:cs="宋体"/>
          <w:bCs/>
          <w:snapToGrid w:val="0"/>
          <w:kern w:val="0"/>
          <w:szCs w:val="21"/>
        </w:rPr>
        <w:t>招标文件第五章《投标人须知》中第13.3条的规定）。</w:t>
      </w:r>
    </w:p>
    <w:p w14:paraId="4501AF3F">
      <w:pPr>
        <w:spacing w:line="360" w:lineRule="auto"/>
        <w:ind w:firstLine="388" w:firstLineChars="200"/>
        <w:jc w:val="left"/>
        <w:rPr>
          <w:rFonts w:hint="eastAsia" w:ascii="宋体" w:hAnsi="宋体" w:cs="宋体"/>
          <w:szCs w:val="21"/>
        </w:rPr>
      </w:pPr>
      <w:r>
        <w:rPr>
          <w:rFonts w:hint="eastAsia" w:ascii="宋体" w:hAnsi="宋体" w:cs="宋体"/>
          <w:bCs/>
          <w:snapToGrid w:val="0"/>
          <w:kern w:val="0"/>
          <w:szCs w:val="21"/>
        </w:rPr>
        <w:t>4.</w:t>
      </w:r>
      <w:r>
        <w:rPr>
          <w:rFonts w:hint="eastAsia" w:ascii="宋体" w:hAnsi="宋体" w:cs="宋体"/>
          <w:szCs w:val="21"/>
        </w:rPr>
        <w:t>未提供详细的报价明细，导致的后果由投标人自行承担。特别的，缺漏核心产品报价的，投标无效。</w:t>
      </w:r>
    </w:p>
    <w:p w14:paraId="0006424C">
      <w:pPr>
        <w:spacing w:line="360" w:lineRule="auto"/>
        <w:ind w:firstLine="388" w:firstLineChars="200"/>
        <w:jc w:val="left"/>
        <w:rPr>
          <w:rFonts w:hint="eastAsia" w:ascii="宋体" w:hAnsi="宋体" w:cs="宋体"/>
          <w:szCs w:val="21"/>
        </w:rPr>
      </w:pPr>
    </w:p>
    <w:p w14:paraId="2D6DAE3E">
      <w:pPr>
        <w:spacing w:line="360" w:lineRule="auto"/>
        <w:ind w:firstLine="388" w:firstLineChars="200"/>
        <w:jc w:val="left"/>
        <w:rPr>
          <w:rFonts w:hint="eastAsia" w:ascii="宋体" w:hAnsi="宋体" w:cs="宋体"/>
          <w:szCs w:val="21"/>
        </w:rPr>
      </w:pPr>
    </w:p>
    <w:p w14:paraId="6A5E2EBD">
      <w:pPr>
        <w:spacing w:line="360" w:lineRule="auto"/>
        <w:ind w:firstLine="388" w:firstLineChars="200"/>
        <w:jc w:val="left"/>
        <w:rPr>
          <w:rFonts w:hint="eastAsia" w:ascii="宋体" w:hAnsi="宋体" w:cs="宋体"/>
          <w:szCs w:val="21"/>
        </w:rPr>
      </w:pPr>
    </w:p>
    <w:p w14:paraId="61272EEF">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302502AD">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2ACD3B40">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6686F4D5">
      <w:pPr>
        <w:tabs>
          <w:tab w:val="left" w:pos="1573"/>
        </w:tabs>
        <w:spacing w:line="360" w:lineRule="auto"/>
        <w:rPr>
          <w:rFonts w:hint="eastAsia" w:ascii="宋体" w:hAnsi="宋体" w:cs="宋体"/>
          <w:sz w:val="24"/>
        </w:rPr>
      </w:pPr>
    </w:p>
    <w:p w14:paraId="0528C338">
      <w:pPr>
        <w:pStyle w:val="8"/>
        <w:adjustRightInd w:val="0"/>
        <w:snapToGrid w:val="0"/>
        <w:spacing w:line="360" w:lineRule="auto"/>
        <w:ind w:firstLine="0"/>
        <w:rPr>
          <w:rFonts w:hint="eastAsia" w:ascii="宋体" w:hAnsi="宋体" w:eastAsia="宋体" w:cs="宋体"/>
          <w:snapToGrid w:val="0"/>
          <w:kern w:val="0"/>
          <w:sz w:val="24"/>
          <w:szCs w:val="24"/>
        </w:rPr>
      </w:pPr>
      <w:r>
        <w:rPr>
          <w:rFonts w:hint="eastAsia" w:ascii="宋体" w:hAnsi="宋体" w:eastAsia="宋体" w:cs="宋体"/>
          <w:snapToGrid w:val="0"/>
          <w:kern w:val="0"/>
          <w:sz w:val="24"/>
          <w:szCs w:val="24"/>
        </w:rPr>
        <w:t xml:space="preserve">                    </w:t>
      </w:r>
    </w:p>
    <w:p w14:paraId="76276321">
      <w:pPr>
        <w:pStyle w:val="8"/>
        <w:adjustRightInd w:val="0"/>
        <w:snapToGrid w:val="0"/>
        <w:spacing w:line="360" w:lineRule="auto"/>
        <w:ind w:firstLine="448" w:firstLineChars="200"/>
        <w:rPr>
          <w:rFonts w:hint="eastAsia" w:ascii="宋体" w:hAnsi="宋体" w:eastAsia="宋体" w:cs="宋体"/>
          <w:snapToGrid w:val="0"/>
          <w:kern w:val="0"/>
          <w:sz w:val="24"/>
          <w:szCs w:val="24"/>
        </w:rPr>
      </w:pPr>
      <w:r>
        <w:rPr>
          <w:rFonts w:hint="eastAsia" w:ascii="宋体" w:hAnsi="宋体" w:eastAsia="宋体" w:cs="宋体"/>
          <w:bCs/>
          <w:snapToGrid w:val="0"/>
          <w:kern w:val="0"/>
          <w:sz w:val="24"/>
          <w:szCs w:val="24"/>
        </w:rPr>
        <w:t>日期:</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年</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月</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日</w:t>
      </w:r>
    </w:p>
    <w:p w14:paraId="21436B86">
      <w:pPr>
        <w:pStyle w:val="2"/>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三、中小企业声明函</w:t>
      </w:r>
    </w:p>
    <w:p w14:paraId="44AF46A3">
      <w:pPr>
        <w:spacing w:line="360" w:lineRule="auto"/>
        <w:jc w:val="center"/>
        <w:rPr>
          <w:rFonts w:hint="eastAsia" w:ascii="宋体" w:hAnsi="宋体" w:cs="宋体"/>
          <w:kern w:val="0"/>
          <w:sz w:val="30"/>
          <w:szCs w:val="30"/>
        </w:rPr>
      </w:pPr>
      <w:r>
        <w:rPr>
          <w:rFonts w:hint="eastAsia" w:ascii="宋体" w:hAnsi="宋体" w:cs="宋体"/>
        </w:rPr>
        <w:t>（如果是，提供）</w:t>
      </w:r>
    </w:p>
    <w:p w14:paraId="685008D3">
      <w:pPr>
        <w:tabs>
          <w:tab w:val="left" w:pos="1573"/>
        </w:tabs>
        <w:autoSpaceDN w:val="0"/>
        <w:spacing w:line="360" w:lineRule="auto"/>
        <w:rPr>
          <w:rFonts w:hint="eastAsia" w:ascii="宋体" w:hAnsi="宋体" w:cs="宋体"/>
          <w:snapToGrid w:val="0"/>
          <w:sz w:val="24"/>
        </w:rPr>
      </w:pPr>
    </w:p>
    <w:p w14:paraId="51BD07E8">
      <w:pPr>
        <w:pStyle w:val="14"/>
        <w:snapToGrid w:val="0"/>
        <w:spacing w:beforeAutospacing="0" w:afterAutospacing="0" w:line="360" w:lineRule="auto"/>
        <w:ind w:right="58" w:firstLine="448" w:firstLineChars="200"/>
        <w:rPr>
          <w:rFonts w:hint="eastAsia"/>
        </w:rPr>
      </w:pPr>
      <w:r>
        <w:rPr>
          <w:rFonts w:hint="eastAsia"/>
        </w:rPr>
        <w:t>公司</w:t>
      </w:r>
      <w:r>
        <w:rPr>
          <w:rFonts w:hint="eastAsia"/>
          <w:u w:val="single"/>
        </w:rPr>
        <w:t>（联合体）</w:t>
      </w:r>
      <w:r>
        <w:rPr>
          <w:rFonts w:hint="eastAsia"/>
        </w:rPr>
        <w:t>郑重声明，根据《政府采购促进中小企业发展管理办法》（财库﹝2020﹞46号）的规定，本公司</w:t>
      </w:r>
      <w:r>
        <w:rPr>
          <w:rFonts w:hint="eastAsia"/>
          <w:u w:val="single"/>
        </w:rPr>
        <w:t>（联合体）</w:t>
      </w:r>
      <w:r>
        <w:rPr>
          <w:rFonts w:hint="eastAsia"/>
        </w:rPr>
        <w:t>参加</w:t>
      </w:r>
      <w:r>
        <w:rPr>
          <w:rFonts w:hint="eastAsia"/>
          <w:u w:val="single"/>
        </w:rPr>
        <w:t>（单位名称）</w:t>
      </w:r>
      <w:r>
        <w:rPr>
          <w:rFonts w:hint="eastAsia"/>
        </w:rPr>
        <w:t>的</w:t>
      </w:r>
      <w:r>
        <w:rPr>
          <w:rFonts w:hint="eastAsia"/>
          <w:u w:val="single"/>
        </w:rPr>
        <w:t>（项目名称）</w:t>
      </w:r>
      <w:r>
        <w:rPr>
          <w:rFonts w:hint="eastAsia"/>
        </w:rPr>
        <w:t>采购活动，提供的货物全部由符合政策要求的中小企业制造。相关企业</w:t>
      </w:r>
      <w:r>
        <w:rPr>
          <w:rFonts w:hint="eastAsia"/>
          <w:u w:val="single"/>
        </w:rPr>
        <w:t>（含联合体中的中小企业、签订分包意向协议的中小企业）</w:t>
      </w:r>
      <w:r>
        <w:rPr>
          <w:rFonts w:hint="eastAsia"/>
        </w:rPr>
        <w:t>的具体情况如下：</w:t>
      </w:r>
    </w:p>
    <w:p w14:paraId="4B354C39">
      <w:pPr>
        <w:pStyle w:val="14"/>
        <w:snapToGrid w:val="0"/>
        <w:spacing w:beforeAutospacing="0" w:afterAutospacing="0" w:line="360" w:lineRule="auto"/>
        <w:ind w:right="58" w:firstLine="448" w:firstLineChars="200"/>
        <w:rPr>
          <w:rFonts w:hint="eastAsia"/>
        </w:rPr>
      </w:pPr>
      <w:r>
        <w:rPr>
          <w:rFonts w:hint="eastAsia"/>
        </w:rPr>
        <w:t>1.</w:t>
      </w:r>
      <w:r>
        <w:rPr>
          <w:rFonts w:hint="eastAsia"/>
          <w:u w:val="single"/>
        </w:rPr>
        <w:t>（标的名称）</w:t>
      </w:r>
      <w:r>
        <w:rPr>
          <w:rFonts w:hint="eastAsia"/>
        </w:rPr>
        <w:t>，属于</w:t>
      </w:r>
      <w:r>
        <w:rPr>
          <w:rFonts w:hint="eastAsia"/>
          <w:u w:val="single"/>
        </w:rPr>
        <w:t>（采购文件中明确的所属行业）</w:t>
      </w:r>
      <w:r>
        <w:rPr>
          <w:rFonts w:hint="eastAsia"/>
        </w:rPr>
        <w:t>行业；制造商为</w:t>
      </w:r>
      <w:r>
        <w:rPr>
          <w:rFonts w:hint="eastAsia"/>
          <w:u w:val="single"/>
        </w:rPr>
        <w:t>（企业名称）</w:t>
      </w:r>
      <w:r>
        <w:rPr>
          <w:rFonts w:hint="eastAsia"/>
        </w:rPr>
        <w:t>，从业人员</w:t>
      </w:r>
      <w:r>
        <w:rPr>
          <w:rFonts w:hint="eastAsia"/>
          <w:u w:val="single"/>
        </w:rPr>
        <w:t xml:space="preserve">    人</w:t>
      </w:r>
      <w:r>
        <w:rPr>
          <w:rFonts w:hint="eastAsia"/>
        </w:rPr>
        <w:t>，营业收入为</w:t>
      </w:r>
      <w:r>
        <w:rPr>
          <w:rFonts w:hint="eastAsia"/>
          <w:u w:val="single"/>
        </w:rPr>
        <w:t xml:space="preserve">    万元</w:t>
      </w:r>
      <w:r>
        <w:rPr>
          <w:rFonts w:hint="eastAsia"/>
        </w:rPr>
        <w:t>，资产总额为</w:t>
      </w:r>
      <w:r>
        <w:rPr>
          <w:rFonts w:hint="eastAsia"/>
          <w:u w:val="single"/>
        </w:rPr>
        <w:t xml:space="preserve">    万元</w:t>
      </w:r>
      <w:r>
        <w:rPr>
          <w:rFonts w:hint="eastAsia"/>
        </w:rPr>
        <w:t>，属于</w:t>
      </w:r>
      <w:r>
        <w:rPr>
          <w:rFonts w:hint="eastAsia"/>
          <w:u w:val="single"/>
        </w:rPr>
        <w:t>（中型企业、小型企业、微型企业）</w:t>
      </w:r>
      <w:r>
        <w:rPr>
          <w:rFonts w:hint="eastAsia"/>
        </w:rPr>
        <w:t>；</w:t>
      </w:r>
    </w:p>
    <w:p w14:paraId="1F951293">
      <w:pPr>
        <w:pStyle w:val="14"/>
        <w:snapToGrid w:val="0"/>
        <w:spacing w:beforeAutospacing="0" w:afterAutospacing="0" w:line="360" w:lineRule="auto"/>
        <w:ind w:right="58"/>
        <w:rPr>
          <w:rFonts w:hint="eastAsia"/>
        </w:rPr>
      </w:pPr>
      <w:r>
        <w:rPr>
          <w:rFonts w:hint="eastAsia"/>
        </w:rPr>
        <w:t>2.</w:t>
      </w:r>
      <w:r>
        <w:rPr>
          <w:rFonts w:hint="eastAsia"/>
          <w:u w:val="single"/>
        </w:rPr>
        <w:t>（标的名称）</w:t>
      </w:r>
      <w:r>
        <w:rPr>
          <w:rFonts w:hint="eastAsia"/>
        </w:rPr>
        <w:t>，属于</w:t>
      </w:r>
      <w:r>
        <w:rPr>
          <w:rFonts w:hint="eastAsia"/>
          <w:u w:val="single"/>
        </w:rPr>
        <w:t>（采购文件中明确的所属行业）</w:t>
      </w:r>
      <w:r>
        <w:rPr>
          <w:rFonts w:hint="eastAsia"/>
        </w:rPr>
        <w:t>行业；制造商为</w:t>
      </w:r>
      <w:r>
        <w:rPr>
          <w:rFonts w:hint="eastAsia"/>
          <w:u w:val="single"/>
        </w:rPr>
        <w:t>（企业名称）</w:t>
      </w:r>
      <w:r>
        <w:rPr>
          <w:rFonts w:hint="eastAsia"/>
        </w:rPr>
        <w:t>，从业人员</w:t>
      </w:r>
      <w:r>
        <w:rPr>
          <w:rFonts w:hint="eastAsia"/>
          <w:u w:val="single"/>
        </w:rPr>
        <w:t xml:space="preserve">    人</w:t>
      </w:r>
      <w:r>
        <w:rPr>
          <w:rFonts w:hint="eastAsia"/>
        </w:rPr>
        <w:t>，营业收入为</w:t>
      </w:r>
      <w:r>
        <w:rPr>
          <w:rFonts w:hint="eastAsia"/>
          <w:u w:val="single"/>
        </w:rPr>
        <w:t xml:space="preserve">    万元</w:t>
      </w:r>
      <w:r>
        <w:rPr>
          <w:rFonts w:hint="eastAsia"/>
        </w:rPr>
        <w:t>，资产总额为</w:t>
      </w:r>
      <w:r>
        <w:rPr>
          <w:rFonts w:hint="eastAsia"/>
          <w:u w:val="single"/>
        </w:rPr>
        <w:t xml:space="preserve">    万元</w:t>
      </w:r>
      <w:r>
        <w:rPr>
          <w:rFonts w:hint="eastAsia"/>
        </w:rPr>
        <w:t>，属于</w:t>
      </w:r>
      <w:r>
        <w:rPr>
          <w:rFonts w:hint="eastAsia"/>
          <w:u w:val="single"/>
        </w:rPr>
        <w:t>（中型企业、小型企业、微型企业）</w:t>
      </w:r>
      <w:r>
        <w:rPr>
          <w:rFonts w:hint="eastAsia"/>
        </w:rPr>
        <w:t>；</w:t>
      </w:r>
    </w:p>
    <w:p w14:paraId="49130135">
      <w:pPr>
        <w:pStyle w:val="14"/>
        <w:snapToGrid w:val="0"/>
        <w:spacing w:beforeAutospacing="0" w:afterAutospacing="0" w:line="360" w:lineRule="auto"/>
        <w:ind w:right="480" w:firstLine="2912" w:firstLineChars="1300"/>
        <w:rPr>
          <w:rFonts w:hint="eastAsia"/>
        </w:rPr>
      </w:pPr>
      <w:r>
        <w:rPr>
          <w:rFonts w:hint="eastAsia"/>
        </w:rPr>
        <w:t>……</w:t>
      </w:r>
    </w:p>
    <w:p w14:paraId="40177404">
      <w:pPr>
        <w:pStyle w:val="14"/>
        <w:snapToGrid w:val="0"/>
        <w:spacing w:beforeAutospacing="0" w:afterAutospacing="0" w:line="360" w:lineRule="auto"/>
        <w:ind w:right="58"/>
        <w:rPr>
          <w:rFonts w:hint="eastAsia"/>
        </w:rPr>
      </w:pPr>
      <w:r>
        <w:rPr>
          <w:rFonts w:hint="eastAsia"/>
        </w:rPr>
        <w:t>以上企业，不属于大企业的分支机构，不存在控股股东为大企业的情形，也不存在与大企业的负责人为同一人的情形。</w:t>
      </w:r>
    </w:p>
    <w:p w14:paraId="3ECC5373">
      <w:pPr>
        <w:pStyle w:val="14"/>
        <w:snapToGrid w:val="0"/>
        <w:spacing w:beforeAutospacing="0" w:afterAutospacing="0" w:line="360" w:lineRule="auto"/>
        <w:ind w:right="480"/>
        <w:rPr>
          <w:rFonts w:hint="eastAsia"/>
        </w:rPr>
      </w:pPr>
      <w:r>
        <w:rPr>
          <w:rFonts w:hint="eastAsia"/>
        </w:rPr>
        <w:t>本企业对上述声明内容的真实性负责。如有虚假，将依法承担相应责任。</w:t>
      </w:r>
    </w:p>
    <w:p w14:paraId="7A69A60B">
      <w:pPr>
        <w:pStyle w:val="14"/>
        <w:snapToGrid w:val="0"/>
        <w:spacing w:beforeAutospacing="0" w:afterAutospacing="0" w:line="360" w:lineRule="auto"/>
        <w:ind w:right="480" w:firstLine="5264" w:firstLineChars="2350"/>
        <w:rPr>
          <w:rFonts w:hint="eastAsia"/>
        </w:rPr>
      </w:pPr>
    </w:p>
    <w:p w14:paraId="06944789">
      <w:pPr>
        <w:pStyle w:val="14"/>
        <w:snapToGrid w:val="0"/>
        <w:spacing w:beforeAutospacing="0" w:afterAutospacing="0" w:line="360" w:lineRule="auto"/>
        <w:ind w:right="480" w:firstLine="5264" w:firstLineChars="2350"/>
        <w:rPr>
          <w:rFonts w:hint="eastAsia"/>
        </w:rPr>
      </w:pPr>
      <w:r>
        <w:rPr>
          <w:rFonts w:hint="eastAsia"/>
        </w:rPr>
        <w:t>企业名称（盖章）：</w:t>
      </w:r>
    </w:p>
    <w:p w14:paraId="27E6AE60">
      <w:pPr>
        <w:pStyle w:val="14"/>
        <w:snapToGrid w:val="0"/>
        <w:spacing w:beforeAutospacing="0" w:afterAutospacing="0" w:line="360" w:lineRule="auto"/>
        <w:ind w:right="480" w:firstLine="5264" w:firstLineChars="2350"/>
        <w:rPr>
          <w:rFonts w:hint="eastAsia"/>
        </w:rPr>
      </w:pPr>
      <w:r>
        <w:rPr>
          <w:rFonts w:hint="eastAsia"/>
        </w:rPr>
        <w:t>日期：</w:t>
      </w:r>
    </w:p>
    <w:p w14:paraId="69EA14D8">
      <w:pPr>
        <w:pStyle w:val="14"/>
        <w:snapToGrid w:val="0"/>
        <w:spacing w:beforeAutospacing="0" w:afterAutospacing="0" w:line="360" w:lineRule="auto"/>
        <w:ind w:right="480" w:firstLine="5264" w:firstLineChars="2350"/>
        <w:rPr>
          <w:rFonts w:hint="eastAsia"/>
        </w:rPr>
      </w:pPr>
    </w:p>
    <w:p w14:paraId="5A2B9B08">
      <w:pPr>
        <w:pStyle w:val="14"/>
        <w:snapToGrid w:val="0"/>
        <w:spacing w:beforeAutospacing="0" w:afterAutospacing="0" w:line="360" w:lineRule="auto"/>
        <w:ind w:right="480"/>
        <w:rPr>
          <w:rFonts w:hint="eastAsia"/>
        </w:rPr>
      </w:pPr>
      <w:r>
        <w:rPr>
          <w:rFonts w:hint="eastAsia"/>
        </w:rPr>
        <w:t>注：</w:t>
      </w:r>
    </w:p>
    <w:p w14:paraId="1BADAC8B">
      <w:pPr>
        <w:pStyle w:val="14"/>
        <w:snapToGrid w:val="0"/>
        <w:spacing w:beforeAutospacing="0" w:afterAutospacing="0" w:line="360" w:lineRule="auto"/>
        <w:ind w:right="58"/>
        <w:rPr>
          <w:rFonts w:hint="eastAsia"/>
          <w:b/>
          <w:bCs/>
          <w:lang w:val="zh-CN"/>
        </w:rPr>
      </w:pPr>
      <w:r>
        <w:rPr>
          <w:rFonts w:hint="eastAsia"/>
        </w:rPr>
        <w:t>1.从业人员、营业收入、资产总额填报上一年度数据，无上一年度数据的新成立企业可不填报。</w:t>
      </w:r>
    </w:p>
    <w:p w14:paraId="09C7B534">
      <w:pPr>
        <w:spacing w:line="360" w:lineRule="auto"/>
        <w:rPr>
          <w:rFonts w:hint="eastAsia" w:ascii="宋体" w:hAnsi="宋体" w:cs="宋体"/>
          <w:sz w:val="24"/>
        </w:rPr>
      </w:pPr>
      <w:r>
        <w:rPr>
          <w:rFonts w:hint="eastAsia" w:ascii="宋体" w:hAnsi="宋体" w:cs="宋体"/>
          <w:sz w:val="24"/>
        </w:rPr>
        <w:t>2.中标人享受中小企业扶持政策的，将随中标结果一并公示，如声明函内容不实的，将视为提供虚假材料谋取中标，将追究其法律责任。</w:t>
      </w:r>
    </w:p>
    <w:p w14:paraId="0930E79E">
      <w:pPr>
        <w:spacing w:line="360" w:lineRule="auto"/>
        <w:rPr>
          <w:rFonts w:hint="eastAsia" w:ascii="宋体" w:hAnsi="宋体" w:eastAsia="宋体" w:cs="宋体"/>
          <w:b/>
          <w:bCs/>
          <w:sz w:val="24"/>
          <w:lang w:eastAsia="zh-CN"/>
        </w:rPr>
      </w:pPr>
      <w:r>
        <w:rPr>
          <w:rFonts w:hint="eastAsia" w:ascii="宋体" w:hAnsi="宋体" w:cs="宋体"/>
          <w:b/>
          <w:bCs/>
          <w:sz w:val="24"/>
        </w:rPr>
        <w:t>3.本项目采购标的所属行业：</w:t>
      </w:r>
      <w:r>
        <w:rPr>
          <w:rFonts w:hint="eastAsia" w:ascii="宋体" w:hAnsi="宋体" w:cs="宋体"/>
          <w:b/>
          <w:bCs/>
          <w:sz w:val="24"/>
          <w:lang w:eastAsia="zh-CN"/>
        </w:rPr>
        <w:t>软件和信息技术货物业</w:t>
      </w:r>
    </w:p>
    <w:p w14:paraId="4A8FC150">
      <w:pPr>
        <w:pStyle w:val="8"/>
        <w:adjustRightInd w:val="0"/>
        <w:snapToGrid w:val="0"/>
        <w:spacing w:line="360" w:lineRule="auto"/>
        <w:ind w:firstLine="448" w:firstLineChars="200"/>
        <w:rPr>
          <w:rFonts w:hint="eastAsia" w:ascii="宋体" w:hAnsi="宋体" w:eastAsia="宋体" w:cs="宋体"/>
          <w:snapToGrid w:val="0"/>
          <w:kern w:val="0"/>
          <w:sz w:val="24"/>
          <w:szCs w:val="24"/>
        </w:rPr>
      </w:pPr>
      <w:bookmarkStart w:id="29" w:name="_Toc476153619"/>
    </w:p>
    <w:p w14:paraId="03898363">
      <w:pPr>
        <w:spacing w:line="360" w:lineRule="auto"/>
        <w:ind w:right="-60" w:rightChars="-31"/>
        <w:rPr>
          <w:rFonts w:hint="eastAsia" w:ascii="宋体" w:hAnsi="宋体" w:cs="宋体"/>
          <w:b/>
          <w:sz w:val="30"/>
          <w:szCs w:val="30"/>
        </w:rPr>
        <w:sectPr>
          <w:pgSz w:w="11907" w:h="16840"/>
          <w:pgMar w:top="1440" w:right="1803" w:bottom="1440" w:left="1803" w:header="851" w:footer="850" w:gutter="0"/>
          <w:cols w:space="720" w:num="1"/>
          <w:titlePg/>
          <w:docGrid w:type="linesAndChars" w:linePitch="312" w:charSpace="-3473"/>
        </w:sectPr>
      </w:pPr>
    </w:p>
    <w:p w14:paraId="187115FB">
      <w:pPr>
        <w:spacing w:line="360" w:lineRule="auto"/>
        <w:ind w:left="-44" w:leftChars="-23" w:right="-60" w:rightChars="-31"/>
        <w:jc w:val="center"/>
        <w:rPr>
          <w:rFonts w:hint="eastAsia" w:ascii="宋体" w:hAnsi="宋体" w:cs="宋体"/>
          <w:b/>
          <w:sz w:val="30"/>
          <w:szCs w:val="30"/>
        </w:rPr>
      </w:pPr>
      <w:r>
        <w:rPr>
          <w:rFonts w:hint="eastAsia" w:ascii="宋体" w:hAnsi="宋体" w:cs="宋体"/>
          <w:b/>
          <w:sz w:val="30"/>
          <w:szCs w:val="30"/>
        </w:rPr>
        <w:t>中小企业划型标准</w:t>
      </w:r>
    </w:p>
    <w:tbl>
      <w:tblPr>
        <w:tblStyle w:val="15"/>
        <w:tblW w:w="0" w:type="auto"/>
        <w:jc w:val="center"/>
        <w:tblLayout w:type="fixed"/>
        <w:tblCellMar>
          <w:top w:w="0" w:type="dxa"/>
          <w:left w:w="108" w:type="dxa"/>
          <w:bottom w:w="0" w:type="dxa"/>
          <w:right w:w="108" w:type="dxa"/>
        </w:tblCellMar>
      </w:tblPr>
      <w:tblGrid>
        <w:gridCol w:w="468"/>
        <w:gridCol w:w="1872"/>
        <w:gridCol w:w="1149"/>
        <w:gridCol w:w="885"/>
        <w:gridCol w:w="902"/>
        <w:gridCol w:w="1063"/>
        <w:gridCol w:w="905"/>
        <w:gridCol w:w="957"/>
        <w:gridCol w:w="1063"/>
        <w:gridCol w:w="921"/>
        <w:gridCol w:w="963"/>
        <w:gridCol w:w="1063"/>
        <w:gridCol w:w="846"/>
        <w:gridCol w:w="816"/>
      </w:tblGrid>
      <w:tr w14:paraId="17BDDD5D">
        <w:tblPrEx>
          <w:tblCellMar>
            <w:top w:w="0" w:type="dxa"/>
            <w:left w:w="108" w:type="dxa"/>
            <w:bottom w:w="0" w:type="dxa"/>
            <w:right w:w="108" w:type="dxa"/>
          </w:tblCellMar>
        </w:tblPrEx>
        <w:trPr>
          <w:trHeight w:val="500" w:hRule="atLeast"/>
          <w:tblHeader/>
          <w:jc w:val="center"/>
        </w:trPr>
        <w:tc>
          <w:tcPr>
            <w:tcW w:w="468" w:type="dxa"/>
            <w:vMerge w:val="restart"/>
            <w:tcBorders>
              <w:top w:val="single" w:color="auto" w:sz="4" w:space="0"/>
              <w:left w:val="single" w:color="auto" w:sz="4" w:space="0"/>
              <w:right w:val="single" w:color="auto" w:sz="4" w:space="0"/>
            </w:tcBorders>
            <w:vAlign w:val="center"/>
          </w:tcPr>
          <w:p w14:paraId="3C3E3CF7">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序号</w:t>
            </w:r>
            <w:bookmarkEnd w:id="29"/>
          </w:p>
        </w:tc>
        <w:tc>
          <w:tcPr>
            <w:tcW w:w="1872" w:type="dxa"/>
            <w:vMerge w:val="restart"/>
            <w:tcBorders>
              <w:top w:val="single" w:color="auto" w:sz="4" w:space="0"/>
              <w:left w:val="nil"/>
              <w:right w:val="single" w:color="auto" w:sz="4" w:space="0"/>
            </w:tcBorders>
            <w:vAlign w:val="center"/>
          </w:tcPr>
          <w:p w14:paraId="25A15A8D">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行业</w:t>
            </w:r>
          </w:p>
        </w:tc>
        <w:tc>
          <w:tcPr>
            <w:tcW w:w="2936" w:type="dxa"/>
            <w:gridSpan w:val="3"/>
            <w:tcBorders>
              <w:top w:val="single" w:color="auto" w:sz="4" w:space="0"/>
              <w:left w:val="nil"/>
              <w:bottom w:val="single" w:color="auto" w:sz="4" w:space="0"/>
              <w:right w:val="single" w:color="auto" w:sz="4" w:space="0"/>
            </w:tcBorders>
            <w:vAlign w:val="center"/>
          </w:tcPr>
          <w:p w14:paraId="602C7F9C">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大型企业</w:t>
            </w:r>
          </w:p>
        </w:tc>
        <w:tc>
          <w:tcPr>
            <w:tcW w:w="2925" w:type="dxa"/>
            <w:gridSpan w:val="3"/>
            <w:tcBorders>
              <w:top w:val="single" w:color="auto" w:sz="4" w:space="0"/>
              <w:left w:val="nil"/>
              <w:bottom w:val="single" w:color="auto" w:sz="4" w:space="0"/>
              <w:right w:val="single" w:color="auto" w:sz="4" w:space="0"/>
            </w:tcBorders>
            <w:vAlign w:val="center"/>
          </w:tcPr>
          <w:p w14:paraId="0DC4CF48">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中型企业</w:t>
            </w:r>
          </w:p>
        </w:tc>
        <w:tc>
          <w:tcPr>
            <w:tcW w:w="2947" w:type="dxa"/>
            <w:gridSpan w:val="3"/>
            <w:tcBorders>
              <w:top w:val="single" w:color="auto" w:sz="4" w:space="0"/>
              <w:left w:val="nil"/>
              <w:bottom w:val="single" w:color="auto" w:sz="4" w:space="0"/>
              <w:right w:val="single" w:color="auto" w:sz="4" w:space="0"/>
            </w:tcBorders>
            <w:vAlign w:val="center"/>
          </w:tcPr>
          <w:p w14:paraId="069FF7A3">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小型企业</w:t>
            </w:r>
          </w:p>
        </w:tc>
        <w:tc>
          <w:tcPr>
            <w:tcW w:w="2725" w:type="dxa"/>
            <w:gridSpan w:val="3"/>
            <w:tcBorders>
              <w:top w:val="single" w:color="auto" w:sz="4" w:space="0"/>
              <w:left w:val="nil"/>
              <w:bottom w:val="single" w:color="auto" w:sz="4" w:space="0"/>
              <w:right w:val="single" w:color="auto" w:sz="4" w:space="0"/>
            </w:tcBorders>
            <w:vAlign w:val="center"/>
          </w:tcPr>
          <w:p w14:paraId="54D0AE8B">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微型企业</w:t>
            </w:r>
          </w:p>
        </w:tc>
      </w:tr>
      <w:tr w14:paraId="5F838024">
        <w:tblPrEx>
          <w:tblCellMar>
            <w:top w:w="0" w:type="dxa"/>
            <w:left w:w="108" w:type="dxa"/>
            <w:bottom w:w="0" w:type="dxa"/>
            <w:right w:w="108" w:type="dxa"/>
          </w:tblCellMar>
        </w:tblPrEx>
        <w:trPr>
          <w:trHeight w:val="226" w:hRule="atLeast"/>
          <w:tblHeader/>
          <w:jc w:val="center"/>
        </w:trPr>
        <w:tc>
          <w:tcPr>
            <w:tcW w:w="468" w:type="dxa"/>
            <w:vMerge w:val="continue"/>
            <w:tcBorders>
              <w:left w:val="single" w:color="auto" w:sz="4" w:space="0"/>
              <w:bottom w:val="single" w:color="auto" w:sz="4" w:space="0"/>
              <w:right w:val="single" w:color="auto" w:sz="4" w:space="0"/>
            </w:tcBorders>
            <w:vAlign w:val="center"/>
          </w:tcPr>
          <w:p w14:paraId="0424495D">
            <w:pPr>
              <w:spacing w:line="360" w:lineRule="auto"/>
              <w:ind w:left="-44" w:leftChars="-23" w:right="-60" w:rightChars="-31"/>
              <w:jc w:val="center"/>
              <w:rPr>
                <w:rFonts w:hint="eastAsia" w:ascii="宋体" w:hAnsi="宋体" w:cs="宋体"/>
                <w:b/>
                <w:kern w:val="0"/>
                <w:szCs w:val="21"/>
              </w:rPr>
            </w:pPr>
          </w:p>
        </w:tc>
        <w:tc>
          <w:tcPr>
            <w:tcW w:w="1872" w:type="dxa"/>
            <w:vMerge w:val="continue"/>
            <w:tcBorders>
              <w:left w:val="nil"/>
              <w:bottom w:val="single" w:color="auto" w:sz="4" w:space="0"/>
              <w:right w:val="single" w:color="auto" w:sz="4" w:space="0"/>
            </w:tcBorders>
            <w:vAlign w:val="center"/>
          </w:tcPr>
          <w:p w14:paraId="4DE8D2B9">
            <w:pPr>
              <w:spacing w:line="360" w:lineRule="auto"/>
              <w:ind w:left="-44" w:leftChars="-23" w:right="-60" w:rightChars="-31"/>
              <w:jc w:val="left"/>
              <w:rPr>
                <w:rFonts w:hint="eastAsia" w:ascii="宋体" w:hAnsi="宋体" w:cs="宋体"/>
                <w:b/>
                <w:kern w:val="0"/>
                <w:szCs w:val="21"/>
              </w:rPr>
            </w:pPr>
          </w:p>
        </w:tc>
        <w:tc>
          <w:tcPr>
            <w:tcW w:w="1149" w:type="dxa"/>
            <w:tcBorders>
              <w:top w:val="nil"/>
              <w:left w:val="nil"/>
              <w:bottom w:val="single" w:color="auto" w:sz="4" w:space="0"/>
              <w:right w:val="single" w:color="auto" w:sz="4" w:space="0"/>
            </w:tcBorders>
            <w:vAlign w:val="center"/>
          </w:tcPr>
          <w:p w14:paraId="1445503D">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营业收入</w:t>
            </w:r>
          </w:p>
          <w:p w14:paraId="57EE547C">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(万元)</w:t>
            </w:r>
          </w:p>
        </w:tc>
        <w:tc>
          <w:tcPr>
            <w:tcW w:w="885" w:type="dxa"/>
            <w:tcBorders>
              <w:top w:val="nil"/>
              <w:left w:val="nil"/>
              <w:bottom w:val="single" w:color="auto" w:sz="4" w:space="0"/>
              <w:right w:val="single" w:color="auto" w:sz="4" w:space="0"/>
            </w:tcBorders>
            <w:vAlign w:val="center"/>
          </w:tcPr>
          <w:p w14:paraId="6B65B3E7">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从业人员</w:t>
            </w:r>
          </w:p>
          <w:p w14:paraId="75031964">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(人)</w:t>
            </w:r>
          </w:p>
        </w:tc>
        <w:tc>
          <w:tcPr>
            <w:tcW w:w="902" w:type="dxa"/>
            <w:tcBorders>
              <w:top w:val="nil"/>
              <w:left w:val="nil"/>
              <w:bottom w:val="single" w:color="auto" w:sz="4" w:space="0"/>
              <w:right w:val="single" w:color="auto" w:sz="4" w:space="0"/>
            </w:tcBorders>
            <w:vAlign w:val="center"/>
          </w:tcPr>
          <w:p w14:paraId="1926E423">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总资产</w:t>
            </w:r>
          </w:p>
          <w:p w14:paraId="718D265A">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(万元)</w:t>
            </w:r>
          </w:p>
        </w:tc>
        <w:tc>
          <w:tcPr>
            <w:tcW w:w="1063" w:type="dxa"/>
            <w:tcBorders>
              <w:top w:val="nil"/>
              <w:left w:val="nil"/>
              <w:bottom w:val="single" w:color="auto" w:sz="4" w:space="0"/>
              <w:right w:val="single" w:color="auto" w:sz="4" w:space="0"/>
            </w:tcBorders>
            <w:vAlign w:val="center"/>
          </w:tcPr>
          <w:p w14:paraId="6EA8C79A">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营业收入</w:t>
            </w:r>
          </w:p>
          <w:p w14:paraId="4938518F">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(万元)</w:t>
            </w:r>
          </w:p>
        </w:tc>
        <w:tc>
          <w:tcPr>
            <w:tcW w:w="905" w:type="dxa"/>
            <w:tcBorders>
              <w:top w:val="nil"/>
              <w:left w:val="nil"/>
              <w:bottom w:val="single" w:color="auto" w:sz="4" w:space="0"/>
              <w:right w:val="single" w:color="auto" w:sz="4" w:space="0"/>
            </w:tcBorders>
            <w:vAlign w:val="center"/>
          </w:tcPr>
          <w:p w14:paraId="1317B93B">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从业人员</w:t>
            </w:r>
          </w:p>
          <w:p w14:paraId="1622A92C">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(人)</w:t>
            </w:r>
          </w:p>
        </w:tc>
        <w:tc>
          <w:tcPr>
            <w:tcW w:w="957" w:type="dxa"/>
            <w:tcBorders>
              <w:top w:val="nil"/>
              <w:left w:val="nil"/>
              <w:bottom w:val="single" w:color="auto" w:sz="4" w:space="0"/>
              <w:right w:val="single" w:color="auto" w:sz="4" w:space="0"/>
            </w:tcBorders>
            <w:vAlign w:val="center"/>
          </w:tcPr>
          <w:p w14:paraId="0869A092">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总资产</w:t>
            </w:r>
          </w:p>
          <w:p w14:paraId="42958B5B">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(万元)</w:t>
            </w:r>
          </w:p>
        </w:tc>
        <w:tc>
          <w:tcPr>
            <w:tcW w:w="1063" w:type="dxa"/>
            <w:tcBorders>
              <w:top w:val="nil"/>
              <w:left w:val="nil"/>
              <w:bottom w:val="single" w:color="auto" w:sz="4" w:space="0"/>
              <w:right w:val="single" w:color="auto" w:sz="4" w:space="0"/>
            </w:tcBorders>
            <w:vAlign w:val="center"/>
          </w:tcPr>
          <w:p w14:paraId="75C9B834">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营业收入</w:t>
            </w:r>
          </w:p>
          <w:p w14:paraId="5A11DF07">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(万元)</w:t>
            </w:r>
          </w:p>
        </w:tc>
        <w:tc>
          <w:tcPr>
            <w:tcW w:w="921" w:type="dxa"/>
            <w:tcBorders>
              <w:top w:val="nil"/>
              <w:left w:val="nil"/>
              <w:bottom w:val="single" w:color="auto" w:sz="4" w:space="0"/>
              <w:right w:val="single" w:color="auto" w:sz="4" w:space="0"/>
            </w:tcBorders>
            <w:vAlign w:val="center"/>
          </w:tcPr>
          <w:p w14:paraId="1A1FD46B">
            <w:pPr>
              <w:spacing w:line="360" w:lineRule="auto"/>
              <w:ind w:left="109" w:leftChars="-23" w:right="-60" w:rightChars="-31" w:hanging="153" w:hangingChars="79"/>
              <w:jc w:val="center"/>
              <w:rPr>
                <w:rFonts w:hint="eastAsia" w:ascii="宋体" w:hAnsi="宋体" w:cs="宋体"/>
                <w:b/>
                <w:kern w:val="0"/>
                <w:szCs w:val="21"/>
              </w:rPr>
            </w:pPr>
            <w:r>
              <w:rPr>
                <w:rFonts w:hint="eastAsia" w:ascii="宋体" w:hAnsi="宋体" w:cs="宋体"/>
                <w:b/>
                <w:kern w:val="0"/>
                <w:szCs w:val="21"/>
              </w:rPr>
              <w:t>从业人员</w:t>
            </w:r>
          </w:p>
          <w:p w14:paraId="04BF4BA0">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(人)</w:t>
            </w:r>
          </w:p>
        </w:tc>
        <w:tc>
          <w:tcPr>
            <w:tcW w:w="963" w:type="dxa"/>
            <w:tcBorders>
              <w:top w:val="nil"/>
              <w:left w:val="nil"/>
              <w:bottom w:val="single" w:color="auto" w:sz="4" w:space="0"/>
              <w:right w:val="single" w:color="auto" w:sz="4" w:space="0"/>
            </w:tcBorders>
            <w:vAlign w:val="center"/>
          </w:tcPr>
          <w:p w14:paraId="5E70CDD5">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总资产</w:t>
            </w:r>
          </w:p>
          <w:p w14:paraId="613D0926">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(万元)</w:t>
            </w:r>
          </w:p>
        </w:tc>
        <w:tc>
          <w:tcPr>
            <w:tcW w:w="1063" w:type="dxa"/>
            <w:tcBorders>
              <w:top w:val="nil"/>
              <w:left w:val="nil"/>
              <w:bottom w:val="single" w:color="auto" w:sz="4" w:space="0"/>
              <w:right w:val="single" w:color="auto" w:sz="4" w:space="0"/>
            </w:tcBorders>
            <w:vAlign w:val="center"/>
          </w:tcPr>
          <w:p w14:paraId="6EE4B951">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营业收入</w:t>
            </w:r>
          </w:p>
          <w:p w14:paraId="5ACBFECB">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(万元)</w:t>
            </w:r>
          </w:p>
        </w:tc>
        <w:tc>
          <w:tcPr>
            <w:tcW w:w="846" w:type="dxa"/>
            <w:tcBorders>
              <w:top w:val="nil"/>
              <w:left w:val="nil"/>
              <w:bottom w:val="single" w:color="auto" w:sz="4" w:space="0"/>
              <w:right w:val="single" w:color="auto" w:sz="4" w:space="0"/>
            </w:tcBorders>
            <w:vAlign w:val="center"/>
          </w:tcPr>
          <w:p w14:paraId="188D8824">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从业人员</w:t>
            </w:r>
          </w:p>
          <w:p w14:paraId="35B76660">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(人)</w:t>
            </w:r>
          </w:p>
        </w:tc>
        <w:tc>
          <w:tcPr>
            <w:tcW w:w="816" w:type="dxa"/>
            <w:tcBorders>
              <w:top w:val="nil"/>
              <w:left w:val="nil"/>
              <w:bottom w:val="single" w:color="auto" w:sz="4" w:space="0"/>
              <w:right w:val="single" w:color="auto" w:sz="4" w:space="0"/>
            </w:tcBorders>
            <w:vAlign w:val="center"/>
          </w:tcPr>
          <w:p w14:paraId="4B11DF1A">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总资产</w:t>
            </w:r>
          </w:p>
          <w:p w14:paraId="28918BA2">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(万元)</w:t>
            </w:r>
          </w:p>
        </w:tc>
      </w:tr>
      <w:tr w14:paraId="4779E35B">
        <w:tblPrEx>
          <w:tblCellMar>
            <w:top w:w="0" w:type="dxa"/>
            <w:left w:w="108" w:type="dxa"/>
            <w:bottom w:w="0" w:type="dxa"/>
            <w:right w:w="108" w:type="dxa"/>
          </w:tblCellMar>
        </w:tblPrEx>
        <w:trPr>
          <w:trHeight w:val="369" w:hRule="atLeast"/>
          <w:jc w:val="center"/>
        </w:trPr>
        <w:tc>
          <w:tcPr>
            <w:tcW w:w="468" w:type="dxa"/>
            <w:tcBorders>
              <w:top w:val="single" w:color="auto" w:sz="4" w:space="0"/>
              <w:left w:val="single" w:color="auto" w:sz="4" w:space="0"/>
              <w:bottom w:val="single" w:color="auto" w:sz="4" w:space="0"/>
              <w:right w:val="single" w:color="auto" w:sz="4" w:space="0"/>
            </w:tcBorders>
            <w:vAlign w:val="center"/>
          </w:tcPr>
          <w:p w14:paraId="3539B726">
            <w:pPr>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1</w:t>
            </w:r>
          </w:p>
        </w:tc>
        <w:tc>
          <w:tcPr>
            <w:tcW w:w="1872" w:type="dxa"/>
            <w:tcBorders>
              <w:top w:val="single" w:color="auto" w:sz="4" w:space="0"/>
              <w:left w:val="nil"/>
              <w:bottom w:val="single" w:color="auto" w:sz="4" w:space="0"/>
              <w:right w:val="single" w:color="auto" w:sz="4" w:space="0"/>
            </w:tcBorders>
            <w:vAlign w:val="center"/>
          </w:tcPr>
          <w:p w14:paraId="48B9725E">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农、林、牧、渔业</w:t>
            </w:r>
          </w:p>
        </w:tc>
        <w:tc>
          <w:tcPr>
            <w:tcW w:w="1149" w:type="dxa"/>
            <w:tcBorders>
              <w:top w:val="single" w:color="auto" w:sz="4" w:space="0"/>
              <w:left w:val="nil"/>
              <w:bottom w:val="single" w:color="auto" w:sz="4" w:space="0"/>
              <w:right w:val="single" w:color="auto" w:sz="4" w:space="0"/>
            </w:tcBorders>
            <w:vAlign w:val="center"/>
          </w:tcPr>
          <w:p w14:paraId="6A44ED38">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≥20000</w:t>
            </w:r>
          </w:p>
        </w:tc>
        <w:tc>
          <w:tcPr>
            <w:tcW w:w="885" w:type="dxa"/>
            <w:tcBorders>
              <w:top w:val="nil"/>
              <w:left w:val="nil"/>
              <w:bottom w:val="single" w:color="auto" w:sz="4" w:space="0"/>
              <w:right w:val="single" w:color="auto" w:sz="4" w:space="0"/>
            </w:tcBorders>
            <w:vAlign w:val="center"/>
          </w:tcPr>
          <w:p w14:paraId="22E5CA48">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902" w:type="dxa"/>
            <w:tcBorders>
              <w:top w:val="nil"/>
              <w:left w:val="nil"/>
              <w:bottom w:val="single" w:color="auto" w:sz="4" w:space="0"/>
              <w:right w:val="single" w:color="auto" w:sz="4" w:space="0"/>
            </w:tcBorders>
            <w:vAlign w:val="center"/>
          </w:tcPr>
          <w:p w14:paraId="301C02F6">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724D9768">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≥500</w:t>
            </w:r>
          </w:p>
        </w:tc>
        <w:tc>
          <w:tcPr>
            <w:tcW w:w="905" w:type="dxa"/>
            <w:tcBorders>
              <w:top w:val="nil"/>
              <w:left w:val="nil"/>
              <w:bottom w:val="single" w:color="auto" w:sz="4" w:space="0"/>
              <w:right w:val="single" w:color="auto" w:sz="4" w:space="0"/>
            </w:tcBorders>
            <w:vAlign w:val="center"/>
          </w:tcPr>
          <w:p w14:paraId="1E71390C">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957" w:type="dxa"/>
            <w:tcBorders>
              <w:top w:val="nil"/>
              <w:left w:val="nil"/>
              <w:bottom w:val="single" w:color="auto" w:sz="4" w:space="0"/>
              <w:right w:val="single" w:color="auto" w:sz="4" w:space="0"/>
            </w:tcBorders>
            <w:vAlign w:val="center"/>
          </w:tcPr>
          <w:p w14:paraId="65EB1711">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30E6894">
            <w:pPr>
              <w:widowControl/>
              <w:spacing w:line="360" w:lineRule="auto"/>
              <w:jc w:val="center"/>
              <w:rPr>
                <w:rFonts w:hint="eastAsia" w:ascii="宋体" w:hAnsi="宋体" w:cs="宋体"/>
                <w:kern w:val="0"/>
                <w:szCs w:val="21"/>
              </w:rPr>
            </w:pPr>
            <w:r>
              <w:rPr>
                <w:rFonts w:hint="eastAsia" w:ascii="宋体" w:hAnsi="宋体" w:cs="宋体"/>
                <w:kern w:val="0"/>
                <w:szCs w:val="21"/>
              </w:rPr>
              <w:t>≥50</w:t>
            </w:r>
          </w:p>
        </w:tc>
        <w:tc>
          <w:tcPr>
            <w:tcW w:w="921" w:type="dxa"/>
            <w:tcBorders>
              <w:top w:val="nil"/>
              <w:left w:val="nil"/>
              <w:bottom w:val="single" w:color="auto" w:sz="4" w:space="0"/>
              <w:right w:val="single" w:color="auto" w:sz="4" w:space="0"/>
            </w:tcBorders>
            <w:vAlign w:val="center"/>
          </w:tcPr>
          <w:p w14:paraId="34A2E203">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963" w:type="dxa"/>
            <w:tcBorders>
              <w:top w:val="nil"/>
              <w:left w:val="nil"/>
              <w:bottom w:val="single" w:color="auto" w:sz="4" w:space="0"/>
              <w:right w:val="single" w:color="auto" w:sz="4" w:space="0"/>
            </w:tcBorders>
            <w:vAlign w:val="center"/>
          </w:tcPr>
          <w:p w14:paraId="33AD8182">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44AF5A80">
            <w:pPr>
              <w:widowControl/>
              <w:spacing w:line="360" w:lineRule="auto"/>
              <w:jc w:val="center"/>
              <w:rPr>
                <w:rFonts w:hint="eastAsia" w:ascii="宋体" w:hAnsi="宋体" w:cs="宋体"/>
                <w:kern w:val="0"/>
                <w:szCs w:val="21"/>
              </w:rPr>
            </w:pPr>
            <w:r>
              <w:rPr>
                <w:rFonts w:hint="eastAsia" w:ascii="宋体" w:hAnsi="宋体" w:cs="宋体"/>
                <w:kern w:val="0"/>
                <w:szCs w:val="21"/>
              </w:rPr>
              <w:t>＜50</w:t>
            </w:r>
          </w:p>
        </w:tc>
        <w:tc>
          <w:tcPr>
            <w:tcW w:w="846" w:type="dxa"/>
            <w:tcBorders>
              <w:top w:val="nil"/>
              <w:left w:val="nil"/>
              <w:bottom w:val="single" w:color="auto" w:sz="4" w:space="0"/>
              <w:right w:val="single" w:color="auto" w:sz="4" w:space="0"/>
            </w:tcBorders>
            <w:vAlign w:val="center"/>
          </w:tcPr>
          <w:p w14:paraId="5EA645D9">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816" w:type="dxa"/>
            <w:tcBorders>
              <w:top w:val="nil"/>
              <w:left w:val="nil"/>
              <w:bottom w:val="single" w:color="auto" w:sz="4" w:space="0"/>
              <w:right w:val="single" w:color="auto" w:sz="4" w:space="0"/>
            </w:tcBorders>
            <w:vAlign w:val="center"/>
          </w:tcPr>
          <w:p w14:paraId="199D45C1">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34284897">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3D5DEEA9">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2</w:t>
            </w:r>
          </w:p>
        </w:tc>
        <w:tc>
          <w:tcPr>
            <w:tcW w:w="1872" w:type="dxa"/>
            <w:tcBorders>
              <w:top w:val="nil"/>
              <w:left w:val="nil"/>
              <w:bottom w:val="single" w:color="auto" w:sz="4" w:space="0"/>
              <w:right w:val="single" w:color="auto" w:sz="4" w:space="0"/>
            </w:tcBorders>
            <w:vAlign w:val="center"/>
          </w:tcPr>
          <w:p w14:paraId="27DC3C99">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工业</w:t>
            </w:r>
          </w:p>
        </w:tc>
        <w:tc>
          <w:tcPr>
            <w:tcW w:w="1149" w:type="dxa"/>
            <w:tcBorders>
              <w:top w:val="nil"/>
              <w:left w:val="nil"/>
              <w:bottom w:val="single" w:color="auto" w:sz="4" w:space="0"/>
              <w:right w:val="single" w:color="auto" w:sz="4" w:space="0"/>
            </w:tcBorders>
            <w:vAlign w:val="center"/>
          </w:tcPr>
          <w:p w14:paraId="7F7B83CF">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≥40000</w:t>
            </w:r>
          </w:p>
        </w:tc>
        <w:tc>
          <w:tcPr>
            <w:tcW w:w="885" w:type="dxa"/>
            <w:tcBorders>
              <w:top w:val="nil"/>
              <w:left w:val="nil"/>
              <w:bottom w:val="single" w:color="auto" w:sz="4" w:space="0"/>
              <w:right w:val="single" w:color="auto" w:sz="4" w:space="0"/>
            </w:tcBorders>
            <w:vAlign w:val="center"/>
          </w:tcPr>
          <w:p w14:paraId="366E122E">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w:t>
            </w:r>
          </w:p>
        </w:tc>
        <w:tc>
          <w:tcPr>
            <w:tcW w:w="902" w:type="dxa"/>
            <w:tcBorders>
              <w:top w:val="nil"/>
              <w:left w:val="nil"/>
              <w:bottom w:val="single" w:color="auto" w:sz="4" w:space="0"/>
              <w:right w:val="single" w:color="auto" w:sz="4" w:space="0"/>
            </w:tcBorders>
            <w:vAlign w:val="center"/>
          </w:tcPr>
          <w:p w14:paraId="1178E3DA">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C14F6F3">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≥2000</w:t>
            </w:r>
          </w:p>
        </w:tc>
        <w:tc>
          <w:tcPr>
            <w:tcW w:w="905" w:type="dxa"/>
            <w:tcBorders>
              <w:top w:val="nil"/>
              <w:left w:val="nil"/>
              <w:bottom w:val="single" w:color="auto" w:sz="4" w:space="0"/>
              <w:right w:val="single" w:color="auto" w:sz="4" w:space="0"/>
            </w:tcBorders>
            <w:vAlign w:val="center"/>
          </w:tcPr>
          <w:p w14:paraId="261C425C">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w:t>
            </w:r>
          </w:p>
        </w:tc>
        <w:tc>
          <w:tcPr>
            <w:tcW w:w="957" w:type="dxa"/>
            <w:tcBorders>
              <w:top w:val="nil"/>
              <w:left w:val="nil"/>
              <w:bottom w:val="single" w:color="auto" w:sz="4" w:space="0"/>
              <w:right w:val="single" w:color="auto" w:sz="4" w:space="0"/>
            </w:tcBorders>
            <w:vAlign w:val="center"/>
          </w:tcPr>
          <w:p w14:paraId="3DD064AC">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066B5B6">
            <w:pPr>
              <w:widowControl/>
              <w:spacing w:line="360" w:lineRule="auto"/>
              <w:jc w:val="center"/>
              <w:rPr>
                <w:rFonts w:hint="eastAsia" w:ascii="宋体" w:hAnsi="宋体" w:cs="宋体"/>
                <w:kern w:val="0"/>
                <w:szCs w:val="21"/>
              </w:rPr>
            </w:pPr>
            <w:r>
              <w:rPr>
                <w:rFonts w:hint="eastAsia" w:ascii="宋体" w:hAnsi="宋体" w:cs="宋体"/>
                <w:kern w:val="0"/>
                <w:szCs w:val="21"/>
              </w:rPr>
              <w:t>≥300</w:t>
            </w:r>
          </w:p>
        </w:tc>
        <w:tc>
          <w:tcPr>
            <w:tcW w:w="921" w:type="dxa"/>
            <w:tcBorders>
              <w:top w:val="nil"/>
              <w:left w:val="nil"/>
              <w:bottom w:val="single" w:color="auto" w:sz="4" w:space="0"/>
              <w:right w:val="single" w:color="auto" w:sz="4" w:space="0"/>
            </w:tcBorders>
            <w:vAlign w:val="center"/>
          </w:tcPr>
          <w:p w14:paraId="6D085A6A">
            <w:pPr>
              <w:widowControl/>
              <w:spacing w:line="360" w:lineRule="auto"/>
              <w:jc w:val="center"/>
              <w:rPr>
                <w:rFonts w:hint="eastAsia" w:ascii="宋体" w:hAnsi="宋体" w:cs="宋体"/>
                <w:kern w:val="0"/>
                <w:szCs w:val="21"/>
              </w:rPr>
            </w:pPr>
            <w:r>
              <w:rPr>
                <w:rFonts w:hint="eastAsia" w:ascii="宋体" w:hAnsi="宋体" w:cs="宋体"/>
                <w:kern w:val="0"/>
                <w:szCs w:val="21"/>
              </w:rPr>
              <w:t>≥20</w:t>
            </w:r>
          </w:p>
        </w:tc>
        <w:tc>
          <w:tcPr>
            <w:tcW w:w="963" w:type="dxa"/>
            <w:tcBorders>
              <w:top w:val="nil"/>
              <w:left w:val="nil"/>
              <w:bottom w:val="single" w:color="auto" w:sz="4" w:space="0"/>
              <w:right w:val="single" w:color="auto" w:sz="4" w:space="0"/>
            </w:tcBorders>
            <w:vAlign w:val="center"/>
          </w:tcPr>
          <w:p w14:paraId="6D6F401C">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48F70A6C">
            <w:pPr>
              <w:widowControl/>
              <w:spacing w:line="360" w:lineRule="auto"/>
              <w:jc w:val="center"/>
              <w:rPr>
                <w:rFonts w:hint="eastAsia" w:ascii="宋体" w:hAnsi="宋体" w:cs="宋体"/>
                <w:kern w:val="0"/>
                <w:szCs w:val="21"/>
              </w:rPr>
            </w:pPr>
            <w:r>
              <w:rPr>
                <w:rFonts w:hint="eastAsia" w:ascii="宋体" w:hAnsi="宋体" w:cs="宋体"/>
                <w:kern w:val="0"/>
                <w:szCs w:val="21"/>
              </w:rPr>
              <w:t>＜300</w:t>
            </w:r>
          </w:p>
        </w:tc>
        <w:tc>
          <w:tcPr>
            <w:tcW w:w="846" w:type="dxa"/>
            <w:tcBorders>
              <w:top w:val="nil"/>
              <w:left w:val="nil"/>
              <w:bottom w:val="single" w:color="auto" w:sz="4" w:space="0"/>
              <w:right w:val="single" w:color="auto" w:sz="4" w:space="0"/>
            </w:tcBorders>
            <w:vAlign w:val="center"/>
          </w:tcPr>
          <w:p w14:paraId="4927EDD1">
            <w:pPr>
              <w:widowControl/>
              <w:spacing w:line="360" w:lineRule="auto"/>
              <w:jc w:val="center"/>
              <w:rPr>
                <w:rFonts w:hint="eastAsia" w:ascii="宋体" w:hAnsi="宋体" w:cs="宋体"/>
                <w:kern w:val="0"/>
                <w:szCs w:val="21"/>
              </w:rPr>
            </w:pPr>
            <w:r>
              <w:rPr>
                <w:rFonts w:hint="eastAsia" w:ascii="宋体" w:hAnsi="宋体" w:cs="宋体"/>
                <w:kern w:val="0"/>
                <w:szCs w:val="21"/>
              </w:rPr>
              <w:t>＜20</w:t>
            </w:r>
          </w:p>
        </w:tc>
        <w:tc>
          <w:tcPr>
            <w:tcW w:w="816" w:type="dxa"/>
            <w:tcBorders>
              <w:top w:val="nil"/>
              <w:left w:val="nil"/>
              <w:bottom w:val="single" w:color="auto" w:sz="4" w:space="0"/>
              <w:right w:val="single" w:color="auto" w:sz="4" w:space="0"/>
            </w:tcBorders>
            <w:vAlign w:val="center"/>
          </w:tcPr>
          <w:p w14:paraId="4FEFC75D">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56938233">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360444A9">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3</w:t>
            </w:r>
          </w:p>
        </w:tc>
        <w:tc>
          <w:tcPr>
            <w:tcW w:w="1872" w:type="dxa"/>
            <w:tcBorders>
              <w:top w:val="nil"/>
              <w:left w:val="nil"/>
              <w:bottom w:val="single" w:color="auto" w:sz="4" w:space="0"/>
              <w:right w:val="single" w:color="auto" w:sz="4" w:space="0"/>
            </w:tcBorders>
            <w:vAlign w:val="center"/>
          </w:tcPr>
          <w:p w14:paraId="58ED1CAD">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建筑业</w:t>
            </w:r>
          </w:p>
        </w:tc>
        <w:tc>
          <w:tcPr>
            <w:tcW w:w="1149" w:type="dxa"/>
            <w:tcBorders>
              <w:top w:val="nil"/>
              <w:left w:val="nil"/>
              <w:bottom w:val="single" w:color="auto" w:sz="4" w:space="0"/>
              <w:right w:val="single" w:color="auto" w:sz="4" w:space="0"/>
            </w:tcBorders>
            <w:vAlign w:val="center"/>
          </w:tcPr>
          <w:p w14:paraId="22184B81">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≥80000</w:t>
            </w:r>
          </w:p>
        </w:tc>
        <w:tc>
          <w:tcPr>
            <w:tcW w:w="885" w:type="dxa"/>
            <w:tcBorders>
              <w:top w:val="nil"/>
              <w:left w:val="nil"/>
              <w:bottom w:val="single" w:color="auto" w:sz="4" w:space="0"/>
              <w:right w:val="single" w:color="auto" w:sz="4" w:space="0"/>
            </w:tcBorders>
            <w:vAlign w:val="center"/>
          </w:tcPr>
          <w:p w14:paraId="1BC45873">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902" w:type="dxa"/>
            <w:tcBorders>
              <w:top w:val="nil"/>
              <w:left w:val="nil"/>
              <w:bottom w:val="single" w:color="auto" w:sz="4" w:space="0"/>
              <w:right w:val="single" w:color="auto" w:sz="4" w:space="0"/>
            </w:tcBorders>
            <w:vAlign w:val="center"/>
          </w:tcPr>
          <w:p w14:paraId="69EF82C4">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≥80000</w:t>
            </w:r>
          </w:p>
        </w:tc>
        <w:tc>
          <w:tcPr>
            <w:tcW w:w="1063" w:type="dxa"/>
            <w:tcBorders>
              <w:top w:val="nil"/>
              <w:left w:val="nil"/>
              <w:bottom w:val="single" w:color="auto" w:sz="4" w:space="0"/>
              <w:right w:val="single" w:color="auto" w:sz="4" w:space="0"/>
            </w:tcBorders>
            <w:vAlign w:val="center"/>
          </w:tcPr>
          <w:p w14:paraId="121108EB">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≥5000</w:t>
            </w:r>
          </w:p>
        </w:tc>
        <w:tc>
          <w:tcPr>
            <w:tcW w:w="905" w:type="dxa"/>
            <w:tcBorders>
              <w:top w:val="nil"/>
              <w:left w:val="nil"/>
              <w:bottom w:val="single" w:color="auto" w:sz="4" w:space="0"/>
              <w:right w:val="single" w:color="auto" w:sz="4" w:space="0"/>
            </w:tcBorders>
            <w:vAlign w:val="center"/>
          </w:tcPr>
          <w:p w14:paraId="59E1B991">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957" w:type="dxa"/>
            <w:tcBorders>
              <w:top w:val="nil"/>
              <w:left w:val="nil"/>
              <w:bottom w:val="single" w:color="auto" w:sz="4" w:space="0"/>
              <w:right w:val="single" w:color="auto" w:sz="4" w:space="0"/>
            </w:tcBorders>
            <w:vAlign w:val="center"/>
          </w:tcPr>
          <w:p w14:paraId="6E1D2770">
            <w:pPr>
              <w:widowControl/>
              <w:spacing w:line="360" w:lineRule="auto"/>
              <w:jc w:val="center"/>
              <w:rPr>
                <w:rFonts w:hint="eastAsia" w:ascii="宋体" w:hAnsi="宋体" w:cs="宋体"/>
                <w:kern w:val="0"/>
                <w:szCs w:val="21"/>
              </w:rPr>
            </w:pPr>
            <w:r>
              <w:rPr>
                <w:rFonts w:hint="eastAsia" w:ascii="宋体" w:hAnsi="宋体" w:cs="宋体"/>
                <w:kern w:val="0"/>
                <w:szCs w:val="21"/>
              </w:rPr>
              <w:t>≥5000</w:t>
            </w:r>
          </w:p>
        </w:tc>
        <w:tc>
          <w:tcPr>
            <w:tcW w:w="1063" w:type="dxa"/>
            <w:tcBorders>
              <w:top w:val="nil"/>
              <w:left w:val="nil"/>
              <w:bottom w:val="single" w:color="auto" w:sz="4" w:space="0"/>
              <w:right w:val="single" w:color="auto" w:sz="4" w:space="0"/>
            </w:tcBorders>
            <w:vAlign w:val="center"/>
          </w:tcPr>
          <w:p w14:paraId="149A345E">
            <w:pPr>
              <w:widowControl/>
              <w:spacing w:line="360" w:lineRule="auto"/>
              <w:jc w:val="center"/>
              <w:rPr>
                <w:rFonts w:hint="eastAsia" w:ascii="宋体" w:hAnsi="宋体" w:cs="宋体"/>
                <w:kern w:val="0"/>
                <w:szCs w:val="21"/>
              </w:rPr>
            </w:pPr>
            <w:r>
              <w:rPr>
                <w:rFonts w:hint="eastAsia" w:ascii="宋体" w:hAnsi="宋体" w:cs="宋体"/>
                <w:kern w:val="0"/>
                <w:szCs w:val="21"/>
              </w:rPr>
              <w:t>≥300</w:t>
            </w:r>
          </w:p>
        </w:tc>
        <w:tc>
          <w:tcPr>
            <w:tcW w:w="921" w:type="dxa"/>
            <w:tcBorders>
              <w:top w:val="nil"/>
              <w:left w:val="nil"/>
              <w:bottom w:val="single" w:color="auto" w:sz="4" w:space="0"/>
              <w:right w:val="single" w:color="auto" w:sz="4" w:space="0"/>
            </w:tcBorders>
            <w:vAlign w:val="center"/>
          </w:tcPr>
          <w:p w14:paraId="0380BB34">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963" w:type="dxa"/>
            <w:tcBorders>
              <w:top w:val="nil"/>
              <w:left w:val="nil"/>
              <w:bottom w:val="single" w:color="auto" w:sz="4" w:space="0"/>
              <w:right w:val="single" w:color="auto" w:sz="4" w:space="0"/>
            </w:tcBorders>
            <w:vAlign w:val="center"/>
          </w:tcPr>
          <w:p w14:paraId="793088FC">
            <w:pPr>
              <w:widowControl/>
              <w:spacing w:line="360" w:lineRule="auto"/>
              <w:jc w:val="center"/>
              <w:rPr>
                <w:rFonts w:hint="eastAsia" w:ascii="宋体" w:hAnsi="宋体" w:cs="宋体"/>
                <w:kern w:val="0"/>
                <w:szCs w:val="21"/>
              </w:rPr>
            </w:pPr>
            <w:r>
              <w:rPr>
                <w:rFonts w:hint="eastAsia" w:ascii="宋体" w:hAnsi="宋体" w:cs="宋体"/>
                <w:kern w:val="0"/>
                <w:szCs w:val="21"/>
              </w:rPr>
              <w:t>≥300</w:t>
            </w:r>
          </w:p>
        </w:tc>
        <w:tc>
          <w:tcPr>
            <w:tcW w:w="1063" w:type="dxa"/>
            <w:tcBorders>
              <w:top w:val="nil"/>
              <w:left w:val="nil"/>
              <w:bottom w:val="single" w:color="auto" w:sz="4" w:space="0"/>
              <w:right w:val="single" w:color="auto" w:sz="4" w:space="0"/>
            </w:tcBorders>
            <w:vAlign w:val="center"/>
          </w:tcPr>
          <w:p w14:paraId="14A48663">
            <w:pPr>
              <w:widowControl/>
              <w:spacing w:line="360" w:lineRule="auto"/>
              <w:jc w:val="center"/>
              <w:rPr>
                <w:rFonts w:hint="eastAsia" w:ascii="宋体" w:hAnsi="宋体" w:cs="宋体"/>
                <w:kern w:val="0"/>
                <w:szCs w:val="21"/>
              </w:rPr>
            </w:pPr>
            <w:r>
              <w:rPr>
                <w:rFonts w:hint="eastAsia" w:ascii="宋体" w:hAnsi="宋体" w:cs="宋体"/>
                <w:kern w:val="0"/>
                <w:szCs w:val="21"/>
              </w:rPr>
              <w:t>＜300</w:t>
            </w:r>
          </w:p>
        </w:tc>
        <w:tc>
          <w:tcPr>
            <w:tcW w:w="846" w:type="dxa"/>
            <w:tcBorders>
              <w:top w:val="nil"/>
              <w:left w:val="nil"/>
              <w:bottom w:val="single" w:color="auto" w:sz="4" w:space="0"/>
              <w:right w:val="single" w:color="auto" w:sz="4" w:space="0"/>
            </w:tcBorders>
            <w:vAlign w:val="center"/>
          </w:tcPr>
          <w:p w14:paraId="59A7E118">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816" w:type="dxa"/>
            <w:tcBorders>
              <w:top w:val="nil"/>
              <w:left w:val="nil"/>
              <w:bottom w:val="single" w:color="auto" w:sz="4" w:space="0"/>
              <w:right w:val="single" w:color="auto" w:sz="4" w:space="0"/>
            </w:tcBorders>
            <w:vAlign w:val="center"/>
          </w:tcPr>
          <w:p w14:paraId="4DA10F88">
            <w:pPr>
              <w:widowControl/>
              <w:spacing w:line="360" w:lineRule="auto"/>
              <w:jc w:val="center"/>
              <w:rPr>
                <w:rFonts w:hint="eastAsia" w:ascii="宋体" w:hAnsi="宋体" w:cs="宋体"/>
                <w:kern w:val="0"/>
                <w:szCs w:val="21"/>
              </w:rPr>
            </w:pPr>
            <w:r>
              <w:rPr>
                <w:rFonts w:hint="eastAsia" w:ascii="宋体" w:hAnsi="宋体" w:cs="宋体"/>
                <w:kern w:val="0"/>
                <w:szCs w:val="21"/>
              </w:rPr>
              <w:t>＜300</w:t>
            </w:r>
          </w:p>
        </w:tc>
      </w:tr>
      <w:tr w14:paraId="5C6B248C">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5098D476">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4</w:t>
            </w:r>
          </w:p>
        </w:tc>
        <w:tc>
          <w:tcPr>
            <w:tcW w:w="1872" w:type="dxa"/>
            <w:tcBorders>
              <w:top w:val="nil"/>
              <w:left w:val="nil"/>
              <w:bottom w:val="single" w:color="auto" w:sz="4" w:space="0"/>
              <w:right w:val="single" w:color="auto" w:sz="4" w:space="0"/>
            </w:tcBorders>
            <w:vAlign w:val="center"/>
          </w:tcPr>
          <w:p w14:paraId="63D5D10A">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批发业</w:t>
            </w:r>
          </w:p>
        </w:tc>
        <w:tc>
          <w:tcPr>
            <w:tcW w:w="1149" w:type="dxa"/>
            <w:tcBorders>
              <w:top w:val="nil"/>
              <w:left w:val="nil"/>
              <w:bottom w:val="single" w:color="auto" w:sz="4" w:space="0"/>
              <w:right w:val="single" w:color="auto" w:sz="4" w:space="0"/>
            </w:tcBorders>
            <w:vAlign w:val="center"/>
          </w:tcPr>
          <w:p w14:paraId="49664C3D">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≥40000</w:t>
            </w:r>
          </w:p>
        </w:tc>
        <w:tc>
          <w:tcPr>
            <w:tcW w:w="885" w:type="dxa"/>
            <w:tcBorders>
              <w:top w:val="nil"/>
              <w:left w:val="nil"/>
              <w:bottom w:val="single" w:color="auto" w:sz="4" w:space="0"/>
              <w:right w:val="single" w:color="auto" w:sz="4" w:space="0"/>
            </w:tcBorders>
            <w:vAlign w:val="center"/>
          </w:tcPr>
          <w:p w14:paraId="6EE21B6C">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≥200</w:t>
            </w:r>
          </w:p>
        </w:tc>
        <w:tc>
          <w:tcPr>
            <w:tcW w:w="902" w:type="dxa"/>
            <w:tcBorders>
              <w:top w:val="nil"/>
              <w:left w:val="nil"/>
              <w:bottom w:val="single" w:color="auto" w:sz="4" w:space="0"/>
              <w:right w:val="single" w:color="auto" w:sz="4" w:space="0"/>
            </w:tcBorders>
            <w:vAlign w:val="center"/>
          </w:tcPr>
          <w:p w14:paraId="5E61C688">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3723FED1">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≥5000</w:t>
            </w:r>
          </w:p>
        </w:tc>
        <w:tc>
          <w:tcPr>
            <w:tcW w:w="905" w:type="dxa"/>
            <w:tcBorders>
              <w:top w:val="nil"/>
              <w:left w:val="nil"/>
              <w:bottom w:val="single" w:color="auto" w:sz="4" w:space="0"/>
              <w:right w:val="single" w:color="auto" w:sz="4" w:space="0"/>
            </w:tcBorders>
            <w:vAlign w:val="center"/>
          </w:tcPr>
          <w:p w14:paraId="751ACF83">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≥20</w:t>
            </w:r>
          </w:p>
        </w:tc>
        <w:tc>
          <w:tcPr>
            <w:tcW w:w="957" w:type="dxa"/>
            <w:tcBorders>
              <w:top w:val="nil"/>
              <w:left w:val="nil"/>
              <w:bottom w:val="single" w:color="auto" w:sz="4" w:space="0"/>
              <w:right w:val="single" w:color="auto" w:sz="4" w:space="0"/>
            </w:tcBorders>
            <w:vAlign w:val="center"/>
          </w:tcPr>
          <w:p w14:paraId="728AAEB2">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70BB5FCB">
            <w:pPr>
              <w:widowControl/>
              <w:spacing w:line="360" w:lineRule="auto"/>
              <w:jc w:val="center"/>
              <w:rPr>
                <w:rFonts w:hint="eastAsia" w:ascii="宋体" w:hAnsi="宋体" w:cs="宋体"/>
                <w:kern w:val="0"/>
                <w:szCs w:val="21"/>
              </w:rPr>
            </w:pPr>
            <w:r>
              <w:rPr>
                <w:rFonts w:hint="eastAsia" w:ascii="宋体" w:hAnsi="宋体" w:cs="宋体"/>
                <w:kern w:val="0"/>
                <w:szCs w:val="21"/>
              </w:rPr>
              <w:t>≥1000</w:t>
            </w:r>
          </w:p>
        </w:tc>
        <w:tc>
          <w:tcPr>
            <w:tcW w:w="921" w:type="dxa"/>
            <w:tcBorders>
              <w:top w:val="nil"/>
              <w:left w:val="nil"/>
              <w:bottom w:val="single" w:color="auto" w:sz="4" w:space="0"/>
              <w:right w:val="single" w:color="auto" w:sz="4" w:space="0"/>
            </w:tcBorders>
            <w:vAlign w:val="center"/>
          </w:tcPr>
          <w:p w14:paraId="2154E12E">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0089BA55">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2082C61">
            <w:pPr>
              <w:widowControl/>
              <w:spacing w:line="360" w:lineRule="auto"/>
              <w:jc w:val="center"/>
              <w:rPr>
                <w:rFonts w:hint="eastAsia" w:ascii="宋体" w:hAnsi="宋体" w:cs="宋体"/>
                <w:kern w:val="0"/>
                <w:szCs w:val="21"/>
              </w:rPr>
            </w:pPr>
            <w:r>
              <w:rPr>
                <w:rFonts w:hint="eastAsia" w:ascii="宋体" w:hAnsi="宋体" w:cs="宋体"/>
                <w:kern w:val="0"/>
                <w:szCs w:val="21"/>
              </w:rPr>
              <w:t>＜1000</w:t>
            </w:r>
          </w:p>
        </w:tc>
        <w:tc>
          <w:tcPr>
            <w:tcW w:w="846" w:type="dxa"/>
            <w:tcBorders>
              <w:top w:val="nil"/>
              <w:left w:val="nil"/>
              <w:bottom w:val="single" w:color="auto" w:sz="4" w:space="0"/>
              <w:right w:val="single" w:color="auto" w:sz="4" w:space="0"/>
            </w:tcBorders>
            <w:vAlign w:val="center"/>
          </w:tcPr>
          <w:p w14:paraId="246C4089">
            <w:pPr>
              <w:widowControl/>
              <w:spacing w:line="360" w:lineRule="auto"/>
              <w:jc w:val="center"/>
              <w:rPr>
                <w:rFonts w:hint="eastAsia" w:ascii="宋体" w:hAnsi="宋体" w:cs="宋体"/>
                <w:kern w:val="0"/>
                <w:szCs w:val="21"/>
              </w:rPr>
            </w:pPr>
            <w:r>
              <w:rPr>
                <w:rFonts w:hint="eastAsia" w:ascii="宋体" w:hAnsi="宋体" w:cs="宋体"/>
                <w:kern w:val="0"/>
                <w:szCs w:val="21"/>
              </w:rPr>
              <w:t>＜5</w:t>
            </w:r>
          </w:p>
        </w:tc>
        <w:tc>
          <w:tcPr>
            <w:tcW w:w="816" w:type="dxa"/>
            <w:tcBorders>
              <w:top w:val="nil"/>
              <w:left w:val="nil"/>
              <w:bottom w:val="single" w:color="auto" w:sz="4" w:space="0"/>
              <w:right w:val="single" w:color="auto" w:sz="4" w:space="0"/>
            </w:tcBorders>
            <w:vAlign w:val="center"/>
          </w:tcPr>
          <w:p w14:paraId="379B010C">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305B097E">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1E9E860B">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5</w:t>
            </w:r>
          </w:p>
        </w:tc>
        <w:tc>
          <w:tcPr>
            <w:tcW w:w="1872" w:type="dxa"/>
            <w:tcBorders>
              <w:top w:val="nil"/>
              <w:left w:val="nil"/>
              <w:bottom w:val="single" w:color="auto" w:sz="4" w:space="0"/>
              <w:right w:val="single" w:color="auto" w:sz="4" w:space="0"/>
            </w:tcBorders>
            <w:vAlign w:val="center"/>
          </w:tcPr>
          <w:p w14:paraId="78C1F571">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零售业</w:t>
            </w:r>
          </w:p>
        </w:tc>
        <w:tc>
          <w:tcPr>
            <w:tcW w:w="1149" w:type="dxa"/>
            <w:tcBorders>
              <w:top w:val="nil"/>
              <w:left w:val="nil"/>
              <w:bottom w:val="single" w:color="auto" w:sz="4" w:space="0"/>
              <w:right w:val="single" w:color="auto" w:sz="4" w:space="0"/>
            </w:tcBorders>
            <w:vAlign w:val="center"/>
          </w:tcPr>
          <w:p w14:paraId="59622D90">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≥20000</w:t>
            </w:r>
          </w:p>
        </w:tc>
        <w:tc>
          <w:tcPr>
            <w:tcW w:w="885" w:type="dxa"/>
            <w:tcBorders>
              <w:top w:val="nil"/>
              <w:left w:val="nil"/>
              <w:bottom w:val="single" w:color="auto" w:sz="4" w:space="0"/>
              <w:right w:val="single" w:color="auto" w:sz="4" w:space="0"/>
            </w:tcBorders>
            <w:vAlign w:val="center"/>
          </w:tcPr>
          <w:p w14:paraId="4C3EACDA">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1223E7D1">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4CC8D7E2">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≥500</w:t>
            </w:r>
          </w:p>
        </w:tc>
        <w:tc>
          <w:tcPr>
            <w:tcW w:w="905" w:type="dxa"/>
            <w:tcBorders>
              <w:top w:val="nil"/>
              <w:left w:val="nil"/>
              <w:bottom w:val="single" w:color="auto" w:sz="4" w:space="0"/>
              <w:right w:val="single" w:color="auto" w:sz="4" w:space="0"/>
            </w:tcBorders>
            <w:vAlign w:val="center"/>
          </w:tcPr>
          <w:p w14:paraId="2409F7F0">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≥50</w:t>
            </w:r>
          </w:p>
        </w:tc>
        <w:tc>
          <w:tcPr>
            <w:tcW w:w="957" w:type="dxa"/>
            <w:tcBorders>
              <w:top w:val="nil"/>
              <w:left w:val="nil"/>
              <w:bottom w:val="single" w:color="auto" w:sz="4" w:space="0"/>
              <w:right w:val="single" w:color="auto" w:sz="4" w:space="0"/>
            </w:tcBorders>
            <w:vAlign w:val="center"/>
          </w:tcPr>
          <w:p w14:paraId="19BC036F">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EB2670A">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3A4EF7EB">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5271F43C">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1D465CB3">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604ECCF4">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38F62684">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1489311C">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411DAAA3">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6</w:t>
            </w:r>
          </w:p>
        </w:tc>
        <w:tc>
          <w:tcPr>
            <w:tcW w:w="1872" w:type="dxa"/>
            <w:tcBorders>
              <w:top w:val="nil"/>
              <w:left w:val="nil"/>
              <w:bottom w:val="single" w:color="auto" w:sz="4" w:space="0"/>
              <w:right w:val="single" w:color="auto" w:sz="4" w:space="0"/>
            </w:tcBorders>
            <w:vAlign w:val="center"/>
          </w:tcPr>
          <w:p w14:paraId="7B9CEFF8">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交通运输业</w:t>
            </w:r>
          </w:p>
        </w:tc>
        <w:tc>
          <w:tcPr>
            <w:tcW w:w="1149" w:type="dxa"/>
            <w:tcBorders>
              <w:top w:val="nil"/>
              <w:left w:val="nil"/>
              <w:bottom w:val="single" w:color="auto" w:sz="4" w:space="0"/>
              <w:right w:val="single" w:color="auto" w:sz="4" w:space="0"/>
            </w:tcBorders>
            <w:vAlign w:val="center"/>
          </w:tcPr>
          <w:p w14:paraId="51326E74">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≥30000</w:t>
            </w:r>
          </w:p>
        </w:tc>
        <w:tc>
          <w:tcPr>
            <w:tcW w:w="885" w:type="dxa"/>
            <w:tcBorders>
              <w:top w:val="nil"/>
              <w:left w:val="nil"/>
              <w:bottom w:val="single" w:color="auto" w:sz="4" w:space="0"/>
              <w:right w:val="single" w:color="auto" w:sz="4" w:space="0"/>
            </w:tcBorders>
            <w:vAlign w:val="center"/>
          </w:tcPr>
          <w:p w14:paraId="08186006">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w:t>
            </w:r>
          </w:p>
        </w:tc>
        <w:tc>
          <w:tcPr>
            <w:tcW w:w="902" w:type="dxa"/>
            <w:tcBorders>
              <w:top w:val="nil"/>
              <w:left w:val="nil"/>
              <w:bottom w:val="single" w:color="auto" w:sz="4" w:space="0"/>
              <w:right w:val="single" w:color="auto" w:sz="4" w:space="0"/>
            </w:tcBorders>
            <w:vAlign w:val="center"/>
          </w:tcPr>
          <w:p w14:paraId="4C6BE458">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4862004C">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≥3000</w:t>
            </w:r>
          </w:p>
        </w:tc>
        <w:tc>
          <w:tcPr>
            <w:tcW w:w="905" w:type="dxa"/>
            <w:tcBorders>
              <w:top w:val="nil"/>
              <w:left w:val="nil"/>
              <w:bottom w:val="single" w:color="auto" w:sz="4" w:space="0"/>
              <w:right w:val="single" w:color="auto" w:sz="4" w:space="0"/>
            </w:tcBorders>
            <w:vAlign w:val="center"/>
          </w:tcPr>
          <w:p w14:paraId="64A52377">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w:t>
            </w:r>
          </w:p>
        </w:tc>
        <w:tc>
          <w:tcPr>
            <w:tcW w:w="957" w:type="dxa"/>
            <w:tcBorders>
              <w:top w:val="nil"/>
              <w:left w:val="nil"/>
              <w:bottom w:val="single" w:color="auto" w:sz="4" w:space="0"/>
              <w:right w:val="single" w:color="auto" w:sz="4" w:space="0"/>
            </w:tcBorders>
            <w:vAlign w:val="center"/>
          </w:tcPr>
          <w:p w14:paraId="474511D0">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17AA2AB6">
            <w:pPr>
              <w:widowControl/>
              <w:spacing w:line="360" w:lineRule="auto"/>
              <w:jc w:val="center"/>
              <w:rPr>
                <w:rFonts w:hint="eastAsia" w:ascii="宋体" w:hAnsi="宋体" w:cs="宋体"/>
                <w:kern w:val="0"/>
                <w:szCs w:val="21"/>
              </w:rPr>
            </w:pPr>
            <w:r>
              <w:rPr>
                <w:rFonts w:hint="eastAsia" w:ascii="宋体" w:hAnsi="宋体" w:cs="宋体"/>
                <w:kern w:val="0"/>
                <w:szCs w:val="21"/>
              </w:rPr>
              <w:t>≥200</w:t>
            </w:r>
          </w:p>
        </w:tc>
        <w:tc>
          <w:tcPr>
            <w:tcW w:w="921" w:type="dxa"/>
            <w:tcBorders>
              <w:top w:val="nil"/>
              <w:left w:val="nil"/>
              <w:bottom w:val="single" w:color="auto" w:sz="4" w:space="0"/>
              <w:right w:val="single" w:color="auto" w:sz="4" w:space="0"/>
            </w:tcBorders>
            <w:vAlign w:val="center"/>
          </w:tcPr>
          <w:p w14:paraId="1C197458">
            <w:pPr>
              <w:widowControl/>
              <w:spacing w:line="360" w:lineRule="auto"/>
              <w:jc w:val="center"/>
              <w:rPr>
                <w:rFonts w:hint="eastAsia" w:ascii="宋体" w:hAnsi="宋体" w:cs="宋体"/>
                <w:kern w:val="0"/>
                <w:szCs w:val="21"/>
              </w:rPr>
            </w:pPr>
            <w:r>
              <w:rPr>
                <w:rFonts w:hint="eastAsia" w:ascii="宋体" w:hAnsi="宋体" w:cs="宋体"/>
                <w:kern w:val="0"/>
                <w:szCs w:val="21"/>
              </w:rPr>
              <w:t>≥20</w:t>
            </w:r>
          </w:p>
        </w:tc>
        <w:tc>
          <w:tcPr>
            <w:tcW w:w="963" w:type="dxa"/>
            <w:tcBorders>
              <w:top w:val="nil"/>
              <w:left w:val="nil"/>
              <w:bottom w:val="single" w:color="auto" w:sz="4" w:space="0"/>
              <w:right w:val="single" w:color="auto" w:sz="4" w:space="0"/>
            </w:tcBorders>
            <w:vAlign w:val="center"/>
          </w:tcPr>
          <w:p w14:paraId="1296B8D6">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3B0B7828">
            <w:pPr>
              <w:widowControl/>
              <w:spacing w:line="360" w:lineRule="auto"/>
              <w:jc w:val="center"/>
              <w:rPr>
                <w:rFonts w:hint="eastAsia" w:ascii="宋体" w:hAnsi="宋体" w:cs="宋体"/>
                <w:kern w:val="0"/>
                <w:szCs w:val="21"/>
              </w:rPr>
            </w:pPr>
            <w:r>
              <w:rPr>
                <w:rFonts w:hint="eastAsia" w:ascii="宋体" w:hAnsi="宋体" w:cs="宋体"/>
                <w:kern w:val="0"/>
                <w:szCs w:val="21"/>
              </w:rPr>
              <w:t>＜200</w:t>
            </w:r>
          </w:p>
        </w:tc>
        <w:tc>
          <w:tcPr>
            <w:tcW w:w="846" w:type="dxa"/>
            <w:tcBorders>
              <w:top w:val="nil"/>
              <w:left w:val="nil"/>
              <w:bottom w:val="single" w:color="auto" w:sz="4" w:space="0"/>
              <w:right w:val="single" w:color="auto" w:sz="4" w:space="0"/>
            </w:tcBorders>
            <w:vAlign w:val="center"/>
          </w:tcPr>
          <w:p w14:paraId="233BFF88">
            <w:pPr>
              <w:widowControl/>
              <w:spacing w:line="360" w:lineRule="auto"/>
              <w:jc w:val="center"/>
              <w:rPr>
                <w:rFonts w:hint="eastAsia" w:ascii="宋体" w:hAnsi="宋体" w:cs="宋体"/>
                <w:kern w:val="0"/>
                <w:szCs w:val="21"/>
              </w:rPr>
            </w:pPr>
            <w:r>
              <w:rPr>
                <w:rFonts w:hint="eastAsia" w:ascii="宋体" w:hAnsi="宋体" w:cs="宋体"/>
                <w:kern w:val="0"/>
                <w:szCs w:val="21"/>
              </w:rPr>
              <w:t>＜20</w:t>
            </w:r>
          </w:p>
        </w:tc>
        <w:tc>
          <w:tcPr>
            <w:tcW w:w="816" w:type="dxa"/>
            <w:tcBorders>
              <w:top w:val="nil"/>
              <w:left w:val="nil"/>
              <w:bottom w:val="single" w:color="auto" w:sz="4" w:space="0"/>
              <w:right w:val="single" w:color="auto" w:sz="4" w:space="0"/>
            </w:tcBorders>
            <w:vAlign w:val="center"/>
          </w:tcPr>
          <w:p w14:paraId="682F0473">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69498973">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6B35E44B">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7</w:t>
            </w:r>
          </w:p>
        </w:tc>
        <w:tc>
          <w:tcPr>
            <w:tcW w:w="1872" w:type="dxa"/>
            <w:tcBorders>
              <w:top w:val="nil"/>
              <w:left w:val="nil"/>
              <w:bottom w:val="single" w:color="auto" w:sz="4" w:space="0"/>
              <w:right w:val="single" w:color="auto" w:sz="4" w:space="0"/>
            </w:tcBorders>
            <w:vAlign w:val="center"/>
          </w:tcPr>
          <w:p w14:paraId="0FCC0AF6">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仓储业</w:t>
            </w:r>
          </w:p>
        </w:tc>
        <w:tc>
          <w:tcPr>
            <w:tcW w:w="1149" w:type="dxa"/>
            <w:tcBorders>
              <w:top w:val="nil"/>
              <w:left w:val="nil"/>
              <w:bottom w:val="single" w:color="auto" w:sz="4" w:space="0"/>
              <w:right w:val="single" w:color="auto" w:sz="4" w:space="0"/>
            </w:tcBorders>
            <w:vAlign w:val="center"/>
          </w:tcPr>
          <w:p w14:paraId="590D15E3">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≥30000</w:t>
            </w:r>
          </w:p>
        </w:tc>
        <w:tc>
          <w:tcPr>
            <w:tcW w:w="885" w:type="dxa"/>
            <w:tcBorders>
              <w:top w:val="nil"/>
              <w:left w:val="nil"/>
              <w:bottom w:val="single" w:color="auto" w:sz="4" w:space="0"/>
              <w:right w:val="single" w:color="auto" w:sz="4" w:space="0"/>
            </w:tcBorders>
            <w:vAlign w:val="center"/>
          </w:tcPr>
          <w:p w14:paraId="606F7053">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≥200</w:t>
            </w:r>
          </w:p>
        </w:tc>
        <w:tc>
          <w:tcPr>
            <w:tcW w:w="902" w:type="dxa"/>
            <w:tcBorders>
              <w:top w:val="nil"/>
              <w:left w:val="nil"/>
              <w:bottom w:val="single" w:color="auto" w:sz="4" w:space="0"/>
              <w:right w:val="single" w:color="auto" w:sz="4" w:space="0"/>
            </w:tcBorders>
            <w:vAlign w:val="center"/>
          </w:tcPr>
          <w:p w14:paraId="3EEE09A5">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378011D9">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vAlign w:val="center"/>
          </w:tcPr>
          <w:p w14:paraId="6268B593">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0346C820">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195B4370">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36EC762A">
            <w:pPr>
              <w:widowControl/>
              <w:spacing w:line="360" w:lineRule="auto"/>
              <w:jc w:val="center"/>
              <w:rPr>
                <w:rFonts w:hint="eastAsia" w:ascii="宋体" w:hAnsi="宋体" w:cs="宋体"/>
                <w:kern w:val="0"/>
                <w:szCs w:val="21"/>
              </w:rPr>
            </w:pPr>
            <w:r>
              <w:rPr>
                <w:rFonts w:hint="eastAsia" w:ascii="宋体" w:hAnsi="宋体" w:cs="宋体"/>
                <w:kern w:val="0"/>
                <w:szCs w:val="21"/>
              </w:rPr>
              <w:t>≥20</w:t>
            </w:r>
          </w:p>
        </w:tc>
        <w:tc>
          <w:tcPr>
            <w:tcW w:w="963" w:type="dxa"/>
            <w:tcBorders>
              <w:top w:val="nil"/>
              <w:left w:val="nil"/>
              <w:bottom w:val="single" w:color="auto" w:sz="4" w:space="0"/>
              <w:right w:val="single" w:color="auto" w:sz="4" w:space="0"/>
            </w:tcBorders>
            <w:vAlign w:val="center"/>
          </w:tcPr>
          <w:p w14:paraId="78E88185">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3EAF56B7">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5A720737">
            <w:pPr>
              <w:widowControl/>
              <w:spacing w:line="360" w:lineRule="auto"/>
              <w:jc w:val="center"/>
              <w:rPr>
                <w:rFonts w:hint="eastAsia" w:ascii="宋体" w:hAnsi="宋体" w:cs="宋体"/>
                <w:kern w:val="0"/>
                <w:szCs w:val="21"/>
              </w:rPr>
            </w:pPr>
            <w:r>
              <w:rPr>
                <w:rFonts w:hint="eastAsia" w:ascii="宋体" w:hAnsi="宋体" w:cs="宋体"/>
                <w:kern w:val="0"/>
                <w:szCs w:val="21"/>
              </w:rPr>
              <w:t>＜20</w:t>
            </w:r>
          </w:p>
        </w:tc>
        <w:tc>
          <w:tcPr>
            <w:tcW w:w="816" w:type="dxa"/>
            <w:tcBorders>
              <w:top w:val="nil"/>
              <w:left w:val="nil"/>
              <w:bottom w:val="single" w:color="auto" w:sz="4" w:space="0"/>
              <w:right w:val="single" w:color="auto" w:sz="4" w:space="0"/>
            </w:tcBorders>
            <w:vAlign w:val="center"/>
          </w:tcPr>
          <w:p w14:paraId="4849D723">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459CEF7B">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371E5CA7">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8</w:t>
            </w:r>
          </w:p>
        </w:tc>
        <w:tc>
          <w:tcPr>
            <w:tcW w:w="1872" w:type="dxa"/>
            <w:tcBorders>
              <w:top w:val="nil"/>
              <w:left w:val="nil"/>
              <w:bottom w:val="single" w:color="auto" w:sz="4" w:space="0"/>
              <w:right w:val="single" w:color="auto" w:sz="4" w:space="0"/>
            </w:tcBorders>
            <w:vAlign w:val="center"/>
          </w:tcPr>
          <w:p w14:paraId="611435C4">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邮政业</w:t>
            </w:r>
          </w:p>
        </w:tc>
        <w:tc>
          <w:tcPr>
            <w:tcW w:w="1149" w:type="dxa"/>
            <w:tcBorders>
              <w:top w:val="nil"/>
              <w:left w:val="nil"/>
              <w:bottom w:val="single" w:color="auto" w:sz="4" w:space="0"/>
              <w:right w:val="single" w:color="auto" w:sz="4" w:space="0"/>
            </w:tcBorders>
            <w:vAlign w:val="center"/>
          </w:tcPr>
          <w:p w14:paraId="1C7557AD">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≥30000</w:t>
            </w:r>
          </w:p>
        </w:tc>
        <w:tc>
          <w:tcPr>
            <w:tcW w:w="885" w:type="dxa"/>
            <w:tcBorders>
              <w:top w:val="nil"/>
              <w:left w:val="nil"/>
              <w:bottom w:val="single" w:color="auto" w:sz="4" w:space="0"/>
              <w:right w:val="single" w:color="auto" w:sz="4" w:space="0"/>
            </w:tcBorders>
            <w:vAlign w:val="center"/>
          </w:tcPr>
          <w:p w14:paraId="23CE0C73">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w:t>
            </w:r>
          </w:p>
        </w:tc>
        <w:tc>
          <w:tcPr>
            <w:tcW w:w="902" w:type="dxa"/>
            <w:tcBorders>
              <w:top w:val="nil"/>
              <w:left w:val="nil"/>
              <w:bottom w:val="single" w:color="auto" w:sz="4" w:space="0"/>
              <w:right w:val="single" w:color="auto" w:sz="4" w:space="0"/>
            </w:tcBorders>
            <w:vAlign w:val="center"/>
          </w:tcPr>
          <w:p w14:paraId="6FCBC983">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18D68D86">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≥2000</w:t>
            </w:r>
          </w:p>
        </w:tc>
        <w:tc>
          <w:tcPr>
            <w:tcW w:w="905" w:type="dxa"/>
            <w:tcBorders>
              <w:top w:val="nil"/>
              <w:left w:val="nil"/>
              <w:bottom w:val="single" w:color="auto" w:sz="4" w:space="0"/>
              <w:right w:val="single" w:color="auto" w:sz="4" w:space="0"/>
            </w:tcBorders>
            <w:vAlign w:val="center"/>
          </w:tcPr>
          <w:p w14:paraId="7B035B42">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w:t>
            </w:r>
          </w:p>
        </w:tc>
        <w:tc>
          <w:tcPr>
            <w:tcW w:w="957" w:type="dxa"/>
            <w:tcBorders>
              <w:top w:val="nil"/>
              <w:left w:val="nil"/>
              <w:bottom w:val="single" w:color="auto" w:sz="4" w:space="0"/>
              <w:right w:val="single" w:color="auto" w:sz="4" w:space="0"/>
            </w:tcBorders>
            <w:vAlign w:val="center"/>
          </w:tcPr>
          <w:p w14:paraId="1AEB3BB4">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327F65D2">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66E66734">
            <w:pPr>
              <w:widowControl/>
              <w:spacing w:line="360" w:lineRule="auto"/>
              <w:jc w:val="center"/>
              <w:rPr>
                <w:rFonts w:hint="eastAsia" w:ascii="宋体" w:hAnsi="宋体" w:cs="宋体"/>
                <w:kern w:val="0"/>
                <w:szCs w:val="21"/>
              </w:rPr>
            </w:pPr>
            <w:r>
              <w:rPr>
                <w:rFonts w:hint="eastAsia" w:ascii="宋体" w:hAnsi="宋体" w:cs="宋体"/>
                <w:kern w:val="0"/>
                <w:szCs w:val="21"/>
              </w:rPr>
              <w:t>≥20</w:t>
            </w:r>
          </w:p>
        </w:tc>
        <w:tc>
          <w:tcPr>
            <w:tcW w:w="963" w:type="dxa"/>
            <w:tcBorders>
              <w:top w:val="nil"/>
              <w:left w:val="nil"/>
              <w:bottom w:val="single" w:color="auto" w:sz="4" w:space="0"/>
              <w:right w:val="single" w:color="auto" w:sz="4" w:space="0"/>
            </w:tcBorders>
            <w:vAlign w:val="center"/>
          </w:tcPr>
          <w:p w14:paraId="335837E5">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3E30E4DB">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2F1C4994">
            <w:pPr>
              <w:widowControl/>
              <w:spacing w:line="360" w:lineRule="auto"/>
              <w:jc w:val="center"/>
              <w:rPr>
                <w:rFonts w:hint="eastAsia" w:ascii="宋体" w:hAnsi="宋体" w:cs="宋体"/>
                <w:kern w:val="0"/>
                <w:szCs w:val="21"/>
              </w:rPr>
            </w:pPr>
            <w:r>
              <w:rPr>
                <w:rFonts w:hint="eastAsia" w:ascii="宋体" w:hAnsi="宋体" w:cs="宋体"/>
                <w:kern w:val="0"/>
                <w:szCs w:val="21"/>
              </w:rPr>
              <w:t>＜20</w:t>
            </w:r>
          </w:p>
        </w:tc>
        <w:tc>
          <w:tcPr>
            <w:tcW w:w="816" w:type="dxa"/>
            <w:tcBorders>
              <w:top w:val="nil"/>
              <w:left w:val="nil"/>
              <w:bottom w:val="single" w:color="auto" w:sz="4" w:space="0"/>
              <w:right w:val="single" w:color="auto" w:sz="4" w:space="0"/>
            </w:tcBorders>
            <w:vAlign w:val="center"/>
          </w:tcPr>
          <w:p w14:paraId="39EDFC4B">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76AEEC03">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492E0B3D">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9</w:t>
            </w:r>
          </w:p>
        </w:tc>
        <w:tc>
          <w:tcPr>
            <w:tcW w:w="1872" w:type="dxa"/>
            <w:tcBorders>
              <w:top w:val="nil"/>
              <w:left w:val="nil"/>
              <w:bottom w:val="single" w:color="auto" w:sz="4" w:space="0"/>
              <w:right w:val="single" w:color="auto" w:sz="4" w:space="0"/>
            </w:tcBorders>
            <w:vAlign w:val="center"/>
          </w:tcPr>
          <w:p w14:paraId="64AF6974">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住宿业</w:t>
            </w:r>
          </w:p>
        </w:tc>
        <w:tc>
          <w:tcPr>
            <w:tcW w:w="1149" w:type="dxa"/>
            <w:tcBorders>
              <w:top w:val="nil"/>
              <w:left w:val="nil"/>
              <w:bottom w:val="single" w:color="auto" w:sz="4" w:space="0"/>
              <w:right w:val="single" w:color="auto" w:sz="4" w:space="0"/>
            </w:tcBorders>
            <w:vAlign w:val="center"/>
          </w:tcPr>
          <w:p w14:paraId="7271FA44">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≥10000</w:t>
            </w:r>
          </w:p>
        </w:tc>
        <w:tc>
          <w:tcPr>
            <w:tcW w:w="885" w:type="dxa"/>
            <w:tcBorders>
              <w:top w:val="nil"/>
              <w:left w:val="nil"/>
              <w:bottom w:val="single" w:color="auto" w:sz="4" w:space="0"/>
              <w:right w:val="single" w:color="auto" w:sz="4" w:space="0"/>
            </w:tcBorders>
            <w:vAlign w:val="center"/>
          </w:tcPr>
          <w:p w14:paraId="641D4015">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2ED0915D">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1D7F952A">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≥2000</w:t>
            </w:r>
          </w:p>
        </w:tc>
        <w:tc>
          <w:tcPr>
            <w:tcW w:w="905" w:type="dxa"/>
            <w:tcBorders>
              <w:top w:val="nil"/>
              <w:left w:val="nil"/>
              <w:bottom w:val="single" w:color="auto" w:sz="4" w:space="0"/>
              <w:right w:val="single" w:color="auto" w:sz="4" w:space="0"/>
            </w:tcBorders>
            <w:vAlign w:val="center"/>
          </w:tcPr>
          <w:p w14:paraId="60B321C9">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123AB13B">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4F695F21">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4933480E">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529C3B1D">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492C6E49">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16CA06A1">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4DCA50C0">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36425CC9">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380673F9">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10</w:t>
            </w:r>
          </w:p>
        </w:tc>
        <w:tc>
          <w:tcPr>
            <w:tcW w:w="1872" w:type="dxa"/>
            <w:tcBorders>
              <w:top w:val="nil"/>
              <w:left w:val="nil"/>
              <w:bottom w:val="single" w:color="auto" w:sz="4" w:space="0"/>
              <w:right w:val="single" w:color="auto" w:sz="4" w:space="0"/>
            </w:tcBorders>
            <w:vAlign w:val="center"/>
          </w:tcPr>
          <w:p w14:paraId="06CBFCA9">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餐饮业</w:t>
            </w:r>
          </w:p>
        </w:tc>
        <w:tc>
          <w:tcPr>
            <w:tcW w:w="1149" w:type="dxa"/>
            <w:tcBorders>
              <w:top w:val="nil"/>
              <w:left w:val="nil"/>
              <w:bottom w:val="single" w:color="auto" w:sz="4" w:space="0"/>
              <w:right w:val="single" w:color="auto" w:sz="4" w:space="0"/>
            </w:tcBorders>
            <w:vAlign w:val="center"/>
          </w:tcPr>
          <w:p w14:paraId="238802E2">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≥10000</w:t>
            </w:r>
          </w:p>
        </w:tc>
        <w:tc>
          <w:tcPr>
            <w:tcW w:w="885" w:type="dxa"/>
            <w:tcBorders>
              <w:top w:val="nil"/>
              <w:left w:val="nil"/>
              <w:bottom w:val="single" w:color="auto" w:sz="4" w:space="0"/>
              <w:right w:val="single" w:color="auto" w:sz="4" w:space="0"/>
            </w:tcBorders>
            <w:vAlign w:val="center"/>
          </w:tcPr>
          <w:p w14:paraId="02642FF8">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0F9353CB">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3FD94505">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≥2000</w:t>
            </w:r>
          </w:p>
        </w:tc>
        <w:tc>
          <w:tcPr>
            <w:tcW w:w="905" w:type="dxa"/>
            <w:tcBorders>
              <w:top w:val="nil"/>
              <w:left w:val="nil"/>
              <w:bottom w:val="single" w:color="auto" w:sz="4" w:space="0"/>
              <w:right w:val="single" w:color="auto" w:sz="4" w:space="0"/>
            </w:tcBorders>
            <w:vAlign w:val="center"/>
          </w:tcPr>
          <w:p w14:paraId="0C57E3C5">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006E4DE1">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8F90DD6">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2B31A750">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7FAE1204">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42ED14AA">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7E0DC2B2">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090BB126">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404C97D8">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29C859B1">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11</w:t>
            </w:r>
          </w:p>
        </w:tc>
        <w:tc>
          <w:tcPr>
            <w:tcW w:w="1872" w:type="dxa"/>
            <w:tcBorders>
              <w:top w:val="nil"/>
              <w:left w:val="nil"/>
              <w:bottom w:val="single" w:color="auto" w:sz="4" w:space="0"/>
              <w:right w:val="single" w:color="auto" w:sz="4" w:space="0"/>
            </w:tcBorders>
            <w:vAlign w:val="center"/>
          </w:tcPr>
          <w:p w14:paraId="75D9F3D4">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信息传输业</w:t>
            </w:r>
          </w:p>
        </w:tc>
        <w:tc>
          <w:tcPr>
            <w:tcW w:w="1149" w:type="dxa"/>
            <w:tcBorders>
              <w:top w:val="nil"/>
              <w:left w:val="nil"/>
              <w:bottom w:val="single" w:color="auto" w:sz="4" w:space="0"/>
              <w:right w:val="single" w:color="auto" w:sz="4" w:space="0"/>
            </w:tcBorders>
            <w:vAlign w:val="center"/>
          </w:tcPr>
          <w:p w14:paraId="77A237DB">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≥100000</w:t>
            </w:r>
          </w:p>
        </w:tc>
        <w:tc>
          <w:tcPr>
            <w:tcW w:w="885" w:type="dxa"/>
            <w:tcBorders>
              <w:top w:val="nil"/>
              <w:left w:val="nil"/>
              <w:bottom w:val="single" w:color="auto" w:sz="4" w:space="0"/>
              <w:right w:val="single" w:color="auto" w:sz="4" w:space="0"/>
            </w:tcBorders>
            <w:vAlign w:val="center"/>
          </w:tcPr>
          <w:p w14:paraId="7EBBC529">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≥2000</w:t>
            </w:r>
          </w:p>
        </w:tc>
        <w:tc>
          <w:tcPr>
            <w:tcW w:w="902" w:type="dxa"/>
            <w:tcBorders>
              <w:top w:val="nil"/>
              <w:left w:val="nil"/>
              <w:bottom w:val="single" w:color="auto" w:sz="4" w:space="0"/>
              <w:right w:val="single" w:color="auto" w:sz="4" w:space="0"/>
            </w:tcBorders>
            <w:vAlign w:val="center"/>
          </w:tcPr>
          <w:p w14:paraId="0EAEE79A">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4D03CAA7">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vAlign w:val="center"/>
          </w:tcPr>
          <w:p w14:paraId="02159D93">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6C7BA0A8">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00DBCC9">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39504BE1">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53B75CF1">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26A4EBD8">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4CE02CDC">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5554C2A3">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4DC018AB">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65E921F0">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12</w:t>
            </w:r>
          </w:p>
        </w:tc>
        <w:tc>
          <w:tcPr>
            <w:tcW w:w="1872" w:type="dxa"/>
            <w:tcBorders>
              <w:top w:val="nil"/>
              <w:left w:val="nil"/>
              <w:bottom w:val="single" w:color="auto" w:sz="4" w:space="0"/>
              <w:right w:val="single" w:color="auto" w:sz="4" w:space="0"/>
            </w:tcBorders>
            <w:vAlign w:val="center"/>
          </w:tcPr>
          <w:p w14:paraId="22EDE3D9">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软件和信息技术货物业</w:t>
            </w:r>
          </w:p>
        </w:tc>
        <w:tc>
          <w:tcPr>
            <w:tcW w:w="1149" w:type="dxa"/>
            <w:tcBorders>
              <w:top w:val="nil"/>
              <w:left w:val="nil"/>
              <w:bottom w:val="single" w:color="auto" w:sz="4" w:space="0"/>
              <w:right w:val="single" w:color="auto" w:sz="4" w:space="0"/>
            </w:tcBorders>
            <w:vAlign w:val="center"/>
          </w:tcPr>
          <w:p w14:paraId="50B418D2">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≥10000</w:t>
            </w:r>
          </w:p>
        </w:tc>
        <w:tc>
          <w:tcPr>
            <w:tcW w:w="885" w:type="dxa"/>
            <w:tcBorders>
              <w:top w:val="nil"/>
              <w:left w:val="nil"/>
              <w:bottom w:val="single" w:color="auto" w:sz="4" w:space="0"/>
              <w:right w:val="single" w:color="auto" w:sz="4" w:space="0"/>
            </w:tcBorders>
            <w:vAlign w:val="center"/>
          </w:tcPr>
          <w:p w14:paraId="2D92849B">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5F42B12A">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2F91F73D">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vAlign w:val="center"/>
          </w:tcPr>
          <w:p w14:paraId="3F4E4503">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5C551FE9">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72AF91CA">
            <w:pPr>
              <w:widowControl/>
              <w:spacing w:line="360" w:lineRule="auto"/>
              <w:jc w:val="center"/>
              <w:rPr>
                <w:rFonts w:hint="eastAsia" w:ascii="宋体" w:hAnsi="宋体" w:cs="宋体"/>
                <w:kern w:val="0"/>
                <w:szCs w:val="21"/>
              </w:rPr>
            </w:pPr>
            <w:r>
              <w:rPr>
                <w:rFonts w:hint="eastAsia" w:ascii="宋体" w:hAnsi="宋体" w:cs="宋体"/>
                <w:kern w:val="0"/>
                <w:szCs w:val="21"/>
              </w:rPr>
              <w:t>≥50</w:t>
            </w:r>
          </w:p>
        </w:tc>
        <w:tc>
          <w:tcPr>
            <w:tcW w:w="921" w:type="dxa"/>
            <w:tcBorders>
              <w:top w:val="nil"/>
              <w:left w:val="nil"/>
              <w:bottom w:val="single" w:color="auto" w:sz="4" w:space="0"/>
              <w:right w:val="single" w:color="auto" w:sz="4" w:space="0"/>
            </w:tcBorders>
            <w:vAlign w:val="center"/>
          </w:tcPr>
          <w:p w14:paraId="1B45CCAE">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6AE3A44C">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11112129">
            <w:pPr>
              <w:widowControl/>
              <w:spacing w:line="360" w:lineRule="auto"/>
              <w:jc w:val="center"/>
              <w:rPr>
                <w:rFonts w:hint="eastAsia" w:ascii="宋体" w:hAnsi="宋体" w:cs="宋体"/>
                <w:kern w:val="0"/>
                <w:szCs w:val="21"/>
              </w:rPr>
            </w:pPr>
            <w:r>
              <w:rPr>
                <w:rFonts w:hint="eastAsia" w:ascii="宋体" w:hAnsi="宋体" w:cs="宋体"/>
                <w:kern w:val="0"/>
                <w:szCs w:val="21"/>
              </w:rPr>
              <w:t>＜50</w:t>
            </w:r>
          </w:p>
        </w:tc>
        <w:tc>
          <w:tcPr>
            <w:tcW w:w="846" w:type="dxa"/>
            <w:tcBorders>
              <w:top w:val="nil"/>
              <w:left w:val="nil"/>
              <w:bottom w:val="single" w:color="auto" w:sz="4" w:space="0"/>
              <w:right w:val="single" w:color="auto" w:sz="4" w:space="0"/>
            </w:tcBorders>
            <w:vAlign w:val="center"/>
          </w:tcPr>
          <w:p w14:paraId="16720F4E">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4E25DE53">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46A011EE">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3B2C95CD">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13</w:t>
            </w:r>
          </w:p>
        </w:tc>
        <w:tc>
          <w:tcPr>
            <w:tcW w:w="1872" w:type="dxa"/>
            <w:tcBorders>
              <w:top w:val="nil"/>
              <w:left w:val="nil"/>
              <w:bottom w:val="single" w:color="auto" w:sz="4" w:space="0"/>
              <w:right w:val="single" w:color="auto" w:sz="4" w:space="0"/>
            </w:tcBorders>
            <w:vAlign w:val="center"/>
          </w:tcPr>
          <w:p w14:paraId="431C9022">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房地产开发经验</w:t>
            </w:r>
          </w:p>
        </w:tc>
        <w:tc>
          <w:tcPr>
            <w:tcW w:w="1149" w:type="dxa"/>
            <w:tcBorders>
              <w:top w:val="nil"/>
              <w:left w:val="nil"/>
              <w:bottom w:val="single" w:color="auto" w:sz="4" w:space="0"/>
              <w:right w:val="single" w:color="auto" w:sz="4" w:space="0"/>
            </w:tcBorders>
            <w:vAlign w:val="center"/>
          </w:tcPr>
          <w:p w14:paraId="39935C18">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≥200000</w:t>
            </w:r>
          </w:p>
        </w:tc>
        <w:tc>
          <w:tcPr>
            <w:tcW w:w="885" w:type="dxa"/>
            <w:tcBorders>
              <w:top w:val="nil"/>
              <w:left w:val="nil"/>
              <w:bottom w:val="single" w:color="auto" w:sz="4" w:space="0"/>
              <w:right w:val="single" w:color="auto" w:sz="4" w:space="0"/>
            </w:tcBorders>
            <w:vAlign w:val="center"/>
          </w:tcPr>
          <w:p w14:paraId="5A3E05C2">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902" w:type="dxa"/>
            <w:tcBorders>
              <w:top w:val="nil"/>
              <w:left w:val="nil"/>
              <w:bottom w:val="single" w:color="auto" w:sz="4" w:space="0"/>
              <w:right w:val="single" w:color="auto" w:sz="4" w:space="0"/>
            </w:tcBorders>
            <w:vAlign w:val="center"/>
          </w:tcPr>
          <w:p w14:paraId="669A629A">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或,≥10000</w:t>
            </w:r>
          </w:p>
        </w:tc>
        <w:tc>
          <w:tcPr>
            <w:tcW w:w="1063" w:type="dxa"/>
            <w:tcBorders>
              <w:top w:val="nil"/>
              <w:left w:val="nil"/>
              <w:bottom w:val="single" w:color="auto" w:sz="4" w:space="0"/>
              <w:right w:val="single" w:color="auto" w:sz="4" w:space="0"/>
            </w:tcBorders>
            <w:vAlign w:val="center"/>
          </w:tcPr>
          <w:p w14:paraId="71224739">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vAlign w:val="center"/>
          </w:tcPr>
          <w:p w14:paraId="7182AE4D">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957" w:type="dxa"/>
            <w:tcBorders>
              <w:top w:val="nil"/>
              <w:left w:val="nil"/>
              <w:bottom w:val="single" w:color="auto" w:sz="4" w:space="0"/>
              <w:right w:val="single" w:color="auto" w:sz="4" w:space="0"/>
            </w:tcBorders>
            <w:vAlign w:val="center"/>
          </w:tcPr>
          <w:p w14:paraId="02CBE456">
            <w:pPr>
              <w:widowControl/>
              <w:spacing w:line="360" w:lineRule="auto"/>
              <w:jc w:val="center"/>
              <w:rPr>
                <w:rFonts w:hint="eastAsia" w:ascii="宋体" w:hAnsi="宋体" w:cs="宋体"/>
                <w:kern w:val="0"/>
                <w:szCs w:val="21"/>
              </w:rPr>
            </w:pPr>
            <w:r>
              <w:rPr>
                <w:rFonts w:hint="eastAsia" w:ascii="宋体" w:hAnsi="宋体" w:cs="宋体"/>
                <w:kern w:val="0"/>
                <w:szCs w:val="21"/>
              </w:rPr>
              <w:t>且,≥5000</w:t>
            </w:r>
          </w:p>
        </w:tc>
        <w:tc>
          <w:tcPr>
            <w:tcW w:w="1063" w:type="dxa"/>
            <w:tcBorders>
              <w:top w:val="nil"/>
              <w:left w:val="nil"/>
              <w:bottom w:val="single" w:color="auto" w:sz="4" w:space="0"/>
              <w:right w:val="single" w:color="auto" w:sz="4" w:space="0"/>
            </w:tcBorders>
            <w:vAlign w:val="center"/>
          </w:tcPr>
          <w:p w14:paraId="3CC83898">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67723108">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963" w:type="dxa"/>
            <w:tcBorders>
              <w:top w:val="nil"/>
              <w:left w:val="nil"/>
              <w:bottom w:val="single" w:color="auto" w:sz="4" w:space="0"/>
              <w:right w:val="single" w:color="auto" w:sz="4" w:space="0"/>
            </w:tcBorders>
            <w:vAlign w:val="center"/>
          </w:tcPr>
          <w:p w14:paraId="271E1436">
            <w:pPr>
              <w:widowControl/>
              <w:spacing w:line="360" w:lineRule="auto"/>
              <w:jc w:val="center"/>
              <w:rPr>
                <w:rFonts w:hint="eastAsia" w:ascii="宋体" w:hAnsi="宋体" w:cs="宋体"/>
                <w:kern w:val="0"/>
                <w:szCs w:val="21"/>
              </w:rPr>
            </w:pPr>
            <w:r>
              <w:rPr>
                <w:rFonts w:hint="eastAsia" w:ascii="宋体" w:hAnsi="宋体" w:cs="宋体"/>
                <w:kern w:val="0"/>
                <w:szCs w:val="21"/>
              </w:rPr>
              <w:t>且,≥2000</w:t>
            </w:r>
          </w:p>
        </w:tc>
        <w:tc>
          <w:tcPr>
            <w:tcW w:w="1063" w:type="dxa"/>
            <w:tcBorders>
              <w:top w:val="nil"/>
              <w:left w:val="nil"/>
              <w:bottom w:val="single" w:color="auto" w:sz="4" w:space="0"/>
              <w:right w:val="single" w:color="auto" w:sz="4" w:space="0"/>
            </w:tcBorders>
            <w:vAlign w:val="center"/>
          </w:tcPr>
          <w:p w14:paraId="78BF0AE1">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3E439916">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816" w:type="dxa"/>
            <w:tcBorders>
              <w:top w:val="nil"/>
              <w:left w:val="nil"/>
              <w:bottom w:val="single" w:color="auto" w:sz="4" w:space="0"/>
              <w:right w:val="single" w:color="auto" w:sz="4" w:space="0"/>
            </w:tcBorders>
            <w:vAlign w:val="center"/>
          </w:tcPr>
          <w:p w14:paraId="5479D4A0">
            <w:pPr>
              <w:widowControl/>
              <w:spacing w:line="360" w:lineRule="auto"/>
              <w:jc w:val="center"/>
              <w:rPr>
                <w:rFonts w:hint="eastAsia" w:ascii="宋体" w:hAnsi="宋体" w:cs="宋体"/>
                <w:kern w:val="0"/>
                <w:szCs w:val="21"/>
              </w:rPr>
            </w:pPr>
            <w:r>
              <w:rPr>
                <w:rFonts w:hint="eastAsia" w:ascii="宋体" w:hAnsi="宋体" w:cs="宋体"/>
                <w:kern w:val="0"/>
                <w:szCs w:val="21"/>
              </w:rPr>
              <w:t>或,＜2000</w:t>
            </w:r>
          </w:p>
        </w:tc>
      </w:tr>
      <w:tr w14:paraId="4CA9DCA6">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0B347838">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14</w:t>
            </w:r>
          </w:p>
        </w:tc>
        <w:tc>
          <w:tcPr>
            <w:tcW w:w="1872" w:type="dxa"/>
            <w:tcBorders>
              <w:top w:val="nil"/>
              <w:left w:val="nil"/>
              <w:bottom w:val="single" w:color="auto" w:sz="4" w:space="0"/>
              <w:right w:val="single" w:color="auto" w:sz="4" w:space="0"/>
            </w:tcBorders>
            <w:vAlign w:val="center"/>
          </w:tcPr>
          <w:p w14:paraId="7076C635">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物业管理</w:t>
            </w:r>
          </w:p>
        </w:tc>
        <w:tc>
          <w:tcPr>
            <w:tcW w:w="1149" w:type="dxa"/>
            <w:tcBorders>
              <w:top w:val="nil"/>
              <w:left w:val="nil"/>
              <w:bottom w:val="single" w:color="auto" w:sz="4" w:space="0"/>
              <w:right w:val="single" w:color="auto" w:sz="4" w:space="0"/>
            </w:tcBorders>
            <w:vAlign w:val="center"/>
          </w:tcPr>
          <w:p w14:paraId="384B987C">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≥5000</w:t>
            </w:r>
          </w:p>
        </w:tc>
        <w:tc>
          <w:tcPr>
            <w:tcW w:w="885" w:type="dxa"/>
            <w:tcBorders>
              <w:top w:val="nil"/>
              <w:left w:val="nil"/>
              <w:bottom w:val="single" w:color="auto" w:sz="4" w:space="0"/>
              <w:right w:val="single" w:color="auto" w:sz="4" w:space="0"/>
            </w:tcBorders>
            <w:vAlign w:val="center"/>
          </w:tcPr>
          <w:p w14:paraId="2D538369">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w:t>
            </w:r>
          </w:p>
        </w:tc>
        <w:tc>
          <w:tcPr>
            <w:tcW w:w="902" w:type="dxa"/>
            <w:tcBorders>
              <w:top w:val="nil"/>
              <w:left w:val="nil"/>
              <w:bottom w:val="single" w:color="auto" w:sz="4" w:space="0"/>
              <w:right w:val="single" w:color="auto" w:sz="4" w:space="0"/>
            </w:tcBorders>
            <w:vAlign w:val="center"/>
          </w:tcPr>
          <w:p w14:paraId="3EB91DB0">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3F5344B8">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vAlign w:val="center"/>
          </w:tcPr>
          <w:p w14:paraId="43DCEC2E">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w:t>
            </w:r>
          </w:p>
        </w:tc>
        <w:tc>
          <w:tcPr>
            <w:tcW w:w="957" w:type="dxa"/>
            <w:tcBorders>
              <w:top w:val="nil"/>
              <w:left w:val="nil"/>
              <w:bottom w:val="single" w:color="auto" w:sz="4" w:space="0"/>
              <w:right w:val="single" w:color="auto" w:sz="4" w:space="0"/>
            </w:tcBorders>
            <w:vAlign w:val="center"/>
          </w:tcPr>
          <w:p w14:paraId="64FD7D8A">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7E9B8BAC">
            <w:pPr>
              <w:widowControl/>
              <w:spacing w:line="360" w:lineRule="auto"/>
              <w:jc w:val="center"/>
              <w:rPr>
                <w:rFonts w:hint="eastAsia" w:ascii="宋体" w:hAnsi="宋体" w:cs="宋体"/>
                <w:kern w:val="0"/>
                <w:szCs w:val="21"/>
              </w:rPr>
            </w:pPr>
            <w:r>
              <w:rPr>
                <w:rFonts w:hint="eastAsia" w:ascii="宋体" w:hAnsi="宋体" w:cs="宋体"/>
                <w:kern w:val="0"/>
                <w:szCs w:val="21"/>
              </w:rPr>
              <w:t>≥500</w:t>
            </w:r>
          </w:p>
        </w:tc>
        <w:tc>
          <w:tcPr>
            <w:tcW w:w="921" w:type="dxa"/>
            <w:tcBorders>
              <w:top w:val="nil"/>
              <w:left w:val="nil"/>
              <w:bottom w:val="single" w:color="auto" w:sz="4" w:space="0"/>
              <w:right w:val="single" w:color="auto" w:sz="4" w:space="0"/>
            </w:tcBorders>
            <w:vAlign w:val="center"/>
          </w:tcPr>
          <w:p w14:paraId="1C56A4A2">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963" w:type="dxa"/>
            <w:tcBorders>
              <w:top w:val="nil"/>
              <w:left w:val="nil"/>
              <w:bottom w:val="single" w:color="auto" w:sz="4" w:space="0"/>
              <w:right w:val="single" w:color="auto" w:sz="4" w:space="0"/>
            </w:tcBorders>
            <w:vAlign w:val="center"/>
          </w:tcPr>
          <w:p w14:paraId="5044C5D6">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AB793C9">
            <w:pPr>
              <w:widowControl/>
              <w:spacing w:line="360" w:lineRule="auto"/>
              <w:jc w:val="center"/>
              <w:rPr>
                <w:rFonts w:hint="eastAsia" w:ascii="宋体" w:hAnsi="宋体" w:cs="宋体"/>
                <w:kern w:val="0"/>
                <w:szCs w:val="21"/>
              </w:rPr>
            </w:pPr>
            <w:r>
              <w:rPr>
                <w:rFonts w:hint="eastAsia" w:ascii="宋体" w:hAnsi="宋体" w:cs="宋体"/>
                <w:kern w:val="0"/>
                <w:szCs w:val="21"/>
              </w:rPr>
              <w:t>＜500</w:t>
            </w:r>
          </w:p>
        </w:tc>
        <w:tc>
          <w:tcPr>
            <w:tcW w:w="846" w:type="dxa"/>
            <w:tcBorders>
              <w:top w:val="nil"/>
              <w:left w:val="nil"/>
              <w:bottom w:val="single" w:color="auto" w:sz="4" w:space="0"/>
              <w:right w:val="single" w:color="auto" w:sz="4" w:space="0"/>
            </w:tcBorders>
            <w:vAlign w:val="center"/>
          </w:tcPr>
          <w:p w14:paraId="01F20424">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816" w:type="dxa"/>
            <w:tcBorders>
              <w:top w:val="nil"/>
              <w:left w:val="nil"/>
              <w:bottom w:val="single" w:color="auto" w:sz="4" w:space="0"/>
              <w:right w:val="single" w:color="auto" w:sz="4" w:space="0"/>
            </w:tcBorders>
            <w:vAlign w:val="center"/>
          </w:tcPr>
          <w:p w14:paraId="014DCD21">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1DEC24CD">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1251D0A6">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15</w:t>
            </w:r>
          </w:p>
        </w:tc>
        <w:tc>
          <w:tcPr>
            <w:tcW w:w="1872" w:type="dxa"/>
            <w:tcBorders>
              <w:top w:val="nil"/>
              <w:left w:val="nil"/>
              <w:bottom w:val="single" w:color="auto" w:sz="4" w:space="0"/>
              <w:right w:val="single" w:color="auto" w:sz="4" w:space="0"/>
            </w:tcBorders>
            <w:vAlign w:val="center"/>
          </w:tcPr>
          <w:p w14:paraId="24A6C4B7">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租赁和商务货物业</w:t>
            </w:r>
          </w:p>
        </w:tc>
        <w:tc>
          <w:tcPr>
            <w:tcW w:w="1149" w:type="dxa"/>
            <w:tcBorders>
              <w:top w:val="nil"/>
              <w:left w:val="nil"/>
              <w:bottom w:val="single" w:color="auto" w:sz="4" w:space="0"/>
              <w:right w:val="single" w:color="auto" w:sz="4" w:space="0"/>
            </w:tcBorders>
            <w:vAlign w:val="center"/>
          </w:tcPr>
          <w:p w14:paraId="6D23D79D">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885" w:type="dxa"/>
            <w:tcBorders>
              <w:top w:val="nil"/>
              <w:left w:val="nil"/>
              <w:bottom w:val="single" w:color="auto" w:sz="4" w:space="0"/>
              <w:right w:val="single" w:color="auto" w:sz="4" w:space="0"/>
            </w:tcBorders>
            <w:vAlign w:val="center"/>
          </w:tcPr>
          <w:p w14:paraId="71C09DE9">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085B9324">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或,≥120000</w:t>
            </w:r>
          </w:p>
        </w:tc>
        <w:tc>
          <w:tcPr>
            <w:tcW w:w="1063" w:type="dxa"/>
            <w:tcBorders>
              <w:top w:val="nil"/>
              <w:left w:val="nil"/>
              <w:bottom w:val="single" w:color="auto" w:sz="4" w:space="0"/>
              <w:right w:val="single" w:color="auto" w:sz="4" w:space="0"/>
            </w:tcBorders>
            <w:vAlign w:val="center"/>
          </w:tcPr>
          <w:p w14:paraId="299DB3C9">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905" w:type="dxa"/>
            <w:tcBorders>
              <w:top w:val="nil"/>
              <w:left w:val="nil"/>
              <w:bottom w:val="single" w:color="auto" w:sz="4" w:space="0"/>
              <w:right w:val="single" w:color="auto" w:sz="4" w:space="0"/>
            </w:tcBorders>
            <w:vAlign w:val="center"/>
          </w:tcPr>
          <w:p w14:paraId="703743D3">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6925FD75">
            <w:pPr>
              <w:widowControl/>
              <w:spacing w:line="360" w:lineRule="auto"/>
              <w:jc w:val="center"/>
              <w:rPr>
                <w:rFonts w:hint="eastAsia" w:ascii="宋体" w:hAnsi="宋体" w:cs="宋体"/>
                <w:kern w:val="0"/>
                <w:szCs w:val="21"/>
              </w:rPr>
            </w:pPr>
            <w:r>
              <w:rPr>
                <w:rFonts w:hint="eastAsia" w:ascii="宋体" w:hAnsi="宋体" w:cs="宋体"/>
                <w:kern w:val="0"/>
                <w:szCs w:val="21"/>
              </w:rPr>
              <w:t>且,≥8000</w:t>
            </w:r>
          </w:p>
        </w:tc>
        <w:tc>
          <w:tcPr>
            <w:tcW w:w="1063" w:type="dxa"/>
            <w:tcBorders>
              <w:top w:val="nil"/>
              <w:left w:val="nil"/>
              <w:bottom w:val="single" w:color="auto" w:sz="4" w:space="0"/>
              <w:right w:val="single" w:color="auto" w:sz="4" w:space="0"/>
            </w:tcBorders>
            <w:vAlign w:val="center"/>
          </w:tcPr>
          <w:p w14:paraId="22CA62B3">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921" w:type="dxa"/>
            <w:tcBorders>
              <w:top w:val="nil"/>
              <w:left w:val="nil"/>
              <w:bottom w:val="single" w:color="auto" w:sz="4" w:space="0"/>
              <w:right w:val="single" w:color="auto" w:sz="4" w:space="0"/>
            </w:tcBorders>
            <w:vAlign w:val="center"/>
          </w:tcPr>
          <w:p w14:paraId="085D2112">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58F76639">
            <w:pPr>
              <w:widowControl/>
              <w:spacing w:line="360" w:lineRule="auto"/>
              <w:jc w:val="center"/>
              <w:rPr>
                <w:rFonts w:hint="eastAsia" w:ascii="宋体" w:hAnsi="宋体" w:cs="宋体"/>
                <w:kern w:val="0"/>
                <w:szCs w:val="21"/>
              </w:rPr>
            </w:pPr>
            <w:r>
              <w:rPr>
                <w:rFonts w:hint="eastAsia" w:ascii="宋体" w:hAnsi="宋体" w:cs="宋体"/>
                <w:kern w:val="0"/>
                <w:szCs w:val="21"/>
              </w:rPr>
              <w:t>且,≥100</w:t>
            </w:r>
          </w:p>
        </w:tc>
        <w:tc>
          <w:tcPr>
            <w:tcW w:w="1063" w:type="dxa"/>
            <w:tcBorders>
              <w:top w:val="nil"/>
              <w:left w:val="nil"/>
              <w:bottom w:val="single" w:color="auto" w:sz="4" w:space="0"/>
              <w:right w:val="single" w:color="auto" w:sz="4" w:space="0"/>
            </w:tcBorders>
            <w:vAlign w:val="center"/>
          </w:tcPr>
          <w:p w14:paraId="0C2793B9">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846" w:type="dxa"/>
            <w:tcBorders>
              <w:top w:val="nil"/>
              <w:left w:val="nil"/>
              <w:bottom w:val="single" w:color="auto" w:sz="4" w:space="0"/>
              <w:right w:val="single" w:color="auto" w:sz="4" w:space="0"/>
            </w:tcBorders>
            <w:vAlign w:val="center"/>
          </w:tcPr>
          <w:p w14:paraId="5C3479CD">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3C172062">
            <w:pPr>
              <w:widowControl/>
              <w:spacing w:line="360" w:lineRule="auto"/>
              <w:jc w:val="center"/>
              <w:rPr>
                <w:rFonts w:hint="eastAsia" w:ascii="宋体" w:hAnsi="宋体" w:cs="宋体"/>
                <w:kern w:val="0"/>
                <w:szCs w:val="21"/>
              </w:rPr>
            </w:pPr>
            <w:r>
              <w:rPr>
                <w:rFonts w:hint="eastAsia" w:ascii="宋体" w:hAnsi="宋体" w:cs="宋体"/>
                <w:kern w:val="0"/>
                <w:szCs w:val="21"/>
              </w:rPr>
              <w:t>或,＜100</w:t>
            </w:r>
          </w:p>
        </w:tc>
      </w:tr>
      <w:tr w14:paraId="3A0D0281">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4854A67E">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16</w:t>
            </w:r>
          </w:p>
        </w:tc>
        <w:tc>
          <w:tcPr>
            <w:tcW w:w="1872" w:type="dxa"/>
            <w:tcBorders>
              <w:top w:val="nil"/>
              <w:left w:val="nil"/>
              <w:bottom w:val="single" w:color="auto" w:sz="4" w:space="0"/>
              <w:right w:val="single" w:color="auto" w:sz="4" w:space="0"/>
            </w:tcBorders>
            <w:vAlign w:val="center"/>
          </w:tcPr>
          <w:p w14:paraId="0F1F00F2">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其他未列明行业</w:t>
            </w:r>
          </w:p>
        </w:tc>
        <w:tc>
          <w:tcPr>
            <w:tcW w:w="1149" w:type="dxa"/>
            <w:tcBorders>
              <w:top w:val="nil"/>
              <w:left w:val="nil"/>
              <w:bottom w:val="single" w:color="auto" w:sz="4" w:space="0"/>
              <w:right w:val="single" w:color="auto" w:sz="4" w:space="0"/>
            </w:tcBorders>
            <w:vAlign w:val="center"/>
          </w:tcPr>
          <w:p w14:paraId="212B7662">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885" w:type="dxa"/>
            <w:tcBorders>
              <w:top w:val="nil"/>
              <w:left w:val="nil"/>
              <w:bottom w:val="single" w:color="auto" w:sz="4" w:space="0"/>
              <w:right w:val="single" w:color="auto" w:sz="4" w:space="0"/>
            </w:tcBorders>
            <w:vAlign w:val="center"/>
          </w:tcPr>
          <w:p w14:paraId="55A871DB">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5989F43F">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1095155">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905" w:type="dxa"/>
            <w:tcBorders>
              <w:top w:val="nil"/>
              <w:left w:val="nil"/>
              <w:bottom w:val="single" w:color="auto" w:sz="4" w:space="0"/>
              <w:right w:val="single" w:color="auto" w:sz="4" w:space="0"/>
            </w:tcBorders>
            <w:vAlign w:val="center"/>
          </w:tcPr>
          <w:p w14:paraId="7112D257">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5739DBA5">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72AB4AE2">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921" w:type="dxa"/>
            <w:tcBorders>
              <w:top w:val="nil"/>
              <w:left w:val="nil"/>
              <w:bottom w:val="single" w:color="auto" w:sz="4" w:space="0"/>
              <w:right w:val="single" w:color="auto" w:sz="4" w:space="0"/>
            </w:tcBorders>
            <w:vAlign w:val="center"/>
          </w:tcPr>
          <w:p w14:paraId="37BBA720">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4B53024F">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B868505">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846" w:type="dxa"/>
            <w:tcBorders>
              <w:top w:val="nil"/>
              <w:left w:val="nil"/>
              <w:bottom w:val="single" w:color="auto" w:sz="4" w:space="0"/>
              <w:right w:val="single" w:color="auto" w:sz="4" w:space="0"/>
            </w:tcBorders>
            <w:vAlign w:val="center"/>
          </w:tcPr>
          <w:p w14:paraId="1E3B11AB">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18A63F72">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bl>
    <w:p w14:paraId="0B50A189">
      <w:pPr>
        <w:autoSpaceDE w:val="0"/>
        <w:autoSpaceDN w:val="0"/>
        <w:adjustRightInd w:val="0"/>
        <w:spacing w:before="159" w:beforeLines="50" w:after="159" w:afterLines="50" w:line="360" w:lineRule="auto"/>
        <w:jc w:val="center"/>
        <w:rPr>
          <w:rFonts w:hint="eastAsia" w:ascii="宋体" w:hAnsi="宋体" w:cs="宋体"/>
          <w:kern w:val="0"/>
          <w:szCs w:val="21"/>
        </w:rPr>
        <w:sectPr>
          <w:type w:val="continuous"/>
          <w:pgSz w:w="16840" w:h="11907" w:orient="landscape"/>
          <w:pgMar w:top="1803" w:right="1440" w:bottom="1803" w:left="1440" w:header="851" w:footer="850" w:gutter="0"/>
          <w:cols w:space="720" w:num="1"/>
          <w:titlePg/>
          <w:docGrid w:type="linesAndChars" w:linePitch="319" w:charSpace="-3473"/>
        </w:sectPr>
      </w:pPr>
    </w:p>
    <w:p w14:paraId="219B3ADB">
      <w:pPr>
        <w:pStyle w:val="2"/>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四、残疾人福利性单位声明函</w:t>
      </w:r>
    </w:p>
    <w:p w14:paraId="21727790">
      <w:pPr>
        <w:autoSpaceDE w:val="0"/>
        <w:autoSpaceDN w:val="0"/>
        <w:adjustRightInd w:val="0"/>
        <w:spacing w:before="159" w:beforeLines="50" w:after="159" w:afterLines="50" w:line="360" w:lineRule="auto"/>
        <w:ind w:firstLine="448" w:firstLineChars="200"/>
        <w:jc w:val="center"/>
        <w:rPr>
          <w:rFonts w:hint="eastAsia" w:ascii="宋体" w:hAnsi="宋体" w:cs="宋体"/>
          <w:snapToGrid w:val="0"/>
          <w:kern w:val="0"/>
          <w:sz w:val="24"/>
        </w:rPr>
      </w:pPr>
      <w:r>
        <w:rPr>
          <w:rFonts w:hint="eastAsia" w:ascii="宋体" w:hAnsi="宋体" w:cs="宋体"/>
          <w:snapToGrid w:val="0"/>
          <w:kern w:val="0"/>
          <w:sz w:val="24"/>
        </w:rPr>
        <w:t>（如果是，提供）</w:t>
      </w:r>
    </w:p>
    <w:p w14:paraId="350FCA05">
      <w:pPr>
        <w:autoSpaceDE w:val="0"/>
        <w:autoSpaceDN w:val="0"/>
        <w:adjustRightInd w:val="0"/>
        <w:spacing w:before="159" w:beforeLines="50" w:after="159" w:afterLines="50"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货物），或者提供其他残疾人福利性单位制造的货物（不包括使用非残疾人福利性单位注册商标的货物）。</w:t>
      </w:r>
    </w:p>
    <w:p w14:paraId="50678849">
      <w:pPr>
        <w:autoSpaceDE w:val="0"/>
        <w:autoSpaceDN w:val="0"/>
        <w:adjustRightInd w:val="0"/>
        <w:spacing w:before="159" w:beforeLines="50" w:after="159" w:afterLines="50"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本单位对上述声明的真实性负责。如有虚假，将依法承担相应责任。</w:t>
      </w:r>
    </w:p>
    <w:p w14:paraId="33FB0F62">
      <w:pPr>
        <w:adjustRightInd w:val="0"/>
        <w:snapToGrid w:val="0"/>
        <w:spacing w:line="360" w:lineRule="auto"/>
        <w:ind w:firstLine="448" w:firstLineChars="200"/>
        <w:rPr>
          <w:rFonts w:hint="eastAsia" w:ascii="宋体" w:hAnsi="宋体" w:cs="宋体"/>
          <w:snapToGrid w:val="0"/>
          <w:kern w:val="0"/>
          <w:sz w:val="24"/>
        </w:rPr>
      </w:pPr>
    </w:p>
    <w:p w14:paraId="660B2822">
      <w:pPr>
        <w:adjustRightInd w:val="0"/>
        <w:snapToGrid w:val="0"/>
        <w:spacing w:line="360" w:lineRule="auto"/>
        <w:ind w:firstLine="448" w:firstLineChars="200"/>
        <w:rPr>
          <w:rFonts w:hint="eastAsia" w:ascii="宋体" w:hAnsi="宋体" w:cs="宋体"/>
          <w:snapToGrid w:val="0"/>
          <w:kern w:val="0"/>
          <w:sz w:val="24"/>
        </w:rPr>
      </w:pPr>
    </w:p>
    <w:p w14:paraId="2AA717F0">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 xml:space="preserve">                                         </w:t>
      </w:r>
    </w:p>
    <w:p w14:paraId="0DD4BB74">
      <w:pPr>
        <w:adjustRightInd w:val="0"/>
        <w:snapToGrid w:val="0"/>
        <w:spacing w:line="360" w:lineRule="auto"/>
        <w:ind w:firstLine="448" w:firstLineChars="200"/>
        <w:rPr>
          <w:rFonts w:hint="eastAsia" w:ascii="宋体" w:hAnsi="宋体" w:cs="宋体"/>
          <w:sz w:val="24"/>
        </w:rPr>
      </w:pPr>
      <w:r>
        <w:rPr>
          <w:rFonts w:hint="eastAsia" w:ascii="宋体" w:hAnsi="宋体" w:cs="宋体"/>
          <w:sz w:val="24"/>
        </w:rPr>
        <w:t xml:space="preserve">                                </w:t>
      </w:r>
    </w:p>
    <w:p w14:paraId="01BE419C">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39B64847">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3B8FA610">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3A727C63">
      <w:pPr>
        <w:tabs>
          <w:tab w:val="left" w:pos="1573"/>
        </w:tabs>
        <w:spacing w:line="360" w:lineRule="auto"/>
        <w:rPr>
          <w:rFonts w:hint="eastAsia" w:ascii="宋体" w:hAnsi="宋体" w:cs="宋体"/>
          <w:sz w:val="24"/>
        </w:rPr>
      </w:pPr>
    </w:p>
    <w:p w14:paraId="679E7677">
      <w:pPr>
        <w:pStyle w:val="8"/>
        <w:adjustRightInd w:val="0"/>
        <w:snapToGrid w:val="0"/>
        <w:spacing w:line="360" w:lineRule="auto"/>
        <w:ind w:firstLine="0"/>
        <w:rPr>
          <w:rFonts w:hint="eastAsia" w:ascii="宋体" w:hAnsi="宋体" w:eastAsia="宋体" w:cs="宋体"/>
          <w:snapToGrid w:val="0"/>
          <w:kern w:val="0"/>
          <w:sz w:val="24"/>
          <w:szCs w:val="24"/>
        </w:rPr>
      </w:pPr>
      <w:r>
        <w:rPr>
          <w:rFonts w:hint="eastAsia" w:ascii="宋体" w:hAnsi="宋体" w:eastAsia="宋体" w:cs="宋体"/>
          <w:snapToGrid w:val="0"/>
          <w:kern w:val="0"/>
          <w:sz w:val="24"/>
          <w:szCs w:val="24"/>
        </w:rPr>
        <w:t xml:space="preserve">                    </w:t>
      </w:r>
    </w:p>
    <w:p w14:paraId="11F0ACA8">
      <w:pPr>
        <w:pStyle w:val="8"/>
        <w:adjustRightInd w:val="0"/>
        <w:snapToGrid w:val="0"/>
        <w:spacing w:line="360" w:lineRule="auto"/>
        <w:ind w:firstLine="448" w:firstLineChars="200"/>
        <w:rPr>
          <w:rFonts w:hint="eastAsia" w:ascii="宋体" w:hAnsi="宋体" w:eastAsia="宋体" w:cs="宋体"/>
          <w:snapToGrid w:val="0"/>
          <w:kern w:val="0"/>
          <w:sz w:val="24"/>
          <w:szCs w:val="24"/>
        </w:rPr>
      </w:pPr>
      <w:r>
        <w:rPr>
          <w:rFonts w:hint="eastAsia" w:ascii="宋体" w:hAnsi="宋体" w:eastAsia="宋体" w:cs="宋体"/>
          <w:bCs/>
          <w:snapToGrid w:val="0"/>
          <w:kern w:val="0"/>
          <w:sz w:val="24"/>
          <w:szCs w:val="24"/>
        </w:rPr>
        <w:t>日期:</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年</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月</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日</w:t>
      </w:r>
    </w:p>
    <w:p w14:paraId="7FD572AE">
      <w:pPr>
        <w:adjustRightInd w:val="0"/>
        <w:snapToGrid w:val="0"/>
        <w:spacing w:line="360" w:lineRule="auto"/>
        <w:ind w:firstLine="448" w:firstLineChars="200"/>
        <w:rPr>
          <w:rFonts w:hint="eastAsia" w:ascii="宋体" w:hAnsi="宋体" w:cs="宋体"/>
          <w:snapToGrid w:val="0"/>
          <w:kern w:val="0"/>
          <w:sz w:val="24"/>
        </w:rPr>
      </w:pPr>
    </w:p>
    <w:p w14:paraId="7CBDEA1F">
      <w:pPr>
        <w:spacing w:line="360" w:lineRule="auto"/>
        <w:rPr>
          <w:rFonts w:hint="eastAsia" w:ascii="宋体" w:hAnsi="宋体" w:cs="宋体"/>
        </w:rPr>
      </w:pPr>
    </w:p>
    <w:p w14:paraId="43ED8383">
      <w:pPr>
        <w:spacing w:line="360" w:lineRule="auto"/>
        <w:rPr>
          <w:rFonts w:hint="eastAsia" w:ascii="宋体" w:hAnsi="宋体" w:cs="宋体"/>
        </w:rPr>
      </w:pPr>
    </w:p>
    <w:p w14:paraId="39C36C8A">
      <w:pPr>
        <w:spacing w:line="360" w:lineRule="auto"/>
        <w:rPr>
          <w:rFonts w:hint="eastAsia" w:ascii="宋体" w:hAnsi="宋体" w:cs="宋体"/>
          <w:b/>
          <w:bCs/>
          <w:sz w:val="30"/>
          <w:szCs w:val="30"/>
        </w:rPr>
      </w:pPr>
    </w:p>
    <w:p w14:paraId="1CAF3A06">
      <w:pPr>
        <w:spacing w:line="360" w:lineRule="auto"/>
        <w:rPr>
          <w:rFonts w:hint="eastAsia" w:ascii="宋体" w:hAnsi="宋体" w:cs="宋体"/>
          <w:b/>
          <w:bCs/>
          <w:sz w:val="30"/>
          <w:szCs w:val="30"/>
        </w:rPr>
      </w:pPr>
    </w:p>
    <w:p w14:paraId="01DB4D74">
      <w:pPr>
        <w:spacing w:line="360" w:lineRule="auto"/>
        <w:rPr>
          <w:rFonts w:hint="eastAsia" w:ascii="宋体" w:hAnsi="宋体" w:cs="宋体"/>
          <w:kern w:val="0"/>
          <w:sz w:val="30"/>
          <w:szCs w:val="30"/>
        </w:rPr>
      </w:pPr>
      <w:r>
        <w:rPr>
          <w:rFonts w:hint="eastAsia" w:ascii="宋体" w:hAnsi="宋体" w:cs="宋体"/>
          <w:kern w:val="0"/>
          <w:sz w:val="30"/>
          <w:szCs w:val="30"/>
        </w:rPr>
        <w:br w:type="page"/>
      </w:r>
    </w:p>
    <w:p w14:paraId="390C5C96">
      <w:pPr>
        <w:pStyle w:val="2"/>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五、省级以上监狱管理局、戒毒管理局（含新疆生产建设兵团）     出具的属于监狱企业的证明文件</w:t>
      </w:r>
    </w:p>
    <w:p w14:paraId="3D47F002">
      <w:pPr>
        <w:autoSpaceDE w:val="0"/>
        <w:autoSpaceDN w:val="0"/>
        <w:adjustRightInd w:val="0"/>
        <w:spacing w:before="159" w:beforeLines="50" w:after="159" w:afterLines="50" w:line="360" w:lineRule="auto"/>
        <w:jc w:val="center"/>
        <w:rPr>
          <w:rStyle w:val="17"/>
          <w:rFonts w:hint="eastAsia" w:ascii="宋体" w:hAnsi="宋体" w:cs="宋体"/>
          <w:b w:val="0"/>
          <w:bCs w:val="0"/>
          <w:sz w:val="36"/>
          <w:szCs w:val="36"/>
        </w:rPr>
      </w:pPr>
      <w:r>
        <w:rPr>
          <w:rFonts w:hint="eastAsia" w:ascii="宋体" w:hAnsi="宋体" w:cs="宋体"/>
          <w:kern w:val="0"/>
          <w:sz w:val="24"/>
        </w:rPr>
        <w:t>（如果是，提供）</w:t>
      </w:r>
      <w:r>
        <w:rPr>
          <w:rFonts w:hint="eastAsia" w:ascii="宋体" w:hAnsi="宋体" w:cs="宋体"/>
          <w:kern w:val="0"/>
          <w:sz w:val="24"/>
        </w:rPr>
        <w:tab/>
      </w:r>
    </w:p>
    <w:p w14:paraId="2B874D3A">
      <w:pPr>
        <w:autoSpaceDE w:val="0"/>
        <w:autoSpaceDN w:val="0"/>
        <w:adjustRightInd w:val="0"/>
        <w:spacing w:before="159" w:beforeLines="50" w:after="159" w:afterLines="50" w:line="360" w:lineRule="auto"/>
        <w:jc w:val="center"/>
        <w:rPr>
          <w:rStyle w:val="17"/>
          <w:rFonts w:hint="eastAsia" w:ascii="宋体" w:hAnsi="宋体" w:cs="宋体"/>
          <w:b w:val="0"/>
          <w:bCs w:val="0"/>
          <w:sz w:val="36"/>
          <w:szCs w:val="36"/>
        </w:rPr>
      </w:pPr>
    </w:p>
    <w:p w14:paraId="796F60F6">
      <w:pPr>
        <w:autoSpaceDE w:val="0"/>
        <w:autoSpaceDN w:val="0"/>
        <w:adjustRightInd w:val="0"/>
        <w:spacing w:before="159" w:beforeLines="50" w:after="159" w:afterLines="50" w:line="360" w:lineRule="auto"/>
        <w:jc w:val="center"/>
        <w:rPr>
          <w:rStyle w:val="17"/>
          <w:rFonts w:hint="eastAsia" w:ascii="宋体" w:hAnsi="宋体" w:cs="宋体"/>
          <w:b w:val="0"/>
          <w:bCs w:val="0"/>
          <w:sz w:val="36"/>
          <w:szCs w:val="36"/>
        </w:rPr>
      </w:pPr>
    </w:p>
    <w:p w14:paraId="792B0B1F">
      <w:pPr>
        <w:spacing w:line="360" w:lineRule="auto"/>
        <w:rPr>
          <w:rFonts w:hint="eastAsia" w:ascii="宋体" w:hAnsi="宋体" w:cs="宋体"/>
          <w:kern w:val="0"/>
          <w:sz w:val="30"/>
          <w:szCs w:val="30"/>
        </w:rPr>
      </w:pPr>
      <w:r>
        <w:rPr>
          <w:rFonts w:hint="eastAsia" w:ascii="宋体" w:hAnsi="宋体" w:cs="宋体"/>
          <w:kern w:val="0"/>
          <w:sz w:val="30"/>
          <w:szCs w:val="30"/>
        </w:rPr>
        <w:br w:type="page"/>
      </w:r>
    </w:p>
    <w:p w14:paraId="17769A1E">
      <w:pPr>
        <w:autoSpaceDE w:val="0"/>
        <w:autoSpaceDN w:val="0"/>
        <w:adjustRightInd w:val="0"/>
        <w:spacing w:before="159" w:beforeLines="50" w:after="159" w:afterLines="50" w:line="360" w:lineRule="auto"/>
        <w:jc w:val="center"/>
        <w:rPr>
          <w:rFonts w:hint="eastAsia" w:ascii="宋体" w:hAnsi="宋体" w:cs="宋体"/>
          <w:kern w:val="0"/>
          <w:sz w:val="30"/>
          <w:szCs w:val="30"/>
        </w:rPr>
      </w:pPr>
      <w:r>
        <w:rPr>
          <w:rFonts w:hint="eastAsia" w:ascii="宋体" w:hAnsi="宋体" w:cs="宋体"/>
          <w:kern w:val="0"/>
          <w:sz w:val="30"/>
          <w:szCs w:val="30"/>
        </w:rPr>
        <w:t>六、招标文件要求提供或投标人认为需要提供的其它材料</w:t>
      </w:r>
      <w:r>
        <w:rPr>
          <w:rFonts w:hint="eastAsia" w:ascii="宋体" w:hAnsi="宋体" w:cs="宋体"/>
          <w:kern w:val="0"/>
          <w:sz w:val="30"/>
          <w:szCs w:val="30"/>
        </w:rPr>
        <w:tab/>
      </w:r>
    </w:p>
    <w:p w14:paraId="322D1431">
      <w:pPr>
        <w:autoSpaceDE w:val="0"/>
        <w:autoSpaceDN w:val="0"/>
        <w:adjustRightInd w:val="0"/>
        <w:spacing w:before="159" w:beforeLines="50" w:after="159" w:afterLines="50" w:line="360" w:lineRule="auto"/>
        <w:jc w:val="center"/>
        <w:rPr>
          <w:rFonts w:hint="eastAsia" w:ascii="宋体" w:hAnsi="宋体" w:cs="宋体"/>
          <w:kern w:val="0"/>
          <w:sz w:val="24"/>
        </w:rPr>
      </w:pPr>
      <w:r>
        <w:rPr>
          <w:rFonts w:hint="eastAsia" w:ascii="宋体" w:hAnsi="宋体" w:cs="宋体"/>
          <w:kern w:val="0"/>
          <w:sz w:val="24"/>
        </w:rPr>
        <w:t>（如果有，提供）</w:t>
      </w:r>
    </w:p>
    <w:p w14:paraId="69C177AA">
      <w:pPr>
        <w:spacing w:line="360" w:lineRule="auto"/>
        <w:rPr>
          <w:rFonts w:hint="eastAsia" w:ascii="宋体" w:hAnsi="宋体" w:cs="宋体"/>
        </w:rPr>
      </w:pPr>
    </w:p>
    <w:p w14:paraId="212081E2">
      <w:pPr>
        <w:pStyle w:val="3"/>
        <w:spacing w:line="360" w:lineRule="auto"/>
        <w:ind w:firstLine="0"/>
        <w:jc w:val="center"/>
        <w:rPr>
          <w:rStyle w:val="17"/>
          <w:rFonts w:hint="eastAsia" w:ascii="宋体" w:hAnsi="宋体" w:cs="宋体"/>
          <w:b/>
          <w:bCs/>
          <w:sz w:val="36"/>
          <w:szCs w:val="36"/>
        </w:rPr>
      </w:pPr>
    </w:p>
    <w:p w14:paraId="3D1E3C2F">
      <w:pPr>
        <w:pStyle w:val="3"/>
        <w:spacing w:line="360" w:lineRule="auto"/>
        <w:ind w:firstLine="0"/>
        <w:jc w:val="center"/>
        <w:rPr>
          <w:rStyle w:val="17"/>
          <w:rFonts w:hint="eastAsia" w:ascii="宋体" w:hAnsi="宋体" w:cs="宋体"/>
          <w:b/>
          <w:bCs/>
          <w:sz w:val="36"/>
          <w:szCs w:val="36"/>
        </w:rPr>
      </w:pPr>
    </w:p>
    <w:p w14:paraId="32DAD691">
      <w:pPr>
        <w:pStyle w:val="3"/>
        <w:spacing w:line="360" w:lineRule="auto"/>
        <w:ind w:firstLine="0"/>
        <w:jc w:val="center"/>
        <w:rPr>
          <w:rStyle w:val="17"/>
          <w:rFonts w:hint="eastAsia" w:ascii="宋体" w:hAnsi="宋体" w:cs="宋体"/>
          <w:b/>
          <w:bCs/>
          <w:sz w:val="36"/>
          <w:szCs w:val="36"/>
        </w:rPr>
      </w:pPr>
    </w:p>
    <w:p w14:paraId="49093366">
      <w:pPr>
        <w:pStyle w:val="3"/>
        <w:spacing w:line="360" w:lineRule="auto"/>
        <w:ind w:firstLine="0"/>
        <w:jc w:val="center"/>
        <w:rPr>
          <w:rStyle w:val="17"/>
          <w:rFonts w:hint="eastAsia" w:ascii="宋体" w:hAnsi="宋体" w:cs="宋体"/>
          <w:b/>
          <w:bCs/>
          <w:sz w:val="36"/>
          <w:szCs w:val="36"/>
        </w:rPr>
      </w:pPr>
    </w:p>
    <w:p w14:paraId="148AD94B">
      <w:pPr>
        <w:pStyle w:val="3"/>
        <w:spacing w:line="360" w:lineRule="auto"/>
        <w:ind w:firstLine="0"/>
        <w:rPr>
          <w:rStyle w:val="17"/>
          <w:rFonts w:hint="eastAsia" w:ascii="宋体" w:hAnsi="宋体" w:cs="宋体"/>
          <w:b/>
          <w:bCs/>
          <w:sz w:val="36"/>
          <w:szCs w:val="36"/>
        </w:rPr>
      </w:pPr>
    </w:p>
    <w:p w14:paraId="338E74B8">
      <w:pPr>
        <w:pStyle w:val="3"/>
        <w:spacing w:line="360" w:lineRule="auto"/>
        <w:ind w:firstLine="0"/>
        <w:rPr>
          <w:rStyle w:val="17"/>
          <w:rFonts w:hint="eastAsia" w:ascii="宋体" w:hAnsi="宋体" w:cs="宋体"/>
          <w:b/>
          <w:bCs/>
          <w:sz w:val="36"/>
          <w:szCs w:val="36"/>
        </w:rPr>
      </w:pPr>
    </w:p>
    <w:p w14:paraId="030088B7">
      <w:pPr>
        <w:spacing w:line="360" w:lineRule="auto"/>
        <w:outlineLvl w:val="1"/>
        <w:rPr>
          <w:rFonts w:hint="eastAsia" w:ascii="宋体" w:hAnsi="宋体" w:cs="宋体"/>
          <w:b/>
          <w:bCs/>
          <w:sz w:val="30"/>
        </w:rPr>
      </w:pPr>
    </w:p>
    <w:p w14:paraId="7A11E42A">
      <w:pPr>
        <w:spacing w:line="360" w:lineRule="auto"/>
        <w:rPr>
          <w:rStyle w:val="17"/>
          <w:rFonts w:hint="eastAsia" w:ascii="宋体" w:hAnsi="宋体" w:cs="宋体"/>
          <w:sz w:val="36"/>
          <w:szCs w:val="36"/>
        </w:rPr>
      </w:pPr>
      <w:r>
        <w:rPr>
          <w:rStyle w:val="17"/>
          <w:rFonts w:hint="eastAsia" w:ascii="宋体" w:hAnsi="宋体" w:cs="宋体"/>
          <w:sz w:val="36"/>
          <w:szCs w:val="36"/>
        </w:rPr>
        <w:br w:type="page"/>
      </w:r>
    </w:p>
    <w:p w14:paraId="7D4048DA">
      <w:pPr>
        <w:pStyle w:val="3"/>
        <w:spacing w:line="360" w:lineRule="auto"/>
        <w:ind w:firstLine="0"/>
        <w:jc w:val="center"/>
        <w:rPr>
          <w:rFonts w:hint="eastAsia" w:ascii="宋体" w:hAnsi="宋体" w:cs="宋体"/>
          <w:b w:val="0"/>
          <w:bCs w:val="0"/>
          <w:sz w:val="36"/>
          <w:szCs w:val="36"/>
        </w:rPr>
      </w:pPr>
      <w:r>
        <w:rPr>
          <w:rStyle w:val="17"/>
          <w:rFonts w:hint="eastAsia" w:ascii="宋体" w:hAnsi="宋体" w:cs="宋体"/>
          <w:b/>
          <w:bCs/>
          <w:sz w:val="36"/>
          <w:szCs w:val="36"/>
        </w:rPr>
        <w:t>第八章  附件</w:t>
      </w:r>
    </w:p>
    <w:p w14:paraId="271468A7">
      <w:pPr>
        <w:spacing w:line="360" w:lineRule="auto"/>
        <w:outlineLvl w:val="1"/>
        <w:rPr>
          <w:rFonts w:hint="eastAsia" w:ascii="宋体" w:hAnsi="宋体" w:cs="宋体"/>
          <w:b/>
          <w:bCs/>
          <w:sz w:val="30"/>
        </w:rPr>
      </w:pPr>
    </w:p>
    <w:p w14:paraId="7807D866">
      <w:pPr>
        <w:spacing w:line="360" w:lineRule="auto"/>
        <w:outlineLvl w:val="1"/>
        <w:rPr>
          <w:rFonts w:hint="eastAsia" w:ascii="宋体" w:hAnsi="宋体" w:cs="宋体"/>
          <w:b/>
          <w:bCs/>
          <w:sz w:val="30"/>
        </w:rPr>
      </w:pPr>
    </w:p>
    <w:p w14:paraId="2899C408">
      <w:pPr>
        <w:spacing w:line="360" w:lineRule="auto"/>
        <w:outlineLvl w:val="1"/>
        <w:rPr>
          <w:rFonts w:hint="eastAsia" w:ascii="宋体" w:hAnsi="宋体" w:cs="宋体"/>
          <w:b/>
          <w:bCs/>
          <w:sz w:val="30"/>
        </w:rPr>
      </w:pPr>
    </w:p>
    <w:p w14:paraId="1FBB6C68">
      <w:pPr>
        <w:spacing w:line="360" w:lineRule="auto"/>
        <w:outlineLvl w:val="1"/>
        <w:rPr>
          <w:rFonts w:hint="eastAsia" w:ascii="宋体" w:hAnsi="宋体" w:cs="宋体"/>
          <w:b/>
          <w:bCs/>
          <w:sz w:val="30"/>
        </w:rPr>
      </w:pPr>
    </w:p>
    <w:p w14:paraId="5D8C3C4E">
      <w:pPr>
        <w:spacing w:line="360" w:lineRule="auto"/>
        <w:outlineLvl w:val="1"/>
        <w:rPr>
          <w:rFonts w:hint="eastAsia" w:ascii="宋体" w:hAnsi="宋体" w:cs="宋体"/>
          <w:b/>
          <w:bCs/>
          <w:sz w:val="30"/>
        </w:rPr>
      </w:pPr>
    </w:p>
    <w:p w14:paraId="7A982734">
      <w:pPr>
        <w:spacing w:line="360" w:lineRule="auto"/>
        <w:outlineLvl w:val="1"/>
        <w:rPr>
          <w:rFonts w:hint="eastAsia" w:ascii="宋体" w:hAnsi="宋体" w:cs="宋体"/>
          <w:b/>
          <w:bCs/>
          <w:sz w:val="30"/>
        </w:rPr>
      </w:pPr>
    </w:p>
    <w:p w14:paraId="42E4F045">
      <w:pPr>
        <w:pStyle w:val="4"/>
        <w:numPr>
          <w:ilvl w:val="0"/>
          <w:numId w:val="0"/>
        </w:numPr>
        <w:spacing w:line="360" w:lineRule="auto"/>
        <w:ind w:left="709"/>
        <w:rPr>
          <w:rFonts w:hint="eastAsia" w:ascii="宋体" w:hAnsi="宋体" w:eastAsia="宋体" w:cs="宋体"/>
        </w:rPr>
      </w:pPr>
    </w:p>
    <w:p w14:paraId="1F03C7C3">
      <w:pPr>
        <w:spacing w:line="360" w:lineRule="auto"/>
        <w:rPr>
          <w:rFonts w:hint="eastAsia" w:ascii="宋体" w:hAnsi="宋体" w:cs="宋体"/>
        </w:rPr>
      </w:pPr>
    </w:p>
    <w:p w14:paraId="1EDC6394">
      <w:pPr>
        <w:pStyle w:val="4"/>
        <w:numPr>
          <w:ilvl w:val="0"/>
          <w:numId w:val="0"/>
        </w:numPr>
        <w:spacing w:line="360" w:lineRule="auto"/>
        <w:ind w:left="709"/>
        <w:rPr>
          <w:rFonts w:hint="eastAsia" w:ascii="宋体" w:hAnsi="宋体" w:eastAsia="宋体" w:cs="宋体"/>
        </w:rPr>
      </w:pPr>
    </w:p>
    <w:p w14:paraId="59D73A22">
      <w:pPr>
        <w:spacing w:line="360" w:lineRule="auto"/>
        <w:rPr>
          <w:rFonts w:hint="eastAsia" w:ascii="宋体" w:hAnsi="宋体" w:cs="宋体"/>
        </w:rPr>
      </w:pPr>
    </w:p>
    <w:p w14:paraId="1DCE0D09">
      <w:pPr>
        <w:pStyle w:val="4"/>
        <w:numPr>
          <w:ilvl w:val="0"/>
          <w:numId w:val="0"/>
        </w:numPr>
        <w:spacing w:line="360" w:lineRule="auto"/>
        <w:ind w:left="709"/>
        <w:rPr>
          <w:rFonts w:hint="eastAsia" w:ascii="宋体" w:hAnsi="宋体" w:eastAsia="宋体" w:cs="宋体"/>
        </w:rPr>
      </w:pPr>
    </w:p>
    <w:p w14:paraId="547012A4">
      <w:pPr>
        <w:spacing w:line="360" w:lineRule="auto"/>
        <w:rPr>
          <w:rFonts w:hint="eastAsia" w:ascii="宋体" w:hAnsi="宋体" w:cs="宋体"/>
        </w:rPr>
      </w:pPr>
    </w:p>
    <w:p w14:paraId="78E3D959">
      <w:pPr>
        <w:widowControl/>
        <w:adjustRightInd w:val="0"/>
        <w:spacing w:line="360" w:lineRule="auto"/>
        <w:jc w:val="left"/>
        <w:rPr>
          <w:rFonts w:hint="eastAsia" w:ascii="宋体" w:hAnsi="宋体" w:cs="宋体"/>
          <w:b/>
          <w:bCs/>
          <w:sz w:val="32"/>
          <w:szCs w:val="32"/>
        </w:rPr>
      </w:pPr>
    </w:p>
    <w:p w14:paraId="6FBBFDEC">
      <w:pPr>
        <w:widowControl/>
        <w:adjustRightInd w:val="0"/>
        <w:spacing w:line="360" w:lineRule="auto"/>
        <w:jc w:val="left"/>
        <w:rPr>
          <w:rFonts w:hint="eastAsia" w:ascii="宋体" w:hAnsi="宋体" w:cs="宋体"/>
          <w:b/>
          <w:bCs/>
          <w:kern w:val="0"/>
          <w:sz w:val="30"/>
          <w:szCs w:val="30"/>
        </w:rPr>
      </w:pPr>
      <w:r>
        <w:rPr>
          <w:rFonts w:hint="eastAsia" w:ascii="宋体" w:hAnsi="宋体" w:cs="宋体"/>
          <w:b/>
          <w:bCs/>
          <w:kern w:val="0"/>
          <w:sz w:val="30"/>
          <w:szCs w:val="30"/>
        </w:rPr>
        <w:t xml:space="preserve"> </w:t>
      </w:r>
    </w:p>
    <w:p w14:paraId="6108E14D">
      <w:pPr>
        <w:spacing w:line="360" w:lineRule="auto"/>
        <w:rPr>
          <w:rFonts w:hint="eastAsia" w:ascii="宋体" w:hAnsi="宋体" w:cs="宋体"/>
          <w:b/>
          <w:sz w:val="44"/>
          <w:szCs w:val="44"/>
        </w:rPr>
      </w:pPr>
      <w:r>
        <w:rPr>
          <w:rFonts w:hint="eastAsia" w:ascii="宋体" w:hAnsi="宋体" w:cs="宋体"/>
          <w:b/>
          <w:bCs/>
          <w:kern w:val="0"/>
          <w:sz w:val="30"/>
          <w:szCs w:val="30"/>
        </w:rPr>
        <w:br w:type="page"/>
      </w:r>
      <w:r>
        <w:rPr>
          <w:rFonts w:hint="eastAsia" w:ascii="宋体" w:hAnsi="宋体" w:cs="宋体"/>
          <w:b/>
          <w:bCs/>
          <w:sz w:val="30"/>
        </w:rPr>
        <w:t>附件</w:t>
      </w:r>
      <w:r>
        <w:rPr>
          <w:rFonts w:hint="eastAsia" w:ascii="宋体" w:hAnsi="宋体" w:cs="宋体"/>
          <w:b/>
          <w:bCs/>
          <w:sz w:val="30"/>
          <w:lang w:val="en-US" w:eastAsia="zh-CN"/>
        </w:rPr>
        <w:t>1</w:t>
      </w:r>
      <w:r>
        <w:rPr>
          <w:rFonts w:hint="eastAsia" w:ascii="宋体" w:hAnsi="宋体" w:cs="宋体"/>
          <w:b/>
          <w:bCs/>
          <w:sz w:val="30"/>
          <w:lang w:val="zh-CN"/>
        </w:rPr>
        <w:t>（此表由中标人在退还履约保证金时提交）</w:t>
      </w:r>
    </w:p>
    <w:p w14:paraId="543072E2">
      <w:pPr>
        <w:widowControl/>
        <w:adjustRightInd w:val="0"/>
        <w:spacing w:line="360" w:lineRule="auto"/>
        <w:ind w:firstLine="1696" w:firstLineChars="400"/>
        <w:jc w:val="center"/>
        <w:rPr>
          <w:rFonts w:hint="eastAsia" w:ascii="宋体" w:hAnsi="宋体" w:cs="宋体"/>
          <w:b/>
          <w:sz w:val="44"/>
          <w:szCs w:val="44"/>
          <w:lang w:val="zh-CN"/>
        </w:rPr>
      </w:pPr>
    </w:p>
    <w:p w14:paraId="77DAF664">
      <w:pPr>
        <w:widowControl/>
        <w:adjustRightInd w:val="0"/>
        <w:spacing w:line="360" w:lineRule="auto"/>
        <w:ind w:firstLine="1696" w:firstLineChars="400"/>
        <w:jc w:val="center"/>
        <w:rPr>
          <w:rFonts w:hint="eastAsia" w:ascii="宋体" w:hAnsi="宋体" w:cs="宋体"/>
          <w:b/>
          <w:bCs/>
          <w:kern w:val="0"/>
          <w:sz w:val="30"/>
          <w:szCs w:val="30"/>
          <w:lang w:val="zh-CN"/>
        </w:rPr>
      </w:pPr>
      <w:r>
        <w:rPr>
          <w:rFonts w:hint="eastAsia" w:ascii="宋体" w:hAnsi="宋体" w:cs="宋体"/>
          <w:b/>
          <w:sz w:val="44"/>
          <w:szCs w:val="44"/>
          <w:lang w:val="zh-CN"/>
        </w:rPr>
        <w:t>履约保证金</w:t>
      </w:r>
      <w:r>
        <w:rPr>
          <w:rFonts w:hint="eastAsia" w:ascii="宋体" w:hAnsi="宋体" w:cs="宋体"/>
          <w:b/>
          <w:sz w:val="44"/>
          <w:szCs w:val="44"/>
        </w:rPr>
        <w:t>退还申请单</w:t>
      </w:r>
    </w:p>
    <w:p w14:paraId="729B973B">
      <w:pPr>
        <w:widowControl/>
        <w:adjustRightInd w:val="0"/>
        <w:spacing w:line="360" w:lineRule="auto"/>
        <w:rPr>
          <w:rFonts w:hint="eastAsia" w:ascii="宋体" w:hAnsi="宋体" w:cs="宋体"/>
          <w:kern w:val="0"/>
          <w:sz w:val="24"/>
          <w:lang w:val="zh-CN"/>
        </w:rPr>
      </w:pPr>
    </w:p>
    <w:p w14:paraId="6F805386">
      <w:pPr>
        <w:widowControl/>
        <w:adjustRightInd w:val="0"/>
        <w:spacing w:line="360" w:lineRule="auto"/>
        <w:rPr>
          <w:rFonts w:hint="eastAsia" w:ascii="宋体" w:hAnsi="宋体" w:cs="宋体"/>
          <w:kern w:val="0"/>
          <w:sz w:val="24"/>
          <w:lang w:val="zh-CN"/>
        </w:rPr>
      </w:pPr>
      <w:r>
        <w:rPr>
          <w:rFonts w:hint="eastAsia" w:ascii="宋体" w:hAnsi="宋体" w:cs="宋体"/>
          <w:kern w:val="0"/>
          <w:sz w:val="24"/>
          <w:lang w:val="zh-CN"/>
        </w:rPr>
        <w:t>****单位：</w:t>
      </w:r>
    </w:p>
    <w:p w14:paraId="40B021D7">
      <w:pPr>
        <w:widowControl/>
        <w:adjustRightInd w:val="0"/>
        <w:spacing w:line="360" w:lineRule="auto"/>
        <w:ind w:firstLine="448" w:firstLineChars="200"/>
        <w:rPr>
          <w:rFonts w:hint="eastAsia" w:ascii="宋体" w:hAnsi="宋体" w:cs="宋体"/>
          <w:kern w:val="0"/>
          <w:sz w:val="24"/>
        </w:rPr>
      </w:pPr>
      <w:r>
        <w:rPr>
          <w:rFonts w:hint="eastAsia" w:ascii="宋体" w:hAnsi="宋体" w:cs="宋体"/>
          <w:kern w:val="0"/>
          <w:sz w:val="24"/>
          <w:lang w:val="zh-CN"/>
        </w:rPr>
        <w:t>我方自愿参与集安市政府采购</w:t>
      </w:r>
      <w:r>
        <w:rPr>
          <w:rFonts w:hint="eastAsia" w:ascii="宋体" w:hAnsi="宋体" w:cs="宋体"/>
          <w:kern w:val="0"/>
          <w:sz w:val="24"/>
          <w:u w:val="single"/>
        </w:rPr>
        <w:t xml:space="preserve">           </w:t>
      </w:r>
      <w:r>
        <w:rPr>
          <w:rFonts w:hint="eastAsia" w:ascii="宋体" w:hAnsi="宋体" w:cs="宋体"/>
          <w:kern w:val="0"/>
          <w:sz w:val="24"/>
          <w:lang w:val="zh-CN"/>
        </w:rPr>
        <w:t>项目（项目编号：</w:t>
      </w:r>
      <w:r>
        <w:rPr>
          <w:rFonts w:hint="eastAsia" w:ascii="宋体" w:hAnsi="宋体" w:cs="宋体"/>
          <w:kern w:val="0"/>
          <w:sz w:val="24"/>
        </w:rPr>
        <w:t xml:space="preserve">    </w:t>
      </w:r>
      <w:r>
        <w:rPr>
          <w:rFonts w:hint="eastAsia" w:ascii="宋体" w:hAnsi="宋体" w:cs="宋体"/>
          <w:kern w:val="0"/>
          <w:sz w:val="24"/>
          <w:lang w:val="zh-CN"/>
        </w:rPr>
        <w:t>）的投标，并按贵方招标文件的要求向采购人提交了履约保证金，请贵单位在符合退还条件下退还至我单位提交时的银行账户：</w:t>
      </w:r>
    </w:p>
    <w:tbl>
      <w:tblPr>
        <w:tblStyle w:val="15"/>
        <w:tblW w:w="9039"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5353"/>
        <w:gridCol w:w="3686"/>
      </w:tblGrid>
      <w:tr w14:paraId="04D6DE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82" w:hRule="atLeast"/>
        </w:trPr>
        <w:tc>
          <w:tcPr>
            <w:tcW w:w="5353" w:type="dxa"/>
          </w:tcPr>
          <w:p w14:paraId="03B07D88">
            <w:pPr>
              <w:widowControl/>
              <w:adjustRightInd w:val="0"/>
              <w:spacing w:line="360" w:lineRule="auto"/>
              <w:rPr>
                <w:rFonts w:hint="eastAsia" w:ascii="宋体" w:hAnsi="宋体" w:cs="宋体"/>
                <w:b/>
                <w:bCs/>
                <w:kern w:val="0"/>
                <w:sz w:val="24"/>
              </w:rPr>
            </w:pPr>
            <w:r>
              <w:rPr>
                <w:rFonts w:hint="eastAsia" w:ascii="宋体" w:hAnsi="宋体" w:cs="宋体"/>
                <w:b/>
                <w:bCs/>
                <w:kern w:val="0"/>
                <w:sz w:val="24"/>
                <w:lang w:val="zh-CN"/>
              </w:rPr>
              <w:t>项目名称：</w:t>
            </w:r>
          </w:p>
        </w:tc>
        <w:tc>
          <w:tcPr>
            <w:tcW w:w="3686" w:type="dxa"/>
          </w:tcPr>
          <w:p w14:paraId="6E42EBCC">
            <w:pPr>
              <w:widowControl/>
              <w:tabs>
                <w:tab w:val="left" w:pos="972"/>
              </w:tabs>
              <w:adjustRightInd w:val="0"/>
              <w:spacing w:line="360" w:lineRule="auto"/>
              <w:rPr>
                <w:rFonts w:hint="eastAsia" w:ascii="宋体" w:hAnsi="宋体" w:cs="宋体"/>
                <w:b/>
                <w:bCs/>
                <w:kern w:val="0"/>
                <w:sz w:val="24"/>
              </w:rPr>
            </w:pPr>
            <w:r>
              <w:rPr>
                <w:rFonts w:hint="eastAsia" w:ascii="宋体" w:hAnsi="宋体" w:cs="宋体"/>
                <w:b/>
                <w:bCs/>
                <w:kern w:val="0"/>
                <w:sz w:val="24"/>
                <w:lang w:val="zh-CN"/>
              </w:rPr>
              <w:t>项目编号：</w:t>
            </w:r>
            <w:r>
              <w:rPr>
                <w:rFonts w:hint="eastAsia" w:ascii="宋体" w:hAnsi="宋体" w:cs="宋体"/>
                <w:b/>
                <w:bCs/>
                <w:kern w:val="0"/>
                <w:sz w:val="24"/>
              </w:rPr>
              <w:t xml:space="preserve">  </w:t>
            </w:r>
          </w:p>
        </w:tc>
      </w:tr>
      <w:tr w14:paraId="6FB79A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48" w:hRule="atLeast"/>
        </w:trPr>
        <w:tc>
          <w:tcPr>
            <w:tcW w:w="5353" w:type="dxa"/>
          </w:tcPr>
          <w:p w14:paraId="40E6F95B">
            <w:pPr>
              <w:widowControl/>
              <w:adjustRightInd w:val="0"/>
              <w:spacing w:line="360" w:lineRule="auto"/>
              <w:rPr>
                <w:rFonts w:hint="eastAsia" w:ascii="宋体" w:hAnsi="宋体" w:cs="宋体"/>
                <w:kern w:val="0"/>
                <w:sz w:val="24"/>
              </w:rPr>
            </w:pPr>
            <w:r>
              <w:rPr>
                <w:rFonts w:hint="eastAsia" w:ascii="宋体" w:hAnsi="宋体" w:cs="宋体"/>
                <w:kern w:val="0"/>
                <w:sz w:val="24"/>
                <w:lang w:val="zh-CN"/>
              </w:rPr>
              <w:t>分包一：□</w:t>
            </w:r>
          </w:p>
        </w:tc>
        <w:tc>
          <w:tcPr>
            <w:tcW w:w="3686" w:type="dxa"/>
          </w:tcPr>
          <w:p w14:paraId="3DCA1D8F">
            <w:pPr>
              <w:widowControl/>
              <w:tabs>
                <w:tab w:val="left" w:pos="972"/>
              </w:tabs>
              <w:adjustRightInd w:val="0"/>
              <w:spacing w:line="360" w:lineRule="auto"/>
              <w:rPr>
                <w:rFonts w:hint="eastAsia" w:ascii="宋体" w:hAnsi="宋体" w:cs="宋体"/>
                <w:kern w:val="0"/>
                <w:sz w:val="24"/>
              </w:rPr>
            </w:pPr>
            <w:r>
              <w:rPr>
                <w:rFonts w:hint="eastAsia" w:ascii="宋体" w:hAnsi="宋体" w:cs="宋体"/>
                <w:kern w:val="0"/>
                <w:sz w:val="24"/>
                <w:lang w:val="zh-CN"/>
              </w:rPr>
              <w:t>保证金额：</w:t>
            </w:r>
            <w:r>
              <w:rPr>
                <w:rFonts w:hint="eastAsia" w:ascii="宋体" w:hAnsi="宋体" w:cs="宋体"/>
                <w:kern w:val="0"/>
                <w:sz w:val="24"/>
              </w:rPr>
              <w:t xml:space="preserve">          </w:t>
            </w:r>
            <w:r>
              <w:rPr>
                <w:rFonts w:hint="eastAsia" w:ascii="宋体" w:hAnsi="宋体" w:cs="宋体"/>
                <w:kern w:val="0"/>
                <w:sz w:val="24"/>
                <w:lang w:val="zh-CN"/>
              </w:rPr>
              <w:t>元；</w:t>
            </w:r>
          </w:p>
        </w:tc>
      </w:tr>
      <w:tr w14:paraId="2E2EF9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12" w:hRule="atLeast"/>
        </w:trPr>
        <w:tc>
          <w:tcPr>
            <w:tcW w:w="5353" w:type="dxa"/>
          </w:tcPr>
          <w:p w14:paraId="3D025D63">
            <w:pPr>
              <w:widowControl/>
              <w:adjustRightInd w:val="0"/>
              <w:spacing w:line="360" w:lineRule="auto"/>
              <w:rPr>
                <w:rFonts w:hint="eastAsia" w:ascii="宋体" w:hAnsi="宋体" w:cs="宋体"/>
                <w:kern w:val="0"/>
                <w:sz w:val="24"/>
              </w:rPr>
            </w:pPr>
            <w:r>
              <w:rPr>
                <w:rFonts w:hint="eastAsia" w:ascii="宋体" w:hAnsi="宋体" w:cs="宋体"/>
                <w:kern w:val="0"/>
                <w:sz w:val="24"/>
                <w:lang w:val="zh-CN"/>
              </w:rPr>
              <w:t>分包二：□</w:t>
            </w:r>
          </w:p>
        </w:tc>
        <w:tc>
          <w:tcPr>
            <w:tcW w:w="3686" w:type="dxa"/>
          </w:tcPr>
          <w:p w14:paraId="529D5AED">
            <w:pPr>
              <w:widowControl/>
              <w:tabs>
                <w:tab w:val="left" w:pos="972"/>
              </w:tabs>
              <w:adjustRightInd w:val="0"/>
              <w:spacing w:line="360" w:lineRule="auto"/>
              <w:rPr>
                <w:rFonts w:hint="eastAsia" w:ascii="宋体" w:hAnsi="宋体" w:cs="宋体"/>
                <w:kern w:val="0"/>
                <w:sz w:val="24"/>
              </w:rPr>
            </w:pPr>
            <w:r>
              <w:rPr>
                <w:rFonts w:hint="eastAsia" w:ascii="宋体" w:hAnsi="宋体" w:cs="宋体"/>
                <w:kern w:val="0"/>
                <w:sz w:val="24"/>
                <w:lang w:val="zh-CN"/>
              </w:rPr>
              <w:t>保证金额：</w:t>
            </w:r>
            <w:r>
              <w:rPr>
                <w:rFonts w:hint="eastAsia" w:ascii="宋体" w:hAnsi="宋体" w:cs="宋体"/>
                <w:kern w:val="0"/>
                <w:sz w:val="24"/>
              </w:rPr>
              <w:t xml:space="preserve">          </w:t>
            </w:r>
            <w:r>
              <w:rPr>
                <w:rFonts w:hint="eastAsia" w:ascii="宋体" w:hAnsi="宋体" w:cs="宋体"/>
                <w:kern w:val="0"/>
                <w:sz w:val="24"/>
                <w:lang w:val="zh-CN"/>
              </w:rPr>
              <w:t>元；</w:t>
            </w:r>
          </w:p>
        </w:tc>
      </w:tr>
      <w:tr w14:paraId="7BB9D6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0" w:hRule="atLeast"/>
        </w:trPr>
        <w:tc>
          <w:tcPr>
            <w:tcW w:w="5353" w:type="dxa"/>
          </w:tcPr>
          <w:p w14:paraId="6A3D67EB">
            <w:pPr>
              <w:widowControl/>
              <w:adjustRightInd w:val="0"/>
              <w:spacing w:line="360" w:lineRule="auto"/>
              <w:rPr>
                <w:rFonts w:hint="eastAsia" w:ascii="宋体" w:hAnsi="宋体" w:cs="宋体"/>
                <w:kern w:val="0"/>
                <w:sz w:val="24"/>
              </w:rPr>
            </w:pPr>
            <w:r>
              <w:rPr>
                <w:rFonts w:hint="eastAsia" w:ascii="宋体" w:hAnsi="宋体" w:cs="宋体"/>
                <w:kern w:val="0"/>
                <w:sz w:val="24"/>
                <w:lang w:val="zh-CN"/>
              </w:rPr>
              <w:t>分包三：□</w:t>
            </w:r>
          </w:p>
        </w:tc>
        <w:tc>
          <w:tcPr>
            <w:tcW w:w="3686" w:type="dxa"/>
          </w:tcPr>
          <w:p w14:paraId="4BD04439">
            <w:pPr>
              <w:widowControl/>
              <w:tabs>
                <w:tab w:val="left" w:pos="972"/>
              </w:tabs>
              <w:adjustRightInd w:val="0"/>
              <w:spacing w:line="360" w:lineRule="auto"/>
              <w:rPr>
                <w:rFonts w:hint="eastAsia" w:ascii="宋体" w:hAnsi="宋体" w:cs="宋体"/>
                <w:kern w:val="0"/>
                <w:sz w:val="24"/>
              </w:rPr>
            </w:pPr>
            <w:r>
              <w:rPr>
                <w:rFonts w:hint="eastAsia" w:ascii="宋体" w:hAnsi="宋体" w:cs="宋体"/>
                <w:kern w:val="0"/>
                <w:sz w:val="24"/>
                <w:lang w:val="zh-CN"/>
              </w:rPr>
              <w:t>保证金额：</w:t>
            </w:r>
            <w:r>
              <w:rPr>
                <w:rFonts w:hint="eastAsia" w:ascii="宋体" w:hAnsi="宋体" w:cs="宋体"/>
                <w:kern w:val="0"/>
                <w:sz w:val="24"/>
              </w:rPr>
              <w:t xml:space="preserve">          </w:t>
            </w:r>
            <w:r>
              <w:rPr>
                <w:rFonts w:hint="eastAsia" w:ascii="宋体" w:hAnsi="宋体" w:cs="宋体"/>
                <w:kern w:val="0"/>
                <w:sz w:val="24"/>
                <w:lang w:val="zh-CN"/>
              </w:rPr>
              <w:t>元；</w:t>
            </w:r>
          </w:p>
        </w:tc>
      </w:tr>
      <w:tr w14:paraId="014CF8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02" w:hRule="atLeast"/>
        </w:trPr>
        <w:tc>
          <w:tcPr>
            <w:tcW w:w="9039" w:type="dxa"/>
            <w:gridSpan w:val="2"/>
            <w:tcBorders>
              <w:bottom w:val="single" w:color="auto" w:sz="4" w:space="0"/>
            </w:tcBorders>
          </w:tcPr>
          <w:p w14:paraId="7CF0E36B">
            <w:pPr>
              <w:widowControl/>
              <w:tabs>
                <w:tab w:val="left" w:pos="972"/>
              </w:tabs>
              <w:adjustRightInd w:val="0"/>
              <w:spacing w:line="360" w:lineRule="auto"/>
              <w:jc w:val="left"/>
              <w:rPr>
                <w:rFonts w:hint="eastAsia" w:ascii="宋体" w:hAnsi="宋体" w:cs="宋体"/>
                <w:b/>
                <w:bCs/>
                <w:kern w:val="0"/>
                <w:sz w:val="24"/>
              </w:rPr>
            </w:pPr>
            <w:r>
              <w:rPr>
                <w:rFonts w:hint="eastAsia" w:ascii="宋体" w:hAnsi="宋体" w:cs="宋体"/>
                <w:b/>
                <w:bCs/>
                <w:kern w:val="0"/>
                <w:sz w:val="24"/>
                <w:lang w:val="zh-CN"/>
              </w:rPr>
              <w:t>履约保证金合计总额（人民币）：</w:t>
            </w:r>
          </w:p>
          <w:p w14:paraId="0BFDC45C">
            <w:pPr>
              <w:widowControl/>
              <w:tabs>
                <w:tab w:val="left" w:pos="972"/>
              </w:tabs>
              <w:adjustRightInd w:val="0"/>
              <w:spacing w:line="360" w:lineRule="auto"/>
              <w:jc w:val="left"/>
              <w:rPr>
                <w:rFonts w:hint="eastAsia" w:ascii="宋体" w:hAnsi="宋体" w:cs="宋体"/>
                <w:b/>
                <w:bCs/>
                <w:kern w:val="0"/>
                <w:sz w:val="24"/>
              </w:rPr>
            </w:pPr>
            <w:r>
              <w:rPr>
                <w:rFonts w:hint="eastAsia" w:ascii="宋体" w:hAnsi="宋体" w:cs="宋体"/>
                <w:b/>
                <w:bCs/>
                <w:kern w:val="0"/>
                <w:sz w:val="24"/>
                <w:lang w:val="zh-CN"/>
              </w:rPr>
              <w:t>大写：</w:t>
            </w:r>
            <w:r>
              <w:rPr>
                <w:rFonts w:hint="eastAsia" w:ascii="宋体" w:hAnsi="宋体" w:cs="宋体"/>
                <w:b/>
                <w:bCs/>
                <w:kern w:val="0"/>
                <w:sz w:val="24"/>
              </w:rPr>
              <w:t xml:space="preserve">                </w:t>
            </w:r>
            <w:r>
              <w:rPr>
                <w:rFonts w:hint="eastAsia" w:ascii="宋体" w:hAnsi="宋体" w:cs="宋体"/>
                <w:b/>
                <w:bCs/>
                <w:kern w:val="0"/>
                <w:sz w:val="24"/>
                <w:lang w:val="zh-CN"/>
              </w:rPr>
              <w:t>元；</w:t>
            </w:r>
          </w:p>
          <w:p w14:paraId="4A2067AE">
            <w:pPr>
              <w:widowControl/>
              <w:tabs>
                <w:tab w:val="left" w:pos="972"/>
              </w:tabs>
              <w:adjustRightInd w:val="0"/>
              <w:spacing w:line="360" w:lineRule="auto"/>
              <w:jc w:val="left"/>
              <w:rPr>
                <w:rFonts w:hint="eastAsia" w:ascii="宋体" w:hAnsi="宋体" w:cs="宋体"/>
                <w:b/>
                <w:bCs/>
                <w:kern w:val="0"/>
                <w:sz w:val="24"/>
              </w:rPr>
            </w:pPr>
            <w:r>
              <w:rPr>
                <w:rFonts w:hint="eastAsia" w:ascii="宋体" w:hAnsi="宋体" w:cs="宋体"/>
                <w:b/>
                <w:bCs/>
                <w:kern w:val="0"/>
                <w:sz w:val="24"/>
                <w:lang w:val="zh-CN"/>
              </w:rPr>
              <w:t>小写：</w:t>
            </w:r>
            <w:r>
              <w:rPr>
                <w:rFonts w:hint="eastAsia" w:ascii="宋体" w:hAnsi="宋体" w:cs="宋体"/>
                <w:b/>
                <w:bCs/>
                <w:kern w:val="0"/>
                <w:sz w:val="24"/>
              </w:rPr>
              <w:t xml:space="preserve">                </w:t>
            </w:r>
            <w:r>
              <w:rPr>
                <w:rFonts w:hint="eastAsia" w:ascii="宋体" w:hAnsi="宋体" w:cs="宋体"/>
                <w:b/>
                <w:bCs/>
                <w:kern w:val="0"/>
                <w:sz w:val="24"/>
                <w:lang w:val="zh-CN"/>
              </w:rPr>
              <w:t>元。</w:t>
            </w:r>
          </w:p>
        </w:tc>
      </w:tr>
    </w:tbl>
    <w:p w14:paraId="36FAFDF0">
      <w:pPr>
        <w:widowControl/>
        <w:adjustRightInd w:val="0"/>
        <w:spacing w:line="360" w:lineRule="auto"/>
        <w:rPr>
          <w:rFonts w:hint="eastAsia" w:ascii="宋体" w:hAnsi="宋体" w:cs="宋体"/>
          <w:b/>
          <w:bCs/>
          <w:kern w:val="0"/>
          <w:sz w:val="24"/>
          <w:lang w:val="zh-CN"/>
        </w:rPr>
      </w:pPr>
      <w:r>
        <w:rPr>
          <w:rFonts w:hint="eastAsia" w:ascii="宋体" w:hAnsi="宋体" w:cs="宋体"/>
          <w:b/>
          <w:bCs/>
          <w:kern w:val="0"/>
          <w:sz w:val="24"/>
          <w:lang w:val="zh-CN"/>
        </w:rPr>
        <w:t>中标人名称：</w:t>
      </w:r>
      <w:r>
        <w:rPr>
          <w:rFonts w:hint="eastAsia" w:ascii="宋体" w:hAnsi="宋体" w:cs="宋体"/>
          <w:b/>
          <w:bCs/>
          <w:kern w:val="0"/>
          <w:sz w:val="24"/>
        </w:rPr>
        <w:t xml:space="preserve"> </w:t>
      </w:r>
      <w:r>
        <w:rPr>
          <w:rFonts w:hint="eastAsia" w:ascii="宋体" w:hAnsi="宋体" w:cs="宋体"/>
          <w:b/>
          <w:bCs/>
          <w:kern w:val="0"/>
          <w:sz w:val="24"/>
          <w:u w:val="single"/>
        </w:rPr>
        <w:t xml:space="preserve">               （</w:t>
      </w:r>
      <w:r>
        <w:rPr>
          <w:rFonts w:hint="eastAsia" w:ascii="宋体" w:hAnsi="宋体" w:cs="宋体"/>
          <w:b/>
          <w:bCs/>
          <w:kern w:val="0"/>
          <w:sz w:val="24"/>
          <w:lang w:val="zh-CN"/>
        </w:rPr>
        <w:t xml:space="preserve">全称）                      </w:t>
      </w:r>
    </w:p>
    <w:p w14:paraId="1D78C879">
      <w:pPr>
        <w:widowControl/>
        <w:adjustRightInd w:val="0"/>
        <w:spacing w:line="360" w:lineRule="auto"/>
        <w:rPr>
          <w:rFonts w:hint="eastAsia" w:ascii="宋体" w:hAnsi="宋体" w:cs="宋体"/>
          <w:b/>
          <w:bCs/>
          <w:kern w:val="0"/>
          <w:sz w:val="24"/>
          <w:u w:val="single"/>
          <w:lang w:val="zh-CN"/>
        </w:rPr>
      </w:pPr>
      <w:r>
        <w:rPr>
          <w:rFonts w:hint="eastAsia" w:ascii="宋体" w:hAnsi="宋体" w:cs="宋体"/>
          <w:b/>
          <w:bCs/>
          <w:kern w:val="0"/>
          <w:sz w:val="24"/>
          <w:lang w:val="zh-CN"/>
        </w:rPr>
        <w:t>联系人：</w:t>
      </w:r>
      <w:r>
        <w:rPr>
          <w:rFonts w:hint="eastAsia" w:ascii="宋体" w:hAnsi="宋体" w:cs="宋体"/>
          <w:b/>
          <w:bCs/>
          <w:kern w:val="0"/>
          <w:sz w:val="24"/>
          <w:u w:val="single"/>
          <w:lang w:val="zh-CN"/>
        </w:rPr>
        <w:t xml:space="preserve">          </w:t>
      </w:r>
      <w:r>
        <w:rPr>
          <w:rFonts w:hint="eastAsia" w:ascii="宋体" w:hAnsi="宋体" w:cs="宋体"/>
          <w:b/>
          <w:bCs/>
          <w:kern w:val="0"/>
          <w:sz w:val="24"/>
          <w:u w:val="single"/>
        </w:rPr>
        <w:t xml:space="preserve">       </w:t>
      </w:r>
      <w:r>
        <w:rPr>
          <w:rFonts w:hint="eastAsia" w:ascii="宋体" w:hAnsi="宋体" w:cs="宋体"/>
          <w:b/>
          <w:bCs/>
          <w:kern w:val="0"/>
          <w:sz w:val="24"/>
          <w:u w:val="single"/>
          <w:lang w:val="zh-CN"/>
        </w:rPr>
        <w:t xml:space="preserve"> </w:t>
      </w:r>
    </w:p>
    <w:p w14:paraId="6FA114C8">
      <w:pPr>
        <w:widowControl/>
        <w:adjustRightInd w:val="0"/>
        <w:spacing w:line="360" w:lineRule="auto"/>
        <w:rPr>
          <w:rFonts w:hint="eastAsia" w:ascii="宋体" w:hAnsi="宋体" w:cs="宋体"/>
          <w:b/>
          <w:bCs/>
          <w:kern w:val="0"/>
          <w:sz w:val="24"/>
          <w:u w:val="single"/>
          <w:lang w:val="zh-CN"/>
        </w:rPr>
      </w:pPr>
      <w:r>
        <w:rPr>
          <w:rFonts w:hint="eastAsia" w:ascii="宋体" w:hAnsi="宋体" w:cs="宋体"/>
          <w:b/>
          <w:bCs/>
          <w:kern w:val="0"/>
          <w:sz w:val="24"/>
          <w:lang w:val="zh-CN"/>
        </w:rPr>
        <w:t>联系电话：</w:t>
      </w:r>
      <w:r>
        <w:rPr>
          <w:rFonts w:hint="eastAsia" w:ascii="宋体" w:hAnsi="宋体" w:cs="宋体"/>
          <w:b/>
          <w:bCs/>
          <w:kern w:val="0"/>
          <w:sz w:val="24"/>
          <w:u w:val="single"/>
          <w:lang w:val="zh-CN"/>
        </w:rPr>
        <w:t xml:space="preserve">          </w:t>
      </w:r>
      <w:r>
        <w:rPr>
          <w:rFonts w:hint="eastAsia" w:ascii="宋体" w:hAnsi="宋体" w:cs="宋体"/>
          <w:b/>
          <w:bCs/>
          <w:kern w:val="0"/>
          <w:sz w:val="24"/>
          <w:u w:val="single"/>
        </w:rPr>
        <w:t xml:space="preserve">  </w:t>
      </w:r>
      <w:r>
        <w:rPr>
          <w:rFonts w:hint="eastAsia" w:ascii="宋体" w:hAnsi="宋体" w:cs="宋体"/>
          <w:b/>
          <w:bCs/>
          <w:kern w:val="0"/>
          <w:sz w:val="24"/>
          <w:u w:val="single"/>
          <w:lang w:val="zh-CN"/>
        </w:rPr>
        <w:t xml:space="preserve"> </w:t>
      </w:r>
      <w:r>
        <w:rPr>
          <w:rFonts w:hint="eastAsia" w:ascii="宋体" w:hAnsi="宋体" w:cs="宋体"/>
          <w:b/>
          <w:bCs/>
          <w:kern w:val="0"/>
          <w:sz w:val="24"/>
          <w:u w:val="single"/>
        </w:rPr>
        <w:t xml:space="preserve">  </w:t>
      </w:r>
      <w:r>
        <w:rPr>
          <w:rFonts w:hint="eastAsia" w:ascii="宋体" w:hAnsi="宋体" w:cs="宋体"/>
          <w:b/>
          <w:bCs/>
          <w:kern w:val="0"/>
          <w:sz w:val="24"/>
          <w:u w:val="single"/>
          <w:lang w:val="zh-CN"/>
        </w:rPr>
        <w:t xml:space="preserve">  </w:t>
      </w:r>
    </w:p>
    <w:p w14:paraId="1B438F31">
      <w:pPr>
        <w:widowControl/>
        <w:adjustRightInd w:val="0"/>
        <w:spacing w:line="360" w:lineRule="auto"/>
        <w:rPr>
          <w:rFonts w:hint="eastAsia" w:ascii="宋体" w:hAnsi="宋体" w:cs="宋体"/>
          <w:b/>
          <w:bCs/>
          <w:kern w:val="0"/>
          <w:sz w:val="24"/>
          <w:lang w:val="zh-CN"/>
        </w:rPr>
      </w:pPr>
      <w:r>
        <w:rPr>
          <w:rFonts w:hint="eastAsia" w:ascii="宋体" w:hAnsi="宋体" w:cs="宋体"/>
          <w:b/>
          <w:bCs/>
          <w:kern w:val="0"/>
          <w:sz w:val="24"/>
          <w:lang w:val="zh-CN"/>
        </w:rPr>
        <w:t>日期：</w:t>
      </w:r>
      <w:r>
        <w:rPr>
          <w:rFonts w:hint="eastAsia" w:ascii="宋体" w:hAnsi="宋体" w:cs="宋体"/>
          <w:b/>
          <w:bCs/>
          <w:kern w:val="0"/>
          <w:sz w:val="24"/>
          <w:u w:val="single"/>
        </w:rPr>
        <w:t xml:space="preserve">      </w:t>
      </w:r>
      <w:r>
        <w:rPr>
          <w:rFonts w:hint="eastAsia" w:ascii="宋体" w:hAnsi="宋体" w:cs="宋体"/>
          <w:b/>
          <w:bCs/>
          <w:kern w:val="0"/>
          <w:sz w:val="24"/>
          <w:lang w:val="zh-CN"/>
        </w:rPr>
        <w:t>年</w:t>
      </w:r>
      <w:r>
        <w:rPr>
          <w:rFonts w:hint="eastAsia" w:ascii="宋体" w:hAnsi="宋体" w:cs="宋体"/>
          <w:b/>
          <w:bCs/>
          <w:kern w:val="0"/>
          <w:sz w:val="24"/>
          <w:u w:val="single"/>
          <w:lang w:val="zh-CN"/>
        </w:rPr>
        <w:t xml:space="preserve"> </w:t>
      </w:r>
      <w:r>
        <w:rPr>
          <w:rFonts w:hint="eastAsia" w:ascii="宋体" w:hAnsi="宋体" w:cs="宋体"/>
          <w:b/>
          <w:bCs/>
          <w:kern w:val="0"/>
          <w:sz w:val="24"/>
          <w:u w:val="single"/>
        </w:rPr>
        <w:t xml:space="preserve">   </w:t>
      </w:r>
      <w:r>
        <w:rPr>
          <w:rFonts w:hint="eastAsia" w:ascii="宋体" w:hAnsi="宋体" w:cs="宋体"/>
          <w:b/>
          <w:bCs/>
          <w:kern w:val="0"/>
          <w:sz w:val="24"/>
          <w:u w:val="single"/>
          <w:lang w:val="zh-CN"/>
        </w:rPr>
        <w:t xml:space="preserve">  </w:t>
      </w:r>
      <w:r>
        <w:rPr>
          <w:rFonts w:hint="eastAsia" w:ascii="宋体" w:hAnsi="宋体" w:cs="宋体"/>
          <w:b/>
          <w:bCs/>
          <w:kern w:val="0"/>
          <w:sz w:val="24"/>
          <w:lang w:val="zh-CN"/>
        </w:rPr>
        <w:t>月</w:t>
      </w:r>
      <w:r>
        <w:rPr>
          <w:rFonts w:hint="eastAsia" w:ascii="宋体" w:hAnsi="宋体" w:cs="宋体"/>
          <w:b/>
          <w:bCs/>
          <w:kern w:val="0"/>
          <w:sz w:val="24"/>
          <w:u w:val="single"/>
          <w:lang w:val="zh-CN"/>
        </w:rPr>
        <w:t xml:space="preserve">  </w:t>
      </w:r>
      <w:r>
        <w:rPr>
          <w:rFonts w:hint="eastAsia" w:ascii="宋体" w:hAnsi="宋体" w:cs="宋体"/>
          <w:b/>
          <w:bCs/>
          <w:kern w:val="0"/>
          <w:sz w:val="24"/>
          <w:u w:val="single"/>
        </w:rPr>
        <w:t xml:space="preserve">   </w:t>
      </w:r>
      <w:r>
        <w:rPr>
          <w:rFonts w:hint="eastAsia" w:ascii="宋体" w:hAnsi="宋体" w:cs="宋体"/>
          <w:b/>
          <w:bCs/>
          <w:kern w:val="0"/>
          <w:sz w:val="24"/>
          <w:u w:val="single"/>
          <w:lang w:val="zh-CN"/>
        </w:rPr>
        <w:t xml:space="preserve"> </w:t>
      </w:r>
      <w:r>
        <w:rPr>
          <w:rFonts w:hint="eastAsia" w:ascii="宋体" w:hAnsi="宋体" w:cs="宋体"/>
          <w:b/>
          <w:bCs/>
          <w:kern w:val="0"/>
          <w:sz w:val="24"/>
          <w:lang w:val="zh-CN"/>
        </w:rPr>
        <w:t>日</w:t>
      </w:r>
    </w:p>
    <w:p w14:paraId="3AB5A45D">
      <w:pPr>
        <w:widowControl/>
        <w:adjustRightInd w:val="0"/>
        <w:spacing w:line="360" w:lineRule="auto"/>
        <w:rPr>
          <w:rFonts w:hint="eastAsia" w:ascii="宋体" w:hAnsi="宋体" w:cs="宋体"/>
          <w:b/>
          <w:bCs/>
          <w:kern w:val="0"/>
          <w:sz w:val="24"/>
          <w:lang w:val="zh-CN"/>
        </w:rPr>
      </w:pPr>
    </w:p>
    <w:p w14:paraId="05227A6A">
      <w:pPr>
        <w:spacing w:line="360" w:lineRule="auto"/>
        <w:rPr>
          <w:rFonts w:hint="eastAsia" w:ascii="宋体" w:hAnsi="宋体" w:cs="宋体"/>
          <w:sz w:val="24"/>
        </w:rPr>
      </w:pPr>
    </w:p>
    <w:p w14:paraId="165FFE52"/>
    <w:p w14:paraId="0DDA53E5"/>
    <w:sectPr>
      <w:type w:val="continuous"/>
      <w:pgSz w:w="11907" w:h="16840"/>
      <w:pgMar w:top="1440" w:right="1803" w:bottom="1440" w:left="1803" w:header="851" w:footer="850" w:gutter="0"/>
      <w:cols w:space="720" w:num="1"/>
      <w:titlePg/>
      <w:docGrid w:type="linesAndChars" w:linePitch="319" w:charSpace="-3473"/>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C202E5">
    <w:pPr>
      <w:pStyle w:val="10"/>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2491821">
                          <w:pPr>
                            <w:pStyle w:val="10"/>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9j2DAsAgAAV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r2PYMCwCAABVBAAADgAAAAAAAAABACAAAAAfAQAAZHJzL2Uyb0RvYy54bWxQSwUGAAAAAAYA&#10;BgBZAQAAvQUAAAAA&#10;">
              <v:fill on="f" focussize="0,0"/>
              <v:stroke on="f" weight="0.5pt"/>
              <v:imagedata o:title=""/>
              <o:lock v:ext="edit" aspectratio="f"/>
              <v:textbox inset="0mm,0mm,0mm,0mm" style="mso-fit-shape-to-text:t;">
                <w:txbxContent>
                  <w:p w14:paraId="32491821">
                    <w:pPr>
                      <w:pStyle w:val="10"/>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6184BC">
    <w:pPr>
      <w:pStyle w:val="1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33985" cy="153035"/>
              <wp:effectExtent l="0" t="0" r="0" b="0"/>
              <wp:wrapNone/>
              <wp:docPr id="1" name="文本框 3"/>
              <wp:cNvGraphicFramePr/>
              <a:graphic xmlns:a="http://schemas.openxmlformats.org/drawingml/2006/main">
                <a:graphicData uri="http://schemas.microsoft.com/office/word/2010/wordprocessingShape">
                  <wps:wsp>
                    <wps:cNvSpPr txBox="1"/>
                    <wps:spPr>
                      <a:xfrm>
                        <a:off x="0" y="0"/>
                        <a:ext cx="133985" cy="153035"/>
                      </a:xfrm>
                      <a:prstGeom prst="rect">
                        <a:avLst/>
                      </a:prstGeom>
                      <a:noFill/>
                      <a:ln>
                        <a:noFill/>
                      </a:ln>
                    </wps:spPr>
                    <wps:txbx>
                      <w:txbxContent>
                        <w:p w14:paraId="29416B74">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48</w:t>
                          </w:r>
                          <w:r>
                            <w:rPr>
                              <w:rFonts w:hint="eastAsia"/>
                              <w:sz w:val="18"/>
                            </w:rPr>
                            <w:fldChar w:fldCharType="end"/>
                          </w:r>
                        </w:p>
                      </w:txbxContent>
                    </wps:txbx>
                    <wps:bodyPr vert="horz" wrap="none" lIns="0" tIns="0" rIns="0" bIns="0" anchor="t" anchorCtr="0" upright="1">
                      <a:spAutoFit/>
                    </wps:bodyPr>
                  </wps:wsp>
                </a:graphicData>
              </a:graphic>
            </wp:anchor>
          </w:drawing>
        </mc:Choice>
        <mc:Fallback>
          <w:pict>
            <v:shape id="文本框 3" o:spid="_x0000_s1026" o:spt="202" type="#_x0000_t202" style="position:absolute;left:0pt;margin-top:0pt;height:12.05pt;width:10.55pt;mso-position-horizontal:center;mso-position-horizontal-relative:margin;mso-wrap-style:none;z-index:251659264;mso-width-relative:page;mso-height-relative:page;" filled="f" stroked="f" coordsize="21600,21600" o:gfxdata="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">
              <v:fill on="f" focussize="0,0"/>
              <v:stroke on="f"/>
              <v:imagedata o:title=""/>
              <o:lock v:ext="edit" aspectratio="f"/>
              <v:textbox inset="0mm,0mm,0mm,0mm" style="mso-fit-shape-to-text:t;">
                <w:txbxContent>
                  <w:p w14:paraId="29416B74">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48</w:t>
                    </w:r>
                    <w:r>
                      <w:rPr>
                        <w:rFonts w:hint="eastAsia"/>
                        <w:sz w:val="18"/>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2639AF">
    <w:pPr>
      <w:pStyle w:val="10"/>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67310" cy="153035"/>
              <wp:effectExtent l="0" t="0" r="0" b="0"/>
              <wp:wrapNone/>
              <wp:docPr id="2" name="文本框 2"/>
              <wp:cNvGraphicFramePr/>
              <a:graphic xmlns:a="http://schemas.openxmlformats.org/drawingml/2006/main">
                <a:graphicData uri="http://schemas.microsoft.com/office/word/2010/wordprocessingShape">
                  <wps:wsp>
                    <wps:cNvSpPr txBox="1"/>
                    <wps:spPr>
                      <a:xfrm>
                        <a:off x="0" y="0"/>
                        <a:ext cx="67310" cy="153035"/>
                      </a:xfrm>
                      <a:prstGeom prst="rect">
                        <a:avLst/>
                      </a:prstGeom>
                      <a:noFill/>
                      <a:ln>
                        <a:noFill/>
                      </a:ln>
                    </wps:spPr>
                    <wps:txbx>
                      <w:txbxContent>
                        <w:p w14:paraId="7B364D7E">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7</w:t>
                          </w:r>
                          <w:r>
                            <w:rPr>
                              <w:rFonts w:hint="eastAsia"/>
                              <w:sz w:val="18"/>
                            </w:rPr>
                            <w:fldChar w:fldCharType="end"/>
                          </w:r>
                        </w:p>
                      </w:txbxContent>
                    </wps:txbx>
                    <wps:bodyPr vert="horz" wrap="none" lIns="0" tIns="0" rIns="0" bIns="0" anchor="t" anchorCtr="0" upright="1">
                      <a:spAutoFit/>
                    </wps:bodyPr>
                  </wps:wsp>
                </a:graphicData>
              </a:graphic>
            </wp:anchor>
          </w:drawing>
        </mc:Choice>
        <mc:Fallback>
          <w:pict>
            <v:shape id="_x0000_s1026" o:spid="_x0000_s1026" o:spt="202" type="#_x0000_t202" style="position:absolute;left:0pt;margin-top:0pt;height:12.05pt;width:5.3pt;mso-position-horizontal:center;mso-position-horizontal-relative:margin;mso-wrap-style:none;z-index:251660288;mso-width-relative:page;mso-height-relative:page;" filled="f" stroked="f" coordsize="21600,21600" o:gfxdata="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BnqzVF0AAAAAMBAAAPAAAAAAAA&#10;AAEAIAAAACIAAABkcnMvZG93bnJldi54bWxQSwECFAAUAAAACACHTuJABNkeBeEBAAC7AwAADgAA&#10;AAAAAAABACAAAAAfAQAAZHJzL2Uyb0RvYy54bWxQSwUGAAAAAAYABgBZAQAAcgUAAAAA&#10;">
              <v:fill on="f" focussize="0,0"/>
              <v:stroke on="f"/>
              <v:imagedata o:title=""/>
              <o:lock v:ext="edit" aspectratio="f"/>
              <v:textbox inset="0mm,0mm,0mm,0mm" style="mso-fit-shape-to-text:t;">
                <w:txbxContent>
                  <w:p w14:paraId="7B364D7E">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7</w:t>
                    </w:r>
                    <w:r>
                      <w:rPr>
                        <w:rFonts w:hint="eastAsia"/>
                        <w:sz w:val="18"/>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AB0929">
    <w:pPr>
      <w:spacing w:line="186" w:lineRule="auto"/>
      <w:ind w:left="4792"/>
      <w:rPr>
        <w:rFonts w:eastAsia="Times New Roman"/>
        <w:szCs w:val="21"/>
      </w:rPr>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C2AFC98">
                          <w:pPr>
                            <w:pStyle w:val="10"/>
                          </w:pPr>
                          <w:r>
                            <w:fldChar w:fldCharType="begin"/>
                          </w:r>
                          <w:r>
                            <w:instrText xml:space="preserve"> PAGE  \* MERGEFORMAT </w:instrText>
                          </w:r>
                          <w:r>
                            <w:fldChar w:fldCharType="separate"/>
                          </w:r>
                          <w:r>
                            <w:t>49</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bVWnMqAgAAVQ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CbVWnMqAgAAVQQAAA4AAAAAAAAAAQAgAAAAHwEAAGRycy9lMm9Eb2MueG1sUEsFBgAAAAAGAAYA&#10;WQEAALsFAAAAAA==&#10;">
              <v:fill on="f" focussize="0,0"/>
              <v:stroke on="f" weight="0.5pt"/>
              <v:imagedata o:title=""/>
              <o:lock v:ext="edit" aspectratio="f"/>
              <v:textbox inset="0mm,0mm,0mm,0mm" style="mso-fit-shape-to-text:t;">
                <w:txbxContent>
                  <w:p w14:paraId="0C2AFC98">
                    <w:pPr>
                      <w:pStyle w:val="10"/>
                    </w:pPr>
                    <w:r>
                      <w:fldChar w:fldCharType="begin"/>
                    </w:r>
                    <w:r>
                      <w:instrText xml:space="preserve"> PAGE  \* MERGEFORMAT </w:instrText>
                    </w:r>
                    <w:r>
                      <w:fldChar w:fldCharType="separate"/>
                    </w:r>
                    <w:r>
                      <w:t>49</w:t>
                    </w:r>
                    <w:r>
                      <w:fldChar w:fldCharType="end"/>
                    </w:r>
                  </w:p>
                </w:txbxContent>
              </v:textbox>
            </v:shape>
          </w:pict>
        </mc:Fallback>
      </mc:AlternateContent>
    </w:r>
    <w:r>
      <w:rPr>
        <w:rFonts w:eastAsia="Times New Roman"/>
        <w:spacing w:val="-2"/>
        <w:szCs w:val="21"/>
      </w:rPr>
      <w:t>33</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E1B276">
    <w:pPr>
      <w:spacing w:line="186" w:lineRule="auto"/>
      <w:ind w:left="4792"/>
      <w:rPr>
        <w:rFonts w:eastAsia="Times New Roman"/>
        <w:szCs w:val="21"/>
      </w:rPr>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F6B1AC8">
                          <w:pPr>
                            <w:pStyle w:val="10"/>
                          </w:pPr>
                          <w:r>
                            <w:fldChar w:fldCharType="begin"/>
                          </w:r>
                          <w:r>
                            <w:instrText xml:space="preserve"> PAGE  \* MERGEFORMAT </w:instrText>
                          </w:r>
                          <w:r>
                            <w:fldChar w:fldCharType="separate"/>
                          </w:r>
                          <w:r>
                            <w:t>50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66C/ssAgAAV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nroL+ywCAABVBAAADgAAAAAAAAABACAAAAAfAQAAZHJzL2Uyb0RvYy54bWxQSwUGAAAAAAYA&#10;BgBZAQAAvQUAAAAA&#10;">
              <v:fill on="f" focussize="0,0"/>
              <v:stroke on="f" weight="0.5pt"/>
              <v:imagedata o:title=""/>
              <o:lock v:ext="edit" aspectratio="f"/>
              <v:textbox inset="0mm,0mm,0mm,0mm" style="mso-fit-shape-to-text:t;">
                <w:txbxContent>
                  <w:p w14:paraId="5F6B1AC8">
                    <w:pPr>
                      <w:pStyle w:val="10"/>
                    </w:pPr>
                    <w:r>
                      <w:fldChar w:fldCharType="begin"/>
                    </w:r>
                    <w:r>
                      <w:instrText xml:space="preserve"> PAGE  \* MERGEFORMAT </w:instrText>
                    </w:r>
                    <w:r>
                      <w:fldChar w:fldCharType="separate"/>
                    </w:r>
                    <w:r>
                      <w:t>50</w:t>
                    </w:r>
                    <w:r>
                      <w:fldChar w:fldCharType="end"/>
                    </w:r>
                  </w:p>
                </w:txbxContent>
              </v:textbox>
            </v:shape>
          </w:pict>
        </mc:Fallback>
      </mc:AlternateContent>
    </w:r>
    <w:r>
      <w:rPr>
        <w:rFonts w:eastAsia="Times New Roman"/>
        <w:spacing w:val="-2"/>
        <w:szCs w:val="21"/>
      </w:rPr>
      <w:t>34</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101E5F">
    <w:pPr>
      <w:spacing w:line="186" w:lineRule="auto"/>
      <w:ind w:left="4792"/>
      <w:rPr>
        <w:rFonts w:eastAsia="Times New Roman"/>
        <w:szCs w:val="21"/>
      </w:rPr>
    </w:pPr>
    <w: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5FB620C">
                          <w:pPr>
                            <w:pStyle w:val="10"/>
                          </w:pPr>
                          <w:r>
                            <w:fldChar w:fldCharType="begin"/>
                          </w:r>
                          <w:r>
                            <w:instrText xml:space="preserve"> PAGE  \* MERGEFORMAT </w:instrText>
                          </w:r>
                          <w:r>
                            <w:fldChar w:fldCharType="separate"/>
                          </w:r>
                          <w:r>
                            <w:t>51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LQ8m0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y0PJtKwIAAFUEAAAOAAAAAAAAAAEAIAAAAB8BAABkcnMvZTJvRG9jLnhtbFBLBQYAAAAABgAG&#10;AFkBAAC8BQAAAAA=&#10;">
              <v:fill on="f" focussize="0,0"/>
              <v:stroke on="f" weight="0.5pt"/>
              <v:imagedata o:title=""/>
              <o:lock v:ext="edit" aspectratio="f"/>
              <v:textbox inset="0mm,0mm,0mm,0mm" style="mso-fit-shape-to-text:t;">
                <w:txbxContent>
                  <w:p w14:paraId="25FB620C">
                    <w:pPr>
                      <w:pStyle w:val="10"/>
                    </w:pPr>
                    <w:r>
                      <w:fldChar w:fldCharType="begin"/>
                    </w:r>
                    <w:r>
                      <w:instrText xml:space="preserve"> PAGE  \* MERGEFORMAT </w:instrText>
                    </w:r>
                    <w:r>
                      <w:fldChar w:fldCharType="separate"/>
                    </w:r>
                    <w:r>
                      <w:t>51</w:t>
                    </w:r>
                    <w:r>
                      <w:fldChar w:fldCharType="end"/>
                    </w:r>
                  </w:p>
                </w:txbxContent>
              </v:textbox>
            </v:shape>
          </w:pict>
        </mc:Fallback>
      </mc:AlternateContent>
    </w:r>
    <w:r>
      <w:rPr>
        <w:rFonts w:eastAsia="Times New Roman"/>
        <w:spacing w:val="-2"/>
        <w:szCs w:val="21"/>
      </w:rPr>
      <w:t>35</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30364D">
    <w:pPr>
      <w:spacing w:line="186" w:lineRule="auto"/>
      <w:ind w:left="4264"/>
      <w:rPr>
        <w:rFonts w:eastAsia="Times New Roman"/>
        <w:szCs w:val="21"/>
      </w:rPr>
    </w:pPr>
    <w: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5CF3B60">
                          <w:pPr>
                            <w:pStyle w:val="10"/>
                          </w:pPr>
                          <w:r>
                            <w:fldChar w:fldCharType="begin"/>
                          </w:r>
                          <w:r>
                            <w:instrText xml:space="preserve"> PAGE  \* MERGEFORMAT </w:instrText>
                          </w:r>
                          <w:r>
                            <w:fldChar w:fldCharType="separate"/>
                          </w:r>
                          <w:r>
                            <w:t>52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q/o+UsAgAAV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yr+j5SwCAABVBAAADgAAAAAAAAABACAAAAAfAQAAZHJzL2Uyb0RvYy54bWxQSwUGAAAAAAYA&#10;BgBZAQAAvQUAAAAA&#10;">
              <v:fill on="f" focussize="0,0"/>
              <v:stroke on="f" weight="0.5pt"/>
              <v:imagedata o:title=""/>
              <o:lock v:ext="edit" aspectratio="f"/>
              <v:textbox inset="0mm,0mm,0mm,0mm" style="mso-fit-shape-to-text:t;">
                <w:txbxContent>
                  <w:p w14:paraId="65CF3B60">
                    <w:pPr>
                      <w:pStyle w:val="10"/>
                    </w:pPr>
                    <w:r>
                      <w:fldChar w:fldCharType="begin"/>
                    </w:r>
                    <w:r>
                      <w:instrText xml:space="preserve"> PAGE  \* MERGEFORMAT </w:instrText>
                    </w:r>
                    <w:r>
                      <w:fldChar w:fldCharType="separate"/>
                    </w:r>
                    <w:r>
                      <w:t>52</w:t>
                    </w:r>
                    <w:r>
                      <w:fldChar w:fldCharType="end"/>
                    </w:r>
                  </w:p>
                </w:txbxContent>
              </v:textbox>
            </v:shape>
          </w:pict>
        </mc:Fallback>
      </mc:AlternateContent>
    </w:r>
    <w:r>
      <w:rPr>
        <w:rFonts w:eastAsia="Times New Roman"/>
        <w:spacing w:val="-2"/>
        <w:szCs w:val="21"/>
      </w:rPr>
      <w:t>36</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951BF1">
    <w:pPr>
      <w:spacing w:line="186" w:lineRule="auto"/>
      <w:ind w:left="4072"/>
      <w:rPr>
        <w:rFonts w:eastAsia="Times New Roman"/>
        <w:szCs w:val="21"/>
      </w:rPr>
    </w:pPr>
    <w: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1D3BF0E">
                          <w:pPr>
                            <w:pStyle w:val="10"/>
                          </w:pPr>
                          <w:r>
                            <w:fldChar w:fldCharType="begin"/>
                          </w:r>
                          <w:r>
                            <w:instrText xml:space="preserve"> PAGE  \* MERGEFORMAT </w:instrText>
                          </w:r>
                          <w:r>
                            <w:fldChar w:fldCharType="separate"/>
                          </w:r>
                          <w:r>
                            <w:t>53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rd1wwq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Mrd1wwqAgAAVwQAAA4AAAAAAAAAAQAgAAAAHwEAAGRycy9lMm9Eb2MueG1sUEsFBgAAAAAGAAYA&#10;WQEAALsFAAAAAA==&#10;">
              <v:fill on="f" focussize="0,0"/>
              <v:stroke on="f" weight="0.5pt"/>
              <v:imagedata o:title=""/>
              <o:lock v:ext="edit" aspectratio="f"/>
              <v:textbox inset="0mm,0mm,0mm,0mm" style="mso-fit-shape-to-text:t;">
                <w:txbxContent>
                  <w:p w14:paraId="01D3BF0E">
                    <w:pPr>
                      <w:pStyle w:val="10"/>
                    </w:pPr>
                    <w:r>
                      <w:fldChar w:fldCharType="begin"/>
                    </w:r>
                    <w:r>
                      <w:instrText xml:space="preserve"> PAGE  \* MERGEFORMAT </w:instrText>
                    </w:r>
                    <w:r>
                      <w:fldChar w:fldCharType="separate"/>
                    </w:r>
                    <w:r>
                      <w:t>53</w:t>
                    </w:r>
                    <w:r>
                      <w:fldChar w:fldCharType="end"/>
                    </w:r>
                  </w:p>
                </w:txbxContent>
              </v:textbox>
            </v:shape>
          </w:pict>
        </mc:Fallback>
      </mc:AlternateContent>
    </w:r>
    <w:r>
      <w:rPr>
        <w:rFonts w:eastAsia="Times New Roman"/>
        <w:spacing w:val="-2"/>
        <w:szCs w:val="21"/>
      </w:rPr>
      <w:t>37</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769BCF">
    <w:pPr>
      <w:spacing w:line="186" w:lineRule="auto"/>
      <w:ind w:left="4072"/>
      <w:rPr>
        <w:rFonts w:eastAsia="Times New Roman"/>
        <w:szCs w:val="21"/>
      </w:rPr>
    </w:pPr>
    <w: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03766F3">
                          <w:pPr>
                            <w:pStyle w:val="10"/>
                          </w:pPr>
                          <w:r>
                            <w:fldChar w:fldCharType="begin"/>
                          </w:r>
                          <w:r>
                            <w:instrText xml:space="preserve"> PAGE  \* MERGEFORMAT </w:instrText>
                          </w:r>
                          <w:r>
                            <w:fldChar w:fldCharType="separate"/>
                          </w:r>
                          <w:r>
                            <w:t>54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ikIRMKwIAAFcEAAAOAAAAAAAAAAEAIAAAAB8BAABkcnMvZTJvRG9jLnhtbFBLBQYAAAAABgAG&#10;AFkBAAC8BQAAAAA=&#10;">
              <v:fill on="f" focussize="0,0"/>
              <v:stroke on="f" weight="0.5pt"/>
              <v:imagedata o:title=""/>
              <o:lock v:ext="edit" aspectratio="f"/>
              <v:textbox inset="0mm,0mm,0mm,0mm" style="mso-fit-shape-to-text:t;">
                <w:txbxContent>
                  <w:p w14:paraId="703766F3">
                    <w:pPr>
                      <w:pStyle w:val="10"/>
                    </w:pPr>
                    <w:r>
                      <w:fldChar w:fldCharType="begin"/>
                    </w:r>
                    <w:r>
                      <w:instrText xml:space="preserve"> PAGE  \* MERGEFORMAT </w:instrText>
                    </w:r>
                    <w:r>
                      <w:fldChar w:fldCharType="separate"/>
                    </w:r>
                    <w:r>
                      <w:t>54</w:t>
                    </w:r>
                    <w:r>
                      <w:fldChar w:fldCharType="end"/>
                    </w:r>
                  </w:p>
                </w:txbxContent>
              </v:textbox>
            </v:shape>
          </w:pict>
        </mc:Fallback>
      </mc:AlternateContent>
    </w:r>
    <w:r>
      <w:rPr>
        <w:rFonts w:eastAsia="Times New Roman"/>
        <w:spacing w:val="-2"/>
        <w:szCs w:val="21"/>
      </w:rPr>
      <w:t>38</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EF58D8">
    <w:pPr>
      <w:spacing w:line="186" w:lineRule="auto"/>
      <w:ind w:left="4117"/>
      <w:rPr>
        <w:rFonts w:eastAsia="Times New Roman"/>
        <w:szCs w:val="21"/>
      </w:rPr>
    </w:pPr>
    <w: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272EFE0">
                          <w:pPr>
                            <w:pStyle w:val="10"/>
                          </w:pPr>
                          <w:r>
                            <w:fldChar w:fldCharType="begin"/>
                          </w:r>
                          <w:r>
                            <w:instrText xml:space="preserve"> PAGE  \* MERGEFORMAT </w:instrText>
                          </w:r>
                          <w:r>
                            <w:fldChar w:fldCharType="separate"/>
                          </w:r>
                          <w:r>
                            <w:t>55</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pGcYwr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CaRnGMKwIAAFcEAAAOAAAAAAAAAAEAIAAAAB8BAABkcnMvZTJvRG9jLnhtbFBLBQYAAAAABgAG&#10;AFkBAAC8BQAAAAA=&#10;">
              <v:fill on="f" focussize="0,0"/>
              <v:stroke on="f" weight="0.5pt"/>
              <v:imagedata o:title=""/>
              <o:lock v:ext="edit" aspectratio="f"/>
              <v:textbox inset="0mm,0mm,0mm,0mm" style="mso-fit-shape-to-text:t;">
                <w:txbxContent>
                  <w:p w14:paraId="2272EFE0">
                    <w:pPr>
                      <w:pStyle w:val="10"/>
                    </w:pPr>
                    <w:r>
                      <w:fldChar w:fldCharType="begin"/>
                    </w:r>
                    <w:r>
                      <w:instrText xml:space="preserve"> PAGE  \* MERGEFORMAT </w:instrText>
                    </w:r>
                    <w:r>
                      <w:fldChar w:fldCharType="separate"/>
                    </w:r>
                    <w:r>
                      <w:t>55</w:t>
                    </w:r>
                    <w:r>
                      <w:fldChar w:fldCharType="end"/>
                    </w:r>
                  </w:p>
                </w:txbxContent>
              </v:textbox>
            </v:shape>
          </w:pict>
        </mc:Fallback>
      </mc:AlternateContent>
    </w:r>
    <w:r>
      <w:rPr>
        <w:rFonts w:eastAsia="Times New Roman"/>
        <w:spacing w:val="-2"/>
        <w:szCs w:val="21"/>
      </w:rPr>
      <w:t>39</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A3B1B4">
    <w:pPr>
      <w:spacing w:line="186" w:lineRule="auto"/>
      <w:ind w:left="4067"/>
      <w:rPr>
        <w:rFonts w:eastAsia="Times New Roman"/>
        <w:szCs w:val="21"/>
      </w:rPr>
    </w:pPr>
    <w: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77B7752">
                          <w:pPr>
                            <w:pStyle w:val="10"/>
                          </w:pPr>
                          <w:r>
                            <w:fldChar w:fldCharType="begin"/>
                          </w:r>
                          <w:r>
                            <w:instrText xml:space="preserve"> PAGE  \* MERGEFORMAT </w:instrText>
                          </w:r>
                          <w:r>
                            <w:fldChar w:fldCharType="separate"/>
                          </w:r>
                          <w:r>
                            <w:t>56</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ILIswsAgAAVwQAAA4AAABkcnMvZTJvRG9jLnhtbK1UzY7TMBC+I/EO&#10;lu80bVes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1dvx+nCxQNwqZEjkugeG63Q7tqe2c4U&#10;JxBzpusNb/mmRvIt8+GeOTQDHoxxCXdYSmmQxPQWJZVxX/91HuNRI3gpadBcOdWYJUrkB43aATAM&#10;hhuM3WDog7o16NYJxtDyZOKCC3IwS2fUF8zQKuaAi2mOTDkNg3kbugbHDHKxWqUgdJtlYasfLI/Q&#10;UTxvV4cAAZOuUZROiV4r9FuqTD8bsaH/3Keop//B8h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MgsizCwCAABXBAAADgAAAAAAAAABACAAAAAfAQAAZHJzL2Uyb0RvYy54bWxQSwUGAAAAAAYA&#10;BgBZAQAAvQUAAAAA&#10;">
              <v:fill on="f" focussize="0,0"/>
              <v:stroke on="f" weight="0.5pt"/>
              <v:imagedata o:title=""/>
              <o:lock v:ext="edit" aspectratio="f"/>
              <v:textbox inset="0mm,0mm,0mm,0mm" style="mso-fit-shape-to-text:t;">
                <w:txbxContent>
                  <w:p w14:paraId="677B7752">
                    <w:pPr>
                      <w:pStyle w:val="10"/>
                    </w:pPr>
                    <w:r>
                      <w:fldChar w:fldCharType="begin"/>
                    </w:r>
                    <w:r>
                      <w:instrText xml:space="preserve"> PAGE  \* MERGEFORMAT </w:instrText>
                    </w:r>
                    <w:r>
                      <w:fldChar w:fldCharType="separate"/>
                    </w:r>
                    <w:r>
                      <w:t>56</w:t>
                    </w:r>
                    <w:r>
                      <w:fldChar w:fldCharType="end"/>
                    </w:r>
                  </w:p>
                </w:txbxContent>
              </v:textbox>
            </v:shape>
          </w:pict>
        </mc:Fallback>
      </mc:AlternateContent>
    </w:r>
    <w:r>
      <w:rPr>
        <w:rFonts w:eastAsia="Times New Roman"/>
        <w:spacing w:val="-1"/>
        <w:szCs w:val="21"/>
      </w:rPr>
      <w:t>40</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30E87F">
    <w:pPr>
      <w:pStyle w:val="10"/>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33985" cy="153035"/>
              <wp:effectExtent l="0" t="0" r="0" b="0"/>
              <wp:wrapNone/>
              <wp:docPr id="3" name="文本框 6"/>
              <wp:cNvGraphicFramePr/>
              <a:graphic xmlns:a="http://schemas.openxmlformats.org/drawingml/2006/main">
                <a:graphicData uri="http://schemas.microsoft.com/office/word/2010/wordprocessingShape">
                  <wps:wsp>
                    <wps:cNvSpPr txBox="1"/>
                    <wps:spPr>
                      <a:xfrm>
                        <a:off x="0" y="0"/>
                        <a:ext cx="133985" cy="153035"/>
                      </a:xfrm>
                      <a:prstGeom prst="rect">
                        <a:avLst/>
                      </a:prstGeom>
                      <a:noFill/>
                      <a:ln>
                        <a:noFill/>
                      </a:ln>
                    </wps:spPr>
                    <wps:txbx>
                      <w:txbxContent>
                        <w:p w14:paraId="633CE481">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106</w:t>
                          </w:r>
                          <w:r>
                            <w:rPr>
                              <w:rFonts w:hint="eastAsia"/>
                              <w:sz w:val="18"/>
                            </w:rPr>
                            <w:fldChar w:fldCharType="end"/>
                          </w:r>
                        </w:p>
                      </w:txbxContent>
                    </wps:txbx>
                    <wps:bodyPr vert="horz" wrap="none" lIns="0" tIns="0" rIns="0" bIns="0" anchor="t" anchorCtr="0" upright="1">
                      <a:spAutoFit/>
                    </wps:bodyPr>
                  </wps:wsp>
                </a:graphicData>
              </a:graphic>
            </wp:anchor>
          </w:drawing>
        </mc:Choice>
        <mc:Fallback>
          <w:pict>
            <v:shape id="文本框 6" o:spid="_x0000_s1026" o:spt="202" type="#_x0000_t202" style="position:absolute;left:0pt;margin-top:0pt;height:12.05pt;width:10.55pt;mso-position-horizontal:center;mso-position-horizontal-relative:margin;mso-wrap-style:none;z-index:251661312;mso-width-relative:page;mso-height-relative:page;" filled="f" stroked="f" coordsize="21600,21600" o:gfxdata="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">
              <v:fill on="f" focussize="0,0"/>
              <v:stroke on="f"/>
              <v:imagedata o:title=""/>
              <o:lock v:ext="edit" aspectratio="f"/>
              <v:textbox inset="0mm,0mm,0mm,0mm" style="mso-fit-shape-to-text:t;">
                <w:txbxContent>
                  <w:p w14:paraId="633CE481">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106</w:t>
                    </w:r>
                    <w:r>
                      <w:rPr>
                        <w:rFonts w:hint="eastAsia"/>
                        <w:sz w:val="18"/>
                      </w:rP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0979ED">
    <w:pPr>
      <w:pStyle w:val="10"/>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67310" cy="153035"/>
              <wp:effectExtent l="0" t="0" r="0" b="0"/>
              <wp:wrapNone/>
              <wp:docPr id="4" name="文本框 2"/>
              <wp:cNvGraphicFramePr/>
              <a:graphic xmlns:a="http://schemas.openxmlformats.org/drawingml/2006/main">
                <a:graphicData uri="http://schemas.microsoft.com/office/word/2010/wordprocessingShape">
                  <wps:wsp>
                    <wps:cNvSpPr txBox="1"/>
                    <wps:spPr>
                      <a:xfrm>
                        <a:off x="0" y="0"/>
                        <a:ext cx="67310" cy="153035"/>
                      </a:xfrm>
                      <a:prstGeom prst="rect">
                        <a:avLst/>
                      </a:prstGeom>
                      <a:noFill/>
                      <a:ln>
                        <a:noFill/>
                      </a:ln>
                      <a:effectLst/>
                    </wps:spPr>
                    <wps:txbx>
                      <w:txbxContent>
                        <w:p w14:paraId="4CB0EB5E">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118</w:t>
                          </w:r>
                          <w:r>
                            <w:rPr>
                              <w:rFonts w:hint="eastAsia"/>
                              <w:sz w:val="18"/>
                            </w:rPr>
                            <w:fldChar w:fldCharType="end"/>
                          </w:r>
                        </w:p>
                      </w:txbxContent>
                    </wps:txbx>
                    <wps:bodyPr wrap="none" lIns="0" tIns="0" rIns="0" bIns="0">
                      <a:spAutoFit/>
                    </wps:bodyPr>
                  </wps:wsp>
                </a:graphicData>
              </a:graphic>
            </wp:anchor>
          </w:drawing>
        </mc:Choice>
        <mc:Fallback>
          <w:pict>
            <v:shape id="文本框 2" o:spid="_x0000_s1026" o:spt="202" type="#_x0000_t202" style="position:absolute;left:0pt;margin-top:0pt;height:12.05pt;width:5.3pt;mso-position-horizontal:center;mso-position-horizontal-relative:margin;mso-wrap-style:none;z-index:251662336;mso-width-relative:page;mso-height-relative:page;" filled="f" stroked="f" coordsize="21600,21600" o:gfxdata="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6s1RdAAAAADAQAADwAAAAAAAAABACAAAAAiAAAAZHJzL2Rvd25yZXYu&#10;eG1sUEsBAhQAFAAAAAgAh07iQFjBoCDKAQAAmAMAAA4AAAAAAAAAAQAgAAAAHwEAAGRycy9lMm9E&#10;b2MueG1sUEsFBgAAAAAGAAYAWQEAAFsFAAAAAA==&#10;">
              <v:fill on="f" focussize="0,0"/>
              <v:stroke on="f"/>
              <v:imagedata o:title=""/>
              <o:lock v:ext="edit" aspectratio="f"/>
              <v:textbox inset="0mm,0mm,0mm,0mm" style="mso-fit-shape-to-text:t;">
                <w:txbxContent>
                  <w:p w14:paraId="4CB0EB5E">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118</w:t>
                    </w:r>
                    <w:r>
                      <w:rPr>
                        <w:rFonts w:hint="eastAsia"/>
                        <w:sz w:val="18"/>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6B1B72">
    <w:pPr>
      <w:pStyle w:val="11"/>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29F291">
    <w:pPr>
      <w:pStyle w:val="11"/>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1CD3B5F"/>
    <w:multiLevelType w:val="singleLevel"/>
    <w:tmpl w:val="91CD3B5F"/>
    <w:lvl w:ilvl="0" w:tentative="0">
      <w:start w:val="1"/>
      <w:numFmt w:val="decimal"/>
      <w:lvlText w:val="%1."/>
      <w:lvlJc w:val="left"/>
      <w:pPr>
        <w:tabs>
          <w:tab w:val="left" w:pos="312"/>
        </w:tabs>
      </w:pPr>
    </w:lvl>
  </w:abstractNum>
  <w:abstractNum w:abstractNumId="1">
    <w:nsid w:val="98CE91F7"/>
    <w:multiLevelType w:val="singleLevel"/>
    <w:tmpl w:val="98CE91F7"/>
    <w:lvl w:ilvl="0" w:tentative="0">
      <w:start w:val="1"/>
      <w:numFmt w:val="decimal"/>
      <w:suff w:val="nothing"/>
      <w:lvlText w:val="%1、"/>
      <w:lvlJc w:val="left"/>
    </w:lvl>
  </w:abstractNum>
  <w:abstractNum w:abstractNumId="2">
    <w:nsid w:val="AD153810"/>
    <w:multiLevelType w:val="singleLevel"/>
    <w:tmpl w:val="AD153810"/>
    <w:lvl w:ilvl="0" w:tentative="0">
      <w:start w:val="1"/>
      <w:numFmt w:val="decimal"/>
      <w:lvlText w:val="%1."/>
      <w:lvlJc w:val="left"/>
      <w:pPr>
        <w:tabs>
          <w:tab w:val="left" w:pos="312"/>
        </w:tabs>
      </w:pPr>
    </w:lvl>
  </w:abstractNum>
  <w:abstractNum w:abstractNumId="3">
    <w:nsid w:val="CDBBF976"/>
    <w:multiLevelType w:val="singleLevel"/>
    <w:tmpl w:val="CDBBF976"/>
    <w:lvl w:ilvl="0" w:tentative="0">
      <w:start w:val="1"/>
      <w:numFmt w:val="decimal"/>
      <w:lvlText w:val="%1."/>
      <w:lvlJc w:val="left"/>
      <w:pPr>
        <w:tabs>
          <w:tab w:val="left" w:pos="312"/>
        </w:tabs>
      </w:pPr>
    </w:lvl>
  </w:abstractNum>
  <w:abstractNum w:abstractNumId="4">
    <w:nsid w:val="DBD72AA7"/>
    <w:multiLevelType w:val="singleLevel"/>
    <w:tmpl w:val="DBD72AA7"/>
    <w:lvl w:ilvl="0" w:tentative="0">
      <w:start w:val="1"/>
      <w:numFmt w:val="decimal"/>
      <w:suff w:val="nothing"/>
      <w:lvlText w:val="%1、"/>
      <w:lvlJc w:val="left"/>
    </w:lvl>
  </w:abstractNum>
  <w:abstractNum w:abstractNumId="5">
    <w:nsid w:val="F2D5932F"/>
    <w:multiLevelType w:val="singleLevel"/>
    <w:tmpl w:val="F2D5932F"/>
    <w:lvl w:ilvl="0" w:tentative="0">
      <w:start w:val="1"/>
      <w:numFmt w:val="decimal"/>
      <w:suff w:val="nothing"/>
      <w:lvlText w:val="%1、"/>
      <w:lvlJc w:val="left"/>
    </w:lvl>
  </w:abstractNum>
  <w:abstractNum w:abstractNumId="6">
    <w:nsid w:val="00000012"/>
    <w:multiLevelType w:val="multilevel"/>
    <w:tmpl w:val="00000012"/>
    <w:lvl w:ilvl="0" w:tentative="0">
      <w:start w:val="1"/>
      <w:numFmt w:val="decimal"/>
      <w:pStyle w:val="29"/>
      <w:lvlText w:val="%1."/>
      <w:lvlJc w:val="left"/>
      <w:pPr>
        <w:tabs>
          <w:tab w:val="left" w:pos="709"/>
        </w:tabs>
        <w:ind w:left="709" w:hanging="709"/>
      </w:pPr>
      <w:rPr>
        <w:rFonts w:hint="eastAsia"/>
      </w:rPr>
    </w:lvl>
    <w:lvl w:ilvl="1" w:tentative="0">
      <w:start w:val="1"/>
      <w:numFmt w:val="decimal"/>
      <w:lvlText w:val="%1.%2"/>
      <w:lvlJc w:val="left"/>
      <w:pPr>
        <w:tabs>
          <w:tab w:val="left" w:pos="709"/>
        </w:tabs>
        <w:ind w:left="709" w:hanging="709"/>
      </w:pPr>
      <w:rPr>
        <w:rFonts w:hint="eastAsia"/>
      </w:rPr>
    </w:lvl>
    <w:lvl w:ilvl="2" w:tentative="0">
      <w:start w:val="1"/>
      <w:numFmt w:val="decimal"/>
      <w:lvlText w:val="%1.%2.%3."/>
      <w:lvlJc w:val="left"/>
      <w:pPr>
        <w:tabs>
          <w:tab w:val="left" w:pos="425"/>
        </w:tabs>
        <w:ind w:left="425" w:hanging="425"/>
      </w:pPr>
      <w:rPr>
        <w:rFonts w:hint="eastAsia"/>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7">
    <w:nsid w:val="00000034"/>
    <w:multiLevelType w:val="multilevel"/>
    <w:tmpl w:val="00000034"/>
    <w:lvl w:ilvl="0" w:tentative="0">
      <w:start w:val="1"/>
      <w:numFmt w:val="chineseCountingThousand"/>
      <w:suff w:val="nothing"/>
      <w:lvlText w:val="第%1部分"/>
      <w:lvlJc w:val="center"/>
      <w:pPr>
        <w:ind w:left="0" w:firstLine="288"/>
      </w:pPr>
      <w:rPr>
        <w:rFonts w:hint="eastAsia"/>
        <w:sz w:val="28"/>
        <w:szCs w:val="28"/>
      </w:rPr>
    </w:lvl>
    <w:lvl w:ilvl="1" w:tentative="0">
      <w:start w:val="1"/>
      <w:numFmt w:val="chineseCountingThousand"/>
      <w:pStyle w:val="4"/>
      <w:suff w:val="nothing"/>
      <w:lvlText w:val="%2、"/>
      <w:lvlJc w:val="left"/>
      <w:pPr>
        <w:ind w:left="709" w:firstLine="0"/>
      </w:pPr>
      <w:rPr>
        <w:rFonts w:hint="eastAsia" w:ascii="宋体" w:hAnsi="宋体" w:eastAsia="宋体"/>
        <w:sz w:val="24"/>
        <w:szCs w:val="24"/>
      </w:rPr>
    </w:lvl>
    <w:lvl w:ilvl="2" w:tentative="0">
      <w:start w:val="1"/>
      <w:numFmt w:val="chineseCountingThousand"/>
      <w:suff w:val="nothing"/>
      <w:lvlText w:val="(%3)"/>
      <w:lvlJc w:val="left"/>
      <w:pPr>
        <w:ind w:left="0" w:firstLine="0"/>
      </w:pPr>
      <w:rPr>
        <w:rFonts w:hint="default" w:ascii="Times New Roman" w:hAnsi="Times New Roman" w:eastAsia="宋体"/>
        <w:b/>
        <w:i w:val="0"/>
        <w:spacing w:val="0"/>
        <w:w w:val="100"/>
        <w:position w:val="0"/>
        <w:sz w:val="21"/>
        <w:szCs w:val="21"/>
      </w:rPr>
    </w:lvl>
    <w:lvl w:ilvl="3" w:tentative="0">
      <w:start w:val="1"/>
      <w:numFmt w:val="decimal"/>
      <w:suff w:val="nothing"/>
      <w:lvlText w:val="%4、"/>
      <w:lvlJc w:val="left"/>
      <w:pPr>
        <w:ind w:left="0" w:firstLine="0"/>
      </w:pPr>
      <w:rPr>
        <w:rFonts w:hint="eastAsia"/>
      </w:rPr>
    </w:lvl>
    <w:lvl w:ilvl="4" w:tentative="0">
      <w:start w:val="1"/>
      <w:numFmt w:val="upperLetter"/>
      <w:suff w:val="nothing"/>
      <w:lvlText w:val="%5、"/>
      <w:lvlJc w:val="left"/>
      <w:pPr>
        <w:ind w:left="0" w:firstLine="0"/>
      </w:pPr>
      <w:rPr>
        <w:rFonts w:hint="eastAsia"/>
      </w:rPr>
    </w:lvl>
    <w:lvl w:ilvl="5" w:tentative="0">
      <w:start w:val="1"/>
      <w:numFmt w:val="none"/>
      <w:suff w:val="nothing"/>
      <w:lvlText w:val=""/>
      <w:lvlJc w:val="left"/>
      <w:pPr>
        <w:ind w:left="0" w:firstLine="0"/>
      </w:pPr>
      <w:rPr>
        <w:rFonts w:hint="eastAsia"/>
      </w:rPr>
    </w:lvl>
    <w:lvl w:ilvl="6" w:tentative="0">
      <w:start w:val="1"/>
      <w:numFmt w:val="none"/>
      <w:suff w:val="nothing"/>
      <w:lvlText w:val=""/>
      <w:lvlJc w:val="left"/>
      <w:pPr>
        <w:ind w:left="0" w:firstLine="0"/>
      </w:pPr>
      <w:rPr>
        <w:rFonts w:hint="eastAsia"/>
      </w:rPr>
    </w:lvl>
    <w:lvl w:ilvl="7" w:tentative="0">
      <w:start w:val="1"/>
      <w:numFmt w:val="none"/>
      <w:suff w:val="nothing"/>
      <w:lvlText w:val=""/>
      <w:lvlJc w:val="left"/>
      <w:pPr>
        <w:ind w:left="0" w:firstLine="0"/>
      </w:pPr>
      <w:rPr>
        <w:rFonts w:hint="eastAsia"/>
      </w:rPr>
    </w:lvl>
    <w:lvl w:ilvl="8" w:tentative="0">
      <w:start w:val="1"/>
      <w:numFmt w:val="none"/>
      <w:suff w:val="nothing"/>
      <w:lvlText w:val=""/>
      <w:lvlJc w:val="left"/>
      <w:pPr>
        <w:ind w:left="0" w:firstLine="0"/>
      </w:pPr>
      <w:rPr>
        <w:rFonts w:hint="eastAsia"/>
      </w:rPr>
    </w:lvl>
  </w:abstractNum>
  <w:abstractNum w:abstractNumId="8">
    <w:nsid w:val="038000C8"/>
    <w:multiLevelType w:val="multilevel"/>
    <w:tmpl w:val="038000C8"/>
    <w:lvl w:ilvl="0" w:tentative="0">
      <w:start w:val="1"/>
      <w:numFmt w:val="decimal"/>
      <w:lvlText w:val="%1"/>
      <w:lvlJc w:val="center"/>
      <w:pPr>
        <w:ind w:left="420" w:hanging="420"/>
      </w:pPr>
      <w:rPr>
        <w:rFonts w:hint="eastAsia"/>
        <w:b w:val="0"/>
        <w:i w:val="0"/>
        <w:color w:val="auto"/>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9">
    <w:nsid w:val="0E9D9CAB"/>
    <w:multiLevelType w:val="singleLevel"/>
    <w:tmpl w:val="0E9D9CAB"/>
    <w:lvl w:ilvl="0" w:tentative="0">
      <w:start w:val="1"/>
      <w:numFmt w:val="decimal"/>
      <w:lvlText w:val="%1."/>
      <w:lvlJc w:val="left"/>
      <w:pPr>
        <w:tabs>
          <w:tab w:val="left" w:pos="312"/>
        </w:tabs>
      </w:pPr>
    </w:lvl>
  </w:abstractNum>
  <w:abstractNum w:abstractNumId="10">
    <w:nsid w:val="0F06E7F7"/>
    <w:multiLevelType w:val="singleLevel"/>
    <w:tmpl w:val="0F06E7F7"/>
    <w:lvl w:ilvl="0" w:tentative="0">
      <w:start w:val="1"/>
      <w:numFmt w:val="decimal"/>
      <w:suff w:val="nothing"/>
      <w:lvlText w:val="%1、"/>
      <w:lvlJc w:val="left"/>
    </w:lvl>
  </w:abstractNum>
  <w:abstractNum w:abstractNumId="11">
    <w:nsid w:val="0F1D09C6"/>
    <w:multiLevelType w:val="singleLevel"/>
    <w:tmpl w:val="0F1D09C6"/>
    <w:lvl w:ilvl="0" w:tentative="0">
      <w:start w:val="1"/>
      <w:numFmt w:val="decimal"/>
      <w:lvlText w:val="%1."/>
      <w:lvlJc w:val="left"/>
      <w:pPr>
        <w:tabs>
          <w:tab w:val="left" w:pos="312"/>
        </w:tabs>
      </w:pPr>
    </w:lvl>
  </w:abstractNum>
  <w:abstractNum w:abstractNumId="12">
    <w:nsid w:val="2801DA16"/>
    <w:multiLevelType w:val="singleLevel"/>
    <w:tmpl w:val="2801DA16"/>
    <w:lvl w:ilvl="0" w:tentative="0">
      <w:start w:val="1"/>
      <w:numFmt w:val="decimal"/>
      <w:suff w:val="nothing"/>
      <w:lvlText w:val="%1、"/>
      <w:lvlJc w:val="left"/>
    </w:lvl>
  </w:abstractNum>
  <w:abstractNum w:abstractNumId="13">
    <w:nsid w:val="4C175A94"/>
    <w:multiLevelType w:val="multilevel"/>
    <w:tmpl w:val="4C175A94"/>
    <w:lvl w:ilvl="0" w:tentative="0">
      <w:start w:val="1"/>
      <w:numFmt w:val="decimal"/>
      <w:lvlText w:val="%1、"/>
      <w:lvlJc w:val="left"/>
      <w:pPr>
        <w:ind w:left="360" w:hanging="360"/>
      </w:pPr>
      <w:rPr>
        <w:rFonts w:hint="default"/>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14">
    <w:nsid w:val="66EDC28E"/>
    <w:multiLevelType w:val="singleLevel"/>
    <w:tmpl w:val="66EDC28E"/>
    <w:lvl w:ilvl="0" w:tentative="0">
      <w:start w:val="1"/>
      <w:numFmt w:val="decimal"/>
      <w:lvlText w:val="%1."/>
      <w:lvlJc w:val="left"/>
      <w:pPr>
        <w:tabs>
          <w:tab w:val="left" w:pos="312"/>
        </w:tabs>
      </w:pPr>
    </w:lvl>
  </w:abstractNum>
  <w:abstractNum w:abstractNumId="15">
    <w:nsid w:val="7795B7AD"/>
    <w:multiLevelType w:val="singleLevel"/>
    <w:tmpl w:val="7795B7AD"/>
    <w:lvl w:ilvl="0" w:tentative="0">
      <w:start w:val="1"/>
      <w:numFmt w:val="decimal"/>
      <w:lvlText w:val="%1."/>
      <w:lvlJc w:val="left"/>
      <w:pPr>
        <w:tabs>
          <w:tab w:val="left" w:pos="312"/>
        </w:tabs>
      </w:pPr>
    </w:lvl>
  </w:abstractNum>
  <w:abstractNum w:abstractNumId="16">
    <w:nsid w:val="78A74FE9"/>
    <w:multiLevelType w:val="singleLevel"/>
    <w:tmpl w:val="78A74FE9"/>
    <w:lvl w:ilvl="0" w:tentative="0">
      <w:start w:val="1"/>
      <w:numFmt w:val="decimal"/>
      <w:suff w:val="nothing"/>
      <w:lvlText w:val="%1、"/>
      <w:lvlJc w:val="left"/>
    </w:lvl>
  </w:abstractNum>
  <w:abstractNum w:abstractNumId="17">
    <w:nsid w:val="7B619515"/>
    <w:multiLevelType w:val="singleLevel"/>
    <w:tmpl w:val="7B619515"/>
    <w:lvl w:ilvl="0" w:tentative="0">
      <w:start w:val="1"/>
      <w:numFmt w:val="decimal"/>
      <w:suff w:val="nothing"/>
      <w:lvlText w:val="%1、"/>
      <w:lvlJc w:val="left"/>
    </w:lvl>
  </w:abstractNum>
  <w:abstractNum w:abstractNumId="18">
    <w:nsid w:val="7FEAFC18"/>
    <w:multiLevelType w:val="singleLevel"/>
    <w:tmpl w:val="7FEAFC18"/>
    <w:lvl w:ilvl="0" w:tentative="0">
      <w:start w:val="1"/>
      <w:numFmt w:val="decimal"/>
      <w:lvlText w:val="%1."/>
      <w:lvlJc w:val="left"/>
      <w:pPr>
        <w:tabs>
          <w:tab w:val="left" w:pos="312"/>
        </w:tabs>
      </w:pPr>
    </w:lvl>
  </w:abstractNum>
  <w:num w:numId="1">
    <w:abstractNumId w:val="7"/>
  </w:num>
  <w:num w:numId="2">
    <w:abstractNumId w:val="6"/>
  </w:num>
  <w:num w:numId="3">
    <w:abstractNumId w:val="2"/>
  </w:num>
  <w:num w:numId="4">
    <w:abstractNumId w:val="5"/>
  </w:num>
  <w:num w:numId="5">
    <w:abstractNumId w:val="16"/>
  </w:num>
  <w:num w:numId="6">
    <w:abstractNumId w:val="12"/>
  </w:num>
  <w:num w:numId="7">
    <w:abstractNumId w:val="10"/>
  </w:num>
  <w:num w:numId="8">
    <w:abstractNumId w:val="1"/>
  </w:num>
  <w:num w:numId="9">
    <w:abstractNumId w:val="17"/>
  </w:num>
  <w:num w:numId="10">
    <w:abstractNumId w:val="4"/>
  </w:num>
  <w:num w:numId="11">
    <w:abstractNumId w:val="15"/>
  </w:num>
  <w:num w:numId="12">
    <w:abstractNumId w:val="3"/>
  </w:num>
  <w:num w:numId="13">
    <w:abstractNumId w:val="9"/>
  </w:num>
  <w:num w:numId="14">
    <w:abstractNumId w:val="0"/>
  </w:num>
  <w:num w:numId="15">
    <w:abstractNumId w:val="14"/>
  </w:num>
  <w:num w:numId="16">
    <w:abstractNumId w:val="11"/>
  </w:num>
  <w:num w:numId="17">
    <w:abstractNumId w:val="13"/>
  </w:num>
  <w:num w:numId="18">
    <w:abstractNumId w:val="18"/>
  </w:num>
  <w:num w:numId="1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A0ZDJhZjYwODUwZDA4Y2JiNzE3ZmQ4ODEzZmI3ODcifQ=="/>
  </w:docVars>
  <w:rsids>
    <w:rsidRoot w:val="4A4F1BF0"/>
    <w:rsid w:val="00042101"/>
    <w:rsid w:val="0005757A"/>
    <w:rsid w:val="00065FEB"/>
    <w:rsid w:val="000C04E2"/>
    <w:rsid w:val="000C16DF"/>
    <w:rsid w:val="000F0373"/>
    <w:rsid w:val="00183B89"/>
    <w:rsid w:val="0018739F"/>
    <w:rsid w:val="001A674C"/>
    <w:rsid w:val="001A682A"/>
    <w:rsid w:val="001A7618"/>
    <w:rsid w:val="001B3020"/>
    <w:rsid w:val="001C63C4"/>
    <w:rsid w:val="001E656A"/>
    <w:rsid w:val="001F73D8"/>
    <w:rsid w:val="002C5631"/>
    <w:rsid w:val="002E6430"/>
    <w:rsid w:val="002F4BE2"/>
    <w:rsid w:val="003979E0"/>
    <w:rsid w:val="003B176E"/>
    <w:rsid w:val="003E2084"/>
    <w:rsid w:val="003F3B39"/>
    <w:rsid w:val="00400B03"/>
    <w:rsid w:val="00463065"/>
    <w:rsid w:val="004703C4"/>
    <w:rsid w:val="0047480D"/>
    <w:rsid w:val="004A325A"/>
    <w:rsid w:val="004A37E4"/>
    <w:rsid w:val="004A3B23"/>
    <w:rsid w:val="005631B6"/>
    <w:rsid w:val="0057311C"/>
    <w:rsid w:val="005B2520"/>
    <w:rsid w:val="005C4B75"/>
    <w:rsid w:val="005D62F3"/>
    <w:rsid w:val="005F4ABB"/>
    <w:rsid w:val="007F17BB"/>
    <w:rsid w:val="008256F7"/>
    <w:rsid w:val="0082708C"/>
    <w:rsid w:val="008B54C6"/>
    <w:rsid w:val="008E18A9"/>
    <w:rsid w:val="00934772"/>
    <w:rsid w:val="00992185"/>
    <w:rsid w:val="009F307A"/>
    <w:rsid w:val="00BD14BA"/>
    <w:rsid w:val="00C870E9"/>
    <w:rsid w:val="00C93552"/>
    <w:rsid w:val="00CA6164"/>
    <w:rsid w:val="00D43421"/>
    <w:rsid w:val="00D53F19"/>
    <w:rsid w:val="00D876F3"/>
    <w:rsid w:val="00DA415D"/>
    <w:rsid w:val="00DA62BB"/>
    <w:rsid w:val="00DD3628"/>
    <w:rsid w:val="00E26E99"/>
    <w:rsid w:val="00F56C97"/>
    <w:rsid w:val="00F820A6"/>
    <w:rsid w:val="00FA4980"/>
    <w:rsid w:val="00FF65EE"/>
    <w:rsid w:val="00FF798B"/>
    <w:rsid w:val="026D7DA5"/>
    <w:rsid w:val="036268D3"/>
    <w:rsid w:val="066B648F"/>
    <w:rsid w:val="08744BDF"/>
    <w:rsid w:val="0BB9448E"/>
    <w:rsid w:val="0DAE1CD4"/>
    <w:rsid w:val="0FB51D65"/>
    <w:rsid w:val="15724254"/>
    <w:rsid w:val="162D6DDD"/>
    <w:rsid w:val="17785EFE"/>
    <w:rsid w:val="18FF65E8"/>
    <w:rsid w:val="195531D9"/>
    <w:rsid w:val="19B16567"/>
    <w:rsid w:val="1A692D3D"/>
    <w:rsid w:val="1A8A0B7F"/>
    <w:rsid w:val="1ACF1D17"/>
    <w:rsid w:val="1B1B3A8C"/>
    <w:rsid w:val="1E2A1E02"/>
    <w:rsid w:val="1F8E5386"/>
    <w:rsid w:val="21480A2B"/>
    <w:rsid w:val="22223222"/>
    <w:rsid w:val="27602AA7"/>
    <w:rsid w:val="28885A78"/>
    <w:rsid w:val="29117E13"/>
    <w:rsid w:val="2E163EBF"/>
    <w:rsid w:val="2E701821"/>
    <w:rsid w:val="2E9757EF"/>
    <w:rsid w:val="31702EDA"/>
    <w:rsid w:val="335C05C6"/>
    <w:rsid w:val="340A6274"/>
    <w:rsid w:val="34866CE2"/>
    <w:rsid w:val="35A60FEC"/>
    <w:rsid w:val="35A61EB8"/>
    <w:rsid w:val="39643BFE"/>
    <w:rsid w:val="3A6A7A6C"/>
    <w:rsid w:val="3D8674BA"/>
    <w:rsid w:val="3E1A521B"/>
    <w:rsid w:val="3E2D4155"/>
    <w:rsid w:val="3F9F1F66"/>
    <w:rsid w:val="41625A2C"/>
    <w:rsid w:val="42EF3FB8"/>
    <w:rsid w:val="466C2476"/>
    <w:rsid w:val="4A4F1BF0"/>
    <w:rsid w:val="4AA03167"/>
    <w:rsid w:val="4B73430E"/>
    <w:rsid w:val="4C9F4A3E"/>
    <w:rsid w:val="4D2C0BB1"/>
    <w:rsid w:val="4D8E53C8"/>
    <w:rsid w:val="4DDA0F36"/>
    <w:rsid w:val="4F302BDB"/>
    <w:rsid w:val="4FEC63D6"/>
    <w:rsid w:val="51FB5DEF"/>
    <w:rsid w:val="52035925"/>
    <w:rsid w:val="530F0D59"/>
    <w:rsid w:val="53111DCD"/>
    <w:rsid w:val="533C56B0"/>
    <w:rsid w:val="53BC7A8A"/>
    <w:rsid w:val="54C37073"/>
    <w:rsid w:val="56EC6BE0"/>
    <w:rsid w:val="57051D47"/>
    <w:rsid w:val="58686DBD"/>
    <w:rsid w:val="59484FC5"/>
    <w:rsid w:val="59F9508C"/>
    <w:rsid w:val="5A27745D"/>
    <w:rsid w:val="5A57367D"/>
    <w:rsid w:val="5AED7BD2"/>
    <w:rsid w:val="5B21371D"/>
    <w:rsid w:val="5E586C26"/>
    <w:rsid w:val="5F2821C7"/>
    <w:rsid w:val="601B6F8F"/>
    <w:rsid w:val="61DB4C28"/>
    <w:rsid w:val="62435670"/>
    <w:rsid w:val="6287090C"/>
    <w:rsid w:val="635F3637"/>
    <w:rsid w:val="64355C74"/>
    <w:rsid w:val="65074C7F"/>
    <w:rsid w:val="65490DAC"/>
    <w:rsid w:val="67424E02"/>
    <w:rsid w:val="675E3099"/>
    <w:rsid w:val="69147BFC"/>
    <w:rsid w:val="6A892D47"/>
    <w:rsid w:val="6B2A0087"/>
    <w:rsid w:val="6B67752D"/>
    <w:rsid w:val="6D54588F"/>
    <w:rsid w:val="6E7F06E9"/>
    <w:rsid w:val="6F60500E"/>
    <w:rsid w:val="6FC36CFC"/>
    <w:rsid w:val="70920C4F"/>
    <w:rsid w:val="70DB125C"/>
    <w:rsid w:val="71025831"/>
    <w:rsid w:val="72677E12"/>
    <w:rsid w:val="72866526"/>
    <w:rsid w:val="72A76461"/>
    <w:rsid w:val="73263DE3"/>
    <w:rsid w:val="73774085"/>
    <w:rsid w:val="740F42BD"/>
    <w:rsid w:val="763E0E8A"/>
    <w:rsid w:val="77955421"/>
    <w:rsid w:val="79D421AC"/>
    <w:rsid w:val="7BFA3AA5"/>
    <w:rsid w:val="7D2C7C8E"/>
    <w:rsid w:val="7D6203AD"/>
    <w:rsid w:val="7F09502A"/>
    <w:rsid w:val="7F5142AB"/>
    <w:rsid w:val="7F987AA8"/>
    <w:rsid w:val="7FE6658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99"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qFormat="1" w:uiPriority="99"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99"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9"/>
    <w:pPr>
      <w:keepNext/>
      <w:keepLines/>
      <w:spacing w:line="578" w:lineRule="atLeast"/>
      <w:ind w:firstLine="288"/>
      <w:outlineLvl w:val="0"/>
    </w:pPr>
    <w:rPr>
      <w:b/>
      <w:bCs/>
      <w:kern w:val="44"/>
      <w:sz w:val="44"/>
      <w:szCs w:val="44"/>
    </w:rPr>
  </w:style>
  <w:style w:type="paragraph" w:styleId="4">
    <w:name w:val="heading 2"/>
    <w:basedOn w:val="1"/>
    <w:next w:val="1"/>
    <w:link w:val="38"/>
    <w:qFormat/>
    <w:uiPriority w:val="9"/>
    <w:pPr>
      <w:keepNext/>
      <w:keepLines/>
      <w:numPr>
        <w:ilvl w:val="1"/>
        <w:numId w:val="1"/>
      </w:numPr>
      <w:spacing w:before="260" w:after="260" w:line="416" w:lineRule="atLeast"/>
      <w:outlineLvl w:val="1"/>
    </w:pPr>
    <w:rPr>
      <w:rFonts w:ascii="Arial" w:hAnsi="Arial" w:eastAsia="黑体"/>
      <w:b/>
      <w:bCs/>
      <w:sz w:val="32"/>
      <w:szCs w:val="32"/>
    </w:rPr>
  </w:style>
  <w:style w:type="paragraph" w:styleId="2">
    <w:name w:val="heading 3"/>
    <w:basedOn w:val="1"/>
    <w:next w:val="1"/>
    <w:qFormat/>
    <w:uiPriority w:val="9"/>
    <w:pPr>
      <w:keepNext/>
      <w:keepLines/>
      <w:spacing w:line="416" w:lineRule="atLeast"/>
      <w:outlineLvl w:val="2"/>
    </w:pPr>
    <w:rPr>
      <w:b/>
      <w:bCs/>
      <w:sz w:val="32"/>
      <w:szCs w:val="32"/>
    </w:rPr>
  </w:style>
  <w:style w:type="character" w:default="1" w:styleId="16">
    <w:name w:val="Default Paragraph Font"/>
    <w:semiHidden/>
    <w:unhideWhenUsed/>
    <w:qFormat/>
    <w:uiPriority w:val="1"/>
  </w:style>
  <w:style w:type="table" w:default="1" w:styleId="15">
    <w:name w:val="Normal Table"/>
    <w:semiHidden/>
    <w:unhideWhenUsed/>
    <w:qFormat/>
    <w:uiPriority w:val="99"/>
    <w:tblPr>
      <w:tblCellMar>
        <w:top w:w="0" w:type="dxa"/>
        <w:left w:w="108" w:type="dxa"/>
        <w:bottom w:w="0" w:type="dxa"/>
        <w:right w:w="108" w:type="dxa"/>
      </w:tblCellMar>
    </w:tblPr>
  </w:style>
  <w:style w:type="paragraph" w:styleId="5">
    <w:name w:val="Normal Indent"/>
    <w:basedOn w:val="1"/>
    <w:unhideWhenUsed/>
    <w:qFormat/>
    <w:uiPriority w:val="99"/>
    <w:pPr>
      <w:ind w:firstLine="420"/>
    </w:pPr>
  </w:style>
  <w:style w:type="paragraph" w:styleId="6">
    <w:name w:val="annotation text"/>
    <w:basedOn w:val="1"/>
    <w:qFormat/>
    <w:uiPriority w:val="0"/>
    <w:pPr>
      <w:jc w:val="left"/>
    </w:pPr>
  </w:style>
  <w:style w:type="paragraph" w:styleId="7">
    <w:name w:val="Body Text"/>
    <w:basedOn w:val="1"/>
    <w:qFormat/>
    <w:uiPriority w:val="0"/>
    <w:rPr>
      <w:rFonts w:eastAsia="楷体_GB2312"/>
      <w:sz w:val="30"/>
    </w:rPr>
  </w:style>
  <w:style w:type="paragraph" w:styleId="8">
    <w:name w:val="Body Text Indent"/>
    <w:basedOn w:val="1"/>
    <w:next w:val="1"/>
    <w:qFormat/>
    <w:uiPriority w:val="0"/>
    <w:pPr>
      <w:ind w:firstLine="600"/>
    </w:pPr>
    <w:rPr>
      <w:rFonts w:ascii="楷体_GB2312" w:eastAsia="楷体_GB2312"/>
      <w:sz w:val="30"/>
      <w:szCs w:val="20"/>
    </w:rPr>
  </w:style>
  <w:style w:type="paragraph" w:styleId="9">
    <w:name w:val="Date"/>
    <w:basedOn w:val="1"/>
    <w:next w:val="1"/>
    <w:qFormat/>
    <w:uiPriority w:val="0"/>
    <w:rPr>
      <w:rFonts w:asciiTheme="minorHAnsi" w:hAnsiTheme="minorHAnsi" w:cstheme="minorBidi"/>
      <w:b/>
      <w:sz w:val="30"/>
      <w:szCs w:val="22"/>
    </w:rPr>
  </w:style>
  <w:style w:type="paragraph" w:styleId="10">
    <w:name w:val="footer"/>
    <w:basedOn w:val="1"/>
    <w:qFormat/>
    <w:uiPriority w:val="0"/>
    <w:pPr>
      <w:tabs>
        <w:tab w:val="center" w:pos="4153"/>
        <w:tab w:val="right" w:pos="8306"/>
      </w:tabs>
      <w:snapToGrid w:val="0"/>
      <w:jc w:val="left"/>
    </w:pPr>
    <w:rPr>
      <w:sz w:val="18"/>
      <w:szCs w:val="18"/>
    </w:rPr>
  </w:style>
  <w:style w:type="paragraph" w:styleId="11">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jc w:val="center"/>
    </w:pPr>
    <w:rPr>
      <w:sz w:val="18"/>
      <w:szCs w:val="18"/>
    </w:rPr>
  </w:style>
  <w:style w:type="paragraph" w:styleId="12">
    <w:name w:val="Body Text Indent 3"/>
    <w:basedOn w:val="1"/>
    <w:qFormat/>
    <w:uiPriority w:val="0"/>
    <w:pPr>
      <w:ind w:firstLine="570"/>
      <w:outlineLvl w:val="0"/>
    </w:pPr>
    <w:rPr>
      <w:rFonts w:ascii="宋体"/>
      <w:sz w:val="28"/>
      <w:szCs w:val="20"/>
    </w:rPr>
  </w:style>
  <w:style w:type="paragraph" w:styleId="13">
    <w:name w:val="HTML Preformatted"/>
    <w:basedOn w:val="1"/>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w:hAnsi="Arial"/>
      <w:kern w:val="0"/>
      <w:sz w:val="24"/>
    </w:rPr>
  </w:style>
  <w:style w:type="paragraph" w:styleId="14">
    <w:name w:val="Normal (Web)"/>
    <w:basedOn w:val="1"/>
    <w:qFormat/>
    <w:uiPriority w:val="0"/>
    <w:pPr>
      <w:widowControl/>
      <w:spacing w:beforeAutospacing="1" w:afterAutospacing="1"/>
      <w:jc w:val="left"/>
    </w:pPr>
    <w:rPr>
      <w:rFonts w:ascii="宋体" w:hAnsi="宋体" w:cs="宋体"/>
      <w:kern w:val="0"/>
      <w:sz w:val="24"/>
    </w:rPr>
  </w:style>
  <w:style w:type="character" w:styleId="17">
    <w:name w:val="Strong"/>
    <w:qFormat/>
    <w:uiPriority w:val="0"/>
    <w:rPr>
      <w:b/>
      <w:bCs/>
    </w:rPr>
  </w:style>
  <w:style w:type="character" w:styleId="18">
    <w:name w:val="page number"/>
    <w:basedOn w:val="16"/>
    <w:qFormat/>
    <w:uiPriority w:val="0"/>
  </w:style>
  <w:style w:type="character" w:styleId="19">
    <w:name w:val="FollowedHyperlink"/>
    <w:basedOn w:val="16"/>
    <w:unhideWhenUsed/>
    <w:qFormat/>
    <w:uiPriority w:val="99"/>
    <w:rPr>
      <w:color w:val="954F72"/>
      <w:u w:val="single"/>
    </w:rPr>
  </w:style>
  <w:style w:type="character" w:styleId="20">
    <w:name w:val="Hyperlink"/>
    <w:basedOn w:val="16"/>
    <w:qFormat/>
    <w:uiPriority w:val="99"/>
    <w:rPr>
      <w:color w:val="0000FF"/>
      <w:u w:val="none"/>
    </w:rPr>
  </w:style>
  <w:style w:type="character" w:styleId="21">
    <w:name w:val="annotation reference"/>
    <w:basedOn w:val="16"/>
    <w:qFormat/>
    <w:uiPriority w:val="0"/>
    <w:rPr>
      <w:sz w:val="21"/>
      <w:szCs w:val="21"/>
    </w:rPr>
  </w:style>
  <w:style w:type="paragraph" w:customStyle="1" w:styleId="22">
    <w:name w:val="正文格式"/>
    <w:basedOn w:val="1"/>
    <w:qFormat/>
    <w:uiPriority w:val="0"/>
    <w:pPr>
      <w:adjustRightInd w:val="0"/>
      <w:snapToGrid w:val="0"/>
      <w:spacing w:line="360" w:lineRule="auto"/>
      <w:ind w:firstLine="200" w:firstLineChars="200"/>
      <w:textAlignment w:val="baseline"/>
    </w:pPr>
    <w:rPr>
      <w:kern w:val="0"/>
      <w:sz w:val="24"/>
      <w:szCs w:val="20"/>
    </w:rPr>
  </w:style>
  <w:style w:type="paragraph" w:customStyle="1" w:styleId="23">
    <w:name w:val="BodyText"/>
    <w:basedOn w:val="1"/>
    <w:next w:val="24"/>
    <w:qFormat/>
    <w:uiPriority w:val="0"/>
    <w:pPr>
      <w:spacing w:after="120" w:line="312" w:lineRule="atLeast"/>
    </w:pPr>
    <w:rPr>
      <w:kern w:val="0"/>
    </w:rPr>
  </w:style>
  <w:style w:type="paragraph" w:customStyle="1" w:styleId="24">
    <w:name w:val="UserStyle_0"/>
    <w:basedOn w:val="1"/>
    <w:next w:val="1"/>
    <w:qFormat/>
    <w:uiPriority w:val="0"/>
    <w:pPr>
      <w:ind w:firstLine="420" w:firstLineChars="200"/>
    </w:pPr>
    <w:rPr>
      <w:color w:val="000000"/>
      <w:sz w:val="30"/>
      <w:u w:val="single"/>
    </w:rPr>
  </w:style>
  <w:style w:type="paragraph" w:customStyle="1" w:styleId="25">
    <w:name w:val="普通(网站)2"/>
    <w:basedOn w:val="1"/>
    <w:qFormat/>
    <w:uiPriority w:val="0"/>
    <w:pPr>
      <w:widowControl/>
      <w:spacing w:before="100" w:beforeAutospacing="1" w:after="100" w:afterAutospacing="1"/>
      <w:jc w:val="left"/>
    </w:pPr>
    <w:rPr>
      <w:rFonts w:ascii="宋体" w:hAnsi="宋体" w:cs="宋体"/>
      <w:kern w:val="0"/>
      <w:sz w:val="24"/>
    </w:rPr>
  </w:style>
  <w:style w:type="paragraph" w:customStyle="1" w:styleId="26">
    <w:name w:val="普通(网站)1"/>
    <w:basedOn w:val="1"/>
    <w:qFormat/>
    <w:uiPriority w:val="0"/>
    <w:pPr>
      <w:widowControl/>
      <w:spacing w:beforeAutospacing="1" w:afterAutospacing="1"/>
      <w:jc w:val="left"/>
    </w:pPr>
    <w:rPr>
      <w:rFonts w:ascii="宋体" w:hAnsi="宋体" w:cs="宋体"/>
      <w:kern w:val="0"/>
      <w:sz w:val="24"/>
    </w:rPr>
  </w:style>
  <w:style w:type="character" w:customStyle="1" w:styleId="27">
    <w:name w:val="NormalCharacter"/>
    <w:qFormat/>
    <w:uiPriority w:val="0"/>
    <w:rPr>
      <w:rFonts w:ascii="Calibri" w:hAnsi="Calibri" w:eastAsia="宋体"/>
    </w:rPr>
  </w:style>
  <w:style w:type="character" w:customStyle="1" w:styleId="28">
    <w:name w:val="apple-converted-space"/>
    <w:basedOn w:val="16"/>
    <w:qFormat/>
    <w:uiPriority w:val="0"/>
  </w:style>
  <w:style w:type="paragraph" w:customStyle="1" w:styleId="29">
    <w:name w:val="样式1"/>
    <w:basedOn w:val="1"/>
    <w:qFormat/>
    <w:uiPriority w:val="0"/>
    <w:pPr>
      <w:numPr>
        <w:ilvl w:val="0"/>
        <w:numId w:val="2"/>
      </w:numPr>
    </w:pPr>
    <w:rPr>
      <w:rFonts w:ascii="宋体" w:hAnsi="宋体"/>
      <w:szCs w:val="21"/>
    </w:rPr>
  </w:style>
  <w:style w:type="paragraph" w:customStyle="1" w:styleId="30">
    <w:name w:val="正文_0_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31">
    <w:name w:val="正文_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32">
    <w:name w:val="正文_16"/>
    <w:qFormat/>
    <w:uiPriority w:val="0"/>
    <w:rPr>
      <w:rFonts w:ascii="Times New Roman" w:hAnsi="Times New Roman" w:eastAsia="宋体" w:cs="Times New Roman"/>
      <w:sz w:val="21"/>
      <w:lang w:val="en-US" w:eastAsia="zh-CN" w:bidi="ar-SA"/>
    </w:rPr>
  </w:style>
  <w:style w:type="paragraph" w:customStyle="1" w:styleId="33">
    <w:name w:val="正文_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4">
    <w:name w:val="正文_7"/>
    <w:qFormat/>
    <w:uiPriority w:val="0"/>
    <w:rPr>
      <w:rFonts w:ascii="Times New Roman" w:hAnsi="Times New Roman" w:eastAsia="宋体" w:cs="Times New Roman"/>
      <w:sz w:val="21"/>
      <w:lang w:val="en-US" w:eastAsia="zh-CN" w:bidi="ar-SA"/>
    </w:rPr>
  </w:style>
  <w:style w:type="paragraph" w:styleId="35">
    <w:name w:val="List Paragraph"/>
    <w:basedOn w:val="1"/>
    <w:qFormat/>
    <w:uiPriority w:val="34"/>
    <w:pPr>
      <w:ind w:firstLine="420" w:firstLineChars="200"/>
    </w:pPr>
    <w:rPr>
      <w:rFonts w:ascii="Calibri" w:hAnsi="Calibri"/>
      <w:szCs w:val="22"/>
    </w:rPr>
  </w:style>
  <w:style w:type="table" w:customStyle="1" w:styleId="36">
    <w:name w:val="网格型1"/>
    <w:basedOn w:val="15"/>
    <w:qFormat/>
    <w:uiPriority w:val="59"/>
    <w:rPr>
      <w:rFonts w:ascii="Times New Roman" w:hAnsi="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37">
    <w:name w:val="Table Normal"/>
    <w:semiHidden/>
    <w:unhideWhenUsed/>
    <w:qFormat/>
    <w:uiPriority w:val="0"/>
    <w:tblPr>
      <w:tblCellMar>
        <w:top w:w="0" w:type="dxa"/>
        <w:left w:w="0" w:type="dxa"/>
        <w:bottom w:w="0" w:type="dxa"/>
        <w:right w:w="0" w:type="dxa"/>
      </w:tblCellMar>
    </w:tblPr>
  </w:style>
  <w:style w:type="character" w:customStyle="1" w:styleId="38">
    <w:name w:val="标题 2 字符"/>
    <w:basedOn w:val="16"/>
    <w:link w:val="4"/>
    <w:qFormat/>
    <w:uiPriority w:val="9"/>
    <w:rPr>
      <w:rFonts w:ascii="Arial" w:hAnsi="Arial" w:eastAsia="黑体" w:cs="Times New Roman"/>
      <w:b/>
      <w:bCs/>
      <w:kern w:val="2"/>
      <w:sz w:val="32"/>
      <w:szCs w:val="32"/>
    </w:rPr>
  </w:style>
  <w:style w:type="paragraph" w:customStyle="1" w:styleId="39">
    <w:name w:val="msonormal"/>
    <w:basedOn w:val="1"/>
    <w:qFormat/>
    <w:uiPriority w:val="0"/>
    <w:pPr>
      <w:widowControl/>
      <w:spacing w:before="100" w:beforeAutospacing="1" w:after="100" w:afterAutospacing="1"/>
      <w:jc w:val="left"/>
    </w:pPr>
    <w:rPr>
      <w:rFonts w:ascii="宋体" w:hAnsi="宋体" w:cs="宋体"/>
      <w:kern w:val="0"/>
      <w:sz w:val="24"/>
    </w:rPr>
  </w:style>
  <w:style w:type="paragraph" w:customStyle="1" w:styleId="40">
    <w:name w:val="font5"/>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41">
    <w:name w:val="font6"/>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42">
    <w:name w:val="font7"/>
    <w:basedOn w:val="1"/>
    <w:qFormat/>
    <w:uiPriority w:val="0"/>
    <w:pPr>
      <w:widowControl/>
      <w:spacing w:before="100" w:beforeAutospacing="1" w:after="100" w:afterAutospacing="1"/>
      <w:jc w:val="left"/>
    </w:pPr>
    <w:rPr>
      <w:rFonts w:ascii="Calibri" w:hAnsi="Calibri" w:cs="Calibri"/>
      <w:color w:val="000000"/>
      <w:kern w:val="0"/>
      <w:sz w:val="20"/>
      <w:szCs w:val="20"/>
    </w:rPr>
  </w:style>
  <w:style w:type="paragraph" w:customStyle="1" w:styleId="43">
    <w:name w:val="xl67"/>
    <w:basedOn w:val="1"/>
    <w:qFormat/>
    <w:uiPriority w:val="0"/>
    <w:pPr>
      <w:widowControl/>
      <w:spacing w:before="100" w:beforeAutospacing="1" w:after="100" w:afterAutospacing="1"/>
      <w:jc w:val="center"/>
      <w:textAlignment w:val="center"/>
    </w:pPr>
    <w:rPr>
      <w:rFonts w:ascii="宋体" w:hAnsi="宋体" w:cs="宋体"/>
      <w:kern w:val="0"/>
      <w:sz w:val="20"/>
      <w:szCs w:val="20"/>
    </w:rPr>
  </w:style>
  <w:style w:type="paragraph" w:customStyle="1" w:styleId="44">
    <w:name w:val="xl68"/>
    <w:basedOn w:val="1"/>
    <w:qFormat/>
    <w:uiPriority w:val="0"/>
    <w:pPr>
      <w:widowControl/>
      <w:spacing w:before="100" w:beforeAutospacing="1" w:after="100" w:afterAutospacing="1"/>
      <w:jc w:val="left"/>
      <w:textAlignment w:val="center"/>
    </w:pPr>
    <w:rPr>
      <w:rFonts w:ascii="宋体" w:hAnsi="宋体" w:cs="宋体"/>
      <w:kern w:val="0"/>
      <w:sz w:val="20"/>
      <w:szCs w:val="20"/>
    </w:rPr>
  </w:style>
  <w:style w:type="paragraph" w:customStyle="1" w:styleId="45">
    <w:name w:val="xl69"/>
    <w:basedOn w:val="1"/>
    <w:qFormat/>
    <w:uiPriority w:val="0"/>
    <w:pPr>
      <w:widowControl/>
      <w:pBdr>
        <w:top w:val="single" w:color="auto" w:sz="4" w:space="0"/>
        <w:bottom w:val="single" w:color="auto" w:sz="4" w:space="0"/>
      </w:pBdr>
      <w:shd w:val="clear" w:color="000000" w:fill="AEAAAA"/>
      <w:spacing w:before="100" w:beforeAutospacing="1" w:after="100" w:afterAutospacing="1"/>
      <w:jc w:val="center"/>
      <w:textAlignment w:val="center"/>
    </w:pPr>
    <w:rPr>
      <w:rFonts w:ascii="宋体" w:hAnsi="宋体" w:cs="宋体"/>
      <w:kern w:val="0"/>
      <w:sz w:val="20"/>
      <w:szCs w:val="20"/>
    </w:rPr>
  </w:style>
  <w:style w:type="paragraph" w:customStyle="1" w:styleId="46">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b/>
      <w:bCs/>
      <w:color w:val="000000"/>
      <w:kern w:val="0"/>
      <w:sz w:val="20"/>
      <w:szCs w:val="20"/>
    </w:rPr>
  </w:style>
  <w:style w:type="paragraph" w:customStyle="1" w:styleId="47">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b/>
      <w:bCs/>
      <w:color w:val="000000"/>
      <w:kern w:val="0"/>
      <w:sz w:val="20"/>
      <w:szCs w:val="20"/>
    </w:rPr>
  </w:style>
  <w:style w:type="paragraph" w:customStyle="1" w:styleId="48">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49">
    <w:name w:val="xl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50">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20"/>
      <w:szCs w:val="20"/>
    </w:rPr>
  </w:style>
  <w:style w:type="paragraph" w:customStyle="1" w:styleId="51">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52">
    <w:name w:val="xl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53">
    <w:name w:val="xl7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20"/>
      <w:szCs w:val="20"/>
    </w:rPr>
  </w:style>
  <w:style w:type="paragraph" w:customStyle="1" w:styleId="54">
    <w:name w:val="xl78"/>
    <w:basedOn w:val="1"/>
    <w:qFormat/>
    <w:uiPriority w:val="0"/>
    <w:pPr>
      <w:widowControl/>
      <w:pBdr>
        <w:top w:val="single" w:color="auto" w:sz="4" w:space="0"/>
        <w:bottom w:val="single" w:color="auto" w:sz="4" w:space="0"/>
      </w:pBdr>
      <w:shd w:val="clear" w:color="000000" w:fill="A6A6A6"/>
      <w:spacing w:before="100" w:beforeAutospacing="1" w:after="100" w:afterAutospacing="1"/>
      <w:jc w:val="left"/>
      <w:textAlignment w:val="center"/>
    </w:pPr>
    <w:rPr>
      <w:rFonts w:ascii="宋体" w:hAnsi="宋体" w:cs="宋体"/>
      <w:kern w:val="0"/>
      <w:sz w:val="20"/>
      <w:szCs w:val="20"/>
    </w:rPr>
  </w:style>
  <w:style w:type="paragraph" w:customStyle="1" w:styleId="55">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56">
    <w:name w:val="xl8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57">
    <w:name w:val="xl81"/>
    <w:basedOn w:val="1"/>
    <w:qFormat/>
    <w:uiPriority w:val="0"/>
    <w:pPr>
      <w:widowControl/>
      <w:pBdr>
        <w:top w:val="single" w:color="auto" w:sz="4" w:space="0"/>
        <w:left w:val="single" w:color="auto" w:sz="4" w:space="0"/>
        <w:bottom w:val="single" w:color="auto" w:sz="4" w:space="0"/>
      </w:pBdr>
      <w:shd w:val="clear" w:color="000000" w:fill="AEAAAA"/>
      <w:spacing w:before="100" w:beforeAutospacing="1" w:after="100" w:afterAutospacing="1"/>
      <w:jc w:val="left"/>
      <w:textAlignment w:val="center"/>
    </w:pPr>
    <w:rPr>
      <w:rFonts w:ascii="宋体" w:hAnsi="宋体" w:cs="宋体"/>
      <w:b/>
      <w:bCs/>
      <w:kern w:val="0"/>
      <w:sz w:val="20"/>
      <w:szCs w:val="20"/>
    </w:rPr>
  </w:style>
  <w:style w:type="paragraph" w:customStyle="1" w:styleId="58">
    <w:name w:val="xl82"/>
    <w:basedOn w:val="1"/>
    <w:qFormat/>
    <w:uiPriority w:val="0"/>
    <w:pPr>
      <w:widowControl/>
      <w:pBdr>
        <w:top w:val="single" w:color="auto" w:sz="4" w:space="0"/>
        <w:bottom w:val="single" w:color="auto" w:sz="4" w:space="0"/>
      </w:pBdr>
      <w:shd w:val="clear" w:color="000000" w:fill="AEAAAA"/>
      <w:spacing w:before="100" w:beforeAutospacing="1" w:after="100" w:afterAutospacing="1"/>
      <w:jc w:val="left"/>
      <w:textAlignment w:val="center"/>
    </w:pPr>
    <w:rPr>
      <w:rFonts w:ascii="宋体" w:hAnsi="宋体" w:cs="宋体"/>
      <w:b/>
      <w:bCs/>
      <w:kern w:val="0"/>
      <w:sz w:val="20"/>
      <w:szCs w:val="20"/>
    </w:rPr>
  </w:style>
  <w:style w:type="paragraph" w:customStyle="1" w:styleId="59">
    <w:name w:val="Revision"/>
    <w:hidden/>
    <w:unhideWhenUsed/>
    <w:qFormat/>
    <w:uiPriority w:val="99"/>
    <w:rPr>
      <w:rFonts w:ascii="Times New Roman" w:hAnsi="Times New Roman" w:eastAsia="宋体" w:cs="Times New Roman"/>
      <w:kern w:val="2"/>
      <w:sz w:val="21"/>
      <w:szCs w:val="24"/>
      <w:lang w:val="en-US" w:eastAsia="zh-CN" w:bidi="ar-SA"/>
    </w:rPr>
  </w:style>
  <w:style w:type="character" w:customStyle="1" w:styleId="60">
    <w:name w:val="p141_1"/>
    <w:autoRedefine/>
    <w:qFormat/>
    <w:uiPriority w:val="0"/>
    <w:rPr>
      <w:rFonts w:ascii="Calibri" w:hAnsi="Calibri" w:eastAsia="宋体"/>
      <w:sz w:val="21"/>
      <w:szCs w:val="21"/>
      <w:lang w:val="en-US" w:eastAsia="zh-CN" w:bidi="ar-SA"/>
    </w:rPr>
  </w:style>
  <w:style w:type="paragraph" w:customStyle="1" w:styleId="61">
    <w:name w:val="列出段落1"/>
    <w:basedOn w:val="1"/>
    <w:autoRedefine/>
    <w:semiHidden/>
    <w:qFormat/>
    <w:uiPriority w:val="99"/>
    <w:pPr>
      <w:widowControl/>
      <w:spacing w:before="40" w:after="160"/>
      <w:ind w:firstLine="420" w:firstLineChars="200"/>
      <w:jc w:val="left"/>
    </w:pPr>
    <w:rPr>
      <w:rFonts w:ascii="Cambria" w:hAnsi="Cambria" w:eastAsia="微软雅黑"/>
      <w:color w:val="595959"/>
      <w:kern w:val="20"/>
      <w:szCs w:val="20"/>
      <w:lang w:val="zh-CN"/>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header" Target="header1.xml"/><Relationship Id="rId3" Type="http://schemas.openxmlformats.org/officeDocument/2006/relationships/footer" Target="footer1.xml"/><Relationship Id="rId22" Type="http://schemas.openxmlformats.org/officeDocument/2006/relationships/fontTable" Target="fontTable.xml"/><Relationship Id="rId21" Type="http://schemas.openxmlformats.org/officeDocument/2006/relationships/customXml" Target="../customXml/item2.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theme" Target="theme/theme1.xml"/><Relationship Id="rId17" Type="http://schemas.openxmlformats.org/officeDocument/2006/relationships/footer" Target="footer13.xml"/><Relationship Id="rId16" Type="http://schemas.openxmlformats.org/officeDocument/2006/relationships/footer" Target="footer12.xml"/><Relationship Id="rId15" Type="http://schemas.openxmlformats.org/officeDocument/2006/relationships/footer" Target="footer11.xml"/><Relationship Id="rId14" Type="http://schemas.openxmlformats.org/officeDocument/2006/relationships/footer" Target="footer10.xml"/><Relationship Id="rId13" Type="http://schemas.openxmlformats.org/officeDocument/2006/relationships/footer" Target="footer9.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5DB1305-5A9C-4BBB-881D-99C6319D64F2}">
  <ds:schemaRefs/>
</ds:datastoreItem>
</file>

<file path=docProps/app.xml><?xml version="1.0" encoding="utf-8"?>
<Properties xmlns="http://schemas.openxmlformats.org/officeDocument/2006/extended-properties" xmlns:vt="http://schemas.openxmlformats.org/officeDocument/2006/docPropsVTypes">
  <Template>Normal.dotm</Template>
  <Pages>127</Pages>
  <Words>9495</Words>
  <Characters>11679</Characters>
  <Lines>573</Lines>
  <Paragraphs>161</Paragraphs>
  <TotalTime>0</TotalTime>
  <ScaleCrop>false</ScaleCrop>
  <LinksUpToDate>false</LinksUpToDate>
  <CharactersWithSpaces>11885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2022-09-13T02:44:00Z</dcterms:created>
  <dc:creator>袁晶晶</dc:creator>
  <cp:lastModifiedBy>　</cp:lastModifiedBy>
  <dcterms:modified xsi:type="dcterms:W3CDTF">2025-04-01T05:50:41Z</dcterms:modified>
  <cp:revision>23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1425E113F6A44833936D8EA5A006C686_13</vt:lpwstr>
  </property>
  <property fmtid="{D5CDD505-2E9C-101B-9397-08002B2CF9AE}" pid="4" name="KSOTemplateDocerSaveRecord">
    <vt:lpwstr>eyJoZGlkIjoiNDZjOGU3MWE3ZjVkMTMwZTM4MGNlMWI3MmIyMzg1OGYiLCJ1c2VySWQiOiIzMTA0OTYxMjEifQ==</vt:lpwstr>
  </property>
</Properties>
</file>