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left="0" w:leftChars="0" w:firstLine="0" w:firstLineChars="0"/>
        <w:jc w:val="center"/>
        <w:rPr>
          <w:kern w:val="2"/>
          <w:sz w:val="36"/>
          <w:szCs w:val="40"/>
        </w:rPr>
      </w:pPr>
      <w:r>
        <w:rPr>
          <w:rFonts w:hint="eastAsia"/>
          <w:sz w:val="36"/>
          <w:szCs w:val="36"/>
        </w:rPr>
        <w:t xml:space="preserve"> </w:t>
      </w:r>
    </w:p>
    <w:p>
      <w:pPr>
        <w:pStyle w:val="22"/>
        <w:ind w:left="0" w:leftChars="0" w:firstLine="0" w:firstLineChars="0"/>
        <w:jc w:val="center"/>
        <w:rPr>
          <w:kern w:val="2"/>
          <w:sz w:val="36"/>
          <w:szCs w:val="40"/>
        </w:rPr>
      </w:pPr>
      <w:r>
        <w:rPr>
          <w:rFonts w:hint="eastAsia"/>
          <w:kern w:val="2"/>
          <w:sz w:val="36"/>
          <w:szCs w:val="40"/>
        </w:rPr>
        <w:t>吉</w:t>
      </w:r>
      <w:r>
        <w:rPr>
          <w:rFonts w:hint="eastAsia"/>
          <w:kern w:val="2"/>
          <w:sz w:val="36"/>
          <w:szCs w:val="40"/>
        </w:rPr>
        <w:fldChar w:fldCharType="begin"/>
      </w:r>
      <w:r>
        <w:rPr>
          <w:rFonts w:hint="eastAsia"/>
          <w:kern w:val="2"/>
          <w:sz w:val="36"/>
          <w:szCs w:val="40"/>
        </w:rPr>
        <w:instrText xml:space="preserve"> HYPERLINK "https://www.zcygov.cn/project-center/_procurement_/project-detail-router/63c61d83eb92a160?utm=web-bid-inviting-front.5de658f6.0.0.a5496260037d11efb53ab9b153029b16" \t "https://www.zcygov.cn/bid-inviting/_procurement_/purchaseFileMake/_blank" </w:instrText>
      </w:r>
      <w:r>
        <w:rPr>
          <w:rFonts w:hint="eastAsia"/>
          <w:kern w:val="2"/>
          <w:sz w:val="36"/>
          <w:szCs w:val="40"/>
        </w:rPr>
        <w:fldChar w:fldCharType="separate"/>
      </w:r>
      <w:r>
        <w:rPr>
          <w:rFonts w:hint="eastAsia"/>
          <w:kern w:val="2"/>
          <w:sz w:val="36"/>
          <w:szCs w:val="40"/>
        </w:rPr>
        <w:t>林市丰满区民政局电梯设备采购项目</w:t>
      </w:r>
      <w:r>
        <w:rPr>
          <w:rFonts w:hint="eastAsia"/>
          <w:kern w:val="2"/>
          <w:sz w:val="36"/>
          <w:szCs w:val="40"/>
        </w:rPr>
        <w:fldChar w:fldCharType="end"/>
      </w:r>
    </w:p>
    <w:p>
      <w:pPr>
        <w:pStyle w:val="22"/>
        <w:ind w:left="0" w:leftChars="0" w:firstLine="1807" w:firstLineChars="500"/>
        <w:jc w:val="center"/>
        <w:rPr>
          <w:kern w:val="2"/>
          <w:sz w:val="36"/>
          <w:szCs w:val="40"/>
        </w:rPr>
      </w:pPr>
    </w:p>
    <w:p>
      <w:pPr>
        <w:pStyle w:val="22"/>
        <w:ind w:left="2" w:firstLine="320"/>
        <w:rPr>
          <w:b w:val="0"/>
          <w:bCs w:val="0"/>
          <w:sz w:val="32"/>
          <w:szCs w:val="32"/>
        </w:rPr>
      </w:pPr>
    </w:p>
    <w:p>
      <w:pPr>
        <w:snapToGrid w:val="0"/>
        <w:jc w:val="center"/>
        <w:rPr>
          <w:rFonts w:ascii="宋体" w:cs="宋体"/>
          <w:b/>
          <w:bCs/>
          <w:sz w:val="72"/>
          <w:szCs w:val="72"/>
        </w:rPr>
      </w:pPr>
      <w:r>
        <w:rPr>
          <w:rFonts w:hint="eastAsia" w:ascii="宋体" w:cs="宋体"/>
          <w:b/>
          <w:bCs/>
          <w:sz w:val="72"/>
          <w:szCs w:val="72"/>
        </w:rPr>
        <w:t>招标文件</w:t>
      </w:r>
    </w:p>
    <w:p>
      <w:pPr>
        <w:snapToGrid w:val="0"/>
        <w:ind w:firstLine="283" w:firstLineChars="88"/>
        <w:rPr>
          <w:rFonts w:ascii="宋体" w:cs="宋体"/>
          <w:b/>
          <w:bCs/>
          <w:sz w:val="32"/>
          <w:szCs w:val="32"/>
        </w:rPr>
      </w:pPr>
    </w:p>
    <w:p>
      <w:pPr>
        <w:snapToGrid w:val="0"/>
        <w:jc w:val="center"/>
        <w:rPr>
          <w:rFonts w:ascii="宋体" w:cs="宋体"/>
          <w:b/>
          <w:bCs/>
          <w:sz w:val="28"/>
          <w:szCs w:val="28"/>
        </w:rPr>
      </w:pPr>
    </w:p>
    <w:p>
      <w:pPr>
        <w:snapToGrid w:val="0"/>
        <w:jc w:val="center"/>
        <w:rPr>
          <w:rFonts w:ascii="宋体" w:cs="宋体"/>
          <w:b/>
          <w:bCs/>
          <w:sz w:val="28"/>
          <w:szCs w:val="28"/>
        </w:rPr>
      </w:pPr>
      <w:r>
        <w:rPr>
          <w:rFonts w:hint="eastAsia" w:ascii="宋体" w:cs="宋体"/>
          <w:b/>
          <w:bCs/>
          <w:sz w:val="28"/>
          <w:szCs w:val="28"/>
        </w:rPr>
        <w:t>项目编号：采购计划-[2024]-00012号-0</w:t>
      </w:r>
      <w:r>
        <w:rPr>
          <w:rFonts w:hint="eastAsia" w:ascii="宋体" w:cs="宋体"/>
          <w:b/>
          <w:bCs/>
          <w:sz w:val="28"/>
          <w:szCs w:val="28"/>
          <w:lang w:val="en-US" w:eastAsia="zh-CN"/>
        </w:rPr>
        <w:t>0</w:t>
      </w:r>
      <w:r>
        <w:rPr>
          <w:rFonts w:hint="eastAsia" w:ascii="宋体" w:cs="宋体"/>
          <w:b/>
          <w:bCs/>
          <w:sz w:val="28"/>
          <w:szCs w:val="28"/>
        </w:rPr>
        <w:t>2</w:t>
      </w:r>
    </w:p>
    <w:p>
      <w:pPr>
        <w:snapToGrid w:val="0"/>
        <w:ind w:firstLine="283" w:firstLineChars="88"/>
        <w:rPr>
          <w:rFonts w:ascii="宋体" w:cs="宋体"/>
          <w:b/>
          <w:bCs/>
          <w:sz w:val="32"/>
          <w:szCs w:val="32"/>
        </w:rPr>
      </w:pPr>
    </w:p>
    <w:p>
      <w:pPr>
        <w:snapToGrid w:val="0"/>
        <w:ind w:firstLine="283" w:firstLineChars="88"/>
        <w:rPr>
          <w:rFonts w:ascii="宋体" w:cs="宋体"/>
          <w:b/>
          <w:bCs/>
          <w:sz w:val="32"/>
          <w:szCs w:val="32"/>
        </w:rPr>
      </w:pPr>
    </w:p>
    <w:p>
      <w:pPr>
        <w:snapToGrid w:val="0"/>
        <w:ind w:firstLine="283" w:firstLineChars="88"/>
        <w:rPr>
          <w:rFonts w:ascii="宋体" w:cs="宋体"/>
          <w:b/>
          <w:bCs/>
          <w:sz w:val="32"/>
          <w:szCs w:val="32"/>
        </w:rPr>
      </w:pPr>
    </w:p>
    <w:p>
      <w:pPr>
        <w:snapToGrid w:val="0"/>
        <w:rPr>
          <w:rFonts w:ascii="宋体" w:cs="宋体"/>
          <w:b/>
          <w:bCs/>
          <w:sz w:val="32"/>
          <w:szCs w:val="32"/>
        </w:rPr>
      </w:pPr>
    </w:p>
    <w:p>
      <w:pPr>
        <w:snapToGrid w:val="0"/>
        <w:rPr>
          <w:rFonts w:ascii="宋体" w:cs="宋体"/>
          <w:b/>
          <w:bCs/>
          <w:sz w:val="32"/>
          <w:szCs w:val="32"/>
        </w:rPr>
      </w:pPr>
    </w:p>
    <w:p>
      <w:pPr>
        <w:snapToGrid w:val="0"/>
        <w:rPr>
          <w:rFonts w:ascii="宋体" w:cs="宋体"/>
          <w:b/>
          <w:bCs/>
          <w:sz w:val="32"/>
          <w:szCs w:val="32"/>
        </w:rPr>
      </w:pPr>
    </w:p>
    <w:p>
      <w:pPr>
        <w:snapToGrid w:val="0"/>
        <w:rPr>
          <w:rFonts w:ascii="宋体" w:cs="宋体"/>
          <w:b/>
          <w:bCs/>
          <w:sz w:val="32"/>
          <w:szCs w:val="32"/>
        </w:rPr>
      </w:pPr>
    </w:p>
    <w:p>
      <w:pPr>
        <w:snapToGrid w:val="0"/>
        <w:rPr>
          <w:rFonts w:hint="eastAsia" w:ascii="宋体" w:eastAsia="宋体" w:cs="宋体"/>
          <w:b/>
          <w:bCs/>
          <w:sz w:val="32"/>
          <w:szCs w:val="32"/>
          <w:lang w:val="en-US" w:eastAsia="zh-CN"/>
        </w:rPr>
      </w:pPr>
      <w:r>
        <w:rPr>
          <w:rFonts w:hint="eastAsia" w:ascii="宋体" w:cs="宋体"/>
          <w:b/>
          <w:bCs/>
          <w:sz w:val="32"/>
          <w:szCs w:val="32"/>
          <w:lang w:val="en-US" w:eastAsia="zh-CN"/>
        </w:rPr>
        <w:t xml:space="preserve"> </w:t>
      </w:r>
    </w:p>
    <w:p>
      <w:pPr>
        <w:snapToGrid w:val="0"/>
        <w:rPr>
          <w:rFonts w:ascii="宋体" w:cs="宋体"/>
          <w:b/>
          <w:bCs/>
          <w:sz w:val="28"/>
          <w:szCs w:val="28"/>
        </w:rPr>
      </w:pPr>
    </w:p>
    <w:p>
      <w:pPr>
        <w:snapToGrid w:val="0"/>
        <w:jc w:val="center"/>
        <w:rPr>
          <w:rFonts w:ascii="宋体" w:cs="宋体"/>
          <w:b/>
          <w:bCs/>
          <w:sz w:val="28"/>
          <w:szCs w:val="28"/>
        </w:rPr>
      </w:pPr>
      <w:r>
        <w:rPr>
          <w:rFonts w:hint="eastAsia" w:ascii="宋体" w:cs="宋体"/>
          <w:b/>
          <w:bCs/>
          <w:sz w:val="28"/>
          <w:szCs w:val="28"/>
        </w:rPr>
        <w:t>采  购 人：吉林市丰满区民政局</w:t>
      </w:r>
    </w:p>
    <w:p>
      <w:pPr>
        <w:snapToGrid w:val="0"/>
        <w:ind w:firstLine="247" w:firstLineChars="88"/>
        <w:jc w:val="center"/>
        <w:rPr>
          <w:rFonts w:ascii="宋体" w:cs="宋体"/>
          <w:b/>
          <w:bCs/>
          <w:sz w:val="28"/>
          <w:szCs w:val="28"/>
        </w:rPr>
      </w:pPr>
    </w:p>
    <w:p>
      <w:pPr>
        <w:snapToGrid w:val="0"/>
        <w:jc w:val="center"/>
        <w:rPr>
          <w:rFonts w:ascii="宋体" w:cs="宋体"/>
          <w:b/>
          <w:bCs/>
          <w:sz w:val="28"/>
          <w:szCs w:val="28"/>
        </w:rPr>
      </w:pPr>
    </w:p>
    <w:p>
      <w:pPr>
        <w:snapToGrid w:val="0"/>
        <w:jc w:val="center"/>
        <w:rPr>
          <w:rFonts w:ascii="宋体" w:cs="宋体"/>
          <w:b/>
          <w:bCs/>
          <w:sz w:val="28"/>
          <w:szCs w:val="28"/>
        </w:rPr>
      </w:pPr>
    </w:p>
    <w:p>
      <w:pPr>
        <w:snapToGrid w:val="0"/>
        <w:jc w:val="center"/>
        <w:rPr>
          <w:rFonts w:ascii="宋体" w:cs="宋体"/>
          <w:b/>
          <w:bCs/>
          <w:sz w:val="28"/>
          <w:szCs w:val="28"/>
        </w:rPr>
      </w:pPr>
      <w:r>
        <w:rPr>
          <w:rFonts w:hint="eastAsia" w:ascii="宋体" w:cs="宋体"/>
          <w:b/>
          <w:bCs/>
          <w:sz w:val="28"/>
          <w:szCs w:val="28"/>
        </w:rPr>
        <w:t>集中采购机构：吉林市丰满区政府采购中心</w:t>
      </w:r>
    </w:p>
    <w:p>
      <w:pPr>
        <w:snapToGrid w:val="0"/>
        <w:ind w:firstLine="247" w:firstLineChars="88"/>
        <w:jc w:val="center"/>
        <w:rPr>
          <w:rFonts w:ascii="宋体" w:cs="宋体"/>
          <w:b/>
          <w:bCs/>
          <w:sz w:val="28"/>
          <w:szCs w:val="28"/>
        </w:rPr>
      </w:pPr>
    </w:p>
    <w:p>
      <w:pPr>
        <w:snapToGrid w:val="0"/>
        <w:rPr>
          <w:rFonts w:ascii="宋体" w:cs="宋体"/>
          <w:b/>
          <w:sz w:val="28"/>
          <w:szCs w:val="18"/>
        </w:rPr>
      </w:pPr>
    </w:p>
    <w:p>
      <w:pPr>
        <w:adjustRightInd w:val="0"/>
        <w:snapToGrid w:val="0"/>
        <w:jc w:val="center"/>
        <w:rPr>
          <w:rFonts w:ascii="宋体" w:cs="宋体"/>
          <w:b/>
          <w:sz w:val="28"/>
          <w:szCs w:val="18"/>
        </w:rPr>
      </w:pPr>
    </w:p>
    <w:p>
      <w:pPr>
        <w:adjustRightInd w:val="0"/>
        <w:snapToGrid w:val="0"/>
        <w:jc w:val="center"/>
        <w:rPr>
          <w:rFonts w:ascii="宋体" w:cs="宋体"/>
          <w:b/>
          <w:sz w:val="28"/>
          <w:szCs w:val="18"/>
        </w:rPr>
      </w:pPr>
      <w:r>
        <w:rPr>
          <w:rFonts w:hint="eastAsia" w:ascii="宋体" w:cs="宋体"/>
          <w:b/>
          <w:sz w:val="28"/>
          <w:szCs w:val="18"/>
        </w:rPr>
        <w:t xml:space="preserve"> 二〇二四年</w:t>
      </w:r>
      <w:r>
        <w:rPr>
          <w:rFonts w:hint="eastAsia" w:ascii="宋体" w:cs="宋体"/>
          <w:b/>
          <w:sz w:val="28"/>
          <w:szCs w:val="18"/>
          <w:lang w:val="en-US" w:eastAsia="zh-CN"/>
        </w:rPr>
        <w:t>六</w:t>
      </w:r>
      <w:r>
        <w:rPr>
          <w:rFonts w:hint="eastAsia" w:ascii="宋体" w:cs="宋体"/>
          <w:b/>
          <w:sz w:val="28"/>
          <w:szCs w:val="18"/>
        </w:rPr>
        <w:t>月</w:t>
      </w:r>
    </w:p>
    <w:p>
      <w:pPr>
        <w:pStyle w:val="34"/>
        <w:rPr>
          <w:rFonts w:ascii="Times New Roman" w:hAnsi="Times New Roman"/>
          <w:b w:val="0"/>
          <w:bCs w:val="0"/>
          <w:color w:val="auto"/>
          <w:kern w:val="2"/>
          <w:sz w:val="21"/>
          <w:szCs w:val="20"/>
          <w:lang w:val="zh-CN"/>
        </w:rPr>
        <w:sectPr>
          <w:headerReference r:id="rId3" w:type="default"/>
          <w:footerReference r:id="rId4" w:type="default"/>
          <w:pgSz w:w="11906" w:h="16838"/>
          <w:pgMar w:top="1440" w:right="1800" w:bottom="1440" w:left="1800" w:header="851" w:footer="992" w:gutter="0"/>
          <w:pgNumType w:start="0" w:chapStyle="1"/>
          <w:cols w:space="720" w:num="1"/>
          <w:titlePg/>
          <w:docGrid w:type="lines" w:linePitch="312" w:charSpace="0"/>
        </w:sectPr>
      </w:pPr>
    </w:p>
    <w:sdt>
      <w:sdtPr>
        <w:rPr>
          <w:rFonts w:ascii="Times New Roman" w:hAnsi="Times New Roman"/>
          <w:b w:val="0"/>
          <w:bCs w:val="0"/>
          <w:color w:val="auto"/>
          <w:kern w:val="2"/>
          <w:sz w:val="21"/>
          <w:szCs w:val="20"/>
          <w:lang w:val="zh-CN"/>
        </w:rPr>
        <w:id w:val="1306626883"/>
        <w:docPartObj>
          <w:docPartGallery w:val="Table of Contents"/>
          <w:docPartUnique/>
        </w:docPartObj>
      </w:sdtPr>
      <w:sdtEndPr>
        <w:rPr>
          <w:rFonts w:ascii="Times New Roman" w:hAnsi="Times New Roman"/>
          <w:b w:val="0"/>
          <w:bCs w:val="0"/>
          <w:color w:val="auto"/>
          <w:kern w:val="2"/>
          <w:sz w:val="21"/>
          <w:szCs w:val="20"/>
          <w:lang w:val="zh-CN"/>
        </w:rPr>
      </w:sdtEndPr>
      <w:sdtContent>
        <w:p>
          <w:pPr>
            <w:pStyle w:val="34"/>
          </w:pPr>
          <w:r>
            <w:rPr>
              <w:rFonts w:hint="eastAsia" w:ascii="Times New Roman" w:hAnsi="Times New Roman"/>
              <w:b w:val="0"/>
              <w:bCs w:val="0"/>
              <w:color w:val="auto"/>
              <w:kern w:val="2"/>
              <w:sz w:val="21"/>
              <w:szCs w:val="20"/>
              <w:lang w:val="en-US" w:eastAsia="zh-CN"/>
            </w:rPr>
            <w:t xml:space="preserve">                                     </w:t>
          </w:r>
          <w:r>
            <w:rPr>
              <w:lang w:val="zh-CN"/>
            </w:rPr>
            <w:t>目录</w:t>
          </w:r>
        </w:p>
        <w:p>
          <w:pPr>
            <w:pStyle w:val="17"/>
            <w:tabs>
              <w:tab w:val="right" w:leader="dot" w:pos="8306"/>
            </w:tabs>
          </w:pPr>
          <w:r>
            <w:fldChar w:fldCharType="begin"/>
          </w:r>
          <w:r>
            <w:instrText xml:space="preserve"> TOC \o "1-3" \h \z \u </w:instrText>
          </w:r>
          <w:r>
            <w:fldChar w:fldCharType="separate"/>
          </w:r>
          <w:r>
            <w:fldChar w:fldCharType="begin"/>
          </w:r>
          <w:r>
            <w:instrText xml:space="preserve"> HYPERLINK \l _Toc10611 </w:instrText>
          </w:r>
          <w:r>
            <w:fldChar w:fldCharType="separate"/>
          </w:r>
          <w:r>
            <w:t>第一章</w:t>
          </w:r>
          <w:r>
            <w:rPr>
              <w:rFonts w:hint="eastAsia"/>
            </w:rPr>
            <w:t xml:space="preserve"> 招标公告</w:t>
          </w:r>
          <w:r>
            <w:tab/>
          </w:r>
          <w:r>
            <w:fldChar w:fldCharType="begin"/>
          </w:r>
          <w:r>
            <w:instrText xml:space="preserve"> PAGEREF _Toc10611 \h </w:instrText>
          </w:r>
          <w:r>
            <w:fldChar w:fldCharType="separate"/>
          </w:r>
          <w:r>
            <w:t>1</w:t>
          </w:r>
          <w:r>
            <w:fldChar w:fldCharType="end"/>
          </w:r>
          <w:r>
            <w:fldChar w:fldCharType="end"/>
          </w:r>
        </w:p>
        <w:p>
          <w:pPr>
            <w:pStyle w:val="17"/>
            <w:tabs>
              <w:tab w:val="right" w:leader="dot" w:pos="8306"/>
            </w:tabs>
          </w:pPr>
          <w:r>
            <w:rPr>
              <w:bCs/>
              <w:lang w:val="zh-CN"/>
            </w:rPr>
            <w:fldChar w:fldCharType="begin"/>
          </w:r>
          <w:r>
            <w:rPr>
              <w:bCs/>
              <w:lang w:val="zh-CN"/>
            </w:rPr>
            <w:instrText xml:space="preserve"> HYPERLINK \l _Toc4335 </w:instrText>
          </w:r>
          <w:r>
            <w:rPr>
              <w:bCs/>
              <w:lang w:val="zh-CN"/>
            </w:rPr>
            <w:fldChar w:fldCharType="separate"/>
          </w:r>
          <w:r>
            <w:rPr>
              <w:rFonts w:hint="eastAsia"/>
            </w:rPr>
            <w:t>第二章 投标人须知</w:t>
          </w:r>
          <w:r>
            <w:tab/>
          </w:r>
          <w:r>
            <w:fldChar w:fldCharType="begin"/>
          </w:r>
          <w:r>
            <w:instrText xml:space="preserve"> PAGEREF _Toc4335 \h </w:instrText>
          </w:r>
          <w:r>
            <w:fldChar w:fldCharType="separate"/>
          </w:r>
          <w:r>
            <w:t>5</w:t>
          </w:r>
          <w:r>
            <w:fldChar w:fldCharType="end"/>
          </w:r>
          <w:r>
            <w:rPr>
              <w:bCs/>
              <w:lang w:val="zh-CN"/>
            </w:rPr>
            <w:fldChar w:fldCharType="end"/>
          </w:r>
        </w:p>
        <w:p>
          <w:pPr>
            <w:pStyle w:val="19"/>
            <w:tabs>
              <w:tab w:val="right" w:leader="dot" w:pos="8306"/>
            </w:tabs>
          </w:pPr>
          <w:r>
            <w:rPr>
              <w:bCs/>
              <w:lang w:val="zh-CN"/>
            </w:rPr>
            <w:fldChar w:fldCharType="begin"/>
          </w:r>
          <w:r>
            <w:rPr>
              <w:bCs/>
              <w:lang w:val="zh-CN"/>
            </w:rPr>
            <w:instrText xml:space="preserve"> HYPERLINK \l _Toc2840 </w:instrText>
          </w:r>
          <w:r>
            <w:rPr>
              <w:bCs/>
              <w:lang w:val="zh-CN"/>
            </w:rPr>
            <w:fldChar w:fldCharType="separate"/>
          </w:r>
          <w:r>
            <w:rPr>
              <w:rFonts w:hint="eastAsia"/>
            </w:rPr>
            <w:t>一、投标人须知前附表</w:t>
          </w:r>
          <w:r>
            <w:tab/>
          </w:r>
          <w:r>
            <w:fldChar w:fldCharType="begin"/>
          </w:r>
          <w:r>
            <w:instrText xml:space="preserve"> PAGEREF _Toc2840 \h </w:instrText>
          </w:r>
          <w:r>
            <w:fldChar w:fldCharType="separate"/>
          </w:r>
          <w:r>
            <w:t>5</w:t>
          </w:r>
          <w:r>
            <w:fldChar w:fldCharType="end"/>
          </w:r>
          <w:r>
            <w:rPr>
              <w:bCs/>
              <w:lang w:val="zh-CN"/>
            </w:rPr>
            <w:fldChar w:fldCharType="end"/>
          </w:r>
        </w:p>
        <w:p>
          <w:pPr>
            <w:pStyle w:val="19"/>
            <w:tabs>
              <w:tab w:val="right" w:leader="dot" w:pos="8306"/>
            </w:tabs>
          </w:pPr>
          <w:r>
            <w:rPr>
              <w:bCs/>
              <w:lang w:val="zh-CN"/>
            </w:rPr>
            <w:fldChar w:fldCharType="begin"/>
          </w:r>
          <w:r>
            <w:rPr>
              <w:bCs/>
              <w:lang w:val="zh-CN"/>
            </w:rPr>
            <w:instrText xml:space="preserve"> HYPERLINK \l _Toc6709 </w:instrText>
          </w:r>
          <w:r>
            <w:rPr>
              <w:bCs/>
              <w:lang w:val="zh-CN"/>
            </w:rPr>
            <w:fldChar w:fldCharType="separate"/>
          </w:r>
          <w:r>
            <w:rPr>
              <w:rFonts w:hint="eastAsia"/>
            </w:rPr>
            <w:t>二、投标人须知正文</w:t>
          </w:r>
          <w:r>
            <w:tab/>
          </w:r>
          <w:r>
            <w:fldChar w:fldCharType="begin"/>
          </w:r>
          <w:r>
            <w:instrText xml:space="preserve"> PAGEREF _Toc6709 \h </w:instrText>
          </w:r>
          <w:r>
            <w:fldChar w:fldCharType="separate"/>
          </w:r>
          <w:r>
            <w:t>8</w:t>
          </w:r>
          <w:r>
            <w:fldChar w:fldCharType="end"/>
          </w:r>
          <w:r>
            <w:rPr>
              <w:bCs/>
              <w:lang w:val="zh-CN"/>
            </w:rPr>
            <w:fldChar w:fldCharType="end"/>
          </w:r>
        </w:p>
        <w:p>
          <w:pPr>
            <w:pStyle w:val="17"/>
            <w:tabs>
              <w:tab w:val="right" w:leader="dot" w:pos="8306"/>
            </w:tabs>
          </w:pPr>
          <w:r>
            <w:rPr>
              <w:bCs/>
              <w:lang w:val="zh-CN"/>
            </w:rPr>
            <w:fldChar w:fldCharType="begin"/>
          </w:r>
          <w:r>
            <w:rPr>
              <w:bCs/>
              <w:lang w:val="zh-CN"/>
            </w:rPr>
            <w:instrText xml:space="preserve"> HYPERLINK \l _Toc1477 </w:instrText>
          </w:r>
          <w:r>
            <w:rPr>
              <w:bCs/>
              <w:lang w:val="zh-CN"/>
            </w:rPr>
            <w:fldChar w:fldCharType="separate"/>
          </w:r>
          <w:r>
            <w:rPr>
              <w:rFonts w:hint="eastAsia"/>
            </w:rPr>
            <w:t>第三章 评标办法</w:t>
          </w:r>
          <w:r>
            <w:tab/>
          </w:r>
          <w:r>
            <w:fldChar w:fldCharType="begin"/>
          </w:r>
          <w:r>
            <w:instrText xml:space="preserve"> PAGEREF _Toc1477 \h </w:instrText>
          </w:r>
          <w:r>
            <w:fldChar w:fldCharType="separate"/>
          </w:r>
          <w:r>
            <w:t>15</w:t>
          </w:r>
          <w:r>
            <w:fldChar w:fldCharType="end"/>
          </w:r>
          <w:r>
            <w:rPr>
              <w:bCs/>
              <w:lang w:val="zh-CN"/>
            </w:rPr>
            <w:fldChar w:fldCharType="end"/>
          </w:r>
        </w:p>
        <w:p>
          <w:pPr>
            <w:pStyle w:val="19"/>
            <w:tabs>
              <w:tab w:val="right" w:leader="dot" w:pos="8306"/>
            </w:tabs>
          </w:pPr>
          <w:r>
            <w:rPr>
              <w:bCs/>
              <w:lang w:val="zh-CN"/>
            </w:rPr>
            <w:fldChar w:fldCharType="begin"/>
          </w:r>
          <w:r>
            <w:rPr>
              <w:bCs/>
              <w:lang w:val="zh-CN"/>
            </w:rPr>
            <w:instrText xml:space="preserve"> HYPERLINK \l _Toc851 </w:instrText>
          </w:r>
          <w:r>
            <w:rPr>
              <w:bCs/>
              <w:lang w:val="zh-CN"/>
            </w:rPr>
            <w:fldChar w:fldCharType="separate"/>
          </w:r>
          <w:r>
            <w:rPr>
              <w:rFonts w:hint="eastAsia"/>
            </w:rPr>
            <w:t>一</w:t>
          </w:r>
          <w:r>
            <w:rPr>
              <w:rFonts w:hint="eastAsia"/>
              <w:bCs/>
            </w:rPr>
            <w:t>、初步评审标准</w:t>
          </w:r>
          <w:r>
            <w:tab/>
          </w:r>
          <w:r>
            <w:fldChar w:fldCharType="begin"/>
          </w:r>
          <w:r>
            <w:instrText xml:space="preserve"> PAGEREF _Toc851 \h </w:instrText>
          </w:r>
          <w:r>
            <w:fldChar w:fldCharType="separate"/>
          </w:r>
          <w:r>
            <w:t>15</w:t>
          </w:r>
          <w:r>
            <w:fldChar w:fldCharType="end"/>
          </w:r>
          <w:r>
            <w:rPr>
              <w:bCs/>
              <w:lang w:val="zh-CN"/>
            </w:rPr>
            <w:fldChar w:fldCharType="end"/>
          </w:r>
        </w:p>
        <w:p>
          <w:pPr>
            <w:pStyle w:val="19"/>
            <w:tabs>
              <w:tab w:val="right" w:leader="dot" w:pos="8306"/>
            </w:tabs>
          </w:pPr>
          <w:r>
            <w:rPr>
              <w:bCs/>
              <w:lang w:val="zh-CN"/>
            </w:rPr>
            <w:fldChar w:fldCharType="begin"/>
          </w:r>
          <w:r>
            <w:rPr>
              <w:bCs/>
              <w:lang w:val="zh-CN"/>
            </w:rPr>
            <w:instrText xml:space="preserve"> HYPERLINK \l _Toc26910 </w:instrText>
          </w:r>
          <w:r>
            <w:rPr>
              <w:bCs/>
              <w:lang w:val="zh-CN"/>
            </w:rPr>
            <w:fldChar w:fldCharType="separate"/>
          </w:r>
          <w:r>
            <w:rPr>
              <w:rFonts w:hint="eastAsia"/>
            </w:rPr>
            <w:t>二、 详细评审标</w:t>
          </w:r>
          <w:r>
            <w:tab/>
          </w:r>
          <w:r>
            <w:fldChar w:fldCharType="begin"/>
          </w:r>
          <w:r>
            <w:instrText xml:space="preserve"> PAGEREF _Toc26910 \h </w:instrText>
          </w:r>
          <w:r>
            <w:fldChar w:fldCharType="separate"/>
          </w:r>
          <w:r>
            <w:t>16</w:t>
          </w:r>
          <w:r>
            <w:fldChar w:fldCharType="end"/>
          </w:r>
          <w:r>
            <w:rPr>
              <w:bCs/>
              <w:lang w:val="zh-CN"/>
            </w:rPr>
            <w:fldChar w:fldCharType="end"/>
          </w:r>
        </w:p>
        <w:p>
          <w:pPr>
            <w:pStyle w:val="19"/>
            <w:tabs>
              <w:tab w:val="right" w:leader="dot" w:pos="8306"/>
            </w:tabs>
          </w:pPr>
          <w:r>
            <w:rPr>
              <w:bCs/>
              <w:lang w:val="zh-CN"/>
            </w:rPr>
            <w:fldChar w:fldCharType="begin"/>
          </w:r>
          <w:r>
            <w:rPr>
              <w:bCs/>
              <w:lang w:val="zh-CN"/>
            </w:rPr>
            <w:instrText xml:space="preserve"> HYPERLINK \l _Toc32458 </w:instrText>
          </w:r>
          <w:r>
            <w:rPr>
              <w:bCs/>
              <w:lang w:val="zh-CN"/>
            </w:rPr>
            <w:fldChar w:fldCharType="separate"/>
          </w:r>
          <w:r>
            <w:rPr>
              <w:rFonts w:hint="eastAsia"/>
            </w:rPr>
            <w:t>三、评标办法正文</w:t>
          </w:r>
          <w:r>
            <w:tab/>
          </w:r>
          <w:r>
            <w:fldChar w:fldCharType="begin"/>
          </w:r>
          <w:r>
            <w:instrText xml:space="preserve"> PAGEREF _Toc32458 \h </w:instrText>
          </w:r>
          <w:r>
            <w:fldChar w:fldCharType="separate"/>
          </w:r>
          <w:r>
            <w:t>17</w:t>
          </w:r>
          <w:r>
            <w:fldChar w:fldCharType="end"/>
          </w:r>
          <w:r>
            <w:rPr>
              <w:bCs/>
              <w:lang w:val="zh-CN"/>
            </w:rPr>
            <w:fldChar w:fldCharType="end"/>
          </w:r>
        </w:p>
        <w:p>
          <w:pPr>
            <w:pStyle w:val="17"/>
            <w:tabs>
              <w:tab w:val="right" w:leader="dot" w:pos="8306"/>
            </w:tabs>
          </w:pPr>
          <w:r>
            <w:rPr>
              <w:bCs/>
              <w:lang w:val="zh-CN"/>
            </w:rPr>
            <w:fldChar w:fldCharType="begin"/>
          </w:r>
          <w:r>
            <w:rPr>
              <w:bCs/>
              <w:lang w:val="zh-CN"/>
            </w:rPr>
            <w:instrText xml:space="preserve"> HYPERLINK \l _Toc333 </w:instrText>
          </w:r>
          <w:r>
            <w:rPr>
              <w:bCs/>
              <w:lang w:val="zh-CN"/>
            </w:rPr>
            <w:fldChar w:fldCharType="separate"/>
          </w:r>
          <w:r>
            <w:t>第</w:t>
          </w:r>
          <w:r>
            <w:rPr>
              <w:rFonts w:hint="eastAsia"/>
            </w:rPr>
            <w:t>四</w:t>
          </w:r>
          <w:r>
            <w:t>章</w:t>
          </w:r>
          <w:r>
            <w:rPr>
              <w:rFonts w:hint="eastAsia"/>
            </w:rPr>
            <w:t xml:space="preserve"> 技术标准及要求</w:t>
          </w:r>
          <w:r>
            <w:tab/>
          </w:r>
          <w:r>
            <w:fldChar w:fldCharType="begin"/>
          </w:r>
          <w:r>
            <w:instrText xml:space="preserve"> PAGEREF _Toc333 \h </w:instrText>
          </w:r>
          <w:r>
            <w:fldChar w:fldCharType="separate"/>
          </w:r>
          <w:r>
            <w:t>21</w:t>
          </w:r>
          <w:r>
            <w:fldChar w:fldCharType="end"/>
          </w:r>
          <w:r>
            <w:rPr>
              <w:bCs/>
              <w:lang w:val="zh-CN"/>
            </w:rPr>
            <w:fldChar w:fldCharType="end"/>
          </w:r>
        </w:p>
        <w:p>
          <w:pPr>
            <w:pStyle w:val="17"/>
            <w:tabs>
              <w:tab w:val="right" w:leader="dot" w:pos="8306"/>
            </w:tabs>
          </w:pPr>
          <w:r>
            <w:rPr>
              <w:bCs/>
              <w:lang w:val="zh-CN"/>
            </w:rPr>
            <w:fldChar w:fldCharType="begin"/>
          </w:r>
          <w:r>
            <w:rPr>
              <w:bCs/>
              <w:lang w:val="zh-CN"/>
            </w:rPr>
            <w:instrText xml:space="preserve"> HYPERLINK \l _Toc9509 </w:instrText>
          </w:r>
          <w:r>
            <w:rPr>
              <w:bCs/>
              <w:lang w:val="zh-CN"/>
            </w:rPr>
            <w:fldChar w:fldCharType="separate"/>
          </w:r>
          <w:r>
            <w:t>第五章</w:t>
          </w:r>
          <w:r>
            <w:rPr>
              <w:rFonts w:hint="eastAsia"/>
            </w:rPr>
            <w:t xml:space="preserve"> 政府采购合同</w:t>
          </w:r>
          <w:r>
            <w:tab/>
          </w:r>
          <w:r>
            <w:fldChar w:fldCharType="begin"/>
          </w:r>
          <w:r>
            <w:instrText xml:space="preserve"> PAGEREF _Toc9509 \h </w:instrText>
          </w:r>
          <w:r>
            <w:fldChar w:fldCharType="separate"/>
          </w:r>
          <w:r>
            <w:t>32</w:t>
          </w:r>
          <w:r>
            <w:fldChar w:fldCharType="end"/>
          </w:r>
          <w:r>
            <w:rPr>
              <w:bCs/>
              <w:lang w:val="zh-CN"/>
            </w:rPr>
            <w:fldChar w:fldCharType="end"/>
          </w:r>
        </w:p>
        <w:p>
          <w:pPr>
            <w:pStyle w:val="17"/>
            <w:tabs>
              <w:tab w:val="right" w:leader="dot" w:pos="8306"/>
            </w:tabs>
          </w:pPr>
          <w:r>
            <w:rPr>
              <w:bCs/>
              <w:lang w:val="zh-CN"/>
            </w:rPr>
            <w:fldChar w:fldCharType="begin"/>
          </w:r>
          <w:r>
            <w:rPr>
              <w:bCs/>
              <w:lang w:val="zh-CN"/>
            </w:rPr>
            <w:instrText xml:space="preserve"> HYPERLINK \l _Toc5541 </w:instrText>
          </w:r>
          <w:r>
            <w:rPr>
              <w:bCs/>
              <w:lang w:val="zh-CN"/>
            </w:rPr>
            <w:fldChar w:fldCharType="separate"/>
          </w:r>
          <w:r>
            <w:rPr>
              <w:rFonts w:hint="eastAsia"/>
              <w:szCs w:val="52"/>
            </w:rPr>
            <w:t>第六章 投标文件部分格式</w:t>
          </w:r>
          <w:r>
            <w:tab/>
          </w:r>
          <w:r>
            <w:fldChar w:fldCharType="begin"/>
          </w:r>
          <w:r>
            <w:instrText xml:space="preserve"> PAGEREF _Toc5541 \h </w:instrText>
          </w:r>
          <w:r>
            <w:fldChar w:fldCharType="separate"/>
          </w:r>
          <w:r>
            <w:t>41</w:t>
          </w:r>
          <w:r>
            <w:fldChar w:fldCharType="end"/>
          </w:r>
          <w:r>
            <w:rPr>
              <w:bCs/>
              <w:lang w:val="zh-CN"/>
            </w:rPr>
            <w:fldChar w:fldCharType="end"/>
          </w:r>
        </w:p>
        <w:p>
          <w:pPr>
            <w:rPr>
              <w:lang w:val="zh-CN"/>
            </w:rPr>
          </w:pPr>
          <w:r>
            <w:rPr>
              <w:bCs/>
              <w:lang w:val="zh-CN"/>
            </w:rPr>
            <w:fldChar w:fldCharType="end"/>
          </w:r>
        </w:p>
      </w:sdtContent>
    </w:sdt>
    <w:p/>
    <w:p/>
    <w:p/>
    <w:p/>
    <w:p/>
    <w:p/>
    <w:p/>
    <w:p/>
    <w:p/>
    <w:p/>
    <w:p/>
    <w:p/>
    <w:p/>
    <w:p/>
    <w:p/>
    <w:p/>
    <w:p/>
    <w:p/>
    <w:p/>
    <w:p/>
    <w:p/>
    <w:p/>
    <w:p/>
    <w:p>
      <w:pPr>
        <w:pStyle w:val="2"/>
        <w:jc w:val="center"/>
        <w:sectPr>
          <w:footerReference r:id="rId6" w:type="first"/>
          <w:footerReference r:id="rId5" w:type="default"/>
          <w:pgSz w:w="11906" w:h="16838"/>
          <w:pgMar w:top="1440" w:right="1800" w:bottom="1440" w:left="1800" w:header="851" w:footer="992" w:gutter="0"/>
          <w:pgNumType w:start="0" w:chapStyle="1"/>
          <w:cols w:space="720" w:num="1"/>
          <w:titlePg/>
          <w:docGrid w:type="lines" w:linePitch="312" w:charSpace="0"/>
        </w:sectPr>
      </w:pPr>
      <w:bookmarkStart w:id="0" w:name="_Toc119415143"/>
      <w:bookmarkStart w:id="1" w:name="OLE_LINK16"/>
      <w:bookmarkStart w:id="2" w:name="OLE_LINK19"/>
      <w:bookmarkStart w:id="3" w:name="OLE_LINK22"/>
      <w:bookmarkStart w:id="4" w:name="OLE_LINK21"/>
      <w:bookmarkStart w:id="5" w:name="OLE_LINK17"/>
      <w:bookmarkStart w:id="6" w:name="OLE_LINK23"/>
      <w:bookmarkStart w:id="7" w:name="OLE_LINK18"/>
    </w:p>
    <w:p>
      <w:pPr>
        <w:pStyle w:val="2"/>
        <w:jc w:val="center"/>
      </w:pPr>
      <w:bookmarkStart w:id="8" w:name="_Toc10611"/>
      <w:r>
        <w:t>第一章</w:t>
      </w:r>
      <w:r>
        <w:rPr>
          <w:rFonts w:hint="eastAsia"/>
        </w:rPr>
        <w:t xml:space="preserve"> 招标公告</w:t>
      </w:r>
      <w:bookmarkEnd w:id="0"/>
      <w:bookmarkEnd w:id="8"/>
    </w:p>
    <w:p>
      <w:pPr>
        <w:pStyle w:val="22"/>
        <w:ind w:left="0" w:leftChars="0" w:firstLine="0" w:firstLineChars="0"/>
        <w:jc w:val="center"/>
        <w:rPr>
          <w:rFonts w:asciiTheme="majorEastAsia" w:hAnsiTheme="majorEastAsia" w:eastAsiaTheme="majorEastAsia"/>
          <w:kern w:val="2"/>
          <w:sz w:val="28"/>
          <w:szCs w:val="28"/>
        </w:rPr>
      </w:pPr>
      <w:r>
        <w:rPr>
          <w:rFonts w:hint="eastAsia" w:asciiTheme="majorEastAsia" w:hAnsiTheme="majorEastAsia" w:eastAsiaTheme="majorEastAsia"/>
          <w:kern w:val="2"/>
          <w:sz w:val="28"/>
          <w:szCs w:val="28"/>
        </w:rPr>
        <w:t>吉</w:t>
      </w:r>
      <w:r>
        <w:fldChar w:fldCharType="begin"/>
      </w:r>
      <w:r>
        <w:instrText xml:space="preserve"> HYPERLINK "https://www.zcygov.cn/project-center/_procurement_/project-detail-router/63c61d83eb92a160?utm=web-bid-inviting-front.5de658f6.0.0.a5496260037d11efb53ab9b153029b16" \t "https://www.zcygov.cn/bid-inviting/_procurement_/purchaseFileMake/_blank" </w:instrText>
      </w:r>
      <w:r>
        <w:fldChar w:fldCharType="separate"/>
      </w:r>
      <w:r>
        <w:rPr>
          <w:rFonts w:hint="eastAsia" w:asciiTheme="majorEastAsia" w:hAnsiTheme="majorEastAsia" w:eastAsiaTheme="majorEastAsia"/>
          <w:kern w:val="2"/>
          <w:sz w:val="28"/>
          <w:szCs w:val="28"/>
        </w:rPr>
        <w:t>林市丰满区民政局电梯设备采购项目</w:t>
      </w:r>
      <w:r>
        <w:rPr>
          <w:rFonts w:hint="eastAsia" w:asciiTheme="majorEastAsia" w:hAnsiTheme="majorEastAsia" w:eastAsiaTheme="majorEastAsia"/>
          <w:kern w:val="2"/>
          <w:sz w:val="28"/>
          <w:szCs w:val="28"/>
        </w:rPr>
        <w:fldChar w:fldCharType="end"/>
      </w:r>
    </w:p>
    <w:p>
      <w:pPr>
        <w:pStyle w:val="22"/>
        <w:ind w:left="0" w:leftChars="0" w:firstLine="0" w:firstLineChars="0"/>
        <w:jc w:val="center"/>
        <w:rPr>
          <w:rFonts w:asciiTheme="majorEastAsia" w:hAnsiTheme="majorEastAsia" w:eastAsiaTheme="majorEastAsia"/>
          <w:kern w:val="2"/>
          <w:sz w:val="28"/>
          <w:szCs w:val="28"/>
        </w:rPr>
      </w:pPr>
      <w:r>
        <w:rPr>
          <w:rFonts w:hint="eastAsia" w:asciiTheme="majorEastAsia" w:hAnsiTheme="majorEastAsia" w:eastAsiaTheme="majorEastAsia"/>
          <w:kern w:val="2"/>
          <w:sz w:val="28"/>
          <w:szCs w:val="28"/>
        </w:rPr>
        <w:t>招标公告</w:t>
      </w:r>
    </w:p>
    <w:p>
      <w:pPr>
        <w:jc w:val="center"/>
        <w:rPr>
          <w:rFonts w:asciiTheme="minorEastAsia" w:hAnsiTheme="minorEastAsia" w:eastAsiaTheme="minorEastAsia"/>
        </w:rPr>
      </w:pPr>
      <w:r>
        <w:rPr>
          <w:rFonts w:hint="eastAsia" w:asciiTheme="minorEastAsia" w:hAnsiTheme="minorEastAsia" w:eastAsiaTheme="minorEastAsia"/>
        </w:rPr>
        <w:t>（资格审查方式：资格后审）</w:t>
      </w:r>
    </w:p>
    <w:p>
      <w:pPr>
        <w:snapToGrid w:val="0"/>
        <w:jc w:val="center"/>
        <w:rPr>
          <w:rFonts w:ascii="宋体" w:cs="宋体" w:eastAsiaTheme="minorEastAsia"/>
          <w:b/>
          <w:bCs/>
          <w:sz w:val="28"/>
          <w:szCs w:val="28"/>
        </w:rPr>
      </w:pPr>
      <w:r>
        <w:rPr>
          <w:rFonts w:hint="eastAsia" w:asciiTheme="minorEastAsia" w:hAnsiTheme="minorEastAsia" w:eastAsiaTheme="minorEastAsia"/>
        </w:rPr>
        <w:t>项目编号：采购计划-[2024]-00012号-0</w:t>
      </w:r>
      <w:r>
        <w:rPr>
          <w:rFonts w:hint="eastAsia" w:asciiTheme="minorEastAsia" w:hAnsiTheme="minorEastAsia" w:eastAsiaTheme="minorEastAsia"/>
          <w:lang w:val="en-US" w:eastAsia="zh-CN"/>
        </w:rPr>
        <w:t>0</w:t>
      </w:r>
      <w:r>
        <w:rPr>
          <w:rFonts w:hint="eastAsia" w:asciiTheme="minorEastAsia" w:hAnsiTheme="minorEastAsia" w:eastAsiaTheme="minorEastAsia"/>
        </w:rPr>
        <w:t>2</w:t>
      </w:r>
    </w:p>
    <w:p>
      <w:pPr>
        <w:snapToGrid w:val="0"/>
        <w:jc w:val="center"/>
        <w:rPr>
          <w:rFonts w:asciiTheme="minorEastAsia" w:hAnsiTheme="minorEastAsia" w:eastAsiaTheme="minorEastAsia"/>
        </w:rPr>
      </w:pPr>
    </w:p>
    <w:p>
      <w:pPr>
        <w:jc w:val="center"/>
        <w:rPr>
          <w:rFonts w:ascii="宋体"/>
          <w:highlight w:val="yellow"/>
        </w:rPr>
      </w:pP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296"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eastAsiaTheme="minorEastAsia"/>
              </w:rPr>
            </w:pPr>
            <w:r>
              <w:rPr>
                <w:rFonts w:hint="eastAsia" w:asciiTheme="minorEastAsia" w:hAnsiTheme="minorEastAsia" w:eastAsiaTheme="minorEastAsia"/>
              </w:rPr>
              <w:t>项目概况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8296" w:type="dxa"/>
            <w:tcBorders>
              <w:top w:val="single" w:color="000000" w:sz="4" w:space="0"/>
              <w:left w:val="single" w:color="000000" w:sz="4" w:space="0"/>
              <w:bottom w:val="single" w:color="000000" w:sz="4" w:space="0"/>
              <w:right w:val="single" w:color="000000" w:sz="4" w:space="0"/>
            </w:tcBorders>
            <w:noWrap/>
            <w:vAlign w:val="center"/>
          </w:tcPr>
          <w:p>
            <w:pPr>
              <w:pStyle w:val="22"/>
              <w:ind w:left="0" w:leftChars="0" w:firstLine="422" w:firstLineChars="200"/>
              <w:rPr>
                <w:rFonts w:asciiTheme="minorEastAsia" w:hAnsiTheme="minorEastAsia" w:eastAsiaTheme="minorEastAsia"/>
              </w:rPr>
            </w:pPr>
            <w:bookmarkStart w:id="9" w:name="OLE_LINK1"/>
            <w:r>
              <w:rPr>
                <w:rFonts w:hint="eastAsia" w:cs="Times New Roman" w:asciiTheme="minorEastAsia" w:hAnsiTheme="minorEastAsia" w:eastAsiaTheme="minorEastAsia"/>
                <w:kern w:val="2"/>
                <w:sz w:val="21"/>
              </w:rPr>
              <w:t>吉</w:t>
            </w:r>
            <w:r>
              <w:fldChar w:fldCharType="begin"/>
            </w:r>
            <w:r>
              <w:instrText xml:space="preserve"> HYPERLINK "https://www.zcygov.cn/project-center/_procurement_/project-detail-router/63c61d83eb92a160?utm=web-bid-inviting-front.5de658f6.0.0.a5496260037d11efb53ab9b153029b16" \t "https://www.zcygov.cn/bid-inviting/_procurement_/purchaseFileMake/_blank" </w:instrText>
            </w:r>
            <w:r>
              <w:fldChar w:fldCharType="separate"/>
            </w:r>
            <w:r>
              <w:rPr>
                <w:rFonts w:hint="eastAsia" w:cs="Times New Roman" w:asciiTheme="minorEastAsia" w:hAnsiTheme="minorEastAsia" w:eastAsiaTheme="minorEastAsia"/>
                <w:kern w:val="2"/>
                <w:sz w:val="21"/>
              </w:rPr>
              <w:t>林市丰满区民政局电梯设备采购项目</w:t>
            </w:r>
            <w:r>
              <w:rPr>
                <w:rFonts w:hint="eastAsia" w:cs="Times New Roman" w:asciiTheme="minorEastAsia" w:hAnsiTheme="minorEastAsia" w:eastAsiaTheme="minorEastAsia"/>
                <w:kern w:val="2"/>
                <w:sz w:val="21"/>
              </w:rPr>
              <w:fldChar w:fldCharType="end"/>
            </w:r>
            <w:r>
              <w:rPr>
                <w:rFonts w:hint="eastAsia" w:asciiTheme="minorEastAsia" w:hAnsiTheme="minorEastAsia" w:eastAsiaTheme="minorEastAsia"/>
              </w:rPr>
              <w:t>的潜在投标人应在“政采云”平台（http：//www.zcygov.cn）获取招标文件，并于2024年</w:t>
            </w:r>
            <w:r>
              <w:rPr>
                <w:rFonts w:hint="eastAsia" w:asciiTheme="minorEastAsia" w:hAnsiTheme="minorEastAsia" w:eastAsiaTheme="minorEastAsia"/>
                <w:lang w:val="en-US" w:eastAsia="zh-CN"/>
              </w:rPr>
              <w:t>7</w:t>
            </w:r>
            <w:r>
              <w:rPr>
                <w:rFonts w:hint="eastAsia" w:asciiTheme="minorEastAsia" w:hAnsiTheme="minorEastAsia" w:eastAsiaTheme="minorEastAsia"/>
              </w:rPr>
              <w:t>月</w:t>
            </w:r>
            <w:r>
              <w:rPr>
                <w:rFonts w:hint="eastAsia" w:asciiTheme="minorEastAsia" w:hAnsiTheme="minorEastAsia" w:eastAsiaTheme="minorEastAsia"/>
                <w:lang w:val="en-US" w:eastAsia="zh-CN"/>
              </w:rPr>
              <w:t>15</w:t>
            </w:r>
            <w:r>
              <w:rPr>
                <w:rFonts w:hint="eastAsia" w:asciiTheme="minorEastAsia" w:hAnsiTheme="minorEastAsia" w:eastAsiaTheme="minorEastAsia"/>
              </w:rPr>
              <w:t>日13时30分（北京时间）前递交投标文件。</w:t>
            </w:r>
            <w:bookmarkEnd w:id="9"/>
          </w:p>
        </w:tc>
      </w:tr>
      <w:bookmarkEnd w:id="1"/>
      <w:bookmarkEnd w:id="2"/>
      <w:bookmarkEnd w:id="3"/>
      <w:bookmarkEnd w:id="4"/>
      <w:bookmarkEnd w:id="5"/>
      <w:bookmarkEnd w:id="6"/>
      <w:bookmarkEnd w:id="7"/>
    </w:tbl>
    <w:p>
      <w:pPr>
        <w:widowControl/>
        <w:spacing w:before="255" w:after="255"/>
        <w:rPr>
          <w:rFonts w:ascii="黑体" w:hAnsi="黑体" w:eastAsia="黑体" w:cs="宋体"/>
          <w:kern w:val="0"/>
          <w:sz w:val="27"/>
          <w:szCs w:val="27"/>
        </w:rPr>
      </w:pPr>
      <w:r>
        <w:rPr>
          <w:rFonts w:hint="eastAsia" w:ascii="微软雅黑" w:hAnsi="微软雅黑" w:eastAsia="微软雅黑" w:cs="宋体"/>
          <w:b/>
          <w:bCs/>
          <w:kern w:val="0"/>
          <w:sz w:val="24"/>
          <w:szCs w:val="24"/>
        </w:rPr>
        <w:t>一、项目基本情况</w:t>
      </w:r>
      <w:r>
        <w:rPr>
          <w:rFonts w:hint="eastAsia" w:ascii="微软雅黑" w:hAnsi="微软雅黑" w:eastAsia="微软雅黑" w:cs="宋体"/>
          <w:kern w:val="0"/>
          <w:sz w:val="24"/>
          <w:szCs w:val="24"/>
        </w:rPr>
        <w:t>                                            </w:t>
      </w:r>
      <w:r>
        <w:rPr>
          <w:rFonts w:ascii="Calibri" w:hAnsi="Calibri" w:eastAsia="黑体" w:cs="Calibri"/>
          <w:kern w:val="0"/>
          <w:sz w:val="27"/>
          <w:szCs w:val="27"/>
        </w:rPr>
        <w:t>  </w:t>
      </w:r>
      <w:r>
        <w:rPr>
          <w:rFonts w:hint="eastAsia" w:ascii="黑体" w:hAnsi="黑体" w:eastAsia="黑体" w:cs="宋体"/>
          <w:kern w:val="0"/>
          <w:sz w:val="27"/>
          <w:szCs w:val="27"/>
        </w:rPr>
        <w:t xml:space="preserve"> </w:t>
      </w:r>
      <w:r>
        <w:rPr>
          <w:rFonts w:ascii="Calibri" w:hAnsi="Calibri" w:eastAsia="黑体" w:cs="Calibri"/>
          <w:kern w:val="0"/>
          <w:sz w:val="27"/>
          <w:szCs w:val="27"/>
        </w:rPr>
        <w:t> </w:t>
      </w:r>
    </w:p>
    <w:p>
      <w:pPr>
        <w:snapToGrid w:val="0"/>
        <w:ind w:firstLine="420" w:firstLineChars="200"/>
        <w:rPr>
          <w:rFonts w:ascii="宋体" w:cs="宋体" w:eastAsiaTheme="minorEastAsia"/>
          <w:b/>
          <w:bCs/>
          <w:sz w:val="28"/>
          <w:szCs w:val="28"/>
        </w:rPr>
      </w:pPr>
      <w:r>
        <w:rPr>
          <w:rFonts w:hint="eastAsia" w:cs="宋体" w:asciiTheme="minorEastAsia" w:hAnsiTheme="minorEastAsia" w:eastAsiaTheme="minorEastAsia"/>
          <w:kern w:val="0"/>
          <w:szCs w:val="21"/>
        </w:rPr>
        <w:t>项目编号：</w:t>
      </w:r>
      <w:r>
        <w:rPr>
          <w:rFonts w:hint="eastAsia" w:asciiTheme="minorEastAsia" w:hAnsiTheme="minorEastAsia" w:eastAsiaTheme="minorEastAsia"/>
        </w:rPr>
        <w:t>采购计划-[2024]-00012号-0</w:t>
      </w:r>
      <w:r>
        <w:rPr>
          <w:rFonts w:hint="eastAsia" w:asciiTheme="minorEastAsia" w:hAnsiTheme="minorEastAsia" w:eastAsiaTheme="minorEastAsia"/>
          <w:lang w:val="en-US" w:eastAsia="zh-CN"/>
        </w:rPr>
        <w:t>0</w:t>
      </w:r>
      <w:r>
        <w:rPr>
          <w:rFonts w:hint="eastAsia" w:asciiTheme="minorEastAsia" w:hAnsiTheme="minorEastAsia" w:eastAsiaTheme="minorEastAsia"/>
        </w:rPr>
        <w:t>2</w:t>
      </w:r>
    </w:p>
    <w:p>
      <w:pPr>
        <w:widowControl/>
        <w:spacing w:before="100" w:beforeAutospacing="1" w:after="100" w:afterAutospacing="1"/>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项目名称：吉</w:t>
      </w:r>
      <w:r>
        <w:fldChar w:fldCharType="begin"/>
      </w:r>
      <w:r>
        <w:instrText xml:space="preserve"> HYPERLINK "https://www.zcygov.cn/project-center/_procurement_/project-detail-router/63c61d83eb92a160?utm=web-bid-inviting-front.5de658f6.0.0.a5496260037d11efb53ab9b153029b16" \t "https://www.zcygov.cn/bid-inviting/_procurement_/purchaseFileMake/_blank" </w:instrText>
      </w:r>
      <w:r>
        <w:fldChar w:fldCharType="separate"/>
      </w:r>
      <w:r>
        <w:rPr>
          <w:rFonts w:hint="eastAsia" w:cs="宋体" w:asciiTheme="minorEastAsia" w:hAnsiTheme="minorEastAsia" w:eastAsiaTheme="minorEastAsia"/>
          <w:kern w:val="0"/>
          <w:szCs w:val="21"/>
        </w:rPr>
        <w:t>林市丰满区民政局电梯设备采购项目</w:t>
      </w:r>
      <w:r>
        <w:rPr>
          <w:rFonts w:hint="eastAsia" w:cs="宋体" w:asciiTheme="minorEastAsia" w:hAnsiTheme="minorEastAsia" w:eastAsiaTheme="minorEastAsia"/>
          <w:kern w:val="0"/>
          <w:szCs w:val="21"/>
        </w:rPr>
        <w:fldChar w:fldCharType="end"/>
      </w:r>
      <w:r>
        <w:rPr>
          <w:rFonts w:hint="eastAsia" w:cs="宋体" w:asciiTheme="minorEastAsia" w:hAnsiTheme="minorEastAsia" w:eastAsiaTheme="minorEastAsia"/>
          <w:kern w:val="0"/>
          <w:szCs w:val="21"/>
        </w:rPr>
        <w:t>     </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预算金额（元）：168.95万 ， 不接受超过采购预算的报价</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需求：包括但不限于8部电梯、控制柜、轿厢箱体、主副轨道等设备、调试、税金、厂检费、验收费，脚手架搭建、安装人工费、井道照明、工人保险，物流运输费、卸车费、电梯门口装饰等，交付使用前的一切费用及质保期内的维保、质保等工作内容。</w:t>
      </w:r>
      <w:r>
        <w:rPr>
          <w:rFonts w:hint="eastAsia" w:asciiTheme="minorEastAsia" w:hAnsiTheme="minorEastAsia" w:eastAsiaTheme="minorEastAsia"/>
        </w:rPr>
        <w:t> </w:t>
      </w:r>
      <w:r>
        <w:rPr>
          <w:rFonts w:cs="宋体" w:asciiTheme="minorEastAsia" w:hAnsiTheme="minorEastAsia" w:eastAsiaTheme="minorEastAsia"/>
          <w:kern w:val="0"/>
          <w:szCs w:val="21"/>
        </w:rPr>
        <w:t xml:space="preserve">  </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合同履约期限：自合同生效之日起至 2025年12月31日止</w:t>
      </w:r>
    </w:p>
    <w:p>
      <w:pPr>
        <w:widowControl/>
        <w:spacing w:before="100" w:beforeAutospacing="1" w:after="100" w:afterAutospacing="1"/>
        <w:ind w:firstLine="480"/>
        <w:jc w:val="left"/>
        <w:rPr>
          <w:rFonts w:ascii="仿宋" w:hAnsi="仿宋" w:cs="宋体"/>
          <w:kern w:val="0"/>
          <w:sz w:val="24"/>
          <w:szCs w:val="24"/>
        </w:rPr>
      </w:pPr>
      <w:r>
        <w:rPr>
          <w:rFonts w:hint="eastAsia" w:cs="宋体" w:asciiTheme="minorEastAsia" w:hAnsiTheme="minorEastAsia" w:eastAsiaTheme="minorEastAsia"/>
          <w:kern w:val="0"/>
          <w:szCs w:val="21"/>
        </w:rPr>
        <w:t>本项目不接受联合体投标。</w:t>
      </w:r>
      <w:r>
        <w:rPr>
          <w:rFonts w:cs="宋体" w:asciiTheme="minorEastAsia" w:hAnsiTheme="minorEastAsia" w:eastAsiaTheme="minorEastAsia"/>
          <w:kern w:val="0"/>
          <w:szCs w:val="21"/>
        </w:rPr>
        <w:t xml:space="preserve">     </w:t>
      </w:r>
      <w:r>
        <w:rPr>
          <w:rFonts w:ascii="仿宋" w:hAnsi="仿宋" w:cs="宋体"/>
          <w:kern w:val="0"/>
          <w:sz w:val="24"/>
          <w:szCs w:val="24"/>
        </w:rPr>
        <w:t>   </w:t>
      </w:r>
    </w:p>
    <w:p>
      <w:pPr>
        <w:widowControl/>
        <w:spacing w:before="255" w:after="255"/>
        <w:rPr>
          <w:rFonts w:ascii="黑体" w:hAnsi="黑体" w:eastAsia="黑体" w:cs="宋体"/>
          <w:kern w:val="0"/>
          <w:sz w:val="27"/>
          <w:szCs w:val="27"/>
        </w:rPr>
      </w:pPr>
      <w:r>
        <w:rPr>
          <w:rFonts w:hint="eastAsia" w:ascii="微软雅黑" w:hAnsi="微软雅黑" w:eastAsia="微软雅黑" w:cs="宋体"/>
          <w:b/>
          <w:bCs/>
          <w:kern w:val="0"/>
          <w:sz w:val="24"/>
          <w:szCs w:val="24"/>
        </w:rPr>
        <w:t>二、申请人的资格要求</w:t>
      </w:r>
      <w:r>
        <w:rPr>
          <w:rFonts w:ascii="Calibri" w:hAnsi="Calibri" w:eastAsia="黑体" w:cs="Calibri"/>
          <w:kern w:val="0"/>
          <w:sz w:val="27"/>
          <w:szCs w:val="27"/>
        </w:rPr>
        <w:t> </w:t>
      </w:r>
      <w:r>
        <w:rPr>
          <w:rFonts w:hint="eastAsia" w:ascii="黑体" w:hAnsi="黑体" w:eastAsia="黑体" w:cs="宋体"/>
          <w:kern w:val="0"/>
          <w:sz w:val="27"/>
          <w:szCs w:val="27"/>
        </w:rPr>
        <w:t xml:space="preserve"> </w:t>
      </w:r>
      <w:r>
        <w:rPr>
          <w:rFonts w:ascii="Calibri" w:hAnsi="Calibri" w:eastAsia="黑体" w:cs="Calibri"/>
          <w:kern w:val="0"/>
          <w:sz w:val="27"/>
          <w:szCs w:val="27"/>
        </w:rPr>
        <w:t> </w:t>
      </w:r>
      <w:r>
        <w:rPr>
          <w:rFonts w:hint="eastAsia" w:ascii="黑体" w:hAnsi="黑体" w:eastAsia="黑体" w:cs="宋体"/>
          <w:kern w:val="0"/>
          <w:sz w:val="27"/>
          <w:szCs w:val="27"/>
        </w:rPr>
        <w:t xml:space="preserve"> </w:t>
      </w:r>
      <w:r>
        <w:rPr>
          <w:rFonts w:ascii="Calibri" w:hAnsi="Calibri" w:eastAsia="黑体" w:cs="Calibri"/>
          <w:kern w:val="0"/>
          <w:sz w:val="27"/>
          <w:szCs w:val="27"/>
        </w:rPr>
        <w:t> </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1.满足《中华人民共和国政府采购法》第二十二条规定；</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2.落实政府采购政策需满足的资格要求：</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依据《中华人民共和国政府采购法》及《中华人民共和国政府采购法实施条例》的有关规定，落实政府采购政策。</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（1）《财政部关于进一步加大政府采购支持中小企业力度的通知》（财库〔2022〕19 号）</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（2）《政府采购促进中小企业发展管理办法》(财库[2020]46号)</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（3）《关于政府采购支持监狱企业发展有关问题的通知》(财库〔2014〕68 号)</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（4）《关于促进残疾人就业政府采购政策的通知》（财库〔2017〕141 号)</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（5）《关于调整优化节能产品、环境标志产品政府采购执行机制的通知》（财库〔2019〕9 号）等</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3.本项目的特定资格要求：</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3.1供应商必须是在中华人民共和国境内注册的，具有合法经营资格的国内独立法人或其他组织，具有独立承担民事责任的能力，有履行合同所必需的设备和专业技术能力，具有有效的营业执照；</w:t>
      </w:r>
    </w:p>
    <w:p>
      <w:pPr>
        <w:widowControl/>
        <w:spacing w:before="100" w:beforeAutospacing="1" w:after="100" w:afterAutospacing="1"/>
        <w:ind w:firstLine="48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信誉要求：参加政府采购活动前三年内，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及其他不符合《中华人民共和国政府采购法》第二十二条规定条件的供应商，不得参与政府采购活动。</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3.4供应商没有处于被责令停产、停业、投标资格被取消状态，拒绝挂靠或借用他人资质的供应商投标。</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3.5具备有效的《中华人民共和国特种设备安装改造维修许可证》（电梯）（安装、维修）C 级及以上资质（旧）：或具备电梯制造（含安装、修理）曳引驱动乘客电梯（含消防员电梯）B 级及以上资质、自动扶梯（新）资质。</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3.6一个制造商对同一品牌同一型号的设备，仅能委托一个代理商参加投标；</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 本次招标不接受联合体投标；</w:t>
      </w:r>
    </w:p>
    <w:p>
      <w:pPr>
        <w:widowControl/>
        <w:spacing w:before="255" w:after="255"/>
        <w:ind w:firstLine="240" w:firstLineChars="100"/>
        <w:rPr>
          <w:rFonts w:ascii="黑体" w:hAnsi="黑体" w:eastAsia="黑体" w:cs="宋体"/>
          <w:kern w:val="0"/>
          <w:sz w:val="27"/>
          <w:szCs w:val="27"/>
        </w:rPr>
      </w:pPr>
      <w:r>
        <w:rPr>
          <w:rFonts w:hint="eastAsia" w:ascii="微软雅黑" w:hAnsi="微软雅黑" w:eastAsia="微软雅黑" w:cs="宋体"/>
          <w:b/>
          <w:bCs/>
          <w:kern w:val="0"/>
          <w:sz w:val="24"/>
          <w:szCs w:val="24"/>
        </w:rPr>
        <w:t>三、获取招标文件</w:t>
      </w:r>
      <w:r>
        <w:rPr>
          <w:rFonts w:ascii="Calibri" w:hAnsi="Calibri" w:eastAsia="黑体" w:cs="Calibri"/>
          <w:kern w:val="0"/>
          <w:sz w:val="27"/>
          <w:szCs w:val="27"/>
        </w:rPr>
        <w:t>  </w:t>
      </w:r>
      <w:r>
        <w:rPr>
          <w:rFonts w:hint="eastAsia" w:ascii="黑体" w:hAnsi="黑体" w:eastAsia="黑体" w:cs="宋体"/>
          <w:kern w:val="0"/>
          <w:sz w:val="27"/>
          <w:szCs w:val="27"/>
        </w:rPr>
        <w:t xml:space="preserve"> </w:t>
      </w:r>
      <w:r>
        <w:rPr>
          <w:rFonts w:ascii="Calibri" w:hAnsi="Calibri" w:eastAsia="黑体" w:cs="Calibri"/>
          <w:kern w:val="0"/>
          <w:sz w:val="27"/>
          <w:szCs w:val="27"/>
        </w:rPr>
        <w:t> </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时间：</w:t>
      </w:r>
      <w:r>
        <w:rPr>
          <w:rFonts w:cs="宋体" w:asciiTheme="minorEastAsia" w:hAnsiTheme="minorEastAsia" w:eastAsiaTheme="minorEastAsia"/>
          <w:kern w:val="0"/>
          <w:szCs w:val="21"/>
        </w:rPr>
        <w:t>2024年</w:t>
      </w:r>
      <w:r>
        <w:rPr>
          <w:rFonts w:hint="eastAsia" w:cs="宋体" w:asciiTheme="minorEastAsia" w:hAnsiTheme="minorEastAsia" w:eastAsiaTheme="minorEastAsia"/>
          <w:kern w:val="0"/>
          <w:szCs w:val="21"/>
          <w:lang w:val="en-US" w:eastAsia="zh-CN"/>
        </w:rPr>
        <w:t>6</w:t>
      </w:r>
      <w:r>
        <w:rPr>
          <w:rFonts w:cs="宋体" w:asciiTheme="minorEastAsia" w:hAnsiTheme="minorEastAsia" w:eastAsiaTheme="minorEastAsia"/>
          <w:kern w:val="0"/>
          <w:szCs w:val="21"/>
        </w:rPr>
        <w:t>月</w:t>
      </w:r>
      <w:r>
        <w:rPr>
          <w:rFonts w:hint="eastAsia" w:cs="宋体" w:asciiTheme="minorEastAsia" w:hAnsiTheme="minorEastAsia" w:eastAsiaTheme="minorEastAsia"/>
          <w:kern w:val="0"/>
          <w:szCs w:val="21"/>
          <w:lang w:val="en-US" w:eastAsia="zh-CN"/>
        </w:rPr>
        <w:t>18</w:t>
      </w:r>
      <w:r>
        <w:rPr>
          <w:rFonts w:cs="宋体" w:asciiTheme="minorEastAsia" w:hAnsiTheme="minorEastAsia" w:eastAsiaTheme="minorEastAsia"/>
          <w:kern w:val="0"/>
          <w:szCs w:val="21"/>
        </w:rPr>
        <w:t>日</w:t>
      </w:r>
      <w:r>
        <w:rPr>
          <w:rFonts w:hint="eastAsia" w:cs="宋体" w:asciiTheme="minorEastAsia" w:hAnsiTheme="minorEastAsia" w:eastAsiaTheme="minorEastAsia"/>
          <w:kern w:val="0"/>
          <w:szCs w:val="21"/>
        </w:rPr>
        <w:t>至</w:t>
      </w:r>
      <w:r>
        <w:rPr>
          <w:rFonts w:cs="宋体" w:asciiTheme="minorEastAsia" w:hAnsiTheme="minorEastAsia" w:eastAsiaTheme="minorEastAsia"/>
          <w:kern w:val="0"/>
          <w:szCs w:val="21"/>
        </w:rPr>
        <w:t>2024年</w:t>
      </w:r>
      <w:r>
        <w:rPr>
          <w:rFonts w:hint="eastAsia" w:cs="宋体" w:asciiTheme="minorEastAsia" w:hAnsiTheme="minorEastAsia" w:eastAsiaTheme="minorEastAsia"/>
          <w:kern w:val="0"/>
          <w:szCs w:val="21"/>
          <w:lang w:val="en-US" w:eastAsia="zh-CN"/>
        </w:rPr>
        <w:t>6</w:t>
      </w:r>
      <w:r>
        <w:rPr>
          <w:rFonts w:cs="宋体" w:asciiTheme="minorEastAsia" w:hAnsiTheme="minorEastAsia" w:eastAsiaTheme="minorEastAsia"/>
          <w:kern w:val="0"/>
          <w:szCs w:val="21"/>
        </w:rPr>
        <w:t>月</w:t>
      </w:r>
      <w:r>
        <w:rPr>
          <w:rFonts w:hint="eastAsia" w:cs="宋体" w:asciiTheme="minorEastAsia" w:hAnsiTheme="minorEastAsia" w:eastAsiaTheme="minorEastAsia"/>
          <w:kern w:val="0"/>
          <w:szCs w:val="21"/>
          <w:lang w:val="en-US" w:eastAsia="zh-CN"/>
        </w:rPr>
        <w:t>25</w:t>
      </w:r>
      <w:bookmarkStart w:id="53" w:name="_GoBack"/>
      <w:bookmarkEnd w:id="53"/>
      <w:r>
        <w:rPr>
          <w:rFonts w:cs="宋体" w:asciiTheme="minorEastAsia" w:hAnsiTheme="minorEastAsia" w:eastAsiaTheme="minorEastAsia"/>
          <w:kern w:val="0"/>
          <w:szCs w:val="21"/>
        </w:rPr>
        <w:t>日</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highlight w:val="none"/>
        </w:rPr>
        <w:t>每天上午</w:t>
      </w:r>
      <w:r>
        <w:rPr>
          <w:rFonts w:hint="eastAsia" w:cs="宋体" w:asciiTheme="minorEastAsia" w:hAnsiTheme="minorEastAsia" w:eastAsiaTheme="minorEastAsia"/>
          <w:kern w:val="0"/>
          <w:szCs w:val="21"/>
          <w:highlight w:val="none"/>
          <w:lang w:val="en-US" w:eastAsia="zh-CN"/>
        </w:rPr>
        <w:t>00:00</w:t>
      </w:r>
      <w:r>
        <w:rPr>
          <w:rFonts w:cs="宋体" w:asciiTheme="minorEastAsia" w:hAnsiTheme="minorEastAsia" w:eastAsiaTheme="minorEastAsia"/>
          <w:kern w:val="0"/>
          <w:szCs w:val="21"/>
          <w:highlight w:val="none"/>
        </w:rPr>
        <w:t>至</w:t>
      </w:r>
      <w:r>
        <w:rPr>
          <w:rFonts w:hint="eastAsia" w:cs="宋体" w:asciiTheme="minorEastAsia" w:hAnsiTheme="minorEastAsia" w:eastAsiaTheme="minorEastAsia"/>
          <w:kern w:val="0"/>
          <w:szCs w:val="21"/>
          <w:highlight w:val="none"/>
          <w:lang w:val="en-US" w:eastAsia="zh-CN"/>
        </w:rPr>
        <w:t>12:00</w:t>
      </w:r>
      <w:r>
        <w:rPr>
          <w:rFonts w:hint="eastAsia" w:cs="宋体" w:asciiTheme="minorEastAsia" w:hAnsiTheme="minorEastAsia" w:eastAsiaTheme="minorEastAsia"/>
          <w:kern w:val="0"/>
          <w:szCs w:val="21"/>
          <w:highlight w:val="none"/>
        </w:rPr>
        <w:t>，下午</w:t>
      </w:r>
      <w:r>
        <w:rPr>
          <w:rFonts w:hint="eastAsia" w:cs="宋体" w:asciiTheme="minorEastAsia" w:hAnsiTheme="minorEastAsia" w:eastAsiaTheme="minorEastAsia"/>
          <w:kern w:val="0"/>
          <w:szCs w:val="21"/>
          <w:highlight w:val="none"/>
          <w:lang w:val="en-US" w:eastAsia="zh-CN"/>
        </w:rPr>
        <w:t>12:00</w:t>
      </w:r>
      <w:r>
        <w:rPr>
          <w:rFonts w:cs="宋体" w:asciiTheme="minorEastAsia" w:hAnsiTheme="minorEastAsia" w:eastAsiaTheme="minorEastAsia"/>
          <w:kern w:val="0"/>
          <w:szCs w:val="21"/>
          <w:highlight w:val="none"/>
        </w:rPr>
        <w:t>至</w:t>
      </w:r>
      <w:r>
        <w:rPr>
          <w:rFonts w:hint="eastAsia" w:cs="宋体" w:asciiTheme="minorEastAsia" w:hAnsiTheme="minorEastAsia" w:eastAsiaTheme="minorEastAsia"/>
          <w:kern w:val="0"/>
          <w:szCs w:val="21"/>
          <w:highlight w:val="none"/>
          <w:lang w:val="en-US" w:eastAsia="zh-CN"/>
        </w:rPr>
        <w:t>23:59</w:t>
      </w:r>
      <w:r>
        <w:rPr>
          <w:rFonts w:hint="eastAsia" w:cs="宋体" w:asciiTheme="minorEastAsia" w:hAnsiTheme="minorEastAsia" w:eastAsiaTheme="minorEastAsia"/>
          <w:kern w:val="0"/>
          <w:szCs w:val="21"/>
          <w:highlight w:val="none"/>
        </w:rPr>
        <w:t>（北京时间，法定节假日除外）</w:t>
      </w:r>
      <w:r>
        <w:rPr>
          <w:rFonts w:cs="宋体" w:asciiTheme="minorEastAsia" w:hAnsiTheme="minorEastAsia" w:eastAsiaTheme="minorEastAsia"/>
          <w:kern w:val="0"/>
          <w:szCs w:val="21"/>
        </w:rPr>
        <w:t>        </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地点：</w:t>
      </w:r>
      <w:r>
        <w:rPr>
          <w:rFonts w:cs="宋体" w:asciiTheme="minorEastAsia" w:hAnsiTheme="minorEastAsia" w:eastAsiaTheme="minorEastAsia"/>
          <w:kern w:val="0"/>
          <w:szCs w:val="21"/>
        </w:rPr>
        <w:t>政采云平台线上获取</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方式：</w:t>
      </w:r>
      <w:r>
        <w:rPr>
          <w:rFonts w:cs="宋体" w:asciiTheme="minorEastAsia" w:hAnsiTheme="minorEastAsia" w:eastAsiaTheme="minorEastAsia"/>
          <w:kern w:val="0"/>
          <w:szCs w:val="21"/>
        </w:rPr>
        <w:t>供应商登录政采云平台https://www.zcygov.cn/在线申请获取采购文件（进入“项目采购”应用，在获取采购文件菜单中选择项目，申请获取采购文件）       </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售价（元）：</w:t>
      </w:r>
      <w:r>
        <w:rPr>
          <w:rFonts w:cs="宋体" w:asciiTheme="minorEastAsia" w:hAnsiTheme="minorEastAsia" w:eastAsiaTheme="minorEastAsia"/>
          <w:kern w:val="0"/>
          <w:szCs w:val="21"/>
        </w:rPr>
        <w:t>0       </w:t>
      </w:r>
    </w:p>
    <w:p>
      <w:pPr>
        <w:widowControl/>
        <w:spacing w:before="255" w:after="255"/>
        <w:rPr>
          <w:rFonts w:ascii="黑体" w:hAnsi="黑体" w:eastAsia="黑体" w:cs="宋体"/>
          <w:kern w:val="0"/>
          <w:sz w:val="27"/>
          <w:szCs w:val="27"/>
        </w:rPr>
      </w:pPr>
      <w:r>
        <w:rPr>
          <w:rFonts w:hint="eastAsia" w:ascii="微软雅黑" w:hAnsi="微软雅黑" w:eastAsia="微软雅黑" w:cs="宋体"/>
          <w:b/>
          <w:bCs/>
          <w:kern w:val="0"/>
          <w:sz w:val="24"/>
          <w:szCs w:val="24"/>
        </w:rPr>
        <w:t>四、提交投标文件截止时间、开标时间和地点</w:t>
      </w:r>
      <w:r>
        <w:rPr>
          <w:rFonts w:ascii="Calibri" w:hAnsi="Calibri" w:eastAsia="黑体" w:cs="Calibri"/>
          <w:kern w:val="0"/>
          <w:sz w:val="27"/>
          <w:szCs w:val="27"/>
        </w:rPr>
        <w:t>  </w:t>
      </w:r>
      <w:r>
        <w:rPr>
          <w:rFonts w:hint="eastAsia" w:ascii="黑体" w:hAnsi="黑体" w:eastAsia="黑体" w:cs="宋体"/>
          <w:kern w:val="0"/>
          <w:sz w:val="27"/>
          <w:szCs w:val="27"/>
        </w:rPr>
        <w:t xml:space="preserve"> </w:t>
      </w:r>
      <w:r>
        <w:rPr>
          <w:rFonts w:ascii="Calibri" w:hAnsi="Calibri" w:eastAsia="黑体" w:cs="Calibri"/>
          <w:kern w:val="0"/>
          <w:sz w:val="27"/>
          <w:szCs w:val="27"/>
        </w:rPr>
        <w:t> </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提交投标文件截止时间：</w:t>
      </w:r>
      <w:r>
        <w:rPr>
          <w:rFonts w:cs="宋体" w:asciiTheme="minorEastAsia" w:hAnsiTheme="minorEastAsia" w:eastAsiaTheme="minorEastAsia"/>
          <w:kern w:val="0"/>
          <w:szCs w:val="21"/>
        </w:rPr>
        <w:t>2024年</w:t>
      </w:r>
      <w:r>
        <w:rPr>
          <w:rFonts w:hint="eastAsia" w:cs="宋体" w:asciiTheme="minorEastAsia" w:hAnsiTheme="minorEastAsia" w:eastAsiaTheme="minorEastAsia"/>
          <w:kern w:val="0"/>
          <w:szCs w:val="21"/>
          <w:lang w:val="en-US" w:eastAsia="zh-CN"/>
        </w:rPr>
        <w:t>7</w:t>
      </w:r>
      <w:r>
        <w:rPr>
          <w:rFonts w:cs="宋体" w:asciiTheme="minorEastAsia" w:hAnsiTheme="minorEastAsia" w:eastAsiaTheme="minorEastAsia"/>
          <w:kern w:val="0"/>
          <w:szCs w:val="21"/>
        </w:rPr>
        <w:t>月</w:t>
      </w:r>
      <w:r>
        <w:rPr>
          <w:rFonts w:hint="eastAsia" w:cs="宋体" w:asciiTheme="minorEastAsia" w:hAnsiTheme="minorEastAsia" w:eastAsiaTheme="minorEastAsia"/>
          <w:kern w:val="0"/>
          <w:szCs w:val="21"/>
          <w:lang w:val="en-US" w:eastAsia="zh-CN"/>
        </w:rPr>
        <w:t>15</w:t>
      </w:r>
      <w:r>
        <w:rPr>
          <w:rFonts w:cs="宋体" w:asciiTheme="minorEastAsia" w:hAnsiTheme="minorEastAsia" w:eastAsiaTheme="minorEastAsia"/>
          <w:kern w:val="0"/>
          <w:szCs w:val="21"/>
        </w:rPr>
        <w:t>日 13:30</w:t>
      </w:r>
      <w:r>
        <w:rPr>
          <w:rFonts w:hint="eastAsia" w:cs="宋体" w:asciiTheme="minorEastAsia" w:hAnsiTheme="minorEastAsia" w:eastAsiaTheme="minorEastAsia"/>
          <w:kern w:val="0"/>
          <w:szCs w:val="21"/>
        </w:rPr>
        <w:t>（北京时间）</w:t>
      </w:r>
      <w:r>
        <w:rPr>
          <w:rFonts w:cs="宋体" w:asciiTheme="minorEastAsia" w:hAnsiTheme="minorEastAsia" w:eastAsiaTheme="minorEastAsia"/>
          <w:kern w:val="0"/>
          <w:szCs w:val="21"/>
        </w:rPr>
        <w:t>        </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投标地点（网址）：</w:t>
      </w:r>
      <w:r>
        <w:rPr>
          <w:rFonts w:cs="宋体" w:asciiTheme="minorEastAsia" w:hAnsiTheme="minorEastAsia" w:eastAsiaTheme="minorEastAsia"/>
          <w:kern w:val="0"/>
          <w:szCs w:val="21"/>
        </w:rPr>
        <w:t>请登录政采云投标客户端投标     </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开标时间：</w:t>
      </w:r>
      <w:r>
        <w:rPr>
          <w:rFonts w:cs="宋体" w:asciiTheme="minorEastAsia" w:hAnsiTheme="minorEastAsia" w:eastAsiaTheme="minorEastAsia"/>
          <w:kern w:val="0"/>
          <w:szCs w:val="21"/>
        </w:rPr>
        <w:t>2024年</w:t>
      </w:r>
      <w:r>
        <w:rPr>
          <w:rFonts w:hint="eastAsia" w:cs="宋体" w:asciiTheme="minorEastAsia" w:hAnsiTheme="minorEastAsia" w:eastAsiaTheme="minorEastAsia"/>
          <w:kern w:val="0"/>
          <w:szCs w:val="21"/>
          <w:lang w:val="en-US" w:eastAsia="zh-CN"/>
        </w:rPr>
        <w:t>7</w:t>
      </w:r>
      <w:r>
        <w:rPr>
          <w:rFonts w:cs="宋体" w:asciiTheme="minorEastAsia" w:hAnsiTheme="minorEastAsia" w:eastAsiaTheme="minorEastAsia"/>
          <w:kern w:val="0"/>
          <w:szCs w:val="21"/>
        </w:rPr>
        <w:t>月</w:t>
      </w:r>
      <w:r>
        <w:rPr>
          <w:rFonts w:hint="eastAsia" w:cs="宋体" w:asciiTheme="minorEastAsia" w:hAnsiTheme="minorEastAsia" w:eastAsiaTheme="minorEastAsia"/>
          <w:kern w:val="0"/>
          <w:szCs w:val="21"/>
          <w:lang w:val="en-US" w:eastAsia="zh-CN"/>
        </w:rPr>
        <w:t>15</w:t>
      </w:r>
      <w:r>
        <w:rPr>
          <w:rFonts w:cs="宋体" w:asciiTheme="minorEastAsia" w:hAnsiTheme="minorEastAsia" w:eastAsiaTheme="minorEastAsia"/>
          <w:kern w:val="0"/>
          <w:szCs w:val="21"/>
        </w:rPr>
        <w:t>日 13:30        </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开标地点：</w:t>
      </w:r>
      <w:r>
        <w:rPr>
          <w:rFonts w:hint="eastAsia" w:cs="宋体" w:asciiTheme="minorEastAsia" w:hAnsiTheme="minorEastAsia" w:eastAsiaTheme="minorEastAsia"/>
          <w:kern w:val="0"/>
          <w:szCs w:val="21"/>
          <w:highlight w:val="none"/>
        </w:rPr>
        <w:t>吉林市公共资源交易中心8楼开标区（解放西路16号）8楼80</w:t>
      </w:r>
      <w:r>
        <w:rPr>
          <w:rFonts w:hint="eastAsia" w:cs="宋体" w:asciiTheme="minorEastAsia" w:hAnsiTheme="minorEastAsia" w:eastAsiaTheme="minorEastAsia"/>
          <w:kern w:val="0"/>
          <w:szCs w:val="21"/>
          <w:highlight w:val="none"/>
          <w:lang w:val="en-US" w:eastAsia="zh-CN"/>
        </w:rPr>
        <w:t>1</w:t>
      </w:r>
      <w:r>
        <w:rPr>
          <w:rFonts w:hint="eastAsia" w:cs="宋体" w:asciiTheme="minorEastAsia" w:hAnsiTheme="minorEastAsia" w:eastAsiaTheme="minorEastAsia"/>
          <w:kern w:val="0"/>
          <w:szCs w:val="21"/>
          <w:highlight w:val="none"/>
        </w:rPr>
        <w:t>室</w:t>
      </w:r>
    </w:p>
    <w:p>
      <w:pPr>
        <w:widowControl/>
        <w:spacing w:before="255" w:after="255"/>
        <w:rPr>
          <w:rFonts w:ascii="黑体" w:hAnsi="黑体" w:eastAsia="黑体" w:cs="宋体"/>
          <w:kern w:val="0"/>
          <w:sz w:val="32"/>
          <w:szCs w:val="32"/>
        </w:rPr>
      </w:pPr>
      <w:r>
        <w:rPr>
          <w:rFonts w:hint="eastAsia" w:ascii="微软雅黑" w:hAnsi="微软雅黑" w:eastAsia="微软雅黑" w:cs="宋体"/>
          <w:b/>
          <w:bCs/>
          <w:kern w:val="0"/>
          <w:sz w:val="24"/>
          <w:szCs w:val="24"/>
        </w:rPr>
        <w:t>五、公告期限</w:t>
      </w:r>
      <w:r>
        <w:rPr>
          <w:rFonts w:hint="eastAsia" w:ascii="微软雅黑" w:hAnsi="微软雅黑" w:eastAsia="微软雅黑" w:cs="宋体"/>
          <w:kern w:val="0"/>
          <w:sz w:val="24"/>
          <w:szCs w:val="24"/>
        </w:rPr>
        <w:t> </w:t>
      </w:r>
      <w:r>
        <w:rPr>
          <w:rFonts w:ascii="Calibri" w:hAnsi="Calibri" w:eastAsia="黑体" w:cs="Calibri"/>
          <w:kern w:val="0"/>
          <w:sz w:val="32"/>
          <w:szCs w:val="32"/>
        </w:rPr>
        <w:t>  </w:t>
      </w:r>
      <w:r>
        <w:rPr>
          <w:rFonts w:hint="eastAsia" w:ascii="黑体" w:hAnsi="黑体" w:eastAsia="黑体" w:cs="宋体"/>
          <w:kern w:val="0"/>
          <w:sz w:val="32"/>
          <w:szCs w:val="32"/>
        </w:rPr>
        <w:t xml:space="preserve"> </w:t>
      </w:r>
      <w:r>
        <w:rPr>
          <w:rFonts w:ascii="Calibri" w:hAnsi="Calibri" w:eastAsia="黑体" w:cs="Calibri"/>
          <w:kern w:val="0"/>
          <w:sz w:val="32"/>
          <w:szCs w:val="32"/>
        </w:rPr>
        <w:t> </w:t>
      </w:r>
    </w:p>
    <w:p>
      <w:pPr>
        <w:widowControl/>
        <w:spacing w:before="100" w:beforeAutospacing="1" w:after="100" w:afterAutospacing="1"/>
        <w:ind w:firstLine="480"/>
        <w:jc w:val="left"/>
        <w:rPr>
          <w:rFonts w:ascii="宋体" w:hAnsi="宋体" w:cs="宋体"/>
          <w:kern w:val="0"/>
          <w:sz w:val="24"/>
          <w:szCs w:val="24"/>
        </w:rPr>
      </w:pPr>
      <w:r>
        <w:rPr>
          <w:rFonts w:hint="eastAsia" w:cs="宋体" w:asciiTheme="minorEastAsia" w:hAnsiTheme="minorEastAsia" w:eastAsiaTheme="minorEastAsia"/>
          <w:kern w:val="0"/>
          <w:szCs w:val="21"/>
        </w:rPr>
        <w:t>自本公告发布之日起5个工作日</w:t>
      </w:r>
      <w:r>
        <w:rPr>
          <w:rFonts w:hint="eastAsia" w:ascii="inherit" w:hAnsi="inherit" w:cs="宋体"/>
          <w:kern w:val="0"/>
          <w:szCs w:val="21"/>
        </w:rPr>
        <w:t>。</w:t>
      </w:r>
      <w:r>
        <w:rPr>
          <w:rFonts w:ascii="inherit" w:hAnsi="inherit" w:cs="宋体"/>
          <w:kern w:val="0"/>
          <w:szCs w:val="21"/>
        </w:rPr>
        <w:t> </w:t>
      </w:r>
      <w:r>
        <w:rPr>
          <w:rFonts w:ascii="宋体" w:hAnsi="宋体" w:cs="宋体"/>
          <w:kern w:val="0"/>
          <w:sz w:val="24"/>
          <w:szCs w:val="24"/>
        </w:rPr>
        <w:t>   </w:t>
      </w:r>
    </w:p>
    <w:p>
      <w:pPr>
        <w:widowControl/>
        <w:spacing w:before="255" w:after="255"/>
        <w:rPr>
          <w:rFonts w:ascii="黑体" w:hAnsi="黑体" w:eastAsia="黑体" w:cs="宋体"/>
          <w:kern w:val="0"/>
          <w:sz w:val="27"/>
          <w:szCs w:val="27"/>
        </w:rPr>
      </w:pPr>
      <w:r>
        <w:rPr>
          <w:rFonts w:hint="eastAsia" w:ascii="微软雅黑" w:hAnsi="微软雅黑" w:eastAsia="微软雅黑" w:cs="宋体"/>
          <w:b/>
          <w:bCs/>
          <w:kern w:val="0"/>
          <w:sz w:val="24"/>
          <w:szCs w:val="24"/>
        </w:rPr>
        <w:t>六、其他补充事宜</w:t>
      </w:r>
      <w:r>
        <w:rPr>
          <w:rFonts w:ascii="Calibri" w:hAnsi="Calibri" w:eastAsia="黑体" w:cs="Calibri"/>
          <w:kern w:val="0"/>
          <w:sz w:val="27"/>
          <w:szCs w:val="27"/>
        </w:rPr>
        <w:t>  </w:t>
      </w:r>
      <w:r>
        <w:rPr>
          <w:rFonts w:hint="eastAsia" w:ascii="黑体" w:hAnsi="黑体" w:eastAsia="黑体" w:cs="宋体"/>
          <w:kern w:val="0"/>
          <w:sz w:val="27"/>
          <w:szCs w:val="27"/>
        </w:rPr>
        <w:t xml:space="preserve"> </w:t>
      </w:r>
      <w:r>
        <w:rPr>
          <w:rFonts w:ascii="Calibri" w:hAnsi="Calibri" w:eastAsia="黑体" w:cs="Calibri"/>
          <w:kern w:val="0"/>
          <w:sz w:val="27"/>
          <w:szCs w:val="27"/>
        </w:rPr>
        <w:t> </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2.对招标文件有质疑或需要澄清的应以书面材料提交，采购中心和采购人将根据各供应商提出的问题以书面形式予以答复，口头提交的问题不予答复。</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3.本项目为全流程电子化项目，通过“政采云”平台 (http：//www.zcygov.cn) 实行在线电子投标，供应商应先安装“政采云投标客户端”(请自行前往“政采云”平台进行下载，政采云投标客户端及吉林安信CA驱动下载地址：https://customer.zcygov.cn/CA-driver-download?utm=web-login-front.52cebfa2.0.0.04df4040034511edaac705fda12edb43 )，并按照本项目招标文件和“政采云”平台的要求编制、加密投标文件后在投标文件提交截止时间前通过网络上传至“政采云”平台，供应商在“政采云”平台提交电子版投标文件时，请填写参加开启活动经办人联系方式。</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4.电子投标文件制作需要基于“政采云”平台获取的招标文件进行制作，制作投标文件时需要完成CA与账号的绑定。未办理CA的供应商，请先免费申请CA（CA申请流程：http://www.anxinca.com/kehu/zcy/kh-zcy-zsshenqing.html ；选择“吉林省公共资源-供应商”后按具体操作流程办理），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pPr>
        <w:widowControl/>
        <w:spacing w:before="255" w:after="255"/>
        <w:rPr>
          <w:rFonts w:ascii="黑体" w:hAnsi="黑体" w:eastAsia="黑体" w:cs="宋体"/>
          <w:kern w:val="0"/>
          <w:sz w:val="32"/>
          <w:szCs w:val="32"/>
        </w:rPr>
      </w:pPr>
      <w:r>
        <w:rPr>
          <w:rFonts w:hint="eastAsia" w:ascii="微软雅黑" w:hAnsi="微软雅黑" w:eastAsia="微软雅黑" w:cs="宋体"/>
          <w:b/>
          <w:bCs/>
          <w:kern w:val="0"/>
          <w:sz w:val="24"/>
          <w:szCs w:val="24"/>
        </w:rPr>
        <w:t>七、对本次采购提出询问，请按以下方式联系</w:t>
      </w:r>
      <w:r>
        <w:rPr>
          <w:rFonts w:ascii="Calibri" w:hAnsi="Calibri" w:eastAsia="黑体" w:cs="Calibri"/>
          <w:kern w:val="0"/>
          <w:sz w:val="32"/>
          <w:szCs w:val="32"/>
        </w:rPr>
        <w:t>  </w:t>
      </w:r>
      <w:r>
        <w:rPr>
          <w:rFonts w:hint="eastAsia" w:ascii="黑体" w:hAnsi="黑体" w:eastAsia="黑体" w:cs="宋体"/>
          <w:kern w:val="0"/>
          <w:sz w:val="32"/>
          <w:szCs w:val="32"/>
        </w:rPr>
        <w:t xml:space="preserve"> </w:t>
      </w:r>
      <w:r>
        <w:rPr>
          <w:rFonts w:ascii="Calibri" w:hAnsi="Calibri" w:eastAsia="黑体" w:cs="Calibri"/>
          <w:kern w:val="0"/>
          <w:sz w:val="32"/>
          <w:szCs w:val="32"/>
        </w:rPr>
        <w:t> </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1.采购人信息        </w:t>
      </w:r>
    </w:p>
    <w:p>
      <w:pPr>
        <w:widowControl/>
        <w:spacing w:before="100" w:beforeAutospacing="1" w:after="100" w:afterAutospacing="1"/>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名    称：吉</w:t>
      </w:r>
      <w:r>
        <w:fldChar w:fldCharType="begin"/>
      </w:r>
      <w:r>
        <w:instrText xml:space="preserve"> HYPERLINK "https://www.zcygov.cn/project-center/_procurement_/project-detail-router/63c61d83eb92a160?utm=web-bid-inviting-front.5de658f6.0.0.a5496260037d11efb53ab9b153029b16" \t "https://www.zcygov.cn/bid-inviting/_procurement_/purchaseFileMake/_blank" </w:instrText>
      </w:r>
      <w:r>
        <w:fldChar w:fldCharType="separate"/>
      </w:r>
      <w:r>
        <w:rPr>
          <w:rFonts w:hint="eastAsia" w:cs="宋体" w:asciiTheme="minorEastAsia" w:hAnsiTheme="minorEastAsia" w:eastAsiaTheme="minorEastAsia"/>
          <w:kern w:val="0"/>
          <w:szCs w:val="21"/>
        </w:rPr>
        <w:t>林市丰满区民政局</w:t>
      </w:r>
      <w:r>
        <w:rPr>
          <w:rFonts w:hint="eastAsia" w:cs="宋体" w:asciiTheme="minorEastAsia" w:hAnsiTheme="minorEastAsia" w:eastAsiaTheme="minorEastAsia"/>
          <w:kern w:val="0"/>
          <w:szCs w:val="21"/>
        </w:rPr>
        <w:fldChar w:fldCharType="end"/>
      </w:r>
    </w:p>
    <w:p>
      <w:pPr>
        <w:widowControl/>
        <w:spacing w:before="100" w:beforeAutospacing="1" w:after="100" w:afterAutospacing="1"/>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    址：吉林市吉林大街76号      </w:t>
      </w:r>
    </w:p>
    <w:p>
      <w:pPr>
        <w:widowControl/>
        <w:spacing w:before="100" w:beforeAutospacing="1" w:after="100" w:afterAutospacing="1"/>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联系方式：0432-64663278    </w:t>
      </w:r>
    </w:p>
    <w:p>
      <w:pPr>
        <w:widowControl/>
        <w:spacing w:before="100" w:beforeAutospacing="1" w:after="100" w:afterAutospacing="1"/>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2.采购代理机构信息        </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名    称： 吉林市丰满区政府采购中心                   </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    址：吉林市吉林大街76号                     </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联系方式：0432-64665869          </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项目联系人：张洁瑶</w:t>
      </w:r>
    </w:p>
    <w:p>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招标监督管理部门：吉林市丰满区政府采购办公室</w:t>
      </w:r>
    </w:p>
    <w:p>
      <w:pPr>
        <w:pStyle w:val="2"/>
        <w:jc w:val="center"/>
      </w:pPr>
    </w:p>
    <w:p/>
    <w:p/>
    <w:p/>
    <w:p/>
    <w:p/>
    <w:p/>
    <w:p>
      <w:pPr>
        <w:pStyle w:val="2"/>
        <w:jc w:val="center"/>
      </w:pPr>
      <w:bookmarkStart w:id="10" w:name="_Toc4335"/>
      <w:r>
        <w:rPr>
          <w:rFonts w:hint="eastAsia"/>
        </w:rPr>
        <w:t>第二章 投标人须知</w:t>
      </w:r>
      <w:bookmarkEnd w:id="10"/>
    </w:p>
    <w:p>
      <w:pPr>
        <w:pStyle w:val="3"/>
        <w:jc w:val="center"/>
      </w:pPr>
      <w:bookmarkStart w:id="11" w:name="_Toc2840"/>
      <w:r>
        <w:rPr>
          <w:rFonts w:hint="eastAsia"/>
        </w:rPr>
        <w:t>一、投标人须知前附表</w:t>
      </w:r>
      <w:bookmarkEnd w:id="11"/>
    </w:p>
    <w:tbl>
      <w:tblPr>
        <w:tblStyle w:val="24"/>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2061"/>
        <w:gridCol w:w="6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1</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采购人</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rPr>
            </w:pPr>
            <w:r>
              <w:rPr>
                <w:rFonts w:hint="eastAsia" w:cs="宋体" w:asciiTheme="minorEastAsia" w:hAnsiTheme="minorEastAsia" w:eastAsiaTheme="minorEastAsia"/>
                <w:kern w:val="0"/>
                <w:szCs w:val="21"/>
              </w:rPr>
              <w:t>吉</w:t>
            </w:r>
            <w:r>
              <w:fldChar w:fldCharType="begin"/>
            </w:r>
            <w:r>
              <w:instrText xml:space="preserve"> HYPERLINK "https://www.zcygov.cn/project-center/_procurement_/project-detail-router/63c61d83eb92a160?utm=web-bid-inviting-front.5de658f6.0.0.a5496260037d11efb53ab9b153029b16" \t "https://www.zcygov.cn/bid-inviting/_procurement_/purchaseFileMake/_blank" </w:instrText>
            </w:r>
            <w:r>
              <w:fldChar w:fldCharType="separate"/>
            </w:r>
            <w:r>
              <w:rPr>
                <w:rFonts w:hint="eastAsia" w:cs="宋体" w:asciiTheme="minorEastAsia" w:hAnsiTheme="minorEastAsia" w:eastAsiaTheme="minorEastAsia"/>
                <w:kern w:val="0"/>
                <w:szCs w:val="21"/>
              </w:rPr>
              <w:t>林市丰满区民政局</w:t>
            </w:r>
            <w:r>
              <w:rPr>
                <w:rFonts w:hint="eastAsia" w:cs="宋体" w:asciiTheme="minorEastAsia" w:hAnsiTheme="minorEastAsia" w:eastAsiaTheme="minorEastAsia"/>
                <w:kern w:val="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2</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集中采购机构</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ascii="宋体"/>
                <w:szCs w:val="21"/>
              </w:rPr>
              <w:t>吉林市丰满区政府采购中心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3</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项目名称</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b/>
                <w:szCs w:val="21"/>
              </w:rPr>
            </w:pPr>
            <w:r>
              <w:rPr>
                <w:rFonts w:hint="eastAsia" w:ascii="宋体"/>
                <w:szCs w:val="21"/>
              </w:rPr>
              <w:t>吉</w:t>
            </w:r>
            <w:r>
              <w:fldChar w:fldCharType="begin"/>
            </w:r>
            <w:r>
              <w:instrText xml:space="preserve"> HYPERLINK "https://www.zcygov.cn/project-center/_procurement_/project-detail-router/63c61d83eb92a160?utm=web-bid-inviting-front.5de658f6.0.0.a5496260037d11efb53ab9b153029b16" \t "https://www.zcygov.cn/bid-inviting/_procurement_/purchaseFileMake/_blank" </w:instrText>
            </w:r>
            <w:r>
              <w:fldChar w:fldCharType="separate"/>
            </w:r>
            <w:r>
              <w:rPr>
                <w:rFonts w:hint="eastAsia" w:ascii="宋体"/>
                <w:szCs w:val="21"/>
              </w:rPr>
              <w:t>林市丰满区民政局电梯设备采购项目</w:t>
            </w:r>
            <w:r>
              <w:rPr>
                <w:rFonts w:hint="eastAsia" w:asci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4</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采购预算</w:t>
            </w:r>
          </w:p>
          <w:p>
            <w:pPr>
              <w:rPr>
                <w:rFonts w:ascii="宋体"/>
                <w:szCs w:val="21"/>
              </w:rPr>
            </w:pPr>
            <w:r>
              <w:rPr>
                <w:rFonts w:hint="eastAsia" w:ascii="宋体"/>
                <w:szCs w:val="21"/>
              </w:rPr>
              <w:t>（最高投标限价）</w:t>
            </w:r>
          </w:p>
        </w:tc>
        <w:tc>
          <w:tcPr>
            <w:tcW w:w="610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color w:val="000000"/>
                <w:szCs w:val="21"/>
              </w:rPr>
            </w:pPr>
            <w:r>
              <w:rPr>
                <w:rFonts w:hint="eastAsia" w:ascii="宋体" w:cs="宋体"/>
                <w:color w:val="000000"/>
                <w:szCs w:val="21"/>
              </w:rPr>
              <w:t>采购预算（人民币）</w:t>
            </w:r>
            <w:r>
              <w:rPr>
                <w:rFonts w:hint="eastAsia" w:ascii="宋体" w:cs="宋体"/>
                <w:szCs w:val="21"/>
              </w:rPr>
              <w:t>:</w:t>
            </w:r>
            <w:r>
              <w:rPr>
                <w:rFonts w:hint="eastAsia" w:cs="宋体" w:asciiTheme="minorEastAsia" w:hAnsiTheme="minorEastAsia" w:eastAsiaTheme="minorEastAsia"/>
                <w:kern w:val="0"/>
                <w:szCs w:val="21"/>
              </w:rPr>
              <w:t>168.95万元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eastAsia="宋体"/>
                <w:sz w:val="24"/>
                <w:szCs w:val="24"/>
                <w:lang w:val="en-US" w:eastAsia="zh-CN"/>
              </w:rPr>
            </w:pPr>
            <w:r>
              <w:rPr>
                <w:rFonts w:hint="eastAsia" w:ascii="宋体"/>
                <w:sz w:val="24"/>
                <w:szCs w:val="24"/>
                <w:lang w:val="en-US" w:eastAsia="zh-CN"/>
              </w:rPr>
              <w:t>5</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ascii="宋体"/>
                <w:szCs w:val="21"/>
              </w:rPr>
              <w:t>供货时间（项目工期）</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土建工程竣工后30日内完成供货及安装调试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6</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供货地点</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cs="宋体" w:asciiTheme="minorEastAsia" w:hAnsiTheme="minorEastAsia" w:eastAsiaTheme="minorEastAsia"/>
                <w:kern w:val="0"/>
                <w:szCs w:val="21"/>
              </w:rPr>
              <w:t>吉林市丰满区前二道乡巴虎村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7</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质量要求</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b/>
                <w:szCs w:val="21"/>
              </w:rPr>
            </w:pPr>
            <w:r>
              <w:rPr>
                <w:rFonts w:hint="eastAsia" w:ascii="宋体"/>
                <w:szCs w:val="21"/>
              </w:rPr>
              <w:t>符合国家及行业现行标准的合格产品。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8</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招标内容</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rPr>
            </w:pPr>
            <w:r>
              <w:rPr>
                <w:rFonts w:hint="eastAsia" w:cs="宋体" w:asciiTheme="minorEastAsia" w:hAnsiTheme="minorEastAsia" w:eastAsiaTheme="minorEastAsia"/>
                <w:kern w:val="0"/>
                <w:szCs w:val="21"/>
              </w:rPr>
              <w:t>包括但不限于8部电梯、控制柜、轿厢箱体、主副轨道等设备、调试、税金、厂检费、验收费，脚手架搭建、安装人工费、井道照明、工人保险，物流运输费、卸车费、电梯门口装饰等，交付使用前的一切费用及质保期内的维保及质保等工作内容。</w:t>
            </w:r>
            <w:r>
              <w:rPr>
                <w:rFonts w:hint="eastAsia" w:ascii="宋体"/>
              </w:rPr>
              <w:t>（详见第四章技术标准及要求）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9</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投标保证金、保函</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b/>
                <w:szCs w:val="21"/>
              </w:rPr>
            </w:pPr>
            <w:r>
              <w:rPr>
                <w:rFonts w:hint="eastAsia" w:ascii="宋体"/>
                <w:szCs w:val="21"/>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10</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是否接受联合体报价</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11</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投标有效期</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自投标截止之日起 90 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12</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投标人提出问题的截止时间</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开标前15日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13</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招标人书面澄清的时间</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开标前15日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14</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投标人条件要求</w:t>
            </w:r>
          </w:p>
        </w:tc>
        <w:tc>
          <w:tcPr>
            <w:tcW w:w="610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color w:val="000000"/>
                <w:szCs w:val="21"/>
              </w:rPr>
            </w:pPr>
            <w:r>
              <w:rPr>
                <w:rFonts w:hint="eastAsia" w:ascii="宋体" w:cs="宋体"/>
                <w:color w:val="000000"/>
                <w:szCs w:val="21"/>
              </w:rPr>
              <w:t>供应商应符合《中华人民共和国政府采购法》“第二十二条”规定的资格条件，并同时具备以下条件要求：</w:t>
            </w:r>
          </w:p>
          <w:p>
            <w:pPr>
              <w:spacing w:line="360" w:lineRule="auto"/>
              <w:rPr>
                <w:rFonts w:ascii="宋体" w:cs="宋体"/>
                <w:color w:val="000000"/>
                <w:szCs w:val="21"/>
              </w:rPr>
            </w:pPr>
            <w:r>
              <w:rPr>
                <w:rFonts w:hint="eastAsia" w:ascii="宋体" w:cs="宋体"/>
                <w:color w:val="000000"/>
                <w:szCs w:val="21"/>
              </w:rPr>
              <w:t>1、在中国境内依法登记注册并仍有效存续的供应商，具有本次招标项目的经营范围。</w:t>
            </w:r>
          </w:p>
          <w:p>
            <w:pPr>
              <w:spacing w:line="360" w:lineRule="auto"/>
              <w:rPr>
                <w:rFonts w:ascii="宋体" w:cs="宋体"/>
                <w:color w:val="000000"/>
                <w:szCs w:val="21"/>
              </w:rPr>
            </w:pPr>
            <w:r>
              <w:rPr>
                <w:rFonts w:hint="eastAsia" w:ascii="宋体" w:cs="宋体"/>
                <w:color w:val="000000"/>
                <w:szCs w:val="21"/>
              </w:rPr>
              <w:t>2、具有良好的商业信誉和健全的财务会计制度。</w:t>
            </w:r>
          </w:p>
          <w:p>
            <w:pPr>
              <w:spacing w:line="360" w:lineRule="auto"/>
              <w:rPr>
                <w:rFonts w:ascii="宋体" w:cs="宋体"/>
                <w:color w:val="000000"/>
                <w:szCs w:val="21"/>
              </w:rPr>
            </w:pPr>
            <w:r>
              <w:rPr>
                <w:rFonts w:hint="eastAsia" w:ascii="宋体" w:cs="宋体"/>
                <w:color w:val="000000"/>
                <w:szCs w:val="21"/>
              </w:rPr>
              <w:t>3、具有履行合同所必须的设备和专业技术能力。</w:t>
            </w:r>
          </w:p>
          <w:p>
            <w:pPr>
              <w:spacing w:line="360" w:lineRule="auto"/>
              <w:rPr>
                <w:rFonts w:ascii="宋体" w:cs="宋体"/>
                <w:color w:val="000000"/>
                <w:szCs w:val="21"/>
              </w:rPr>
            </w:pPr>
            <w:r>
              <w:rPr>
                <w:rFonts w:hint="eastAsia" w:ascii="宋体" w:cs="宋体"/>
                <w:color w:val="000000"/>
                <w:szCs w:val="21"/>
              </w:rPr>
              <w:t>4、有依法缴纳</w:t>
            </w:r>
          </w:p>
          <w:p>
            <w:pPr>
              <w:spacing w:line="360" w:lineRule="auto"/>
              <w:rPr>
                <w:rFonts w:ascii="宋体" w:cs="宋体"/>
                <w:color w:val="000000"/>
                <w:szCs w:val="21"/>
              </w:rPr>
            </w:pPr>
            <w:r>
              <w:rPr>
                <w:rFonts w:hint="eastAsia" w:ascii="宋体" w:cs="宋体"/>
                <w:color w:val="000000"/>
                <w:szCs w:val="21"/>
              </w:rPr>
              <w:t>收和社会保障资金的良好纪录（</w:t>
            </w:r>
            <w:r>
              <w:rPr>
                <w:rFonts w:hint="eastAsia" w:ascii="宋体" w:cs="宋体"/>
                <w:bCs/>
                <w:szCs w:val="21"/>
              </w:rPr>
              <w:t>供应商需提供近一年内（近3个月）依法缴纳税收的社会保障资金的良好记录</w:t>
            </w:r>
            <w:r>
              <w:rPr>
                <w:rFonts w:hint="eastAsia" w:ascii="宋体" w:cs="宋体"/>
                <w:color w:val="000000"/>
                <w:szCs w:val="21"/>
              </w:rPr>
              <w:t>）。</w:t>
            </w:r>
          </w:p>
          <w:p>
            <w:pPr>
              <w:spacing w:line="360" w:lineRule="auto"/>
              <w:rPr>
                <w:rFonts w:ascii="宋体" w:cs="宋体"/>
                <w:color w:val="000000"/>
                <w:szCs w:val="21"/>
              </w:rPr>
            </w:pPr>
            <w:r>
              <w:rPr>
                <w:rFonts w:hint="eastAsia" w:ascii="宋体" w:cs="宋体"/>
                <w:color w:val="000000"/>
                <w:szCs w:val="21"/>
              </w:rPr>
              <w:t>5、参加此项采购活动前三年内，在经营活动中没有重大违法记录。</w:t>
            </w:r>
          </w:p>
          <w:p>
            <w:pPr>
              <w:spacing w:line="360" w:lineRule="auto"/>
              <w:rPr>
                <w:rFonts w:ascii="宋体" w:cs="宋体"/>
                <w:color w:val="000000"/>
                <w:szCs w:val="21"/>
              </w:rPr>
            </w:pPr>
            <w:r>
              <w:rPr>
                <w:rFonts w:hint="eastAsia" w:ascii="宋体" w:cs="宋体"/>
                <w:color w:val="000000"/>
                <w:szCs w:val="21"/>
              </w:rPr>
              <w:t>6、拒绝列入政府不良行为记录期间的企业或个人投标。</w:t>
            </w:r>
          </w:p>
          <w:p>
            <w:pPr>
              <w:spacing w:line="360" w:lineRule="auto"/>
              <w:rPr>
                <w:rFonts w:ascii="宋体" w:cs="宋体"/>
                <w:color w:val="000000"/>
                <w:szCs w:val="21"/>
              </w:rPr>
            </w:pPr>
            <w:r>
              <w:rPr>
                <w:rFonts w:hint="eastAsia" w:ascii="宋体" w:cs="宋体"/>
                <w:color w:val="000000"/>
                <w:szCs w:val="21"/>
              </w:rPr>
              <w:t>7、企业名称不同但法定代表人为同一个自然人的两个或者两个以上的投标人不得参加同一项目的投标。如果出现上述情况，相关投标人的投标均将被拒绝。</w:t>
            </w:r>
          </w:p>
          <w:p>
            <w:pPr>
              <w:spacing w:line="360" w:lineRule="auto"/>
              <w:rPr>
                <w:rFonts w:ascii="宋体" w:cs="宋体"/>
                <w:color w:val="000000"/>
                <w:szCs w:val="21"/>
              </w:rPr>
            </w:pPr>
            <w:r>
              <w:rPr>
                <w:rFonts w:hint="eastAsia" w:ascii="宋体" w:cs="宋体"/>
                <w:color w:val="000000"/>
                <w:szCs w:val="21"/>
              </w:rPr>
              <w:t>8、本项目不接受联合体投标。</w:t>
            </w:r>
          </w:p>
          <w:p>
            <w:pPr>
              <w:widowControl/>
              <w:spacing w:before="100" w:beforeAutospacing="1" w:after="100" w:afterAutospacing="1"/>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r>
              <w:rPr>
                <w:rFonts w:hint="eastAsia" w:ascii="宋体" w:cs="宋体"/>
                <w:color w:val="000000"/>
                <w:szCs w:val="21"/>
              </w:rPr>
              <w:t>、</w:t>
            </w:r>
            <w:r>
              <w:rPr>
                <w:rFonts w:hint="eastAsia" w:cs="宋体" w:asciiTheme="minorEastAsia" w:hAnsiTheme="minorEastAsia" w:eastAsiaTheme="minorEastAsia"/>
                <w:kern w:val="0"/>
                <w:szCs w:val="21"/>
              </w:rPr>
              <w:t>具备有效的《中华人民共和国特种设备安装改造维修许可证》（电梯）（安装、维修）C 级及以上资质（旧）：或具备电梯制造（含安装、修理）曳引驱动乘客电梯（含消防员电梯）B 级及以上资质、自动扶梯（新） 资质。</w:t>
            </w: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15</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b/>
                <w:szCs w:val="21"/>
              </w:rPr>
            </w:pPr>
            <w:r>
              <w:rPr>
                <w:rFonts w:hint="eastAsia" w:ascii="宋体"/>
                <w:szCs w:val="21"/>
              </w:rPr>
              <w:t>商业信誉要求</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1、无不良行为记录，过去三年内，供应商没有骗取中标或严重违纪、违约以及重大产品质量问题事件的记录。需出具有法定代表人签署并加盖公章的承诺书。</w:t>
            </w:r>
          </w:p>
          <w:p>
            <w:pPr>
              <w:rPr>
                <w:rFonts w:ascii="宋体"/>
                <w:b/>
                <w:szCs w:val="21"/>
              </w:rPr>
            </w:pPr>
            <w:r>
              <w:rPr>
                <w:rFonts w:hint="eastAsia" w:ascii="宋体"/>
                <w:szCs w:val="21"/>
              </w:rPr>
              <w:t>2、信用信息需提供“信用中国”、“中国裁判文书网”及“中国政府采购网（www.ccgp.gov.cn）”自行查询页面截图。查询信息起止时点为采购公告发出之日起至投标截止时间止期间内。查询内容为：供应商未被列入“失信被执行人、重大税收违法案件当事人名单、政府采购严重违法失信名单”的记录名单（通过“信用中国”网站(www.creditchina.gov.cn)及“中国政府采购网（www.ccgp.gov.cn）”查询）；“中国裁判文书网”（wenshu.court.gov.cn）查询本公司（案由：单位行贿罪）和个人（指法定代表人及授权委托人）（案由：行贿罪）的无行贿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16</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投标人要求澄清招标文件的截止时间</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开标前15日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17</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b/>
                <w:szCs w:val="21"/>
              </w:rPr>
            </w:pPr>
            <w:r>
              <w:rPr>
                <w:rFonts w:hint="eastAsia" w:ascii="宋体"/>
                <w:szCs w:val="21"/>
              </w:rPr>
              <w:t>财务状况要求</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Times New Roman" w:hAnsi="Times New Roman" w:eastAsia="宋体" w:cs="Times New Roman"/>
                <w:szCs w:val="21"/>
                <w:lang w:val="en-US" w:eastAsia="zh-CN"/>
              </w:rPr>
              <w:t>财务会计制度良好，响应文件中需附经财务负责人及法定代表人确认的上一季度的财务报表或经会计师事务所审计的上一年度财务审计报告。（2</w:t>
            </w:r>
            <w:r>
              <w:rPr>
                <w:rFonts w:hint="eastAsia" w:ascii="宋体" w:cs="宋体"/>
                <w:color w:val="auto"/>
                <w:szCs w:val="21"/>
              </w:rPr>
              <w:t>02</w:t>
            </w:r>
            <w:r>
              <w:rPr>
                <w:rFonts w:ascii="宋体" w:cs="宋体"/>
                <w:color w:val="auto"/>
                <w:szCs w:val="21"/>
              </w:rPr>
              <w:t>4</w:t>
            </w:r>
            <w:r>
              <w:rPr>
                <w:rFonts w:hint="eastAsia" w:ascii="宋体" w:cs="宋体"/>
                <w:color w:val="auto"/>
                <w:szCs w:val="21"/>
              </w:rPr>
              <w:t>年一月起成立公司</w:t>
            </w:r>
            <w:r>
              <w:rPr>
                <w:rFonts w:hint="eastAsia" w:ascii="宋体" w:hAnsi="宋体" w:cs="宋体"/>
                <w:color w:val="auto"/>
                <w:highlight w:val="none"/>
              </w:rPr>
              <w:t>须提供具有健全的财务会计制度承诺书</w:t>
            </w:r>
            <w:r>
              <w:rPr>
                <w:rFonts w:hint="eastAsia" w:ascii="Times New Roman" w:hAnsi="Times New Roman" w:eastAsia="宋体" w:cs="Times New Roman"/>
                <w:szCs w:val="21"/>
              </w:rPr>
              <w:t>)；</w:t>
            </w:r>
            <w:r>
              <w:rPr>
                <w:rFonts w:hint="eastAsia" w:ascii="Times New Roman" w:hAnsi="Times New Roman" w:eastAsia="宋体" w:cs="Times New Roman"/>
                <w:szCs w:val="21"/>
                <w:lang w:val="zh-CN"/>
              </w:rPr>
              <w:t>响</w:t>
            </w:r>
            <w:r>
              <w:rPr>
                <w:rFonts w:hint="eastAsia" w:ascii="Times New Roman" w:hAnsi="Times New Roman" w:eastAsia="宋体" w:cs="Times New Roman"/>
                <w:szCs w:val="21"/>
              </w:rPr>
              <w:t>应文件内附财务审计报告电子版扫描件</w:t>
            </w:r>
            <w:r>
              <w:rPr>
                <w:rFonts w:hint="eastAsia" w:ascii="Times New Roman" w:hAnsi="Times New Roman" w:eastAsia="宋体" w:cs="Times New Roman"/>
                <w:szCs w:val="21"/>
                <w:lang w:val="en-US" w:eastAsia="zh-CN"/>
              </w:rPr>
              <w:t>或承诺书</w:t>
            </w:r>
            <w:r>
              <w:rPr>
                <w:rFonts w:hint="eastAsia" w:ascii="Times New Roman" w:hAnsi="Times New Roman" w:eastAsia="宋体" w:cs="Times New Roman"/>
                <w:szCs w:val="21"/>
              </w:rPr>
              <w:t>并加盖供应商单位公章</w:t>
            </w:r>
            <w:r>
              <w:rPr>
                <w:rFonts w:hint="eastAsia" w:ascii="Times New Roman" w:hAnsi="Times New Roman"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18</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依法纳税和社会保障资金的良好记录</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b/>
                <w:szCs w:val="21"/>
              </w:rPr>
            </w:pPr>
            <w:r>
              <w:rPr>
                <w:rFonts w:hint="eastAsia" w:ascii="宋体"/>
                <w:szCs w:val="21"/>
              </w:rPr>
              <w:t>过去三年内供应商没有偷税、漏税、拖欠税款及社会保障资金的不良行为记录。需出具近三个月的完税证明及社保缴费凭证。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19</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踏勘现场</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20</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履约保证金</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22</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偏离</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23</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招标文件的澄清和修改</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招标文件的澄清和修改内容详见</w:t>
            </w:r>
            <w:r>
              <w:rPr>
                <w:rFonts w:hint="eastAsia" w:ascii="宋体" w:hAnsi="宋体"/>
                <w:color w:val="000000"/>
              </w:rPr>
              <w:t>“政采云”平台（https://www.zcygov.cn/）</w:t>
            </w:r>
            <w:r>
              <w:rPr>
                <w:rFonts w:hint="eastAsia" w:ascii="宋体"/>
                <w:szCs w:val="21"/>
              </w:rPr>
              <w:t>本项目采购公告页面供应商应密切关注上述公告页面的最新澄清信息。澄清和修改一经发布，视为供应商已收到。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24</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投标报价及范围</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本次招标报价为全费用报价，其中包括但不限制于货款、货物供货、货物安装、调试（如有）期间材料、人员开支、标准附件、备品备件、专用工具、包装、安全文明实施费用、运输、装卸、培训、交通费、有关保险费用、 管理、措施费等交付使用前的一切费用及质保期内的维保及质保等税金和费用。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25</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b/>
                <w:szCs w:val="21"/>
              </w:rPr>
            </w:pPr>
            <w:r>
              <w:rPr>
                <w:rFonts w:hint="eastAsia" w:ascii="宋体"/>
                <w:szCs w:val="21"/>
              </w:rPr>
              <w:t>政府采购支持中小企业（含监狱企业、</w:t>
            </w:r>
            <w:r>
              <w:rPr>
                <w:rFonts w:ascii="宋体"/>
                <w:szCs w:val="21"/>
              </w:rPr>
              <w:t>残疾人福利性单位</w:t>
            </w:r>
            <w:r>
              <w:rPr>
                <w:rFonts w:hint="eastAsia" w:ascii="宋体"/>
                <w:szCs w:val="21"/>
              </w:rPr>
              <w:t>）发展</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b/>
                <w:szCs w:val="21"/>
              </w:rPr>
            </w:pPr>
            <w:r>
              <w:rPr>
                <w:rFonts w:hint="eastAsia" w:ascii="宋体"/>
                <w:szCs w:val="21"/>
              </w:rPr>
              <w:t>详见评标办法正文部分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26</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节能环保产品优先采购优惠标准</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详见评标办法正文部分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27</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签字盖章要求</w:t>
            </w:r>
          </w:p>
        </w:tc>
        <w:tc>
          <w:tcPr>
            <w:tcW w:w="61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b/>
                <w:szCs w:val="21"/>
              </w:rPr>
            </w:pPr>
            <w:r>
              <w:rPr>
                <w:rFonts w:hint="eastAsia" w:ascii="宋体" w:hAnsi="宋体" w:cs="宋体"/>
                <w:color w:val="000000"/>
                <w:kern w:val="0"/>
                <w:szCs w:val="21"/>
                <w:lang w:bidi="ar"/>
              </w:rPr>
              <w:t>投标文件中凡招标文件要求签署、盖章之处，均应显示投标人的法定代表人或法定代表人正式授权的代表签署字样及投标人的公章。投标人名称及公章应显示全称。如果是由法定代表人授权代表签署投标文件，则应当按招标文件提供的格式出具《法定代表人（负责人）授权委托书》（如投标人自拟授权书格式，则其授权书内容应当实质性符合招标文件提供的《法定代表人（负责人）授权委托书》并将其附在投标文件中。投标文件若有修改错漏之处，须在修改错漏之处同样显示出投标人公章或者由法定代表人或法定代表人授权代表签署字样。投标文件因字迹潦草或表达不清所引起的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28</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b/>
                <w:szCs w:val="21"/>
              </w:rPr>
            </w:pPr>
            <w:r>
              <w:rPr>
                <w:rFonts w:hint="eastAsia" w:ascii="宋体"/>
                <w:szCs w:val="21"/>
              </w:rPr>
              <w:t>投标截止时间及地点（开标时间及地点）</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color w:val="FF0000"/>
                <w:szCs w:val="21"/>
                <w:highlight w:val="yellow"/>
              </w:rPr>
            </w:pPr>
            <w:r>
              <w:rPr>
                <w:rFonts w:hint="eastAsia" w:ascii="宋体"/>
                <w:szCs w:val="21"/>
              </w:rPr>
              <w:t>时间：202</w:t>
            </w:r>
            <w:r>
              <w:rPr>
                <w:rFonts w:ascii="宋体"/>
                <w:szCs w:val="21"/>
              </w:rPr>
              <w:t>4</w:t>
            </w:r>
            <w:r>
              <w:rPr>
                <w:rFonts w:hint="eastAsia" w:ascii="宋体"/>
                <w:szCs w:val="21"/>
              </w:rPr>
              <w:t>年</w:t>
            </w:r>
            <w:r>
              <w:rPr>
                <w:rFonts w:hint="eastAsia" w:ascii="宋体"/>
                <w:szCs w:val="21"/>
                <w:lang w:val="en-US" w:eastAsia="zh-CN"/>
              </w:rPr>
              <w:t>7</w:t>
            </w:r>
            <w:r>
              <w:rPr>
                <w:rFonts w:hint="eastAsia" w:ascii="宋体"/>
                <w:szCs w:val="21"/>
              </w:rPr>
              <w:t>月</w:t>
            </w:r>
            <w:r>
              <w:rPr>
                <w:rFonts w:hint="eastAsia" w:ascii="宋体"/>
                <w:szCs w:val="21"/>
                <w:lang w:val="en-US" w:eastAsia="zh-CN"/>
              </w:rPr>
              <w:t>15</w:t>
            </w:r>
            <w:r>
              <w:rPr>
                <w:rFonts w:hint="eastAsia" w:ascii="宋体"/>
                <w:szCs w:val="21"/>
              </w:rPr>
              <w:t>日13时30分</w:t>
            </w:r>
          </w:p>
          <w:p>
            <w:pPr>
              <w:rPr>
                <w:rFonts w:ascii="宋体"/>
                <w:b/>
                <w:szCs w:val="21"/>
              </w:rPr>
            </w:pPr>
            <w:r>
              <w:rPr>
                <w:rFonts w:hint="eastAsia" w:ascii="宋体"/>
                <w:szCs w:val="21"/>
              </w:rPr>
              <w:t>地点：</w:t>
            </w:r>
            <w:r>
              <w:rPr>
                <w:rFonts w:hint="eastAsia" w:ascii="宋体" w:hAnsi="宋体"/>
                <w:color w:val="000000"/>
              </w:rPr>
              <w:t>“政采云”平台（https://www.zcygov.cn/）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29</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评标委员会</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评标委员会由5人，其中：采购人代表1人，评审专家4人。</w:t>
            </w:r>
          </w:p>
          <w:p>
            <w:pPr>
              <w:rPr>
                <w:rFonts w:ascii="宋体"/>
                <w:szCs w:val="21"/>
              </w:rPr>
            </w:pPr>
            <w:r>
              <w:rPr>
                <w:rFonts w:hint="eastAsia" w:ascii="宋体"/>
                <w:szCs w:val="21"/>
              </w:rPr>
              <w:t>评标专家：由招标人在行政监督部门的监督下在吉林市财政部门组织的专家库中随机抽取。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30</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ascii="宋体"/>
                <w:szCs w:val="21"/>
              </w:rPr>
              <w:t>评标办法</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asci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31</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b/>
                <w:szCs w:val="21"/>
              </w:rPr>
            </w:pPr>
            <w:r>
              <w:rPr>
                <w:rFonts w:hint="eastAsia" w:ascii="宋体"/>
                <w:szCs w:val="21"/>
              </w:rPr>
              <w:t>确定中标人</w:t>
            </w:r>
          </w:p>
        </w:tc>
        <w:tc>
          <w:tcPr>
            <w:tcW w:w="61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szCs w:val="21"/>
              </w:rPr>
            </w:pPr>
            <w:r>
              <w:rPr>
                <w:rFonts w:hint="eastAsia" w:ascii="宋体" w:hAnsi="宋体" w:cs="宋体"/>
                <w:color w:val="000000"/>
                <w:kern w:val="0"/>
                <w:szCs w:val="21"/>
                <w:lang w:bidi="ar"/>
              </w:rPr>
              <w:t>除了《</w:t>
            </w:r>
            <w:r>
              <w:rPr>
                <w:rFonts w:hint="eastAsia"/>
              </w:rPr>
              <w:t>投标人须知正文</w:t>
            </w:r>
            <w:r>
              <w:rPr>
                <w:rFonts w:hint="eastAsia" w:ascii="宋体" w:hAnsi="宋体" w:cs="宋体"/>
                <w:color w:val="000000"/>
                <w:kern w:val="0"/>
                <w:szCs w:val="21"/>
                <w:lang w:bidi="ar"/>
              </w:rPr>
              <w:t xml:space="preserve">》第17 条规定的废标情况之外，采购人将根据评标委员会推荐的中标候选人及排序情况，依法确认本采购项目的中标人。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32</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b/>
                <w:szCs w:val="21"/>
              </w:rPr>
            </w:pPr>
            <w:r>
              <w:rPr>
                <w:rFonts w:hint="eastAsia" w:ascii="宋体"/>
                <w:szCs w:val="21"/>
              </w:rPr>
              <w:t>中标结果公示</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b/>
                <w:szCs w:val="21"/>
              </w:rPr>
            </w:pPr>
            <w:r>
              <w:rPr>
                <w:rFonts w:hint="eastAsia" w:ascii="宋体"/>
                <w:szCs w:val="21"/>
              </w:rPr>
              <w:t>在发布本项目招标公告的同一媒介进行公示，公示期为1个工作日。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33</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付款方式</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验收合格待财政拨付后付款</w:t>
            </w:r>
          </w:p>
        </w:tc>
      </w:tr>
      <w:tr>
        <w:tblPrEx>
          <w:tblCellMar>
            <w:top w:w="0" w:type="dxa"/>
            <w:left w:w="108" w:type="dxa"/>
            <w:bottom w:w="0" w:type="dxa"/>
            <w:right w:w="108" w:type="dxa"/>
          </w:tblCellMar>
        </w:tblPrEx>
        <w:trPr>
          <w:trHeight w:val="289" w:hRule="atLeast"/>
        </w:trPr>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34</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电子投标</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b/>
                <w:szCs w:val="21"/>
              </w:rPr>
            </w:pPr>
            <w:r>
              <w:rPr>
                <w:rFonts w:hint="eastAsia" w:ascii="宋体"/>
                <w:szCs w:val="21"/>
              </w:rPr>
              <w:t>本项目采用电子招标、电子投标及电子评标。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35</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项目完工期或交货期</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b/>
                <w:szCs w:val="21"/>
              </w:rPr>
            </w:pPr>
            <w:r>
              <w:rPr>
                <w:rFonts w:ascii="宋体"/>
                <w:bCs/>
                <w:szCs w:val="21"/>
              </w:rPr>
              <w:t>本次采购的电梯设备计划于2024年12月31日前安装完工并经验收交付使用。具体时间由业主按基建施工计划、进度另行通知。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36</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bCs/>
                <w:szCs w:val="21"/>
              </w:rPr>
            </w:pPr>
            <w:r>
              <w:rPr>
                <w:rFonts w:ascii="宋体"/>
                <w:bCs/>
                <w:szCs w:val="21"/>
              </w:rPr>
              <w:t>项目交付或执行方式</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bCs/>
                <w:szCs w:val="21"/>
              </w:rPr>
            </w:pPr>
            <w:r>
              <w:rPr>
                <w:rFonts w:ascii="宋体"/>
                <w:bCs/>
                <w:szCs w:val="21"/>
              </w:rPr>
              <w:t>交货方式为现场交货；中标人负责办理运输和保险，将货物运抵现场。有关运输和保险的一切费用由中标人承担。所有货物运抵现场的日期为交货日期</w:t>
            </w:r>
            <w:r>
              <w:rPr>
                <w:rFonts w:hint="eastAsia" w:asci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37</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b/>
                <w:szCs w:val="21"/>
              </w:rPr>
            </w:pPr>
            <w:r>
              <w:rPr>
                <w:rFonts w:hint="eastAsia" w:ascii="宋体"/>
                <w:szCs w:val="21"/>
              </w:rPr>
              <w:t>不见面开标技术支持</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技术支持</w:t>
            </w:r>
          </w:p>
          <w:p>
            <w:pPr>
              <w:rPr>
                <w:rFonts w:ascii="宋体"/>
                <w:szCs w:val="21"/>
              </w:rPr>
            </w:pPr>
            <w:r>
              <w:rPr>
                <w:rFonts w:hint="eastAsia" w:ascii="宋体"/>
                <w:szCs w:val="21"/>
              </w:rPr>
              <w:t>若遇问题可联系工作人员，通过以下方式：</w:t>
            </w:r>
          </w:p>
          <w:p>
            <w:pPr>
              <w:rPr>
                <w:rFonts w:ascii="宋体"/>
                <w:b/>
                <w:szCs w:val="21"/>
              </w:rPr>
            </w:pPr>
            <w:r>
              <w:rPr>
                <w:rFonts w:hint="eastAsia" w:ascii="宋体"/>
                <w:szCs w:val="21"/>
              </w:rPr>
              <w:t xml:space="preserve">电话：95763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pPr>
              <w:rPr>
                <w:rFonts w:ascii="宋体"/>
                <w:sz w:val="24"/>
                <w:szCs w:val="24"/>
              </w:rPr>
            </w:pPr>
            <w:r>
              <w:rPr>
                <w:rFonts w:hint="eastAsia" w:ascii="宋体"/>
                <w:sz w:val="24"/>
                <w:szCs w:val="24"/>
              </w:rPr>
              <w:t>38</w:t>
            </w:r>
          </w:p>
        </w:tc>
        <w:tc>
          <w:tcPr>
            <w:tcW w:w="2061" w:type="dxa"/>
            <w:tcBorders>
              <w:top w:val="single" w:color="auto" w:sz="4" w:space="0"/>
              <w:left w:val="single" w:color="auto" w:sz="4" w:space="0"/>
              <w:bottom w:val="single" w:color="auto" w:sz="4" w:space="0"/>
              <w:right w:val="single" w:color="auto" w:sz="4" w:space="0"/>
            </w:tcBorders>
            <w:noWrap/>
            <w:vAlign w:val="center"/>
          </w:tcPr>
          <w:p>
            <w:pPr>
              <w:rPr>
                <w:rFonts w:ascii="宋体"/>
                <w:szCs w:val="21"/>
                <w:highlight w:val="green"/>
              </w:rPr>
            </w:pPr>
            <w:r>
              <w:rPr>
                <w:rFonts w:hint="eastAsia" w:ascii="宋体"/>
                <w:szCs w:val="21"/>
              </w:rPr>
              <w:t>书面形式的定义</w:t>
            </w:r>
          </w:p>
        </w:tc>
        <w:tc>
          <w:tcPr>
            <w:tcW w:w="6108" w:type="dxa"/>
            <w:tcBorders>
              <w:top w:val="single" w:color="auto" w:sz="4" w:space="0"/>
              <w:left w:val="single" w:color="auto" w:sz="4" w:space="0"/>
              <w:bottom w:val="single" w:color="auto" w:sz="4" w:space="0"/>
              <w:right w:val="single" w:color="auto" w:sz="4" w:space="0"/>
            </w:tcBorders>
            <w:noWrap/>
            <w:vAlign w:val="center"/>
          </w:tcPr>
          <w:p>
            <w:pPr>
              <w:rPr>
                <w:rFonts w:ascii="宋体"/>
                <w:szCs w:val="21"/>
              </w:rPr>
            </w:pPr>
            <w:r>
              <w:rPr>
                <w:rFonts w:hint="eastAsia" w:ascii="宋体"/>
                <w:szCs w:val="21"/>
              </w:rPr>
              <w:t>包括文字的打印或复印件、传真、信函、电传、电报、电子邮件等可以有形表现所载内容的电子文档，</w:t>
            </w:r>
            <w:r>
              <w:rPr>
                <w:rFonts w:hint="eastAsia" w:ascii="宋体" w:hAnsi="宋体"/>
                <w:color w:val="000000"/>
              </w:rPr>
              <w:t>“政采云”平台（https://www.zcygov.cn/）</w:t>
            </w:r>
            <w:r>
              <w:rPr>
                <w:rFonts w:hint="eastAsia" w:ascii="宋体"/>
                <w:szCs w:val="21"/>
              </w:rPr>
              <w:t>及中国政府采购网发布的招标公告、招标文件及发出的澄清、答疑、变更等各类公告。</w:t>
            </w:r>
          </w:p>
        </w:tc>
      </w:tr>
    </w:tbl>
    <w:p>
      <w:pPr>
        <w:pStyle w:val="3"/>
        <w:jc w:val="center"/>
      </w:pPr>
      <w:bookmarkStart w:id="12" w:name="_Toc8064"/>
      <w:bookmarkStart w:id="13" w:name="_Toc6709"/>
      <w:r>
        <w:rPr>
          <w:rFonts w:hint="eastAsia"/>
        </w:rPr>
        <w:t>二、投标人须知正文</w:t>
      </w:r>
      <w:bookmarkEnd w:id="12"/>
      <w:bookmarkEnd w:id="13"/>
    </w:p>
    <w:p>
      <w:pPr>
        <w:rPr>
          <w:b/>
          <w:sz w:val="24"/>
        </w:rPr>
      </w:pPr>
      <w:r>
        <w:rPr>
          <w:rFonts w:hint="eastAsia"/>
          <w:b/>
          <w:sz w:val="24"/>
        </w:rPr>
        <w:t>※投标方必须详细地阅读和正确理解招标文件的内容，并据此填报投标文件。</w:t>
      </w:r>
    </w:p>
    <w:p>
      <w:pPr>
        <w:rPr>
          <w:b/>
          <w:sz w:val="24"/>
        </w:rPr>
      </w:pPr>
      <w:bookmarkStart w:id="14" w:name="_Toc485152611"/>
      <w:bookmarkStart w:id="15" w:name="_Toc16515"/>
      <w:r>
        <w:rPr>
          <w:rFonts w:hint="eastAsia"/>
          <w:b/>
          <w:sz w:val="24"/>
        </w:rPr>
        <w:t>1.适用范围</w:t>
      </w:r>
      <w:bookmarkEnd w:id="14"/>
      <w:bookmarkEnd w:id="15"/>
    </w:p>
    <w:p>
      <w:pPr>
        <w:spacing w:line="360" w:lineRule="auto"/>
        <w:ind w:firstLine="480" w:firstLineChars="200"/>
        <w:jc w:val="left"/>
        <w:rPr>
          <w:rFonts w:ascii="宋体" w:cs="宋体"/>
          <w:color w:val="000000"/>
          <w:sz w:val="24"/>
          <w:szCs w:val="24"/>
        </w:rPr>
      </w:pPr>
      <w:r>
        <w:rPr>
          <w:rFonts w:hint="eastAsia" w:ascii="宋体" w:cs="宋体"/>
          <w:color w:val="000000"/>
          <w:sz w:val="24"/>
          <w:szCs w:val="24"/>
        </w:rPr>
        <w:t>本招标文件适用范围：本招标文件仅适用于本次采购项目</w:t>
      </w:r>
    </w:p>
    <w:p>
      <w:pPr>
        <w:rPr>
          <w:b/>
          <w:sz w:val="24"/>
        </w:rPr>
      </w:pPr>
      <w:bookmarkStart w:id="16" w:name="_Toc485152612"/>
      <w:bookmarkStart w:id="17" w:name="_Toc26178"/>
      <w:r>
        <w:rPr>
          <w:rFonts w:hint="eastAsia"/>
          <w:b/>
          <w:sz w:val="24"/>
        </w:rPr>
        <w:t>2.定义</w:t>
      </w:r>
      <w:bookmarkEnd w:id="16"/>
      <w:bookmarkEnd w:id="17"/>
    </w:p>
    <w:p>
      <w:pPr>
        <w:spacing w:line="360" w:lineRule="auto"/>
        <w:ind w:firstLine="480" w:firstLineChars="200"/>
        <w:jc w:val="left"/>
        <w:rPr>
          <w:rFonts w:ascii="宋体" w:cs="宋体"/>
          <w:color w:val="000000"/>
          <w:sz w:val="24"/>
          <w:szCs w:val="24"/>
        </w:rPr>
      </w:pPr>
      <w:r>
        <w:rPr>
          <w:rFonts w:hint="eastAsia" w:ascii="宋体" w:cs="宋体"/>
          <w:color w:val="000000"/>
          <w:sz w:val="24"/>
          <w:szCs w:val="24"/>
        </w:rPr>
        <w:t xml:space="preserve">2.1 “采购项目”系指招标人在招标文件里描述的所需采购的货物和相关服务。 </w:t>
      </w:r>
    </w:p>
    <w:p>
      <w:pPr>
        <w:spacing w:line="360" w:lineRule="auto"/>
        <w:ind w:firstLine="480" w:firstLineChars="200"/>
        <w:jc w:val="left"/>
        <w:rPr>
          <w:rFonts w:ascii="宋体" w:cs="宋体"/>
          <w:color w:val="000000"/>
          <w:sz w:val="24"/>
          <w:szCs w:val="24"/>
        </w:rPr>
      </w:pPr>
      <w:r>
        <w:rPr>
          <w:rFonts w:hint="eastAsia" w:ascii="宋体" w:cs="宋体"/>
          <w:color w:val="000000"/>
          <w:sz w:val="24"/>
          <w:szCs w:val="24"/>
        </w:rPr>
        <w:t xml:space="preserve">2.2 “货物”系指投标人按招标文件规定，须向采购人提供的各种形态和种类的物品，包括一切设备、产品、机械、仪器仪表、备品备件、工具、手册等有关技术资料和原材料等。 </w:t>
      </w:r>
    </w:p>
    <w:p>
      <w:pPr>
        <w:spacing w:line="360" w:lineRule="auto"/>
        <w:ind w:firstLine="480" w:firstLineChars="200"/>
        <w:jc w:val="left"/>
        <w:rPr>
          <w:rFonts w:ascii="宋体" w:cs="宋体"/>
          <w:color w:val="000000"/>
          <w:sz w:val="24"/>
          <w:szCs w:val="24"/>
        </w:rPr>
      </w:pPr>
      <w:r>
        <w:rPr>
          <w:rFonts w:hint="eastAsia" w:ascii="宋体" w:cs="宋体"/>
          <w:color w:val="000000"/>
          <w:sz w:val="24"/>
          <w:szCs w:val="24"/>
        </w:rPr>
        <w:t xml:space="preserve">2.3 “相关服务”系指招标文件规定投标人须承担的与其所提供货物相关的运输、就位、安装、调试、技术协助、校准、培训、技术指导以及其他类似的义务。 </w:t>
      </w:r>
    </w:p>
    <w:p>
      <w:pPr>
        <w:spacing w:line="360" w:lineRule="auto"/>
        <w:ind w:firstLine="480" w:firstLineChars="200"/>
        <w:jc w:val="left"/>
        <w:rPr>
          <w:rFonts w:ascii="宋体" w:cs="宋体"/>
          <w:color w:val="000000"/>
          <w:sz w:val="24"/>
          <w:szCs w:val="24"/>
        </w:rPr>
      </w:pPr>
      <w:r>
        <w:rPr>
          <w:rFonts w:hint="eastAsia" w:ascii="宋体" w:cs="宋体"/>
          <w:color w:val="000000"/>
          <w:sz w:val="24"/>
          <w:szCs w:val="24"/>
        </w:rPr>
        <w:t xml:space="preserve">2.4 “招标人”系指《投标人须知》前附表中所述的组织本次招标的集中采购机构和采购人。 </w:t>
      </w:r>
    </w:p>
    <w:p>
      <w:pPr>
        <w:spacing w:line="360" w:lineRule="auto"/>
        <w:ind w:firstLine="480" w:firstLineChars="200"/>
        <w:jc w:val="left"/>
        <w:rPr>
          <w:rFonts w:ascii="宋体" w:cs="宋体"/>
          <w:color w:val="000000"/>
          <w:sz w:val="24"/>
          <w:szCs w:val="24"/>
        </w:rPr>
      </w:pPr>
      <w:r>
        <w:rPr>
          <w:rFonts w:hint="eastAsia" w:ascii="宋体" w:cs="宋体"/>
          <w:color w:val="000000"/>
          <w:sz w:val="24"/>
          <w:szCs w:val="24"/>
        </w:rPr>
        <w:t xml:space="preserve">2.5 “投标人/供应商”系指从招标人处按规定获取招标文件，并按照招标文件向招标人提交投标文件的供应商。 </w:t>
      </w:r>
    </w:p>
    <w:p>
      <w:pPr>
        <w:spacing w:line="360" w:lineRule="auto"/>
        <w:ind w:firstLine="480" w:firstLineChars="200"/>
        <w:jc w:val="left"/>
        <w:rPr>
          <w:rFonts w:ascii="宋体" w:cs="宋体"/>
          <w:color w:val="000000"/>
          <w:sz w:val="24"/>
          <w:szCs w:val="24"/>
        </w:rPr>
      </w:pPr>
      <w:r>
        <w:rPr>
          <w:rFonts w:hint="eastAsia" w:ascii="宋体" w:cs="宋体"/>
          <w:color w:val="000000"/>
          <w:sz w:val="24"/>
          <w:szCs w:val="24"/>
        </w:rPr>
        <w:t>2.6 “中标人”系指中标的投标人。</w:t>
      </w:r>
    </w:p>
    <w:p>
      <w:pPr>
        <w:spacing w:line="360" w:lineRule="auto"/>
        <w:ind w:firstLine="480" w:firstLineChars="200"/>
        <w:jc w:val="left"/>
        <w:rPr>
          <w:rFonts w:ascii="宋体" w:cs="宋体"/>
          <w:color w:val="000000"/>
          <w:sz w:val="24"/>
          <w:szCs w:val="24"/>
        </w:rPr>
      </w:pPr>
      <w:r>
        <w:rPr>
          <w:rFonts w:hint="eastAsia" w:ascii="宋体" w:cs="宋体"/>
          <w:color w:val="000000"/>
          <w:sz w:val="24"/>
          <w:szCs w:val="24"/>
        </w:rPr>
        <w:t xml:space="preserve">2.7“评标委员会”：评标委员会由采购人代表和评审专家组成，成员人数应当为 5人以上单数，其中评审专家不得少于成员总数的三分之二。具体负责评标事务，独立履行评标职责。 </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2.8监督部门：吉林市丰满区政府采购管理工作办公室负责对招标投标的全过程进行监督。</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2.9联合体：两个以上投标人联合，以一个投标人身份为采购人提供服务的临时性组织。</w:t>
      </w:r>
    </w:p>
    <w:p>
      <w:pPr>
        <w:rPr>
          <w:b/>
          <w:sz w:val="24"/>
        </w:rPr>
      </w:pPr>
      <w:bookmarkStart w:id="18" w:name="_Toc485152613"/>
      <w:bookmarkStart w:id="19" w:name="_Toc28063"/>
      <w:r>
        <w:rPr>
          <w:rFonts w:hint="eastAsia"/>
          <w:b/>
          <w:sz w:val="24"/>
        </w:rPr>
        <w:t>3.投标人的资格要求</w:t>
      </w:r>
      <w:bookmarkEnd w:id="18"/>
      <w:bookmarkEnd w:id="19"/>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3.1具有独立承担民事责任能力。</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3.2具有良好的商业信誉和健全的财务会计制度。</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3.3具有履行合同所必需的设备和专业技术能力。</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3.4具有依法缴纳税收和社会保障资金的良好记录。</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3.5参加政府采购活动前三年内，在经营活动中没有重大违法记录。</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3.6未被列入失信被执行人、重大税收违法案件当事人名单、政府采购严重违法失信行为记录名单（通过“信用中国”网站</w:t>
      </w:r>
      <w:r>
        <w:rPr>
          <w:rFonts w:hint="eastAsia"/>
        </w:rPr>
        <w:fldChar w:fldCharType="begin"/>
      </w:r>
      <w:r>
        <w:instrText xml:space="preserve"> HYPERLINK "http://www.creditchina.gov.cn" </w:instrText>
      </w:r>
      <w:r>
        <w:rPr>
          <w:rFonts w:hint="eastAsia"/>
        </w:rPr>
        <w:fldChar w:fldCharType="separate"/>
      </w:r>
      <w:r>
        <w:rPr>
          <w:rFonts w:hint="eastAsia" w:ascii="宋体" w:cs="宋体"/>
          <w:color w:val="000000"/>
        </w:rPr>
        <w:t>www.creditchina.gov.cn</w:t>
      </w:r>
      <w:r>
        <w:rPr>
          <w:rFonts w:hint="eastAsia" w:ascii="宋体" w:cs="宋体"/>
          <w:color w:val="000000"/>
        </w:rPr>
        <w:fldChar w:fldCharType="end"/>
      </w:r>
      <w:r>
        <w:rPr>
          <w:rFonts w:hint="eastAsia" w:ascii="宋体" w:cs="宋体"/>
          <w:color w:val="000000"/>
          <w:sz w:val="24"/>
          <w:szCs w:val="24"/>
        </w:rPr>
        <w:t>或中国政府采购网</w:t>
      </w:r>
      <w:r>
        <w:rPr>
          <w:rFonts w:hint="eastAsia"/>
        </w:rPr>
        <w:fldChar w:fldCharType="begin"/>
      </w:r>
      <w:r>
        <w:instrText xml:space="preserve"> HYPERLINK "http://www.ccgp.gov.cn" </w:instrText>
      </w:r>
      <w:r>
        <w:rPr>
          <w:rFonts w:hint="eastAsia"/>
        </w:rPr>
        <w:fldChar w:fldCharType="separate"/>
      </w:r>
      <w:r>
        <w:rPr>
          <w:rFonts w:hint="eastAsia" w:ascii="宋体" w:cs="宋体"/>
          <w:color w:val="000000"/>
        </w:rPr>
        <w:t>www.ccgp.gov.cn</w:t>
      </w:r>
      <w:r>
        <w:rPr>
          <w:rFonts w:hint="eastAsia" w:ascii="宋体" w:cs="宋体"/>
          <w:color w:val="000000"/>
        </w:rPr>
        <w:fldChar w:fldCharType="end"/>
      </w:r>
      <w:r>
        <w:rPr>
          <w:rFonts w:hint="eastAsia" w:ascii="宋体" w:cs="宋体"/>
          <w:color w:val="000000"/>
          <w:sz w:val="24"/>
          <w:szCs w:val="24"/>
        </w:rPr>
        <w:t>查询）。</w:t>
      </w:r>
    </w:p>
    <w:p>
      <w:pPr>
        <w:tabs>
          <w:tab w:val="left" w:pos="630"/>
        </w:tabs>
        <w:spacing w:line="360" w:lineRule="auto"/>
        <w:ind w:firstLine="482" w:firstLineChars="200"/>
        <w:rPr>
          <w:b/>
          <w:sz w:val="24"/>
        </w:rPr>
      </w:pPr>
      <w:r>
        <w:rPr>
          <w:rFonts w:hint="eastAsia"/>
          <w:b/>
          <w:sz w:val="24"/>
        </w:rPr>
        <w:t>4. 投标方其他相关要求</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4.1投标方必须遵守国家的法律、法规和规章条例，严禁进行不正当竞争。</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4.2单位负责人为同一人或者存在直接控股、管理关系的不同供应商，不得参加同一合同项下的政府采购活动。</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4.3为采购项目提供整体设计、规范编制或者项目管理、监理、检测等服务的供应商，不得再参加该采购项目的其他采购活动。</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4.4本项目不接受联合体投标。</w:t>
      </w:r>
    </w:p>
    <w:p>
      <w:pPr>
        <w:rPr>
          <w:b/>
          <w:sz w:val="24"/>
        </w:rPr>
      </w:pPr>
      <w:r>
        <w:rPr>
          <w:rFonts w:hint="eastAsia"/>
          <w:b/>
          <w:sz w:val="24"/>
        </w:rPr>
        <w:t>5.投标保证金或保函</w:t>
      </w:r>
      <w:r>
        <w:rPr>
          <w:b/>
          <w:sz w:val="24"/>
        </w:rPr>
        <w:t xml:space="preserve">     </w:t>
      </w:r>
    </w:p>
    <w:p>
      <w:pPr>
        <w:ind w:firstLine="482" w:firstLineChars="200"/>
        <w:rPr>
          <w:b/>
          <w:sz w:val="24"/>
        </w:rPr>
      </w:pPr>
    </w:p>
    <w:p>
      <w:pPr>
        <w:ind w:firstLine="482" w:firstLineChars="200"/>
        <w:rPr>
          <w:b/>
          <w:sz w:val="24"/>
        </w:rPr>
      </w:pPr>
      <w:r>
        <w:rPr>
          <w:rFonts w:hint="eastAsia"/>
          <w:b/>
          <w:sz w:val="24"/>
        </w:rPr>
        <w:t>不收取</w:t>
      </w:r>
    </w:p>
    <w:p>
      <w:pPr>
        <w:rPr>
          <w:b/>
          <w:sz w:val="24"/>
        </w:rPr>
      </w:pPr>
    </w:p>
    <w:p>
      <w:pPr>
        <w:rPr>
          <w:b/>
          <w:sz w:val="24"/>
        </w:rPr>
      </w:pPr>
      <w:r>
        <w:rPr>
          <w:rFonts w:hint="eastAsia"/>
          <w:b/>
          <w:sz w:val="24"/>
        </w:rPr>
        <w:t>6.投标委托</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投标方代表须是法定代表人（负责人），若不是法定代表人（负责人），须有法定代表人（负责人）授权委托书。</w:t>
      </w:r>
    </w:p>
    <w:p>
      <w:pPr>
        <w:rPr>
          <w:b/>
          <w:sz w:val="24"/>
        </w:rPr>
      </w:pPr>
      <w:r>
        <w:rPr>
          <w:rFonts w:hint="eastAsia"/>
          <w:b/>
          <w:sz w:val="24"/>
        </w:rPr>
        <w:t>7. 投标费用</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不论投标结果如何，投标方应自主承担与投标有关的全部费用。</w:t>
      </w:r>
    </w:p>
    <w:p>
      <w:pPr>
        <w:rPr>
          <w:b/>
          <w:sz w:val="24"/>
        </w:rPr>
      </w:pPr>
      <w:r>
        <w:rPr>
          <w:rFonts w:hint="eastAsia"/>
          <w:b/>
          <w:sz w:val="24"/>
        </w:rPr>
        <w:t>8.招标文件及招标文件的澄清</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投标方应详细阅读招标文件的全部内容，不按招标文件的要求提供的投标文件和资料，可能导致投标被拒绝。</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投标方对招标文件如有疑点要求澄清，可用书面形式通知招标方，但使招标方收到通知的日期不得迟于开标日期的前15天；如未通知招标方，投标时出现问题，则视为没有对投标文件作出实质性投标。</w:t>
      </w:r>
    </w:p>
    <w:p>
      <w:pPr>
        <w:rPr>
          <w:b/>
          <w:sz w:val="24"/>
        </w:rPr>
      </w:pPr>
      <w:r>
        <w:rPr>
          <w:rFonts w:hint="eastAsia"/>
          <w:b/>
          <w:sz w:val="24"/>
        </w:rPr>
        <w:t>9.招标文件的修改</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9.1招标方可以对已发出的招标文件、招标公告进行必要的澄清或者修改，但不得改变采购标的和资格条件。澄清或者修改的内容为招标文件、招标公告的组成部分。</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9.2澄清或者修改的内容可能影响投标文件编制的，招标方应当在投标截止时间至少15日前，以书面形式通知所有获取招标文件的潜在投标人；不足15日的，应当顺延提交投标文件的截止时间。</w:t>
      </w:r>
    </w:p>
    <w:p>
      <w:pPr>
        <w:rPr>
          <w:b/>
          <w:sz w:val="24"/>
        </w:rPr>
      </w:pPr>
      <w:r>
        <w:rPr>
          <w:rFonts w:hint="eastAsia"/>
          <w:b/>
          <w:sz w:val="24"/>
        </w:rPr>
        <w:t>10</w:t>
      </w:r>
      <w:r>
        <w:rPr>
          <w:b/>
          <w:sz w:val="24"/>
        </w:rPr>
        <w:t>.</w:t>
      </w:r>
      <w:r>
        <w:rPr>
          <w:rFonts w:hint="eastAsia"/>
          <w:b/>
          <w:sz w:val="24"/>
        </w:rPr>
        <w:t>投标文件计量单位、语言</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10.1投标文件中所使用的计量单位，应采用国家法定的计量单位。</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10.2投标方提交的投标文件应使用中文，投标方可以提交其他语言的资料，但有关段落必须翻译成中文，在有差异或矛盾时以中文为准。</w:t>
      </w:r>
    </w:p>
    <w:p>
      <w:pPr>
        <w:rPr>
          <w:b/>
          <w:sz w:val="24"/>
        </w:rPr>
      </w:pPr>
      <w:r>
        <w:rPr>
          <w:rFonts w:hint="eastAsia"/>
          <w:b/>
          <w:sz w:val="24"/>
        </w:rPr>
        <w:t>11.投标文件的组成</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11.1投标文件应包括：</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（1）投标函（按标书规定格式）；</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（2）投标方基本情况一览表（按标书规定格式）</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（3）法定代表人（负责人）授权委托书（按标书规定格式）；</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（4）法定代表人（负责人）和被授权人身份证明（按标书规定格式）；</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（5）开标一览表；</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（6）投标报价明细表；</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（7）投标货物/服务技术文件（以文字、图片、检测报告等方式具体描述所投标货物/服务的实际技术性能情况）；</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（8）投标货物/服务技术指标偏离表；</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（9）投标方资格证明文件；</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w:t>
      </w:r>
      <w:r>
        <w:rPr>
          <w:rFonts w:ascii="宋体" w:cs="宋体"/>
          <w:color w:val="000000"/>
          <w:sz w:val="24"/>
          <w:szCs w:val="24"/>
        </w:rPr>
        <w:t>0</w:t>
      </w:r>
      <w:r>
        <w:rPr>
          <w:rFonts w:hint="eastAsia" w:ascii="宋体" w:cs="宋体"/>
          <w:color w:val="000000"/>
          <w:sz w:val="24"/>
          <w:szCs w:val="24"/>
        </w:rPr>
        <w:t>）投标书附件：包括投标方所完成的同类项目业绩情况、针对本项目的服务承诺内容以及与评标相关的其他相关证明文件等；如投标方为小微企业，提供《中小企业声明函》；如投标方为监狱企业，提供由省级以上监狱管理局、戒毒管理局（含新疆生产建设兵团）出具的属于监狱企业的证明文件；如投标方为残疾人福利性单位，提供《残疾人福利性单位声明函》；如投标产品为节能、环保、自主创新产品，提供相关证明文件；其他内容投标方视需要自行申明。</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11.2投标方资格证明文件包括：</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 xml:space="preserve">（1）法人或者其他组织的营业执照等证明文件，自然人的身份证明； </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（2）财务状况报告；</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（3）具有履行合同所必须的设备和专业技术能力的证明材料；</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4）依法缴纳税收和社会保障资金的相关材料(缴纳税收的证明材料是指参加本次采购活动前三个月的缴税凭据；缴纳社会保障资金的证明材料是指投标单位参加本次采购活动前三个月的缴纳社会保险的专用收据或社会保险缴纳清单）；</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（5）参加政府采购活动前三年内在经营活动中没有重大违规记录的书面声明；</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（6）未被列入失信被执行人、重大税收违法案件当事人名单、政府采购严重违法失信行为记录名单的书面声明；</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（7）如属于特定行业项目,提供特定行业法定准入的证明材料。</w:t>
      </w:r>
    </w:p>
    <w:p>
      <w:pPr>
        <w:rPr>
          <w:b/>
          <w:sz w:val="24"/>
        </w:rPr>
      </w:pPr>
      <w:r>
        <w:rPr>
          <w:rFonts w:hint="eastAsia"/>
          <w:b/>
          <w:sz w:val="24"/>
        </w:rPr>
        <w:t>12.投标报价</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12.1报价币制为人民币。</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12.2本次招标报价为全费用报价，其中包括但不限制于货款、货物供货、货物安装、调试（如有）期间材料、人员开支、标准附件、备品备件、专用工具、包装、安全文明实施费用、运输、装卸、培训、交通费、有关保险费用、 管理费、措施费等交付使用前的一切费用及质保期内的维保及质保等税金和费用。</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12.3本项目的采购预算为：（详见须知前附表第4条），不接受超出采购预算的报价。</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12.4招标方不接受任何选择报价，对每一种货物/服务只允许有一个报价；每包只接受单一报价。投标报价应是固定不变的，不得以任何理由予以变更，任何可变的或者附有条件的投标报价，招标人均将予以拒绝。</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12.5最低报价不能作为中标的保证。</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12.6开标一览表中投标总价须与投标文件中投标报价明细表的投标总价保持一致，如出现不同，以开标一览表中价格为准。</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12.7如数字表示的金额与文字表示的金额不一致时，应以文字表示的为准。</w:t>
      </w:r>
    </w:p>
    <w:p>
      <w:pPr>
        <w:rPr>
          <w:b/>
          <w:sz w:val="24"/>
        </w:rPr>
      </w:pPr>
      <w:r>
        <w:rPr>
          <w:rFonts w:hint="eastAsia"/>
          <w:b/>
          <w:sz w:val="24"/>
        </w:rPr>
        <w:t>13.投标内容填写说明、文件的签署、修改、递交</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13.1投标方应完整地按照规定填写投标函、法定代表人（负责人）授权委托书、投标报价明细表等内容；投标文件要编制目录及页码，使用不小于5号字的标准字体。</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13.2投标文件须按要求加盖投标方公章及投标人签字。</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13.3投标方须在规定的开标时间（上传投标文件截止时间）前将投标文件制作工具生成的加密文件上传到</w:t>
      </w:r>
      <w:r>
        <w:rPr>
          <w:rFonts w:hint="eastAsia" w:ascii="宋体" w:hAnsi="宋体"/>
        </w:rPr>
        <w:t>“政采云”平台（http：//www.zcygov.cn）</w:t>
      </w:r>
      <w:r>
        <w:rPr>
          <w:rFonts w:hint="eastAsia" w:ascii="宋体" w:cs="宋体"/>
          <w:color w:val="000000"/>
          <w:sz w:val="24"/>
          <w:szCs w:val="24"/>
        </w:rPr>
        <w:t>，开标时用生成最终投标文件所使用的ca密钥进行解密。</w:t>
      </w:r>
    </w:p>
    <w:p>
      <w:pPr>
        <w:rPr>
          <w:b/>
          <w:sz w:val="24"/>
        </w:rPr>
      </w:pPr>
      <w:r>
        <w:rPr>
          <w:rFonts w:hint="eastAsia"/>
          <w:b/>
          <w:sz w:val="24"/>
        </w:rPr>
        <w:t>14.投标文件的有效期</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自开标日起90天内，投标文件应保持有效。</w:t>
      </w:r>
    </w:p>
    <w:p>
      <w:pPr>
        <w:rPr>
          <w:b/>
          <w:sz w:val="24"/>
        </w:rPr>
      </w:pPr>
      <w:r>
        <w:rPr>
          <w:rFonts w:hint="eastAsia"/>
          <w:b/>
          <w:sz w:val="24"/>
        </w:rPr>
        <w:t xml:space="preserve">15.开标  </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15.1开标由吉林市政府丰满区采购中心主持，投标人务必于开标前提前登录系统，进入所投标项目，按照系统提示及时签到。</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15.2开标时，由招标方工作人员按照投标人电子投标文件解密后的开标记录，公布投标人名称、投标价格和招标文件规定的需要公布的其他内容。</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15.3投标人代表对开标过程和开标记录有疑义，以及认为采购人、集中采购机构相关工作人员有需要回避的情形的，应当场提出询问或者回避申请。</w:t>
      </w:r>
    </w:p>
    <w:p>
      <w:pPr>
        <w:rPr>
          <w:b/>
          <w:sz w:val="24"/>
        </w:rPr>
      </w:pPr>
      <w:r>
        <w:rPr>
          <w:rFonts w:hint="eastAsia"/>
          <w:b/>
          <w:sz w:val="24"/>
        </w:rPr>
        <w:t>16.评标</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16.1评标委员会由采购人代表、有关技术和经济等方面的专家组成。</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16.2采购人代表应当依法对投标人的资格进行审查；评标委员会负责审查、评价投标文件是否符合招标文件的商务、技术等实质性要求（符合性审查）、对投标文件进行比较和评审、并向招标人推荐中标候选人。</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16.3评标委员会可以要求投标人对投标文件有关事项作出澄清或者说明。</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16.4开标后直至发出中标通知书止，评标委员会对于投标文件的审查、澄清、评价及评标建议、定标决议等内容不得向投标方或其他有关人员透漏。</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16.5在评标过程中，评标委员会发现投标人以他人的名义投标、串通投标、以行贿手段谋取中标或者以其他弄虚作假方式投标的，该投标人的投标将被拒绝。</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16.6评标原则</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评标委员会将严格按照招标文件的要求和条件进行评标。</w:t>
      </w:r>
    </w:p>
    <w:p>
      <w:pPr>
        <w:rPr>
          <w:b/>
          <w:sz w:val="24"/>
        </w:rPr>
      </w:pPr>
      <w:r>
        <w:rPr>
          <w:rFonts w:hint="eastAsia"/>
          <w:b/>
          <w:sz w:val="24"/>
        </w:rPr>
        <w:t>17.中标及废标</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17.1采购中心自中标人确定之日起2个工作日内，在省级以上财政部门指定的媒体上公告中标结果，招标文件应当随中标结果同时公告。</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17.2出现下列情形之一的，应予废标：</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（1）符合专业条件的供应商或者对招标文件作实质性投标的供应商不足三家的；</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（2）出现影响采购公正的违法、违规行为的；</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（3）投标人的报价均超过了采购预算，采购人不能支付的；</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（4）因重大变故，采购任务取消的。</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废标后，采购人将废标理由通知所有投标人。</w:t>
      </w:r>
    </w:p>
    <w:p>
      <w:pPr>
        <w:rPr>
          <w:b/>
          <w:sz w:val="24"/>
        </w:rPr>
      </w:pPr>
      <w:r>
        <w:rPr>
          <w:rFonts w:hint="eastAsia"/>
          <w:b/>
          <w:sz w:val="24"/>
        </w:rPr>
        <w:t>18</w:t>
      </w:r>
      <w:r>
        <w:rPr>
          <w:rFonts w:hint="eastAsia"/>
          <w:b/>
          <w:sz w:val="24"/>
          <w:highlight w:val="yellow"/>
        </w:rPr>
        <w:t xml:space="preserve"> </w:t>
      </w:r>
      <w:r>
        <w:rPr>
          <w:b/>
          <w:sz w:val="24"/>
          <w:highlight w:val="yellow"/>
        </w:rPr>
        <w:t>.</w:t>
      </w:r>
      <w:r>
        <w:rPr>
          <w:rFonts w:hint="eastAsia"/>
          <w:b/>
          <w:sz w:val="24"/>
          <w:highlight w:val="yellow"/>
        </w:rPr>
        <w:t>质疑与投诉</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18.1 投标人对招标活动事项有疑问的，可以向招标人提出询问。询问可以采取电话、电子 邮件、当面或书面等形式。对投标人的询问，招标人将依法及时作出答复，但答复的内容不涉 及商业秘密或者依法应当保密的内容。</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18.2投标人认为招标文件、招标过程或中标结果使自己的合法权益受到损害的，可以在知 道或者应知其权益受到损害之日起七个工作日内，以书面形式向招标人提出质疑。其中，对招标文件的质疑，应当在其收到招标文件之日（以政采云平台显示的报名时间为准）起七个工作日内提出；对招标过程的质疑，应当在各招标程序环节结束之日起七个工作日内提出；对中标结果的质疑，应当在中标公告期限届满之日起七个工作日内提出。投标人应当在法定质疑期内一次性提出针对同一采购程序环节的质疑，超过次数的质疑将不予受理。</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18.3投标人可以委托代理人进行质疑。代理人提出质疑应当提交投标人签署的授权委托书，并提供相应的身份证明。授权委托书应当载明代理人的姓名或者名称、代理事项、具体权限、期限和相关事项。投标人为自然人的，应当由本人签字；投标人为法人或者其他组织的， 应当由法定代表人、主要负责人签字或者盖章，并加盖公章。</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18.4 投标人提出质疑应当提交质疑函和必要的证明材料。</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质疑函应当包括下列内容：</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 xml:space="preserve">供应商的姓名或者名称、地址、邮编、联系人及联系电话； </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 xml:space="preserve">质疑项目的名称、编号； </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 xml:space="preserve">具体、明确的质疑事项和与质疑事项相关的请求； </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 xml:space="preserve">事实依据； </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 xml:space="preserve">必要的法律依据； </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提出质疑的日期。</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 xml:space="preserve"> 投标人为自然人的，应当由本人签字；投标人为法人或者其他组织的，应当由法定代表人、 主要负责人，或者其授权代表签字或者盖章，并加盖公章。 质疑函应当按照财政部制定的范本填写，范本格式可通过中国政府采购网（http:/ /www.ccgp.gov.cn）右侧的“下载专区”下载。</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18.5投标人提起询问和质疑，应当按照《政府采购质疑和投诉办法》（财政部令第 94 号） 质疑函或授权委托书的内容不符合《投标人须知》第18.3 条和第 18.4 条规定的，招标人将当场一次性告知投标人需要补正的事项，投标人超过法定质疑期未按要求补正并重新提交的，视为放弃质疑。</w:t>
      </w:r>
    </w:p>
    <w:p>
      <w:pPr>
        <w:tabs>
          <w:tab w:val="left" w:pos="630"/>
        </w:tabs>
        <w:spacing w:line="360" w:lineRule="auto"/>
        <w:ind w:firstLine="480" w:firstLineChars="200"/>
        <w:rPr>
          <w:rFonts w:ascii="宋体" w:cs="宋体"/>
          <w:b/>
          <w:bCs/>
          <w:color w:val="FF0000"/>
          <w:sz w:val="24"/>
          <w:szCs w:val="24"/>
        </w:rPr>
      </w:pPr>
      <w:r>
        <w:rPr>
          <w:rFonts w:hint="eastAsia" w:ascii="宋体" w:cs="宋体"/>
          <w:color w:val="000000"/>
          <w:sz w:val="24"/>
          <w:szCs w:val="24"/>
        </w:rPr>
        <w:t xml:space="preserve"> </w:t>
      </w:r>
      <w:r>
        <w:rPr>
          <w:rFonts w:hint="eastAsia" w:ascii="宋体" w:cs="宋体"/>
          <w:b/>
          <w:bCs/>
          <w:color w:val="000000"/>
          <w:sz w:val="24"/>
          <w:szCs w:val="24"/>
        </w:rPr>
        <w:t xml:space="preserve"> </w:t>
      </w:r>
      <w:r>
        <w:rPr>
          <w:rFonts w:hint="eastAsia" w:ascii="宋体" w:cs="宋体"/>
          <w:b/>
          <w:bCs/>
          <w:color w:val="FF0000"/>
          <w:sz w:val="24"/>
          <w:szCs w:val="24"/>
        </w:rPr>
        <w:t>质疑函的递交应当采取当面递交形式，否则视为未递交。质疑联系部门：吉林市丰满区政府采购中心，地址：吉林市大街76号丰满区政府2号楼203室，联系电话：64665869</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 xml:space="preserve"> 18.6招标人将在收到投标人的书面质疑后七个工作日内作出答复，并以书面形式通知提出 质疑的投标人和其他有关投标人，但答复的内容不涉及商业秘密或者依法应当保密的内容。 18.7对投标人询问或质疑的答复将导致招标文件变更或者影响招标活动继续进行的，招标 人将通知提出询问或质疑的投标人，并在原招标公告发布媒体上发布变更公告。</w:t>
      </w:r>
    </w:p>
    <w:p>
      <w:pPr>
        <w:rPr>
          <w:b/>
          <w:sz w:val="24"/>
        </w:rPr>
      </w:pPr>
      <w:r>
        <w:rPr>
          <w:rFonts w:hint="eastAsia"/>
          <w:b/>
          <w:sz w:val="24"/>
        </w:rPr>
        <w:t>19.合同变更处理说明</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若合同条款发生变更，应由购销双方签署书面合同修改书。</w:t>
      </w:r>
    </w:p>
    <w:p>
      <w:pPr>
        <w:rPr>
          <w:b/>
          <w:sz w:val="24"/>
        </w:rPr>
      </w:pPr>
      <w:r>
        <w:rPr>
          <w:rFonts w:hint="eastAsia"/>
          <w:b/>
          <w:sz w:val="24"/>
        </w:rPr>
        <w:t>20.中标方的责任和义务</w:t>
      </w:r>
    </w:p>
    <w:p>
      <w:pPr>
        <w:tabs>
          <w:tab w:val="left" w:pos="630"/>
        </w:tabs>
        <w:spacing w:line="360" w:lineRule="auto"/>
        <w:ind w:firstLine="240" w:firstLineChars="100"/>
        <w:rPr>
          <w:rFonts w:ascii="宋体" w:cs="宋体"/>
          <w:color w:val="000000"/>
          <w:sz w:val="24"/>
          <w:szCs w:val="24"/>
        </w:rPr>
      </w:pPr>
      <w:r>
        <w:rPr>
          <w:rFonts w:hint="eastAsia" w:ascii="宋体" w:cs="宋体"/>
          <w:color w:val="000000"/>
          <w:sz w:val="24"/>
          <w:szCs w:val="24"/>
        </w:rPr>
        <w:t>20.1中标方按合同约定的时间保质、保量、按指定地点提供安全、可靠的产品。</w:t>
      </w:r>
    </w:p>
    <w:p>
      <w:pPr>
        <w:tabs>
          <w:tab w:val="left" w:pos="630"/>
        </w:tabs>
        <w:spacing w:line="360" w:lineRule="auto"/>
        <w:ind w:firstLine="240" w:firstLineChars="100"/>
        <w:rPr>
          <w:rFonts w:ascii="宋体" w:cs="宋体"/>
          <w:color w:val="000000"/>
          <w:sz w:val="24"/>
          <w:szCs w:val="24"/>
        </w:rPr>
      </w:pPr>
      <w:r>
        <w:rPr>
          <w:rFonts w:hint="eastAsia" w:ascii="宋体" w:cs="宋体"/>
          <w:color w:val="000000"/>
          <w:sz w:val="24"/>
          <w:szCs w:val="24"/>
        </w:rPr>
        <w:t>20.2中标方在订货、运输过程中所发生的一切责任事故和纠纷，均属供货行为，责任自负。</w:t>
      </w:r>
    </w:p>
    <w:p>
      <w:pPr>
        <w:rPr>
          <w:b/>
          <w:sz w:val="24"/>
        </w:rPr>
      </w:pPr>
      <w:r>
        <w:rPr>
          <w:rFonts w:hint="eastAsia"/>
          <w:b/>
          <w:sz w:val="24"/>
        </w:rPr>
        <w:t>21.采购人的责任和义务</w:t>
      </w:r>
    </w:p>
    <w:p>
      <w:pPr>
        <w:tabs>
          <w:tab w:val="left" w:pos="630"/>
        </w:tabs>
        <w:spacing w:line="360" w:lineRule="auto"/>
        <w:ind w:firstLine="240" w:firstLineChars="100"/>
        <w:rPr>
          <w:rFonts w:ascii="宋体" w:cs="宋体"/>
          <w:color w:val="000000"/>
          <w:sz w:val="24"/>
          <w:szCs w:val="24"/>
        </w:rPr>
      </w:pPr>
      <w:r>
        <w:rPr>
          <w:rFonts w:hint="eastAsia" w:ascii="宋体" w:cs="宋体"/>
          <w:color w:val="000000"/>
          <w:sz w:val="24"/>
          <w:szCs w:val="24"/>
        </w:rPr>
        <w:t>22.1应及时对采购项目进行验收并签署验收报告意见。</w:t>
      </w:r>
    </w:p>
    <w:p>
      <w:pPr>
        <w:tabs>
          <w:tab w:val="left" w:pos="630"/>
        </w:tabs>
        <w:spacing w:line="360" w:lineRule="auto"/>
        <w:ind w:firstLine="240" w:firstLineChars="100"/>
        <w:rPr>
          <w:rFonts w:ascii="宋体" w:cs="宋体"/>
          <w:color w:val="000000"/>
          <w:sz w:val="24"/>
          <w:szCs w:val="24"/>
        </w:rPr>
      </w:pPr>
      <w:r>
        <w:rPr>
          <w:rFonts w:hint="eastAsia" w:ascii="宋体" w:cs="宋体"/>
          <w:color w:val="000000"/>
          <w:sz w:val="24"/>
          <w:szCs w:val="24"/>
        </w:rPr>
        <w:t>22.2不得借故刁难供应商，不得以种种借口抵制政府采购所提供的正常服务。</w:t>
      </w:r>
    </w:p>
    <w:p>
      <w:r>
        <w:rPr>
          <w:rFonts w:hint="eastAsia"/>
          <w:b/>
          <w:sz w:val="24"/>
        </w:rPr>
        <w:t>22.本招标文件自发出之日起生效。</w:t>
      </w:r>
    </w:p>
    <w:p>
      <w:pPr>
        <w:pStyle w:val="2"/>
        <w:ind w:firstLine="1325" w:firstLineChars="300"/>
        <w:rPr>
          <w:rFonts w:hint="eastAsia"/>
        </w:rPr>
      </w:pPr>
    </w:p>
    <w:p>
      <w:pPr>
        <w:pStyle w:val="2"/>
        <w:ind w:firstLine="1325" w:firstLineChars="300"/>
        <w:rPr>
          <w:rFonts w:hint="eastAsia"/>
        </w:rPr>
      </w:pPr>
    </w:p>
    <w:p>
      <w:pPr>
        <w:pStyle w:val="2"/>
        <w:ind w:firstLine="883" w:firstLineChars="200"/>
      </w:pPr>
      <w:bookmarkStart w:id="20" w:name="_Toc1477"/>
      <w:r>
        <w:rPr>
          <w:rFonts w:hint="eastAsia"/>
        </w:rPr>
        <w:t>第三章 评标办法（综合打分法）</w:t>
      </w:r>
      <w:bookmarkEnd w:id="20"/>
      <w:bookmarkStart w:id="21" w:name="_Toc86647705"/>
    </w:p>
    <w:p>
      <w:pPr>
        <w:pStyle w:val="3"/>
        <w:jc w:val="center"/>
      </w:pPr>
      <w:bookmarkStart w:id="22" w:name="_Toc851"/>
      <w:r>
        <w:rPr>
          <w:rFonts w:hint="eastAsia"/>
        </w:rPr>
        <w:t>一</w:t>
      </w:r>
      <w:r>
        <w:rPr>
          <w:rStyle w:val="31"/>
          <w:rFonts w:hint="eastAsia"/>
          <w:b/>
          <w:bCs/>
        </w:rPr>
        <w:t>、初步评审标准</w:t>
      </w:r>
      <w:bookmarkEnd w:id="21"/>
      <w:bookmarkEnd w:id="22"/>
    </w:p>
    <w:tbl>
      <w:tblPr>
        <w:tblStyle w:val="24"/>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01"/>
        <w:gridCol w:w="6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7" w:type="dxa"/>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jc w:val="center"/>
              <w:rPr>
                <w:b/>
                <w:sz w:val="24"/>
                <w:szCs w:val="24"/>
              </w:rPr>
            </w:pPr>
            <w:r>
              <w:rPr>
                <w:rFonts w:hint="eastAsia"/>
                <w:b/>
                <w:sz w:val="24"/>
                <w:szCs w:val="24"/>
              </w:rPr>
              <w:t>条款</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b/>
                <w:sz w:val="24"/>
                <w:szCs w:val="24"/>
              </w:rPr>
            </w:pPr>
            <w:r>
              <w:rPr>
                <w:rFonts w:hint="eastAsia"/>
                <w:b/>
                <w:sz w:val="24"/>
                <w:szCs w:val="24"/>
              </w:rPr>
              <w:t>评审因素</w:t>
            </w:r>
          </w:p>
        </w:tc>
        <w:tc>
          <w:tcPr>
            <w:tcW w:w="6038" w:type="dxa"/>
            <w:tcBorders>
              <w:top w:val="single" w:color="auto" w:sz="4" w:space="0"/>
              <w:left w:val="single" w:color="auto" w:sz="4" w:space="0"/>
              <w:bottom w:val="single" w:color="auto" w:sz="4" w:space="0"/>
              <w:right w:val="single" w:color="auto" w:sz="4" w:space="0"/>
            </w:tcBorders>
            <w:noWrap/>
            <w:vAlign w:val="center"/>
          </w:tcPr>
          <w:p>
            <w:pPr>
              <w:jc w:val="center"/>
              <w:rPr>
                <w:b/>
                <w:sz w:val="24"/>
                <w:szCs w:val="24"/>
              </w:rPr>
            </w:pPr>
            <w:r>
              <w:rPr>
                <w:rFonts w:hint="eastAsia"/>
                <w:b/>
                <w:sz w:val="24"/>
                <w:szCs w:val="24"/>
              </w:rPr>
              <w:t>评审合格标准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restart"/>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jc w:val="center"/>
              <w:rPr>
                <w:sz w:val="24"/>
                <w:szCs w:val="24"/>
              </w:rPr>
            </w:pPr>
          </w:p>
          <w:p>
            <w:pPr>
              <w:jc w:val="center"/>
              <w:rPr>
                <w:sz w:val="24"/>
                <w:szCs w:val="24"/>
              </w:rPr>
            </w:pPr>
            <w:r>
              <w:rPr>
                <w:sz w:val="24"/>
                <w:szCs w:val="24"/>
              </w:rPr>
              <w:t>资格评审查标准</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rFonts w:hint="eastAsia"/>
                <w:szCs w:val="21"/>
              </w:rPr>
              <w:t>投标人名称</w:t>
            </w:r>
          </w:p>
        </w:tc>
        <w:tc>
          <w:tcPr>
            <w:tcW w:w="6038" w:type="dxa"/>
            <w:tcBorders>
              <w:top w:val="single" w:color="auto" w:sz="4" w:space="0"/>
              <w:left w:val="single" w:color="auto" w:sz="4" w:space="0"/>
              <w:bottom w:val="single" w:color="auto" w:sz="4" w:space="0"/>
              <w:right w:val="single" w:color="auto" w:sz="4" w:space="0"/>
            </w:tcBorders>
            <w:noWrap/>
            <w:vAlign w:val="center"/>
          </w:tcPr>
          <w:p>
            <w:pPr>
              <w:rPr>
                <w:szCs w:val="21"/>
              </w:rPr>
            </w:pPr>
            <w:r>
              <w:rPr>
                <w:rFonts w:hint="eastAsia"/>
                <w:szCs w:val="21"/>
              </w:rPr>
              <w:t>与企业营业执照或相关部门颁发的设立证件文件相同。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szCs w:val="21"/>
              </w:rPr>
              <w:t>签字盖章</w:t>
            </w:r>
          </w:p>
        </w:tc>
        <w:tc>
          <w:tcPr>
            <w:tcW w:w="6038" w:type="dxa"/>
            <w:tcBorders>
              <w:top w:val="single" w:color="auto" w:sz="4" w:space="0"/>
              <w:left w:val="single" w:color="auto" w:sz="4" w:space="0"/>
              <w:bottom w:val="single" w:color="auto" w:sz="4" w:space="0"/>
              <w:right w:val="single" w:color="auto" w:sz="4" w:space="0"/>
            </w:tcBorders>
            <w:noWrap/>
            <w:vAlign w:val="center"/>
          </w:tcPr>
          <w:p>
            <w:pPr>
              <w:rPr>
                <w:szCs w:val="21"/>
              </w:rPr>
            </w:pPr>
            <w:r>
              <w:rPr>
                <w:rFonts w:hint="eastAsia"/>
                <w:szCs w:val="21"/>
              </w:rPr>
              <w:t>符合第二章“投标人须知前附表”第27项规定。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eastAsia="宋体"/>
                <w:szCs w:val="21"/>
                <w:lang w:val="en-US" w:eastAsia="zh-CN"/>
              </w:rPr>
            </w:pPr>
            <w:r>
              <w:rPr>
                <w:rFonts w:hint="eastAsia"/>
                <w:szCs w:val="21"/>
                <w:lang w:val="en-US" w:eastAsia="zh-CN"/>
              </w:rPr>
              <w:t>投标文件格式</w:t>
            </w:r>
          </w:p>
        </w:tc>
        <w:tc>
          <w:tcPr>
            <w:tcW w:w="6038" w:type="dxa"/>
            <w:tcBorders>
              <w:top w:val="single" w:color="auto" w:sz="4" w:space="0"/>
              <w:left w:val="single" w:color="auto" w:sz="4" w:space="0"/>
              <w:bottom w:val="single" w:color="auto" w:sz="4" w:space="0"/>
              <w:right w:val="single" w:color="auto" w:sz="4" w:space="0"/>
            </w:tcBorders>
            <w:noWrap/>
            <w:vAlign w:val="center"/>
          </w:tcPr>
          <w:p>
            <w:pPr>
              <w:rPr>
                <w:szCs w:val="21"/>
              </w:rPr>
            </w:pPr>
            <w:r>
              <w:rPr>
                <w:szCs w:val="21"/>
              </w:rPr>
              <w:t>符合</w:t>
            </w:r>
            <w:r>
              <w:rPr>
                <w:rFonts w:hint="eastAsia"/>
                <w:szCs w:val="21"/>
                <w:lang w:val="en-US" w:eastAsia="zh-CN"/>
              </w:rPr>
              <w:t>招标文件中投标文件格式的要求</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szCs w:val="21"/>
              </w:rPr>
              <w:t>报价唯一</w:t>
            </w:r>
          </w:p>
        </w:tc>
        <w:tc>
          <w:tcPr>
            <w:tcW w:w="6038" w:type="dxa"/>
            <w:tcBorders>
              <w:top w:val="single" w:color="auto" w:sz="4" w:space="0"/>
              <w:left w:val="single" w:color="auto" w:sz="4" w:space="0"/>
              <w:bottom w:val="single" w:color="auto" w:sz="4" w:space="0"/>
              <w:right w:val="single" w:color="auto" w:sz="4" w:space="0"/>
            </w:tcBorders>
            <w:noWrap/>
            <w:vAlign w:val="center"/>
          </w:tcPr>
          <w:p>
            <w:pPr>
              <w:rPr>
                <w:szCs w:val="21"/>
              </w:rPr>
            </w:pPr>
            <w:r>
              <w:rPr>
                <w:rFonts w:hint="eastAsia"/>
                <w:szCs w:val="21"/>
              </w:rPr>
              <w:t>报价唯一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szCs w:val="21"/>
              </w:rPr>
              <w:t>营业执照</w:t>
            </w:r>
          </w:p>
        </w:tc>
        <w:tc>
          <w:tcPr>
            <w:tcW w:w="6038" w:type="dxa"/>
            <w:tcBorders>
              <w:top w:val="single" w:color="auto" w:sz="4" w:space="0"/>
              <w:left w:val="single" w:color="auto" w:sz="4" w:space="0"/>
              <w:bottom w:val="single" w:color="auto" w:sz="4" w:space="0"/>
              <w:right w:val="single" w:color="auto" w:sz="4" w:space="0"/>
            </w:tcBorders>
            <w:noWrap/>
            <w:vAlign w:val="center"/>
          </w:tcPr>
          <w:p>
            <w:pPr>
              <w:rPr>
                <w:szCs w:val="21"/>
              </w:rPr>
            </w:pPr>
            <w:r>
              <w:rPr>
                <w:szCs w:val="21"/>
              </w:rPr>
              <w:t>具备有效的营业执照</w:t>
            </w:r>
            <w:r>
              <w:rPr>
                <w:rFonts w:hint="eastAsia"/>
                <w:szCs w:val="21"/>
              </w:rPr>
              <w:t>，且</w:t>
            </w:r>
            <w:r>
              <w:rPr>
                <w:rFonts w:hint="eastAsia" w:ascii="宋体"/>
              </w:rPr>
              <w:t>营业执照具备本次招标项目的经营范围。</w:t>
            </w:r>
            <w:r>
              <w:rPr>
                <w:rFonts w:hint="eastAsia"/>
                <w:szCs w:val="21"/>
              </w:rPr>
              <w:t>投标文件内附营业执照(副本)复印件加盖投标单位公章。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szCs w:val="21"/>
              </w:rPr>
              <w:t>财务状况</w:t>
            </w:r>
          </w:p>
        </w:tc>
        <w:tc>
          <w:tcPr>
            <w:tcW w:w="6038" w:type="dxa"/>
            <w:tcBorders>
              <w:top w:val="single" w:color="auto" w:sz="4" w:space="0"/>
              <w:left w:val="single" w:color="auto" w:sz="4" w:space="0"/>
              <w:bottom w:val="single" w:color="auto" w:sz="4" w:space="0"/>
              <w:right w:val="single" w:color="auto" w:sz="4" w:space="0"/>
            </w:tcBorders>
            <w:noWrap/>
            <w:vAlign w:val="center"/>
          </w:tcPr>
          <w:p>
            <w:pPr>
              <w:rPr>
                <w:szCs w:val="21"/>
              </w:rPr>
            </w:pPr>
            <w:r>
              <w:rPr>
                <w:szCs w:val="21"/>
              </w:rPr>
              <w:t>符合第二章“投标人须知</w:t>
            </w:r>
            <w:r>
              <w:rPr>
                <w:rFonts w:hint="eastAsia"/>
                <w:szCs w:val="21"/>
              </w:rPr>
              <w:t>前附表</w:t>
            </w:r>
            <w:r>
              <w:rPr>
                <w:szCs w:val="21"/>
              </w:rPr>
              <w:t>”第</w:t>
            </w:r>
            <w:r>
              <w:rPr>
                <w:rFonts w:hint="eastAsia"/>
                <w:szCs w:val="21"/>
              </w:rPr>
              <w:t>17项</w:t>
            </w:r>
            <w:r>
              <w:rPr>
                <w:szCs w:val="21"/>
              </w:rPr>
              <w:t>规定</w:t>
            </w:r>
            <w:r>
              <w:rPr>
                <w:rFonts w:hint="eastAsia"/>
                <w:szCs w:val="21"/>
              </w:rPr>
              <w:t>，复印件加盖投标单位公章附于投标文件内。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rFonts w:hint="eastAsia"/>
                <w:szCs w:val="21"/>
              </w:rPr>
              <w:t>商业</w:t>
            </w:r>
            <w:r>
              <w:rPr>
                <w:szCs w:val="21"/>
              </w:rPr>
              <w:t>信誉</w:t>
            </w:r>
            <w:r>
              <w:rPr>
                <w:rFonts w:hint="eastAsia"/>
                <w:szCs w:val="21"/>
              </w:rPr>
              <w:t>要求</w:t>
            </w:r>
          </w:p>
        </w:tc>
        <w:tc>
          <w:tcPr>
            <w:tcW w:w="6038" w:type="dxa"/>
            <w:tcBorders>
              <w:top w:val="single" w:color="auto" w:sz="4" w:space="0"/>
              <w:left w:val="single" w:color="auto" w:sz="4" w:space="0"/>
              <w:bottom w:val="single" w:color="auto" w:sz="4" w:space="0"/>
              <w:right w:val="single" w:color="auto" w:sz="4" w:space="0"/>
            </w:tcBorders>
            <w:noWrap/>
            <w:vAlign w:val="center"/>
          </w:tcPr>
          <w:p>
            <w:pPr>
              <w:rPr>
                <w:szCs w:val="21"/>
              </w:rPr>
            </w:pPr>
            <w:r>
              <w:rPr>
                <w:rFonts w:hint="eastAsia"/>
                <w:szCs w:val="21"/>
              </w:rPr>
              <w:t>“承诺书”</w:t>
            </w:r>
            <w:r>
              <w:rPr>
                <w:szCs w:val="21"/>
              </w:rPr>
              <w:t>符合第二章“投标人须知</w:t>
            </w:r>
            <w:r>
              <w:rPr>
                <w:rFonts w:hint="eastAsia"/>
                <w:szCs w:val="21"/>
              </w:rPr>
              <w:t>前附表</w:t>
            </w:r>
            <w:r>
              <w:rPr>
                <w:szCs w:val="21"/>
              </w:rPr>
              <w:t>”第</w:t>
            </w:r>
            <w:r>
              <w:rPr>
                <w:rFonts w:hint="eastAsia"/>
                <w:szCs w:val="21"/>
              </w:rPr>
              <w:t>15项</w:t>
            </w:r>
            <w:r>
              <w:rPr>
                <w:szCs w:val="21"/>
              </w:rPr>
              <w:t>规定</w:t>
            </w:r>
            <w:r>
              <w:rPr>
                <w:rFonts w:hint="eastAsia"/>
                <w:szCs w:val="21"/>
              </w:rPr>
              <w:t>，复印件加盖投标单位公章附于投标文件内。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hint="eastAsia"/>
                <w:szCs w:val="21"/>
              </w:rPr>
              <w:t>依法纳税和社会保障资金的良好记录</w:t>
            </w:r>
          </w:p>
        </w:tc>
        <w:tc>
          <w:tcPr>
            <w:tcW w:w="603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Cs w:val="21"/>
              </w:rPr>
            </w:pPr>
            <w:r>
              <w:rPr>
                <w:szCs w:val="21"/>
              </w:rPr>
              <w:t>符合第二章“投标人须知</w:t>
            </w:r>
            <w:r>
              <w:rPr>
                <w:rFonts w:hint="eastAsia"/>
                <w:szCs w:val="21"/>
              </w:rPr>
              <w:t>前附表</w:t>
            </w:r>
            <w:r>
              <w:rPr>
                <w:szCs w:val="21"/>
              </w:rPr>
              <w:t>”第</w:t>
            </w:r>
            <w:r>
              <w:rPr>
                <w:rFonts w:hint="eastAsia"/>
                <w:szCs w:val="21"/>
              </w:rPr>
              <w:t>18项</w:t>
            </w:r>
            <w:r>
              <w:rPr>
                <w:szCs w:val="21"/>
              </w:rPr>
              <w:t>规定</w:t>
            </w:r>
            <w:r>
              <w:rPr>
                <w:rFonts w:hint="eastAsia"/>
                <w:szCs w:val="21"/>
              </w:rPr>
              <w:t>，复印件加盖投标单位公章附于投标文件内。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rFonts w:hint="eastAsia"/>
                <w:szCs w:val="21"/>
              </w:rPr>
              <w:t>电梯资质</w:t>
            </w:r>
          </w:p>
        </w:tc>
        <w:tc>
          <w:tcPr>
            <w:tcW w:w="6038" w:type="dxa"/>
            <w:tcBorders>
              <w:top w:val="single" w:color="auto" w:sz="4" w:space="0"/>
              <w:left w:val="single" w:color="auto" w:sz="4" w:space="0"/>
              <w:bottom w:val="single" w:color="auto" w:sz="4" w:space="0"/>
              <w:right w:val="single" w:color="auto" w:sz="4" w:space="0"/>
            </w:tcBorders>
            <w:noWrap/>
            <w:vAlign w:val="center"/>
          </w:tcPr>
          <w:p>
            <w:pPr>
              <w:rPr>
                <w:szCs w:val="21"/>
              </w:rPr>
            </w:pPr>
            <w:r>
              <w:rPr>
                <w:rFonts w:hint="eastAsia" w:cs="宋体" w:asciiTheme="minorEastAsia" w:hAnsiTheme="minorEastAsia" w:eastAsiaTheme="minorEastAsia"/>
                <w:kern w:val="0"/>
                <w:szCs w:val="21"/>
              </w:rPr>
              <w:t>提供有效的《中华人民共和国特种设备安装改造维修许可证》（电梯）（安装、维修）C 级及以上资质（旧）：或具备电梯制造（含安装、修理）曳引驱动乘客电梯（含消防员电梯）B 级及以上资质、自动扶梯（新）资质。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tc>
        <w:tc>
          <w:tcPr>
            <w:tcW w:w="7739" w:type="dxa"/>
            <w:gridSpan w:val="2"/>
            <w:tcBorders>
              <w:top w:val="single" w:color="auto" w:sz="4" w:space="0"/>
              <w:left w:val="single" w:color="auto" w:sz="4" w:space="0"/>
              <w:bottom w:val="single" w:color="auto" w:sz="4" w:space="0"/>
              <w:right w:val="single" w:color="auto" w:sz="4" w:space="0"/>
            </w:tcBorders>
            <w:noWrap/>
            <w:vAlign w:val="center"/>
          </w:tcPr>
          <w:p>
            <w:pPr>
              <w:rPr>
                <w:szCs w:val="21"/>
              </w:rPr>
            </w:pPr>
            <w:r>
              <w:rPr>
                <w:rFonts w:hint="eastAsia"/>
                <w:szCs w:val="21"/>
              </w:rPr>
              <w:t>上述评审因素都合格为资格评审合格，有一项不合格为废标。评审结论为废标的评委人数超过半数则该投标文件为废标，不再进行下一步评审。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restart"/>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jc w:val="center"/>
              <w:rPr>
                <w:sz w:val="24"/>
                <w:szCs w:val="24"/>
              </w:rPr>
            </w:pPr>
            <w:r>
              <w:rPr>
                <w:rFonts w:hint="eastAsia"/>
                <w:sz w:val="24"/>
                <w:szCs w:val="24"/>
              </w:rPr>
              <w:t>符合</w:t>
            </w:r>
            <w:r>
              <w:rPr>
                <w:sz w:val="24"/>
                <w:szCs w:val="24"/>
              </w:rPr>
              <w:t>性评审标准</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szCs w:val="21"/>
              </w:rPr>
              <w:t>投标内容</w:t>
            </w:r>
          </w:p>
        </w:tc>
        <w:tc>
          <w:tcPr>
            <w:tcW w:w="6038" w:type="dxa"/>
            <w:tcBorders>
              <w:top w:val="single" w:color="auto" w:sz="4" w:space="0"/>
              <w:left w:val="single" w:color="auto" w:sz="4" w:space="0"/>
              <w:bottom w:val="single" w:color="auto" w:sz="4" w:space="0"/>
              <w:right w:val="single" w:color="auto" w:sz="4" w:space="0"/>
            </w:tcBorders>
            <w:noWrap/>
            <w:vAlign w:val="center"/>
          </w:tcPr>
          <w:p>
            <w:pPr>
              <w:rPr>
                <w:szCs w:val="21"/>
              </w:rPr>
            </w:pPr>
            <w:r>
              <w:rPr>
                <w:szCs w:val="21"/>
              </w:rPr>
              <w:t>符合第二章“投标人须知</w:t>
            </w:r>
            <w:r>
              <w:rPr>
                <w:rFonts w:hint="eastAsia"/>
                <w:szCs w:val="21"/>
              </w:rPr>
              <w:t>前附表</w:t>
            </w:r>
            <w:r>
              <w:rPr>
                <w:szCs w:val="21"/>
              </w:rPr>
              <w:t>”第</w:t>
            </w:r>
            <w:r>
              <w:rPr>
                <w:rFonts w:hint="eastAsia"/>
                <w:szCs w:val="21"/>
              </w:rPr>
              <w:t>8项</w:t>
            </w:r>
            <w:r>
              <w:rPr>
                <w:szCs w:val="21"/>
              </w:rPr>
              <w:t>规定</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rFonts w:hint="eastAsia"/>
                <w:szCs w:val="21"/>
              </w:rPr>
              <w:t>供货期</w:t>
            </w:r>
          </w:p>
        </w:tc>
        <w:tc>
          <w:tcPr>
            <w:tcW w:w="6038" w:type="dxa"/>
            <w:tcBorders>
              <w:top w:val="single" w:color="auto" w:sz="4" w:space="0"/>
              <w:left w:val="single" w:color="auto" w:sz="4" w:space="0"/>
              <w:bottom w:val="single" w:color="auto" w:sz="4" w:space="0"/>
              <w:right w:val="single" w:color="auto" w:sz="4" w:space="0"/>
            </w:tcBorders>
            <w:noWrap/>
            <w:vAlign w:val="center"/>
          </w:tcPr>
          <w:p>
            <w:pPr>
              <w:rPr>
                <w:szCs w:val="21"/>
              </w:rPr>
            </w:pPr>
            <w:r>
              <w:rPr>
                <w:szCs w:val="21"/>
              </w:rPr>
              <w:t>符合第二章“投标人须知</w:t>
            </w:r>
            <w:r>
              <w:rPr>
                <w:rFonts w:hint="eastAsia"/>
                <w:szCs w:val="21"/>
              </w:rPr>
              <w:t>前附表”第5项</w:t>
            </w:r>
            <w:r>
              <w:rPr>
                <w:szCs w:val="21"/>
              </w:rPr>
              <w:t>规定</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szCs w:val="21"/>
              </w:rPr>
              <w:t>质量</w:t>
            </w:r>
            <w:r>
              <w:rPr>
                <w:rFonts w:hint="eastAsia"/>
                <w:szCs w:val="21"/>
              </w:rPr>
              <w:t>要求</w:t>
            </w:r>
          </w:p>
        </w:tc>
        <w:tc>
          <w:tcPr>
            <w:tcW w:w="6038" w:type="dxa"/>
            <w:tcBorders>
              <w:top w:val="single" w:color="auto" w:sz="4" w:space="0"/>
              <w:left w:val="single" w:color="auto" w:sz="4" w:space="0"/>
              <w:bottom w:val="single" w:color="auto" w:sz="4" w:space="0"/>
              <w:right w:val="single" w:color="auto" w:sz="4" w:space="0"/>
            </w:tcBorders>
            <w:noWrap/>
            <w:vAlign w:val="center"/>
          </w:tcPr>
          <w:p>
            <w:pPr>
              <w:rPr>
                <w:szCs w:val="21"/>
              </w:rPr>
            </w:pPr>
            <w:r>
              <w:rPr>
                <w:szCs w:val="21"/>
              </w:rPr>
              <w:t>符合第二章“投标人须知</w:t>
            </w:r>
            <w:r>
              <w:rPr>
                <w:rFonts w:hint="eastAsia"/>
                <w:szCs w:val="21"/>
              </w:rPr>
              <w:t>前附表</w:t>
            </w:r>
            <w:r>
              <w:rPr>
                <w:szCs w:val="21"/>
              </w:rPr>
              <w:t>”第</w:t>
            </w:r>
            <w:r>
              <w:rPr>
                <w:rFonts w:hint="eastAsia"/>
                <w:szCs w:val="21"/>
              </w:rPr>
              <w:t>7项</w:t>
            </w:r>
            <w:r>
              <w:rPr>
                <w:szCs w:val="21"/>
              </w:rPr>
              <w:t>规定</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szCs w:val="21"/>
              </w:rPr>
              <w:t>投标有效期</w:t>
            </w:r>
          </w:p>
        </w:tc>
        <w:tc>
          <w:tcPr>
            <w:tcW w:w="6038" w:type="dxa"/>
            <w:tcBorders>
              <w:top w:val="single" w:color="auto" w:sz="4" w:space="0"/>
              <w:left w:val="single" w:color="auto" w:sz="4" w:space="0"/>
              <w:bottom w:val="single" w:color="auto" w:sz="4" w:space="0"/>
              <w:right w:val="single" w:color="auto" w:sz="4" w:space="0"/>
            </w:tcBorders>
            <w:noWrap/>
            <w:vAlign w:val="center"/>
          </w:tcPr>
          <w:p>
            <w:pPr>
              <w:rPr>
                <w:szCs w:val="21"/>
              </w:rPr>
            </w:pPr>
            <w:r>
              <w:rPr>
                <w:szCs w:val="21"/>
              </w:rPr>
              <w:t>符合第二章“投标人须知</w:t>
            </w:r>
            <w:r>
              <w:rPr>
                <w:rFonts w:hint="eastAsia"/>
                <w:szCs w:val="21"/>
              </w:rPr>
              <w:t>前附表</w:t>
            </w:r>
            <w:r>
              <w:rPr>
                <w:szCs w:val="21"/>
              </w:rPr>
              <w:t>”第</w:t>
            </w:r>
            <w:r>
              <w:rPr>
                <w:rFonts w:hint="eastAsia"/>
                <w:szCs w:val="21"/>
              </w:rPr>
              <w:t>11项</w:t>
            </w:r>
            <w:r>
              <w:rPr>
                <w:szCs w:val="21"/>
              </w:rPr>
              <w:t>规定</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rFonts w:hint="eastAsia"/>
                <w:szCs w:val="21"/>
              </w:rPr>
              <w:t>投标报价</w:t>
            </w:r>
          </w:p>
        </w:tc>
        <w:tc>
          <w:tcPr>
            <w:tcW w:w="6038" w:type="dxa"/>
            <w:tcBorders>
              <w:top w:val="single" w:color="auto" w:sz="4" w:space="0"/>
              <w:left w:val="single" w:color="auto" w:sz="4" w:space="0"/>
              <w:bottom w:val="single" w:color="auto" w:sz="4" w:space="0"/>
              <w:right w:val="single" w:color="auto" w:sz="4" w:space="0"/>
            </w:tcBorders>
            <w:noWrap/>
            <w:vAlign w:val="center"/>
          </w:tcPr>
          <w:p>
            <w:pPr>
              <w:rPr>
                <w:szCs w:val="21"/>
              </w:rPr>
            </w:pPr>
            <w:r>
              <w:rPr>
                <w:rFonts w:hint="eastAsia"/>
                <w:szCs w:val="21"/>
              </w:rPr>
              <w:t>与招标文件清单内容相符，无缺项及增项。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rFonts w:hint="eastAsia"/>
                <w:szCs w:val="21"/>
              </w:rPr>
              <w:t>技术标准和要求</w:t>
            </w:r>
          </w:p>
        </w:tc>
        <w:tc>
          <w:tcPr>
            <w:tcW w:w="6038" w:type="dxa"/>
            <w:tcBorders>
              <w:top w:val="single" w:color="auto" w:sz="4" w:space="0"/>
              <w:left w:val="single" w:color="auto" w:sz="4" w:space="0"/>
              <w:bottom w:val="single" w:color="auto" w:sz="4" w:space="0"/>
              <w:right w:val="single" w:color="auto" w:sz="4" w:space="0"/>
            </w:tcBorders>
            <w:noWrap/>
            <w:vAlign w:val="center"/>
          </w:tcPr>
          <w:p>
            <w:pPr>
              <w:rPr>
                <w:szCs w:val="21"/>
              </w:rPr>
            </w:pPr>
            <w:r>
              <w:rPr>
                <w:rFonts w:hint="eastAsia"/>
                <w:szCs w:val="21"/>
              </w:rPr>
              <w:t>符合招标文件第四章技术标准要求及规定。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tc>
        <w:tc>
          <w:tcPr>
            <w:tcW w:w="1701" w:type="dxa"/>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jc w:val="center"/>
              <w:rPr>
                <w:szCs w:val="21"/>
              </w:rPr>
            </w:pPr>
            <w:r>
              <w:rPr>
                <w:rFonts w:hint="eastAsia"/>
                <w:szCs w:val="21"/>
              </w:rPr>
              <w:t>投标价格</w:t>
            </w:r>
          </w:p>
        </w:tc>
        <w:tc>
          <w:tcPr>
            <w:tcW w:w="6038" w:type="dxa"/>
            <w:tcBorders>
              <w:top w:val="single" w:color="auto" w:sz="4" w:space="0"/>
              <w:left w:val="single" w:color="auto" w:sz="4" w:space="0"/>
              <w:bottom w:val="single" w:color="auto" w:sz="4" w:space="0"/>
              <w:right w:val="single" w:color="auto" w:sz="4" w:space="0"/>
            </w:tcBorders>
            <w:noWrap/>
            <w:vAlign w:val="center"/>
          </w:tcPr>
          <w:p>
            <w:pPr>
              <w:rPr>
                <w:szCs w:val="21"/>
              </w:rPr>
            </w:pPr>
            <w:r>
              <w:rPr>
                <w:rFonts w:hint="eastAsia"/>
                <w:szCs w:val="21"/>
              </w:rPr>
              <w:t>低于（含等于）第二章“投标人须知前附表”第4项载明的采购预算。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tc>
        <w:tc>
          <w:tcPr>
            <w:tcW w:w="7739" w:type="dxa"/>
            <w:gridSpan w:val="2"/>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rPr>
                <w:sz w:val="24"/>
                <w:szCs w:val="24"/>
              </w:rPr>
            </w:pPr>
            <w:r>
              <w:rPr>
                <w:rFonts w:hint="eastAsia"/>
                <w:szCs w:val="21"/>
              </w:rPr>
              <w:t>上述评审因素都合格为符合性评审合格，有一项不合格为废标。评审结论为废标的评委人数超过半数则该投标文件为废标，不再进行下一步评审。</w:t>
            </w:r>
          </w:p>
        </w:tc>
      </w:tr>
    </w:tbl>
    <w:p>
      <w:pPr>
        <w:pStyle w:val="3"/>
        <w:numPr>
          <w:ilvl w:val="0"/>
          <w:numId w:val="1"/>
        </w:numPr>
        <w:ind w:firstLine="2249" w:firstLineChars="700"/>
      </w:pPr>
      <w:bookmarkStart w:id="23" w:name="_Toc86647706"/>
      <w:bookmarkStart w:id="24" w:name="_Toc26910"/>
      <w:r>
        <w:rPr>
          <w:rFonts w:hint="eastAsia"/>
        </w:rPr>
        <w:t>详细评审标</w:t>
      </w:r>
      <w:bookmarkEnd w:id="23"/>
      <w:bookmarkEnd w:id="24"/>
    </w:p>
    <w:tbl>
      <w:tblPr>
        <w:tblStyle w:val="24"/>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641"/>
        <w:gridCol w:w="6188"/>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widowControl/>
              <w:adjustRightInd w:val="0"/>
              <w:snapToGrid w:val="0"/>
              <w:jc w:val="center"/>
              <w:rPr>
                <w:rFonts w:ascii="宋体" w:hAnsi="宋体" w:cs="宋体"/>
                <w:b/>
                <w:bCs/>
                <w:sz w:val="24"/>
              </w:rPr>
            </w:pPr>
            <w:r>
              <w:rPr>
                <w:rFonts w:hint="eastAsia" w:ascii="宋体" w:hAnsi="宋体" w:cs="宋体"/>
                <w:b/>
                <w:bCs/>
                <w:kern w:val="0"/>
                <w:sz w:val="24"/>
              </w:rPr>
              <w:t>序号</w:t>
            </w:r>
          </w:p>
        </w:tc>
        <w:tc>
          <w:tcPr>
            <w:tcW w:w="1641" w:type="dxa"/>
            <w:vAlign w:val="center"/>
          </w:tcPr>
          <w:p>
            <w:pPr>
              <w:widowControl/>
              <w:adjustRightInd w:val="0"/>
              <w:snapToGrid w:val="0"/>
              <w:jc w:val="center"/>
              <w:rPr>
                <w:rFonts w:ascii="宋体" w:hAnsi="宋体" w:cs="宋体"/>
                <w:b/>
                <w:bCs/>
                <w:sz w:val="24"/>
              </w:rPr>
            </w:pPr>
            <w:r>
              <w:rPr>
                <w:rFonts w:hint="eastAsia" w:ascii="宋体" w:hAnsi="宋体" w:cs="宋体"/>
                <w:b/>
                <w:bCs/>
                <w:kern w:val="0"/>
                <w:sz w:val="24"/>
              </w:rPr>
              <w:t>评审因素</w:t>
            </w:r>
          </w:p>
        </w:tc>
        <w:tc>
          <w:tcPr>
            <w:tcW w:w="6188" w:type="dxa"/>
            <w:vAlign w:val="center"/>
          </w:tcPr>
          <w:p>
            <w:pPr>
              <w:widowControl/>
              <w:adjustRightInd w:val="0"/>
              <w:snapToGrid w:val="0"/>
              <w:jc w:val="center"/>
              <w:rPr>
                <w:rFonts w:ascii="宋体" w:hAnsi="宋体" w:cs="宋体"/>
                <w:b/>
                <w:bCs/>
                <w:sz w:val="24"/>
              </w:rPr>
            </w:pPr>
            <w:r>
              <w:rPr>
                <w:rFonts w:hint="eastAsia" w:ascii="宋体" w:hAnsi="宋体" w:cs="宋体"/>
                <w:b/>
                <w:bCs/>
                <w:kern w:val="0"/>
                <w:sz w:val="24"/>
              </w:rPr>
              <w:t>评分标准</w:t>
            </w:r>
          </w:p>
        </w:tc>
        <w:tc>
          <w:tcPr>
            <w:tcW w:w="1050" w:type="dxa"/>
            <w:vAlign w:val="center"/>
          </w:tcPr>
          <w:p>
            <w:pPr>
              <w:widowControl/>
              <w:adjustRightInd w:val="0"/>
              <w:snapToGrid w:val="0"/>
              <w:jc w:val="center"/>
              <w:rPr>
                <w:rFonts w:ascii="宋体" w:hAnsi="宋体" w:cs="宋体"/>
                <w:b/>
                <w:bCs/>
                <w:sz w:val="24"/>
              </w:rPr>
            </w:pPr>
            <w:r>
              <w:rPr>
                <w:rFonts w:hint="eastAsia" w:ascii="宋体" w:hAnsi="宋体" w:cs="宋体"/>
                <w:b/>
                <w:bCs/>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9" w:type="dxa"/>
            <w:gridSpan w:val="4"/>
          </w:tcPr>
          <w:p>
            <w:pPr>
              <w:adjustRightInd w:val="0"/>
              <w:snapToGrid w:val="0"/>
              <w:rPr>
                <w:rFonts w:ascii="宋体" w:hAnsi="宋体" w:cs="宋体"/>
                <w:b/>
                <w:bCs/>
                <w:sz w:val="24"/>
              </w:rPr>
            </w:pPr>
            <w:r>
              <w:rPr>
                <w:rFonts w:hint="eastAsia" w:ascii="宋体" w:hAnsi="宋体" w:cs="宋体"/>
                <w:b/>
                <w:bCs/>
                <w:kern w:val="0"/>
                <w:sz w:val="24"/>
              </w:rPr>
              <w:t>（一）、价格评分（30分）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adjustRightInd w:val="0"/>
              <w:snapToGrid w:val="0"/>
              <w:jc w:val="center"/>
              <w:rPr>
                <w:rFonts w:ascii="宋体" w:hAnsi="宋体" w:cs="宋体"/>
                <w:b/>
                <w:bCs/>
                <w:sz w:val="24"/>
              </w:rPr>
            </w:pPr>
            <w:r>
              <w:rPr>
                <w:rFonts w:hint="eastAsia" w:ascii="宋体" w:hAnsi="宋体" w:cs="宋体"/>
                <w:sz w:val="24"/>
              </w:rPr>
              <w:t>1</w:t>
            </w:r>
          </w:p>
        </w:tc>
        <w:tc>
          <w:tcPr>
            <w:tcW w:w="1641" w:type="dxa"/>
            <w:vAlign w:val="center"/>
          </w:tcPr>
          <w:p>
            <w:pPr>
              <w:widowControl/>
              <w:adjustRightInd w:val="0"/>
              <w:snapToGrid w:val="0"/>
              <w:jc w:val="center"/>
              <w:rPr>
                <w:rFonts w:ascii="宋体" w:hAnsi="宋体" w:cs="宋体"/>
                <w:b/>
                <w:bCs/>
                <w:sz w:val="24"/>
              </w:rPr>
            </w:pPr>
            <w:r>
              <w:rPr>
                <w:rFonts w:hint="eastAsia" w:ascii="宋体" w:hAnsi="宋体" w:cs="宋体"/>
                <w:kern w:val="0"/>
                <w:sz w:val="24"/>
              </w:rPr>
              <w:t>投标报价</w:t>
            </w:r>
          </w:p>
        </w:tc>
        <w:tc>
          <w:tcPr>
            <w:tcW w:w="6188" w:type="dxa"/>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 xml:space="preserve">投标报价得分：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以按照招标文件规定初步评审合格投标人，修正后的投标价格 最低的投标报价为评标基准价。投标人的价格分按下述方式计算：（评标基准价/投标报价）×30</w:t>
            </w:r>
          </w:p>
          <w:p>
            <w:pPr>
              <w:widowControl/>
              <w:jc w:val="left"/>
              <w:rPr>
                <w:rFonts w:ascii="宋体" w:hAnsi="宋体" w:cs="宋体"/>
                <w:color w:val="000000"/>
                <w:kern w:val="0"/>
                <w:sz w:val="24"/>
                <w:lang w:bidi="ar"/>
              </w:rPr>
            </w:pPr>
            <w:r>
              <w:rPr>
                <w:rFonts w:hint="eastAsia" w:ascii="宋体" w:hAnsi="宋体" w:cs="宋体"/>
                <w:color w:val="000000"/>
                <w:kern w:val="0"/>
                <w:sz w:val="24"/>
                <w:lang w:val="en-US" w:eastAsia="zh-CN" w:bidi="ar"/>
              </w:rPr>
              <w:t>中</w:t>
            </w:r>
            <w:r>
              <w:rPr>
                <w:rFonts w:hint="eastAsia" w:ascii="宋体" w:hAnsi="宋体" w:cs="宋体"/>
                <w:color w:val="000000"/>
                <w:kern w:val="0"/>
                <w:sz w:val="24"/>
                <w:lang w:bidi="ar"/>
              </w:rPr>
              <w:t>小型和微型企业所报价格给予10%的扣除，用扣除后的价格参与评审。</w:t>
            </w:r>
          </w:p>
          <w:p>
            <w:pPr>
              <w:widowControl/>
              <w:adjustRightInd w:val="0"/>
              <w:snapToGrid w:val="0"/>
              <w:rPr>
                <w:rFonts w:ascii="宋体" w:hAnsi="宋体" w:cs="宋体"/>
                <w:b/>
                <w:bCs/>
                <w:sz w:val="24"/>
              </w:rPr>
            </w:pPr>
            <w:r>
              <w:rPr>
                <w:rFonts w:hint="eastAsia" w:ascii="宋体" w:hAnsi="宋体" w:cs="宋体"/>
                <w:color w:val="000000"/>
                <w:kern w:val="0"/>
                <w:sz w:val="24"/>
                <w:lang w:bidi="ar"/>
              </w:rPr>
              <w:t>注：本项目对</w:t>
            </w:r>
            <w:r>
              <w:rPr>
                <w:rFonts w:hint="eastAsia" w:ascii="宋体" w:hAnsi="宋体" w:cs="宋体"/>
                <w:color w:val="000000"/>
                <w:kern w:val="0"/>
                <w:sz w:val="24"/>
                <w:lang w:val="en-US" w:eastAsia="zh-CN" w:bidi="ar"/>
              </w:rPr>
              <w:t>中</w:t>
            </w:r>
            <w:r>
              <w:rPr>
                <w:rFonts w:hint="eastAsia" w:ascii="宋体" w:hAnsi="宋体" w:cs="宋体"/>
                <w:color w:val="000000"/>
                <w:kern w:val="0"/>
                <w:sz w:val="24"/>
                <w:lang w:bidi="ar"/>
              </w:rPr>
              <w:t>小型、微型企业（含监狱企业、残疾人福利企业）产品给予 10% 的价格扣除，用扣除后的价格参与评审(投标供应商须提供相关佐证材料证实自身及所投产品是中小企业(监狱企业、残疾人福利企业)生产，提供不全或未能提供相关证明的，不作价格扣除。</w:t>
            </w:r>
          </w:p>
        </w:tc>
        <w:tc>
          <w:tcPr>
            <w:tcW w:w="1050" w:type="dxa"/>
            <w:vAlign w:val="center"/>
          </w:tcPr>
          <w:p>
            <w:pPr>
              <w:widowControl/>
              <w:adjustRightInd w:val="0"/>
              <w:snapToGrid w:val="0"/>
              <w:jc w:val="center"/>
              <w:rPr>
                <w:rFonts w:ascii="宋体" w:hAnsi="宋体" w:cs="宋体"/>
                <w:sz w:val="24"/>
              </w:rPr>
            </w:pPr>
            <w:r>
              <w:rPr>
                <w:rFonts w:hint="eastAsia" w:ascii="宋体" w:hAnsi="宋体" w:cs="宋体"/>
                <w:kern w:val="0"/>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9" w:type="dxa"/>
            <w:gridSpan w:val="4"/>
          </w:tcPr>
          <w:p>
            <w:pPr>
              <w:widowControl/>
              <w:adjustRightInd w:val="0"/>
              <w:snapToGrid w:val="0"/>
              <w:jc w:val="left"/>
              <w:rPr>
                <w:rFonts w:ascii="宋体" w:hAnsi="宋体" w:cs="宋体"/>
                <w:b/>
                <w:bCs/>
                <w:sz w:val="24"/>
              </w:rPr>
            </w:pPr>
            <w:r>
              <w:rPr>
                <w:rFonts w:hint="eastAsia" w:ascii="宋体" w:hAnsi="宋体" w:cs="宋体"/>
                <w:b/>
                <w:bCs/>
                <w:kern w:val="0"/>
                <w:sz w:val="24"/>
              </w:rPr>
              <w:t>（二）、技术因素（30分）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50" w:type="dxa"/>
            <w:vAlign w:val="center"/>
          </w:tcPr>
          <w:p>
            <w:pPr>
              <w:adjustRightInd w:val="0"/>
              <w:snapToGrid w:val="0"/>
              <w:jc w:val="center"/>
              <w:rPr>
                <w:rFonts w:ascii="宋体" w:hAnsi="宋体" w:cs="宋体"/>
                <w:sz w:val="24"/>
              </w:rPr>
            </w:pPr>
            <w:r>
              <w:rPr>
                <w:rFonts w:hint="eastAsia" w:ascii="宋体" w:hAnsi="宋体" w:cs="宋体"/>
                <w:sz w:val="24"/>
              </w:rPr>
              <w:t>1</w:t>
            </w:r>
          </w:p>
        </w:tc>
        <w:tc>
          <w:tcPr>
            <w:tcW w:w="1641" w:type="dxa"/>
            <w:vAlign w:val="center"/>
          </w:tcPr>
          <w:p>
            <w:pPr>
              <w:pStyle w:val="8"/>
              <w:rPr>
                <w:rFonts w:ascii="宋体" w:hAnsi="宋体" w:cs="宋体"/>
                <w:color w:val="000000"/>
                <w:kern w:val="0"/>
                <w:sz w:val="24"/>
                <w:lang w:bidi="ar"/>
              </w:rPr>
            </w:pPr>
            <w:r>
              <w:rPr>
                <w:rFonts w:hint="eastAsia" w:ascii="宋体" w:hAnsi="宋体" w:cs="宋体"/>
                <w:sz w:val="24"/>
                <w:szCs w:val="24"/>
              </w:rPr>
              <w:t>投标产品 对采购文件采购需求响应程度</w:t>
            </w:r>
          </w:p>
        </w:tc>
        <w:tc>
          <w:tcPr>
            <w:tcW w:w="6188" w:type="dxa"/>
          </w:tcPr>
          <w:p>
            <w:pPr>
              <w:pStyle w:val="33"/>
              <w:adjustRightInd w:val="0"/>
              <w:snapToGrid w:val="0"/>
              <w:ind w:firstLine="0" w:firstLineChars="0"/>
              <w:rPr>
                <w:rFonts w:ascii="宋体" w:hAnsi="宋体" w:cs="宋体"/>
                <w:sz w:val="24"/>
              </w:rPr>
            </w:pPr>
            <w:r>
              <w:rPr>
                <w:rFonts w:hint="eastAsia" w:ascii="宋体" w:hAnsi="宋体" w:cs="宋体"/>
                <w:sz w:val="24"/>
                <w:szCs w:val="24"/>
              </w:rPr>
              <w:t>每项技术指标均为正偏离或无偏离的，技术分得满分30 分； 标</w:t>
            </w:r>
            <w:r>
              <w:rPr>
                <w:rFonts w:hint="eastAsia" w:ascii="宋体" w:hAnsi="宋体" w:cs="宋体"/>
                <w:szCs w:val="21"/>
              </w:rPr>
              <w:t>★</w:t>
            </w:r>
            <w:r>
              <w:rPr>
                <w:rFonts w:hint="eastAsia" w:ascii="宋体" w:hAnsi="宋体" w:cs="宋体"/>
                <w:sz w:val="24"/>
                <w:szCs w:val="24"/>
              </w:rPr>
              <w:t xml:space="preserve">号的技术指标为重要指标，每存在一项负偏离扣 </w:t>
            </w:r>
            <w:r>
              <w:rPr>
                <w:rFonts w:hint="eastAsia" w:ascii="宋体" w:hAnsi="宋体" w:cs="宋体"/>
                <w:sz w:val="24"/>
                <w:szCs w:val="24"/>
                <w:lang w:val="en-US" w:eastAsia="zh-CN"/>
              </w:rPr>
              <w:t>1.5</w:t>
            </w:r>
            <w:r>
              <w:rPr>
                <w:rFonts w:hint="eastAsia" w:ascii="宋体" w:hAnsi="宋体" w:cs="宋体"/>
                <w:sz w:val="24"/>
                <w:szCs w:val="24"/>
              </w:rPr>
              <w:t xml:space="preserve">分，技术分扣完为止。 （招标文件明确要求提供的证明材料缺失的，则对应技术指标认定为负偏离。） </w:t>
            </w:r>
          </w:p>
        </w:tc>
        <w:tc>
          <w:tcPr>
            <w:tcW w:w="1050" w:type="dxa"/>
            <w:vAlign w:val="center"/>
          </w:tcPr>
          <w:p>
            <w:pPr>
              <w:adjustRightInd w:val="0"/>
              <w:snapToGrid w:val="0"/>
              <w:jc w:val="center"/>
              <w:rPr>
                <w:rFonts w:ascii="宋体" w:hAnsi="宋体" w:cs="宋体"/>
                <w:sz w:val="24"/>
              </w:rPr>
            </w:pPr>
            <w:r>
              <w:rPr>
                <w:rFonts w:hint="eastAsia" w:ascii="宋体" w:hAnsi="宋体" w:cs="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29" w:type="dxa"/>
            <w:gridSpan w:val="4"/>
          </w:tcPr>
          <w:p>
            <w:pPr>
              <w:adjustRightInd w:val="0"/>
              <w:snapToGrid w:val="0"/>
              <w:rPr>
                <w:rFonts w:ascii="宋体" w:hAnsi="宋体" w:cs="宋体"/>
                <w:b/>
                <w:bCs/>
                <w:sz w:val="24"/>
              </w:rPr>
            </w:pPr>
            <w:r>
              <w:rPr>
                <w:rFonts w:hint="eastAsia" w:ascii="宋体" w:hAnsi="宋体" w:cs="宋体"/>
                <w:b/>
                <w:bCs/>
                <w:kern w:val="0"/>
                <w:sz w:val="24"/>
              </w:rPr>
              <w:t>三、商务因素（40分）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adjustRightInd w:val="0"/>
              <w:snapToGrid w:val="0"/>
              <w:jc w:val="center"/>
              <w:rPr>
                <w:rFonts w:ascii="宋体" w:hAnsi="宋体" w:cs="宋体"/>
                <w:sz w:val="24"/>
              </w:rPr>
            </w:pPr>
            <w:r>
              <w:rPr>
                <w:rFonts w:hint="eastAsia" w:ascii="宋体" w:hAnsi="宋体" w:cs="宋体"/>
                <w:sz w:val="24"/>
              </w:rPr>
              <w:t>1</w:t>
            </w:r>
          </w:p>
        </w:tc>
        <w:tc>
          <w:tcPr>
            <w:tcW w:w="1641" w:type="dxa"/>
            <w:vAlign w:val="center"/>
          </w:tcPr>
          <w:p>
            <w:pPr>
              <w:widowControl/>
              <w:adjustRightInd w:val="0"/>
              <w:snapToGrid w:val="0"/>
              <w:jc w:val="center"/>
              <w:rPr>
                <w:rFonts w:ascii="宋体" w:hAnsi="宋体" w:cs="宋体"/>
                <w:b/>
                <w:bCs/>
                <w:sz w:val="24"/>
              </w:rPr>
            </w:pPr>
            <w:r>
              <w:rPr>
                <w:rFonts w:hint="eastAsia" w:ascii="宋体" w:hAnsi="宋体" w:cs="宋体"/>
                <w:kern w:val="0"/>
                <w:sz w:val="24"/>
              </w:rPr>
              <w:t>业绩</w:t>
            </w:r>
          </w:p>
        </w:tc>
        <w:tc>
          <w:tcPr>
            <w:tcW w:w="6188" w:type="dxa"/>
          </w:tcPr>
          <w:p>
            <w:pPr>
              <w:widowControl/>
              <w:jc w:val="left"/>
              <w:rPr>
                <w:rFonts w:ascii="宋体" w:hAnsi="宋体" w:cs="宋体"/>
                <w:b/>
                <w:bCs/>
                <w:sz w:val="24"/>
              </w:rPr>
            </w:pPr>
            <w:r>
              <w:rPr>
                <w:rFonts w:hint="eastAsia" w:ascii="宋体" w:hAnsi="宋体" w:cs="宋体"/>
                <w:kern w:val="0"/>
                <w:sz w:val="24"/>
              </w:rPr>
              <w:t>综合考虑投标人过去 3 年（合同签订日期 2021 年 1 月 1 日起至今）投标人或投标品牌厂商的电梯销售（含安装）业绩。每提供一个得0.5分，本项目最多得</w:t>
            </w:r>
            <w:r>
              <w:rPr>
                <w:rFonts w:hint="eastAsia" w:ascii="宋体" w:hAnsi="宋体" w:cs="宋体"/>
                <w:kern w:val="0"/>
                <w:sz w:val="24"/>
                <w:lang w:val="en-US" w:eastAsia="zh-CN"/>
              </w:rPr>
              <w:t>3</w:t>
            </w:r>
            <w:r>
              <w:rPr>
                <w:rFonts w:hint="eastAsia" w:ascii="宋体" w:hAnsi="宋体" w:cs="宋体"/>
                <w:kern w:val="0"/>
                <w:sz w:val="24"/>
              </w:rPr>
              <w:t>分（需提供合同复印件，并加盖公章）。注：合同中需体现签约主体、签订时间、采购内容、甲乙双方盖章等合同要素，否则不予认可。</w:t>
            </w:r>
          </w:p>
        </w:tc>
        <w:tc>
          <w:tcPr>
            <w:tcW w:w="1050" w:type="dxa"/>
            <w:vAlign w:val="center"/>
          </w:tcPr>
          <w:p>
            <w:pPr>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Pr>
          <w:p>
            <w:pPr>
              <w:rPr>
                <w:rFonts w:ascii="宋体" w:hAnsi="宋体" w:cs="宋体"/>
                <w:sz w:val="24"/>
              </w:rPr>
            </w:pPr>
          </w:p>
          <w:p>
            <w:pPr>
              <w:ind w:firstLine="240" w:firstLineChars="100"/>
              <w:rPr>
                <w:rFonts w:ascii="宋体" w:hAnsi="宋体" w:cs="宋体"/>
              </w:rPr>
            </w:pPr>
            <w:r>
              <w:rPr>
                <w:rFonts w:hint="eastAsia" w:ascii="宋体" w:hAnsi="宋体" w:cs="宋体"/>
                <w:sz w:val="24"/>
              </w:rPr>
              <w:t>2</w:t>
            </w:r>
          </w:p>
        </w:tc>
        <w:tc>
          <w:tcPr>
            <w:tcW w:w="1641" w:type="dxa"/>
          </w:tcPr>
          <w:p>
            <w:pPr>
              <w:ind w:firstLine="240" w:firstLineChars="100"/>
              <w:rPr>
                <w:rFonts w:ascii="宋体" w:hAnsi="宋体" w:cs="宋体"/>
                <w:kern w:val="0"/>
                <w:sz w:val="24"/>
              </w:rPr>
            </w:pPr>
          </w:p>
          <w:p>
            <w:pPr>
              <w:ind w:firstLine="240" w:firstLineChars="100"/>
              <w:rPr>
                <w:rFonts w:ascii="宋体" w:hAnsi="宋体" w:cs="宋体"/>
                <w:kern w:val="0"/>
                <w:sz w:val="24"/>
              </w:rPr>
            </w:pPr>
            <w:r>
              <w:rPr>
                <w:rFonts w:hint="eastAsia" w:ascii="宋体" w:hAnsi="宋体" w:cs="宋体"/>
                <w:kern w:val="0"/>
                <w:sz w:val="24"/>
              </w:rPr>
              <w:t>售后增</w:t>
            </w:r>
          </w:p>
          <w:p>
            <w:pPr>
              <w:ind w:firstLine="240" w:firstLineChars="100"/>
              <w:rPr>
                <w:rFonts w:ascii="宋体" w:hAnsi="宋体" w:cs="宋体"/>
              </w:rPr>
            </w:pPr>
            <w:r>
              <w:rPr>
                <w:rFonts w:hint="eastAsia" w:ascii="宋体" w:hAnsi="宋体" w:cs="宋体"/>
                <w:kern w:val="0"/>
                <w:sz w:val="24"/>
              </w:rPr>
              <w:t>值服务</w:t>
            </w:r>
          </w:p>
        </w:tc>
        <w:tc>
          <w:tcPr>
            <w:tcW w:w="6188" w:type="dxa"/>
          </w:tcPr>
          <w:p>
            <w:pPr>
              <w:pStyle w:val="8"/>
              <w:rPr>
                <w:rFonts w:ascii="宋体" w:hAnsi="宋体" w:cs="宋体"/>
                <w:sz w:val="24"/>
              </w:rPr>
            </w:pPr>
            <w:r>
              <w:rPr>
                <w:rFonts w:hint="eastAsia" w:ascii="宋体" w:hAnsi="宋体" w:cs="宋体"/>
                <w:kern w:val="0"/>
                <w:sz w:val="24"/>
              </w:rPr>
              <w:t>在满足招标文件要求的免费质保期基础上，整机或主要部件及安全配置（范围见招标文件正文）质保期延长1年加0.5分，最高不超过2分</w:t>
            </w:r>
          </w:p>
        </w:tc>
        <w:tc>
          <w:tcPr>
            <w:tcW w:w="1050" w:type="dxa"/>
          </w:tcPr>
          <w:p>
            <w:pPr>
              <w:ind w:firstLine="240" w:firstLineChars="100"/>
              <w:rPr>
                <w:rFonts w:ascii="宋体" w:hAnsi="宋体" w:cs="宋体"/>
              </w:rPr>
            </w:pPr>
            <w:r>
              <w:rPr>
                <w:rFonts w:hint="eastAsia" w:ascii="宋体" w:hAnsi="宋体" w:cs="宋体"/>
                <w:kern w:val="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adjustRightInd w:val="0"/>
              <w:snapToGrid w:val="0"/>
              <w:jc w:val="center"/>
              <w:rPr>
                <w:rFonts w:ascii="宋体" w:hAnsi="宋体" w:cs="宋体"/>
                <w:sz w:val="24"/>
              </w:rPr>
            </w:pPr>
            <w:r>
              <w:rPr>
                <w:rFonts w:hint="eastAsia" w:ascii="宋体" w:hAnsi="宋体" w:cs="宋体"/>
                <w:sz w:val="24"/>
              </w:rPr>
              <w:t>3</w:t>
            </w:r>
          </w:p>
        </w:tc>
        <w:tc>
          <w:tcPr>
            <w:tcW w:w="1641" w:type="dxa"/>
            <w:vAlign w:val="center"/>
          </w:tcPr>
          <w:p>
            <w:pPr>
              <w:widowControl/>
              <w:jc w:val="center"/>
              <w:rPr>
                <w:rFonts w:hint="eastAsia" w:ascii="宋体" w:hAnsi="宋体" w:eastAsia="宋体" w:cs="宋体"/>
                <w:b/>
                <w:bCs/>
                <w:sz w:val="24"/>
                <w:lang w:val="en-US" w:eastAsia="zh-CN"/>
              </w:rPr>
            </w:pPr>
            <w:r>
              <w:rPr>
                <w:rFonts w:hint="eastAsia" w:ascii="宋体" w:hAnsi="宋体" w:cs="宋体"/>
                <w:color w:val="000000"/>
                <w:kern w:val="0"/>
                <w:sz w:val="24"/>
              </w:rPr>
              <w:t>售后服务</w:t>
            </w:r>
            <w:r>
              <w:rPr>
                <w:rFonts w:hint="eastAsia" w:ascii="宋体" w:hAnsi="宋体" w:cs="宋体"/>
                <w:color w:val="000000"/>
                <w:kern w:val="0"/>
                <w:sz w:val="24"/>
                <w:lang w:val="en-US" w:eastAsia="zh-CN"/>
              </w:rPr>
              <w:t>承诺</w:t>
            </w:r>
          </w:p>
        </w:tc>
        <w:tc>
          <w:tcPr>
            <w:tcW w:w="6188" w:type="dxa"/>
          </w:tcPr>
          <w:p>
            <w:pPr>
              <w:widowControl/>
              <w:jc w:val="left"/>
              <w:rPr>
                <w:rFonts w:ascii="宋体" w:hAnsi="宋体" w:cs="宋体"/>
              </w:rPr>
            </w:pPr>
            <w:r>
              <w:rPr>
                <w:rFonts w:hint="eastAsia" w:ascii="宋体" w:hAnsi="宋体" w:cs="宋体"/>
                <w:kern w:val="0"/>
                <w:sz w:val="24"/>
              </w:rPr>
              <w:t>针对</w:t>
            </w:r>
            <w:r>
              <w:rPr>
                <w:rFonts w:hint="eastAsia" w:ascii="宋体" w:hAnsi="宋体" w:cs="宋体"/>
                <w:kern w:val="0"/>
                <w:sz w:val="24"/>
                <w:lang w:val="en-US" w:eastAsia="zh-CN"/>
              </w:rPr>
              <w:t>第四章第四项</w:t>
            </w:r>
            <w:r>
              <w:rPr>
                <w:rFonts w:hint="eastAsia" w:ascii="宋体" w:hAnsi="宋体" w:eastAsia="宋体" w:cs="宋体"/>
                <w:kern w:val="0"/>
                <w:sz w:val="24"/>
                <w:highlight w:val="none"/>
              </w:rPr>
              <w:t>对供应商的售后（服务）要求</w:t>
            </w:r>
            <w:r>
              <w:rPr>
                <w:rFonts w:hint="eastAsia" w:ascii="宋体" w:hAnsi="宋体" w:eastAsia="宋体" w:cs="宋体"/>
                <w:kern w:val="0"/>
                <w:sz w:val="24"/>
                <w:highlight w:val="none"/>
                <w:lang w:eastAsia="zh-CN"/>
              </w:rPr>
              <w:t>，</w:t>
            </w:r>
            <w:r>
              <w:rPr>
                <w:rFonts w:hint="eastAsia" w:ascii="宋体" w:cs="宋体"/>
                <w:kern w:val="0"/>
                <w:sz w:val="24"/>
                <w:highlight w:val="none"/>
              </w:rPr>
              <w:t>提</w:t>
            </w:r>
            <w:r>
              <w:rPr>
                <w:rFonts w:hint="eastAsia" w:ascii="宋体" w:cs="宋体"/>
                <w:kern w:val="0"/>
                <w:sz w:val="24"/>
              </w:rPr>
              <w:t>供</w:t>
            </w:r>
            <w:r>
              <w:rPr>
                <w:rFonts w:hint="eastAsia" w:ascii="宋体" w:cs="宋体"/>
                <w:kern w:val="0"/>
                <w:sz w:val="24"/>
                <w:lang w:val="en-US" w:eastAsia="zh-CN"/>
              </w:rPr>
              <w:t>售后</w:t>
            </w:r>
            <w:r>
              <w:rPr>
                <w:rFonts w:hint="eastAsia" w:ascii="宋体" w:cs="宋体"/>
                <w:kern w:val="0"/>
                <w:sz w:val="24"/>
              </w:rPr>
              <w:t>服务承诺、产品质量承诺、违反质量承诺的处罚措施等内容进行综合评分。 1、各项承诺完善全面得</w:t>
            </w:r>
            <w:r>
              <w:rPr>
                <w:rFonts w:hint="eastAsia" w:ascii="宋体" w:cs="宋体"/>
                <w:kern w:val="0"/>
                <w:sz w:val="24"/>
                <w:lang w:val="en-US" w:eastAsia="zh-CN"/>
              </w:rPr>
              <w:t>12</w:t>
            </w:r>
            <w:r>
              <w:rPr>
                <w:rFonts w:hint="eastAsia" w:ascii="宋体" w:cs="宋体"/>
                <w:kern w:val="0"/>
                <w:sz w:val="24"/>
              </w:rPr>
              <w:t>分； 2、  各项承诺</w:t>
            </w:r>
            <w:r>
              <w:rPr>
                <w:rFonts w:hint="eastAsia" w:ascii="宋体" w:cs="宋体"/>
                <w:kern w:val="0"/>
                <w:sz w:val="24"/>
                <w:lang w:val="en-US" w:eastAsia="zh-CN"/>
              </w:rPr>
              <w:t>比较完</w:t>
            </w:r>
            <w:r>
              <w:rPr>
                <w:rFonts w:hint="eastAsia" w:ascii="宋体" w:cs="宋体"/>
                <w:kern w:val="0"/>
                <w:sz w:val="24"/>
              </w:rPr>
              <w:t>善</w:t>
            </w:r>
            <w:r>
              <w:rPr>
                <w:rFonts w:hint="eastAsia" w:ascii="宋体" w:cs="宋体"/>
                <w:kern w:val="0"/>
                <w:sz w:val="24"/>
                <w:lang w:val="en-US" w:eastAsia="zh-CN"/>
              </w:rPr>
              <w:t>且比较</w:t>
            </w:r>
            <w:r>
              <w:rPr>
                <w:rFonts w:hint="eastAsia" w:ascii="宋体" w:cs="宋体"/>
                <w:kern w:val="0"/>
                <w:sz w:val="24"/>
              </w:rPr>
              <w:t>全面得</w:t>
            </w:r>
            <w:r>
              <w:rPr>
                <w:rFonts w:hint="eastAsia" w:ascii="宋体" w:cs="宋体"/>
                <w:kern w:val="0"/>
                <w:sz w:val="24"/>
                <w:lang w:val="en-US" w:eastAsia="zh-CN"/>
              </w:rPr>
              <w:t>7分</w:t>
            </w:r>
            <w:r>
              <w:rPr>
                <w:rFonts w:hint="eastAsia" w:ascii="宋体" w:cs="宋体"/>
                <w:kern w:val="0"/>
                <w:sz w:val="24"/>
              </w:rPr>
              <w:t>； 3、各项承诺</w:t>
            </w:r>
            <w:r>
              <w:rPr>
                <w:rFonts w:hint="eastAsia" w:ascii="宋体" w:cs="宋体"/>
                <w:kern w:val="0"/>
                <w:sz w:val="24"/>
                <w:lang w:val="en-US" w:eastAsia="zh-CN"/>
              </w:rPr>
              <w:t>不完</w:t>
            </w:r>
            <w:r>
              <w:rPr>
                <w:rFonts w:hint="eastAsia" w:ascii="宋体" w:cs="宋体"/>
                <w:kern w:val="0"/>
                <w:sz w:val="24"/>
              </w:rPr>
              <w:t>善</w:t>
            </w:r>
            <w:r>
              <w:rPr>
                <w:rFonts w:hint="eastAsia" w:ascii="宋体" w:cs="宋体"/>
                <w:kern w:val="0"/>
                <w:sz w:val="24"/>
                <w:lang w:val="en-US" w:eastAsia="zh-CN"/>
              </w:rPr>
              <w:t>且不</w:t>
            </w:r>
            <w:r>
              <w:rPr>
                <w:rFonts w:hint="eastAsia" w:ascii="宋体" w:cs="宋体"/>
                <w:kern w:val="0"/>
                <w:sz w:val="24"/>
              </w:rPr>
              <w:t>全面得</w:t>
            </w:r>
            <w:r>
              <w:rPr>
                <w:rFonts w:hint="eastAsia" w:ascii="宋体" w:cs="宋体"/>
                <w:kern w:val="0"/>
                <w:sz w:val="24"/>
                <w:lang w:val="en-US" w:eastAsia="zh-CN"/>
              </w:rPr>
              <w:t>2分，</w:t>
            </w:r>
            <w:r>
              <w:rPr>
                <w:rFonts w:hint="eastAsia" w:ascii="宋体" w:cs="宋体"/>
                <w:kern w:val="0"/>
                <w:sz w:val="24"/>
              </w:rPr>
              <w:t>未提供者不得分</w:t>
            </w:r>
          </w:p>
        </w:tc>
        <w:tc>
          <w:tcPr>
            <w:tcW w:w="1050" w:type="dxa"/>
            <w:vAlign w:val="center"/>
          </w:tcPr>
          <w:p>
            <w:pPr>
              <w:jc w:val="center"/>
              <w:rPr>
                <w:rFonts w:ascii="宋体" w:hAnsi="宋体" w:cs="宋体"/>
                <w:sz w:val="24"/>
              </w:rPr>
            </w:pPr>
            <w:r>
              <w:rPr>
                <w:rFonts w:hint="eastAsia" w:ascii="宋体" w:hAnsi="宋体" w:cs="宋体"/>
                <w:sz w:val="24"/>
                <w:bdr w:val="single" w:color="FFFFFF" w:sz="4" w:space="0"/>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adjustRightInd w:val="0"/>
              <w:snapToGrid w:val="0"/>
              <w:jc w:val="center"/>
              <w:rPr>
                <w:rFonts w:ascii="宋体" w:hAnsi="宋体" w:cs="宋体"/>
                <w:sz w:val="24"/>
              </w:rPr>
            </w:pPr>
            <w:r>
              <w:rPr>
                <w:rFonts w:hint="eastAsia" w:ascii="宋体" w:hAnsi="宋体" w:cs="宋体"/>
                <w:sz w:val="24"/>
              </w:rPr>
              <w:t>4</w:t>
            </w:r>
          </w:p>
        </w:tc>
        <w:tc>
          <w:tcPr>
            <w:tcW w:w="1641" w:type="dxa"/>
            <w:vAlign w:val="center"/>
          </w:tcPr>
          <w:p>
            <w:pPr>
              <w:widowControl/>
              <w:jc w:val="center"/>
              <w:rPr>
                <w:rFonts w:ascii="宋体" w:hAnsi="宋体" w:cs="宋体"/>
                <w:color w:val="000000"/>
                <w:kern w:val="0"/>
                <w:sz w:val="24"/>
              </w:rPr>
            </w:pPr>
            <w:r>
              <w:rPr>
                <w:rFonts w:hint="eastAsia" w:ascii="宋体" w:hAnsi="宋体" w:cs="宋体"/>
                <w:color w:val="000000"/>
                <w:sz w:val="24"/>
                <w:szCs w:val="24"/>
              </w:rPr>
              <w:t xml:space="preserve">项目实施方案 </w:t>
            </w:r>
          </w:p>
        </w:tc>
        <w:tc>
          <w:tcPr>
            <w:tcW w:w="6188" w:type="dxa"/>
          </w:tcPr>
          <w:p>
            <w:pPr>
              <w:jc w:val="left"/>
              <w:rPr>
                <w:rFonts w:ascii="宋体" w:hAnsi="宋体" w:cs="宋体"/>
                <w:kern w:val="0"/>
                <w:sz w:val="24"/>
              </w:rPr>
            </w:pPr>
            <w:r>
              <w:rPr>
                <w:rFonts w:hint="eastAsia" w:ascii="宋体" w:hAnsi="宋体" w:cs="宋体"/>
                <w:kern w:val="0"/>
                <w:sz w:val="24"/>
              </w:rPr>
              <w:t>结合采购人采购需求，投标人需提供完整的项目实施方案。包括但不限制于</w:t>
            </w:r>
          </w:p>
          <w:p>
            <w:pPr>
              <w:ind w:firstLine="240" w:firstLineChars="100"/>
              <w:jc w:val="left"/>
              <w:rPr>
                <w:rFonts w:ascii="宋体" w:hAnsi="宋体" w:cs="宋体"/>
                <w:kern w:val="0"/>
                <w:sz w:val="24"/>
              </w:rPr>
            </w:pPr>
            <w:r>
              <w:rPr>
                <w:rFonts w:hint="eastAsia" w:ascii="宋体" w:hAnsi="宋体" w:cs="宋体"/>
                <w:kern w:val="0"/>
                <w:sz w:val="24"/>
              </w:rPr>
              <w:t>1.项目管理方案：项目组织结构，管理流程和监控机制</w:t>
            </w:r>
          </w:p>
          <w:p>
            <w:pPr>
              <w:ind w:firstLine="240" w:firstLineChars="100"/>
              <w:jc w:val="left"/>
              <w:rPr>
                <w:rFonts w:ascii="宋体" w:hAnsi="宋体" w:cs="宋体"/>
                <w:kern w:val="0"/>
                <w:sz w:val="24"/>
              </w:rPr>
            </w:pPr>
            <w:r>
              <w:rPr>
                <w:rFonts w:hint="eastAsia" w:ascii="宋体" w:hAnsi="宋体" w:cs="宋体"/>
                <w:kern w:val="0"/>
                <w:sz w:val="24"/>
              </w:rPr>
              <w:t>2.施工方案：施工进度安排，关键节点控制等</w:t>
            </w:r>
          </w:p>
          <w:p>
            <w:pPr>
              <w:ind w:firstLine="240" w:firstLineChars="100"/>
              <w:jc w:val="left"/>
              <w:rPr>
                <w:rFonts w:ascii="宋体" w:hAnsi="宋体" w:cs="宋体"/>
                <w:kern w:val="0"/>
                <w:sz w:val="24"/>
              </w:rPr>
            </w:pPr>
            <w:r>
              <w:rPr>
                <w:rFonts w:hint="eastAsia" w:ascii="宋体" w:hAnsi="宋体" w:cs="宋体"/>
                <w:kern w:val="0"/>
                <w:sz w:val="24"/>
              </w:rPr>
              <w:t>3.质量保证措施：质量管理体系，检验和测试计划等</w:t>
            </w:r>
          </w:p>
          <w:p>
            <w:pPr>
              <w:ind w:firstLine="240" w:firstLineChars="100"/>
              <w:jc w:val="left"/>
              <w:rPr>
                <w:rFonts w:ascii="宋体" w:hAnsi="宋体" w:cs="宋体"/>
                <w:kern w:val="0"/>
                <w:sz w:val="24"/>
              </w:rPr>
            </w:pPr>
            <w:r>
              <w:rPr>
                <w:rFonts w:hint="eastAsia" w:ascii="宋体" w:hAnsi="宋体" w:cs="宋体"/>
                <w:kern w:val="0"/>
                <w:sz w:val="24"/>
              </w:rPr>
              <w:t>4.安全保障措施：安全培训，防护设备，保险等</w:t>
            </w:r>
          </w:p>
          <w:p>
            <w:pPr>
              <w:ind w:firstLine="240" w:firstLineChars="100"/>
              <w:jc w:val="left"/>
              <w:rPr>
                <w:rFonts w:ascii="宋体" w:hAnsi="宋体" w:cs="宋体"/>
                <w:kern w:val="0"/>
                <w:sz w:val="24"/>
              </w:rPr>
            </w:pPr>
            <w:r>
              <w:rPr>
                <w:rFonts w:hint="eastAsia" w:ascii="宋体" w:hAnsi="宋体" w:cs="宋体"/>
                <w:kern w:val="0"/>
                <w:sz w:val="24"/>
              </w:rPr>
              <w:t>5.应急援助预案：组织构架、响应流程、处理措施、预防措施、应急保障、培训演练等</w:t>
            </w:r>
          </w:p>
          <w:p>
            <w:pPr>
              <w:ind w:firstLine="240" w:firstLineChars="100"/>
              <w:jc w:val="left"/>
              <w:rPr>
                <w:rFonts w:ascii="宋体" w:hAnsi="宋体" w:cs="宋体"/>
                <w:kern w:val="0"/>
                <w:sz w:val="24"/>
              </w:rPr>
            </w:pPr>
            <w:r>
              <w:rPr>
                <w:rFonts w:hint="eastAsia" w:ascii="宋体" w:hAnsi="宋体" w:cs="宋体"/>
                <w:kern w:val="0"/>
                <w:sz w:val="24"/>
              </w:rPr>
              <w:t>6.团队资质和经验：团队成员数量、资质、从业年限等</w:t>
            </w:r>
          </w:p>
          <w:p>
            <w:pPr>
              <w:ind w:firstLine="240" w:firstLineChars="100"/>
              <w:jc w:val="left"/>
              <w:rPr>
                <w:rFonts w:ascii="宋体" w:hAnsi="宋体" w:cs="宋体"/>
                <w:kern w:val="0"/>
                <w:sz w:val="24"/>
              </w:rPr>
            </w:pPr>
            <w:r>
              <w:rPr>
                <w:rFonts w:hint="eastAsia" w:ascii="宋体" w:hAnsi="宋体" w:cs="宋体"/>
                <w:kern w:val="0"/>
                <w:sz w:val="24"/>
              </w:rPr>
              <w:t>7.交货期和安装周期：满足项目进度要求的能力等</w:t>
            </w:r>
          </w:p>
          <w:p>
            <w:pPr>
              <w:ind w:firstLine="240" w:firstLineChars="100"/>
              <w:jc w:val="left"/>
              <w:rPr>
                <w:rFonts w:ascii="宋体" w:hAnsi="宋体" w:cs="宋体"/>
                <w:kern w:val="0"/>
                <w:sz w:val="24"/>
              </w:rPr>
            </w:pPr>
            <w:r>
              <w:rPr>
                <w:rFonts w:hint="eastAsia" w:ascii="宋体" w:hAnsi="宋体" w:cs="宋体"/>
                <w:kern w:val="0"/>
                <w:sz w:val="24"/>
              </w:rPr>
              <w:t>8.培训计划方案：针对用户和运维人员的培训安排</w:t>
            </w:r>
          </w:p>
          <w:p>
            <w:pPr>
              <w:ind w:firstLine="240" w:firstLineChars="100"/>
              <w:jc w:val="left"/>
              <w:rPr>
                <w:rFonts w:ascii="宋体" w:hAnsi="宋体" w:cs="宋体"/>
                <w:kern w:val="0"/>
                <w:sz w:val="24"/>
              </w:rPr>
            </w:pPr>
            <w:r>
              <w:rPr>
                <w:rFonts w:hint="eastAsia" w:ascii="宋体" w:hAnsi="宋体" w:cs="宋体"/>
                <w:kern w:val="0"/>
                <w:sz w:val="24"/>
              </w:rPr>
              <w:t>9.项目验收方案：验收程序和标准等</w:t>
            </w:r>
          </w:p>
          <w:p>
            <w:pPr>
              <w:ind w:firstLine="240" w:firstLineChars="100"/>
              <w:jc w:val="left"/>
              <w:rPr>
                <w:rFonts w:ascii="宋体" w:hAnsi="宋体" w:cs="宋体"/>
                <w:kern w:val="0"/>
                <w:sz w:val="24"/>
              </w:rPr>
            </w:pPr>
            <w:r>
              <w:rPr>
                <w:rFonts w:hint="eastAsia" w:ascii="宋体" w:hAnsi="宋体" w:cs="宋体"/>
                <w:kern w:val="0"/>
                <w:sz w:val="24"/>
              </w:rPr>
              <w:t>10文档管理方案：项目文档编制、整理和归档等</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对上述10项内容均进行具体阐述且内容的详实具有可行性的，每项各得2分，满分得 20分；</w:t>
            </w:r>
          </w:p>
          <w:p>
            <w:pPr>
              <w:widowControl/>
              <w:jc w:val="left"/>
              <w:rPr>
                <w:rFonts w:ascii="宋体" w:hAnsi="宋体" w:cs="宋体"/>
                <w:kern w:val="0"/>
                <w:sz w:val="24"/>
              </w:rPr>
            </w:pPr>
            <w:r>
              <w:rPr>
                <w:rFonts w:hint="eastAsia" w:ascii="宋体" w:hAnsi="宋体" w:cs="宋体"/>
                <w:kern w:val="0"/>
                <w:sz w:val="24"/>
              </w:rPr>
              <w:t>每有一项内容虽进行阐述，缺少具体描述且可行性不高的，上述每项得1分；</w:t>
            </w:r>
          </w:p>
          <w:p>
            <w:pPr>
              <w:jc w:val="left"/>
              <w:rPr>
                <w:rFonts w:ascii="宋体" w:hAnsi="宋体" w:cs="宋体"/>
                <w:color w:val="000000"/>
                <w:kern w:val="0"/>
                <w:sz w:val="24"/>
              </w:rPr>
            </w:pPr>
            <w:r>
              <w:rPr>
                <w:rFonts w:hint="eastAsia" w:ascii="宋体" w:hAnsi="宋体" w:cs="宋体"/>
                <w:color w:val="000000"/>
                <w:kern w:val="0"/>
                <w:sz w:val="24"/>
              </w:rPr>
              <w:t>没有按照上述10项提供项目实施方案的不得分。</w:t>
            </w:r>
          </w:p>
        </w:tc>
        <w:tc>
          <w:tcPr>
            <w:tcW w:w="1050" w:type="dxa"/>
            <w:vAlign w:val="center"/>
          </w:tcPr>
          <w:p>
            <w:pPr>
              <w:jc w:val="center"/>
              <w:rPr>
                <w:rFonts w:ascii="宋体" w:hAnsi="宋体" w:cs="宋体"/>
                <w:sz w:val="24"/>
              </w:rPr>
            </w:pPr>
            <w:r>
              <w:rPr>
                <w:rFonts w:hint="eastAsia" w:ascii="宋体" w:hAnsi="宋体" w:cs="宋体"/>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adjustRightInd w:val="0"/>
              <w:snapToGrid w:val="0"/>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641" w:type="dxa"/>
            <w:vAlign w:val="center"/>
          </w:tcPr>
          <w:p>
            <w:pPr>
              <w:widowControl/>
              <w:jc w:val="center"/>
              <w:rPr>
                <w:rFonts w:ascii="宋体" w:hAnsi="宋体" w:cs="宋体"/>
                <w:sz w:val="24"/>
                <w:szCs w:val="24"/>
              </w:rPr>
            </w:pPr>
            <w:r>
              <w:rPr>
                <w:rFonts w:hint="eastAsia" w:ascii="宋体" w:hAnsi="宋体" w:cs="宋体"/>
                <w:sz w:val="24"/>
                <w:szCs w:val="24"/>
              </w:rPr>
              <w:t>节能环保</w:t>
            </w:r>
          </w:p>
        </w:tc>
        <w:tc>
          <w:tcPr>
            <w:tcW w:w="6188" w:type="dxa"/>
          </w:tcPr>
          <w:p>
            <w:pPr>
              <w:jc w:val="left"/>
              <w:rPr>
                <w:rFonts w:ascii="宋体" w:hAnsi="宋体" w:cs="宋体"/>
                <w:kern w:val="0"/>
                <w:sz w:val="24"/>
              </w:rPr>
            </w:pPr>
            <w:r>
              <w:rPr>
                <w:rFonts w:hint="eastAsia" w:ascii="宋体" w:hAnsi="宋体" w:cs="宋体"/>
                <w:kern w:val="0"/>
                <w:sz w:val="24"/>
              </w:rPr>
              <w:t>对投标产品属于“</w:t>
            </w:r>
            <w:r>
              <w:rPr>
                <w:rFonts w:ascii="宋体" w:hAnsi="宋体" w:eastAsia="宋体" w:cs="宋体"/>
                <w:spacing w:val="-19"/>
                <w:sz w:val="22"/>
                <w:szCs w:val="22"/>
              </w:rPr>
              <w:t>节能产品政府采购品目清单</w:t>
            </w:r>
            <w:r>
              <w:rPr>
                <w:rFonts w:hint="eastAsia" w:ascii="宋体" w:hAnsi="宋体" w:cs="宋体"/>
                <w:kern w:val="0"/>
                <w:sz w:val="24"/>
              </w:rPr>
              <w:t>”或“</w:t>
            </w:r>
            <w:r>
              <w:rPr>
                <w:rFonts w:hint="eastAsia" w:ascii="宋体" w:hAnsi="宋体" w:cs="宋体"/>
                <w:kern w:val="0"/>
                <w:sz w:val="24"/>
                <w:lang w:val="en-US" w:eastAsia="zh-CN"/>
              </w:rPr>
              <w:t>环境标志产品政府采购品目清单</w:t>
            </w:r>
            <w:r>
              <w:rPr>
                <w:rFonts w:hint="eastAsia" w:ascii="宋体" w:hAnsi="宋体" w:cs="宋体"/>
                <w:kern w:val="0"/>
                <w:sz w:val="24"/>
              </w:rPr>
              <w:t>”有效期内中的产品（强制采购产品除外），提供“国家节能产品认证证书”或“中国环境标志产品认证证书”每一项加 1 分；如投标产品同时属于“节能产品清单”和“环保产品清单”两个清单中产品的，每一项加 1分，最高不得超过 2分。</w:t>
            </w:r>
          </w:p>
        </w:tc>
        <w:tc>
          <w:tcPr>
            <w:tcW w:w="1050" w:type="dxa"/>
            <w:vAlign w:val="center"/>
          </w:tcPr>
          <w:p>
            <w:pPr>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分</w:t>
            </w:r>
          </w:p>
        </w:tc>
      </w:tr>
    </w:tbl>
    <w:p>
      <w:pPr>
        <w:jc w:val="left"/>
        <w:rPr>
          <w:rFonts w:ascii="宋体" w:hAnsi="宋体" w:cs="宋体"/>
        </w:rPr>
      </w:pPr>
    </w:p>
    <w:p/>
    <w:p>
      <w:pPr>
        <w:pStyle w:val="23"/>
      </w:pPr>
    </w:p>
    <w:p/>
    <w:p/>
    <w:p/>
    <w:p/>
    <w:p>
      <w:pPr>
        <w:pStyle w:val="3"/>
        <w:jc w:val="center"/>
      </w:pPr>
      <w:bookmarkStart w:id="25" w:name="_Toc74647015"/>
      <w:bookmarkStart w:id="26" w:name="_Toc471726704"/>
      <w:bookmarkStart w:id="27" w:name="_Toc86647707"/>
      <w:bookmarkStart w:id="28" w:name="_Toc32458"/>
      <w:r>
        <w:rPr>
          <w:rFonts w:hint="eastAsia"/>
        </w:rPr>
        <w:t>三、评标办法正文</w:t>
      </w:r>
      <w:bookmarkEnd w:id="25"/>
      <w:bookmarkEnd w:id="26"/>
      <w:bookmarkEnd w:id="27"/>
      <w:bookmarkEnd w:id="28"/>
    </w:p>
    <w:p>
      <w:pPr>
        <w:spacing w:line="360" w:lineRule="auto"/>
        <w:ind w:firstLine="482" w:firstLineChars="200"/>
        <w:rPr>
          <w:b/>
          <w:sz w:val="24"/>
          <w:szCs w:val="24"/>
        </w:rPr>
      </w:pPr>
      <w:r>
        <w:rPr>
          <w:rFonts w:hint="eastAsia"/>
          <w:b/>
          <w:sz w:val="24"/>
          <w:szCs w:val="24"/>
        </w:rPr>
        <w:t>1.评标方法</w:t>
      </w:r>
    </w:p>
    <w:p>
      <w:pPr>
        <w:spacing w:line="360" w:lineRule="auto"/>
        <w:ind w:firstLine="480" w:firstLineChars="200"/>
        <w:rPr>
          <w:sz w:val="24"/>
          <w:szCs w:val="24"/>
        </w:rPr>
      </w:pPr>
      <w:r>
        <w:rPr>
          <w:rFonts w:hint="eastAsia"/>
          <w:sz w:val="24"/>
          <w:szCs w:val="24"/>
        </w:rPr>
        <w:t>本次评标采用综合打分法。评标委员会对满足招标文件实质要求的投标文件，根据本章规定的量化因素及量化标准进行综合评审赋分，按照综合打分由高至低的原则推荐中标候选人。综合评分相等时，以投标报价低的优先；投标报价也相等的，以技术参数、企业实力、其他因素逐项对比以各项分数高者优先。如各项分数都相等时，由随机方式确定。</w:t>
      </w:r>
    </w:p>
    <w:p>
      <w:pPr>
        <w:spacing w:line="360" w:lineRule="auto"/>
        <w:ind w:firstLine="482" w:firstLineChars="200"/>
        <w:rPr>
          <w:b/>
          <w:sz w:val="24"/>
          <w:szCs w:val="24"/>
        </w:rPr>
      </w:pPr>
      <w:r>
        <w:rPr>
          <w:rFonts w:hint="eastAsia"/>
          <w:b/>
          <w:sz w:val="24"/>
          <w:szCs w:val="24"/>
        </w:rPr>
        <w:t>2.初步评审</w:t>
      </w:r>
    </w:p>
    <w:p>
      <w:pPr>
        <w:spacing w:line="360" w:lineRule="auto"/>
        <w:ind w:firstLine="480" w:firstLineChars="200"/>
        <w:rPr>
          <w:sz w:val="24"/>
          <w:szCs w:val="24"/>
        </w:rPr>
      </w:pPr>
      <w:r>
        <w:rPr>
          <w:rFonts w:hint="eastAsia"/>
          <w:sz w:val="24"/>
          <w:szCs w:val="24"/>
        </w:rPr>
        <w:t>2.1符合性评审标准：见初步评审标准。</w:t>
      </w:r>
    </w:p>
    <w:p>
      <w:pPr>
        <w:spacing w:line="360" w:lineRule="auto"/>
        <w:ind w:firstLine="480" w:firstLineChars="200"/>
        <w:rPr>
          <w:sz w:val="24"/>
          <w:szCs w:val="24"/>
        </w:rPr>
      </w:pPr>
      <w:r>
        <w:rPr>
          <w:rFonts w:hint="eastAsia"/>
          <w:sz w:val="24"/>
          <w:szCs w:val="24"/>
        </w:rPr>
        <w:t>2.2资格评审标准：见初步评审标准。</w:t>
      </w:r>
    </w:p>
    <w:p>
      <w:pPr>
        <w:spacing w:line="360" w:lineRule="auto"/>
        <w:ind w:firstLine="482" w:firstLineChars="200"/>
        <w:rPr>
          <w:b/>
          <w:sz w:val="24"/>
          <w:szCs w:val="24"/>
        </w:rPr>
      </w:pPr>
      <w:r>
        <w:rPr>
          <w:rFonts w:hint="eastAsia"/>
          <w:b/>
          <w:sz w:val="24"/>
          <w:szCs w:val="24"/>
        </w:rPr>
        <w:t>3.详细评审</w:t>
      </w:r>
    </w:p>
    <w:p>
      <w:pPr>
        <w:spacing w:line="360" w:lineRule="auto"/>
        <w:ind w:firstLine="480" w:firstLineChars="200"/>
        <w:rPr>
          <w:sz w:val="24"/>
          <w:szCs w:val="24"/>
        </w:rPr>
      </w:pPr>
      <w:r>
        <w:rPr>
          <w:rFonts w:hint="eastAsia"/>
          <w:sz w:val="24"/>
          <w:szCs w:val="24"/>
        </w:rPr>
        <w:t>3.1</w:t>
      </w:r>
      <w:r>
        <w:rPr>
          <w:sz w:val="24"/>
          <w:szCs w:val="24"/>
        </w:rPr>
        <w:t>价格因素分：见详细评审标准。</w:t>
      </w:r>
    </w:p>
    <w:p>
      <w:pPr>
        <w:spacing w:line="360" w:lineRule="auto"/>
        <w:ind w:firstLine="480" w:firstLineChars="200"/>
        <w:rPr>
          <w:sz w:val="24"/>
          <w:szCs w:val="24"/>
        </w:rPr>
      </w:pPr>
      <w:r>
        <w:rPr>
          <w:rFonts w:hint="eastAsia"/>
          <w:sz w:val="24"/>
          <w:szCs w:val="24"/>
        </w:rPr>
        <w:t>3.2技术因素分：见详细评审标准。</w:t>
      </w:r>
    </w:p>
    <w:p>
      <w:pPr>
        <w:spacing w:line="360" w:lineRule="auto"/>
        <w:ind w:firstLine="480" w:firstLineChars="200"/>
        <w:rPr>
          <w:sz w:val="24"/>
          <w:szCs w:val="24"/>
        </w:rPr>
      </w:pPr>
      <w:r>
        <w:rPr>
          <w:rFonts w:hint="eastAsia"/>
          <w:sz w:val="24"/>
          <w:szCs w:val="24"/>
        </w:rPr>
        <w:t>3.3商务因素分：见详细评审标准。</w:t>
      </w:r>
    </w:p>
    <w:p>
      <w:pPr>
        <w:spacing w:line="360" w:lineRule="auto"/>
        <w:ind w:firstLine="482" w:firstLineChars="200"/>
        <w:rPr>
          <w:b/>
          <w:sz w:val="24"/>
          <w:szCs w:val="24"/>
        </w:rPr>
      </w:pPr>
      <w:r>
        <w:rPr>
          <w:rFonts w:hint="eastAsia"/>
          <w:b/>
          <w:sz w:val="24"/>
          <w:szCs w:val="24"/>
        </w:rPr>
        <w:t>4.投标文件的澄清和补正</w:t>
      </w:r>
    </w:p>
    <w:p>
      <w:pPr>
        <w:spacing w:line="360" w:lineRule="auto"/>
        <w:ind w:firstLine="480" w:firstLineChars="200"/>
        <w:rPr>
          <w:sz w:val="24"/>
          <w:szCs w:val="24"/>
        </w:rPr>
      </w:pPr>
      <w:r>
        <w:rPr>
          <w:rFonts w:hint="eastAsia"/>
          <w:sz w:val="24"/>
          <w:szCs w:val="24"/>
        </w:rPr>
        <w:t>4.1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80" w:firstLineChars="200"/>
        <w:rPr>
          <w:sz w:val="24"/>
          <w:szCs w:val="24"/>
        </w:rPr>
      </w:pPr>
      <w:r>
        <w:rPr>
          <w:rFonts w:hint="eastAsia"/>
          <w:sz w:val="24"/>
          <w:szCs w:val="24"/>
        </w:rPr>
        <w:t>4.2 澄清、说明和补正不得改变投标文件的实质性内容(算术性错误修正的除外)。投标人的书面澄清、说明和补正属于投标文件的组成部分。</w:t>
      </w:r>
    </w:p>
    <w:p>
      <w:pPr>
        <w:spacing w:line="360" w:lineRule="auto"/>
        <w:ind w:firstLine="480" w:firstLineChars="200"/>
        <w:rPr>
          <w:sz w:val="24"/>
          <w:szCs w:val="24"/>
        </w:rPr>
      </w:pPr>
      <w:r>
        <w:rPr>
          <w:rFonts w:hint="eastAsia"/>
          <w:sz w:val="24"/>
          <w:szCs w:val="24"/>
        </w:rPr>
        <w:t>4.3 评标委员会对投标人提交的澄清、说明或补正有疑问的，可以要求投标人进一步澄清、说明或补正，直至满足评标委员会的要求。</w:t>
      </w:r>
    </w:p>
    <w:p>
      <w:pPr>
        <w:spacing w:line="360" w:lineRule="auto"/>
        <w:ind w:firstLine="482" w:firstLineChars="200"/>
        <w:rPr>
          <w:b/>
          <w:sz w:val="24"/>
          <w:szCs w:val="24"/>
        </w:rPr>
      </w:pPr>
      <w:r>
        <w:rPr>
          <w:rFonts w:hint="eastAsia"/>
          <w:b/>
          <w:sz w:val="24"/>
          <w:szCs w:val="24"/>
        </w:rPr>
        <w:t>5.废标条件</w:t>
      </w:r>
    </w:p>
    <w:p>
      <w:pPr>
        <w:spacing w:line="360" w:lineRule="auto"/>
        <w:ind w:firstLine="480" w:firstLineChars="200"/>
        <w:rPr>
          <w:sz w:val="24"/>
          <w:szCs w:val="24"/>
        </w:rPr>
      </w:pPr>
      <w:r>
        <w:rPr>
          <w:rFonts w:hint="eastAsia"/>
          <w:sz w:val="24"/>
          <w:szCs w:val="24"/>
        </w:rPr>
        <w:t>投标人或其投标文件有下列情形之一的，其投标作废标处理：</w:t>
      </w:r>
    </w:p>
    <w:p>
      <w:pPr>
        <w:spacing w:line="360" w:lineRule="auto"/>
        <w:ind w:firstLine="480" w:firstLineChars="200"/>
        <w:rPr>
          <w:sz w:val="24"/>
          <w:szCs w:val="24"/>
        </w:rPr>
      </w:pPr>
      <w:r>
        <w:rPr>
          <w:rFonts w:hint="eastAsia"/>
          <w:sz w:val="24"/>
          <w:szCs w:val="24"/>
        </w:rPr>
        <w:t>5.1有串通投标或弄虚作假或有其他违法行为的。</w:t>
      </w:r>
    </w:p>
    <w:p>
      <w:pPr>
        <w:spacing w:line="360" w:lineRule="auto"/>
        <w:ind w:firstLine="480" w:firstLineChars="200"/>
        <w:rPr>
          <w:sz w:val="24"/>
          <w:szCs w:val="24"/>
        </w:rPr>
      </w:pPr>
      <w:r>
        <w:rPr>
          <w:rFonts w:hint="eastAsia"/>
          <w:sz w:val="24"/>
          <w:szCs w:val="24"/>
        </w:rPr>
        <w:t>5.2不按评标委员会要求澄清、说明或补正的。</w:t>
      </w:r>
    </w:p>
    <w:p>
      <w:pPr>
        <w:spacing w:line="360" w:lineRule="auto"/>
        <w:ind w:firstLine="480" w:firstLineChars="200"/>
        <w:rPr>
          <w:sz w:val="24"/>
          <w:szCs w:val="24"/>
        </w:rPr>
      </w:pPr>
      <w:r>
        <w:rPr>
          <w:rFonts w:hint="eastAsia"/>
          <w:sz w:val="24"/>
          <w:szCs w:val="24"/>
        </w:rPr>
        <w:t>5.3在资格评审、符合性评审中，评标委员会认定投标人的投标文件不符合评标办法前附表中规定的任何一项评审标准的。</w:t>
      </w:r>
    </w:p>
    <w:p>
      <w:pPr>
        <w:spacing w:line="360" w:lineRule="auto"/>
        <w:ind w:firstLine="480" w:firstLineChars="200"/>
        <w:rPr>
          <w:sz w:val="24"/>
          <w:szCs w:val="24"/>
        </w:rPr>
      </w:pPr>
      <w:r>
        <w:rPr>
          <w:rFonts w:hint="eastAsia"/>
          <w:sz w:val="24"/>
          <w:szCs w:val="24"/>
        </w:rPr>
        <w:t>5.4评标委员会认定投标人以低于成本报价竞标的。</w:t>
      </w:r>
    </w:p>
    <w:p>
      <w:pPr>
        <w:spacing w:line="360" w:lineRule="auto"/>
        <w:ind w:left="8159" w:leftChars="228" w:hanging="7680" w:hangingChars="3200"/>
        <w:rPr>
          <w:sz w:val="24"/>
          <w:szCs w:val="24"/>
        </w:rPr>
      </w:pPr>
      <w:r>
        <w:rPr>
          <w:rFonts w:hint="eastAsia"/>
          <w:sz w:val="24"/>
          <w:szCs w:val="24"/>
        </w:rPr>
        <w:t>5.5投标人未按电子招标、电子投标要求出席开标会的。</w:t>
      </w:r>
    </w:p>
    <w:p>
      <w:pPr>
        <w:spacing w:line="360" w:lineRule="auto"/>
        <w:ind w:firstLine="482" w:firstLineChars="200"/>
        <w:rPr>
          <w:b/>
          <w:sz w:val="24"/>
          <w:szCs w:val="24"/>
        </w:rPr>
      </w:pPr>
      <w:r>
        <w:rPr>
          <w:rFonts w:hint="eastAsia"/>
          <w:b/>
          <w:sz w:val="24"/>
          <w:szCs w:val="24"/>
        </w:rPr>
        <w:t>6.评标争议的解决</w:t>
      </w:r>
    </w:p>
    <w:p>
      <w:pPr>
        <w:spacing w:line="360" w:lineRule="auto"/>
        <w:ind w:firstLine="480" w:firstLineChars="200"/>
        <w:rPr>
          <w:sz w:val="24"/>
          <w:szCs w:val="24"/>
        </w:rPr>
      </w:pPr>
      <w:r>
        <w:rPr>
          <w:rFonts w:hint="eastAsia"/>
          <w:sz w:val="24"/>
          <w:szCs w:val="24"/>
        </w:rPr>
        <w:t>在任何评标环节中产生争议，需评标委员会就某项定性的评审结论做出表决的，由评标委员会全体成员按照少数服从多数的原则，以记名投票方式表决。</w:t>
      </w:r>
    </w:p>
    <w:p>
      <w:pPr>
        <w:spacing w:line="360" w:lineRule="auto"/>
        <w:ind w:firstLine="482" w:firstLineChars="200"/>
        <w:rPr>
          <w:b/>
          <w:sz w:val="24"/>
          <w:szCs w:val="24"/>
        </w:rPr>
      </w:pPr>
      <w:r>
        <w:rPr>
          <w:rFonts w:hint="eastAsia"/>
          <w:b/>
          <w:sz w:val="24"/>
          <w:szCs w:val="24"/>
        </w:rPr>
        <w:t>7.确定中标人</w:t>
      </w:r>
    </w:p>
    <w:p>
      <w:pPr>
        <w:spacing w:line="360" w:lineRule="auto"/>
        <w:ind w:firstLine="480" w:firstLineChars="200"/>
        <w:rPr>
          <w:sz w:val="24"/>
          <w:szCs w:val="24"/>
        </w:rPr>
      </w:pPr>
      <w:r>
        <w:rPr>
          <w:rFonts w:hint="eastAsia"/>
          <w:sz w:val="24"/>
          <w:szCs w:val="24"/>
        </w:rPr>
        <w:t>7.1招标人不保证报价最低的投标人为中标人。</w:t>
      </w:r>
    </w:p>
    <w:p>
      <w:pPr>
        <w:spacing w:line="360" w:lineRule="auto"/>
        <w:ind w:firstLine="420" w:firstLineChars="200"/>
        <w:rPr>
          <w:sz w:val="24"/>
          <w:szCs w:val="24"/>
        </w:rPr>
      </w:pPr>
      <w:r>
        <w:rPr>
          <w:rFonts w:hint="eastAsia" w:ascii="宋体" w:hAnsi="宋体" w:cs="宋体"/>
          <w:color w:val="000000"/>
          <w:kern w:val="0"/>
          <w:szCs w:val="21"/>
          <w:lang w:bidi="ar"/>
        </w:rPr>
        <w:t>7</w:t>
      </w:r>
      <w:r>
        <w:rPr>
          <w:rFonts w:hint="eastAsia"/>
          <w:sz w:val="24"/>
          <w:szCs w:val="24"/>
        </w:rPr>
        <w:t>.2除了《投标人须知正文》第17 条规定的废标情况之外，采购人将根据评标委员会推荐的中标候选人及排序情况，依法确认本采购项目的中标人。</w:t>
      </w:r>
    </w:p>
    <w:p>
      <w:pPr>
        <w:spacing w:line="360" w:lineRule="auto"/>
        <w:ind w:firstLine="420" w:firstLineChars="200"/>
        <w:rPr>
          <w:sz w:val="24"/>
          <w:szCs w:val="24"/>
        </w:rPr>
      </w:pPr>
      <w:r>
        <w:rPr>
          <w:rFonts w:hint="eastAsia" w:ascii="宋体" w:hAnsi="宋体" w:cs="宋体"/>
          <w:color w:val="000000"/>
          <w:kern w:val="0"/>
          <w:szCs w:val="21"/>
          <w:lang w:bidi="ar"/>
        </w:rPr>
        <w:t xml:space="preserve"> </w:t>
      </w:r>
      <w:r>
        <w:rPr>
          <w:rFonts w:hint="eastAsia"/>
          <w:sz w:val="24"/>
          <w:szCs w:val="24"/>
        </w:rPr>
        <w:t>7.3确定中标人后，将采取网上公示方式，在载明的公示期内无投标人提出质疑的招标人将与中标人签订采购合同。</w:t>
      </w:r>
    </w:p>
    <w:p>
      <w:pPr>
        <w:spacing w:line="360" w:lineRule="auto"/>
        <w:ind w:firstLine="482" w:firstLineChars="200"/>
        <w:rPr>
          <w:b/>
          <w:sz w:val="24"/>
          <w:szCs w:val="24"/>
        </w:rPr>
      </w:pPr>
      <w:r>
        <w:rPr>
          <w:rFonts w:hint="eastAsia"/>
          <w:b/>
          <w:sz w:val="24"/>
          <w:szCs w:val="24"/>
        </w:rPr>
        <w:t>8.其他</w:t>
      </w:r>
    </w:p>
    <w:p>
      <w:pPr>
        <w:spacing w:line="360" w:lineRule="auto"/>
        <w:ind w:firstLine="480" w:firstLineChars="200"/>
        <w:rPr>
          <w:sz w:val="24"/>
          <w:szCs w:val="24"/>
        </w:rPr>
      </w:pPr>
      <w:r>
        <w:rPr>
          <w:rFonts w:hint="eastAsia"/>
          <w:sz w:val="24"/>
          <w:szCs w:val="24"/>
        </w:rPr>
        <w:t>8.1供应商数量的确定</w:t>
      </w:r>
    </w:p>
    <w:p>
      <w:pPr>
        <w:spacing w:line="360" w:lineRule="auto"/>
        <w:ind w:firstLine="480" w:firstLineChars="200"/>
        <w:rPr>
          <w:sz w:val="24"/>
          <w:szCs w:val="24"/>
        </w:rPr>
      </w:pPr>
      <w:r>
        <w:rPr>
          <w:rFonts w:hint="eastAsia"/>
          <w:sz w:val="24"/>
          <w:szCs w:val="24"/>
        </w:rPr>
        <w:t>若在本项目评标环节中评标委员会发现多家供应商同时代理同一品牌同一型号产品参加竞标时可以依据“财政部财办库〔2003〕38号《关于多家代理商代理一家制造商的产品参加投标如何计算供应商家数的复函》”要求的，如果有多家代理商参加同一品牌同一型号产品投标的，应当作为一个供应商计算。本次招标供应商计算规则如下；</w:t>
      </w:r>
    </w:p>
    <w:p>
      <w:pPr>
        <w:spacing w:line="360" w:lineRule="auto"/>
        <w:ind w:firstLine="480" w:firstLineChars="200"/>
        <w:rPr>
          <w:sz w:val="24"/>
          <w:szCs w:val="24"/>
        </w:rPr>
      </w:pPr>
      <w:r>
        <w:rPr>
          <w:rFonts w:hint="eastAsia"/>
          <w:sz w:val="24"/>
          <w:szCs w:val="24"/>
        </w:rPr>
        <w:t>8.1.1当同一品牌、同一型号产品以同一价格竞标时，以随机方式确定某一供应商有效的标准。</w:t>
      </w:r>
    </w:p>
    <w:p>
      <w:pPr>
        <w:spacing w:line="360" w:lineRule="auto"/>
        <w:ind w:firstLine="480" w:firstLineChars="200"/>
        <w:rPr>
          <w:sz w:val="24"/>
          <w:szCs w:val="24"/>
        </w:rPr>
      </w:pPr>
      <w:r>
        <w:rPr>
          <w:rFonts w:hint="eastAsia"/>
          <w:sz w:val="24"/>
          <w:szCs w:val="24"/>
        </w:rPr>
        <w:t>8.1.2当同一品牌、同一型号产品以不同价格竞标时，按满足招标文件技术需求为前提，价格最低的作为确定某一供应商有效的标准。</w:t>
      </w:r>
    </w:p>
    <w:p>
      <w:pPr>
        <w:spacing w:line="360" w:lineRule="auto"/>
        <w:ind w:firstLine="480" w:firstLineChars="200"/>
        <w:rPr>
          <w:sz w:val="24"/>
          <w:szCs w:val="24"/>
        </w:rPr>
      </w:pPr>
      <w:r>
        <w:rPr>
          <w:rFonts w:hint="eastAsia"/>
          <w:sz w:val="24"/>
          <w:szCs w:val="24"/>
        </w:rPr>
        <w:t>8.1.3不符合要求的供应商所递交的投标文件，评标委员会应按未投标形式评审标准否决其投标。</w:t>
      </w:r>
    </w:p>
    <w:p>
      <w:pPr>
        <w:numPr>
          <w:ilvl w:val="0"/>
          <w:numId w:val="2"/>
        </w:numPr>
        <w:spacing w:line="360" w:lineRule="auto"/>
        <w:ind w:firstLine="482" w:firstLineChars="200"/>
        <w:rPr>
          <w:b/>
          <w:sz w:val="24"/>
          <w:szCs w:val="24"/>
        </w:rPr>
      </w:pPr>
      <w:bookmarkStart w:id="29" w:name="_Hlk76385414"/>
      <w:r>
        <w:rPr>
          <w:rFonts w:hint="eastAsia"/>
          <w:b/>
          <w:sz w:val="24"/>
          <w:szCs w:val="24"/>
        </w:rPr>
        <w:t>落实政府采购政策</w:t>
      </w:r>
    </w:p>
    <w:p>
      <w:pPr>
        <w:spacing w:line="360" w:lineRule="auto"/>
        <w:ind w:firstLine="480" w:firstLineChars="200"/>
        <w:rPr>
          <w:sz w:val="24"/>
          <w:szCs w:val="24"/>
        </w:rPr>
      </w:pPr>
      <w:r>
        <w:rPr>
          <w:rFonts w:hint="eastAsia"/>
          <w:sz w:val="24"/>
          <w:szCs w:val="24"/>
        </w:rPr>
        <w:t>根据政府采购法，政府采购应当有助于实现国家的经济和社会发展政策目标，包括保护环境，扶持不发达地区和少数民族地区，促进中小企业发展等。</w:t>
      </w:r>
    </w:p>
    <w:p>
      <w:pPr>
        <w:spacing w:line="360" w:lineRule="auto"/>
        <w:ind w:firstLine="480" w:firstLineChars="200"/>
        <w:rPr>
          <w:sz w:val="24"/>
          <w:szCs w:val="24"/>
        </w:rPr>
      </w:pPr>
      <w:r>
        <w:rPr>
          <w:rFonts w:hint="eastAsia"/>
          <w:sz w:val="24"/>
          <w:szCs w:val="24"/>
        </w:rPr>
        <w:t>列入财政部、发展改革委发布的《节能产品政府采购品目清单》中强制采购类别的产品，按照规定实行强制采购；列入财政部、发展改革委、生态环境部发布的《节能产品政府采购品目清单》和《环境标志产品政府采购品目清单》中优先采购类别的产品，按规定实行优先采购。</w:t>
      </w:r>
    </w:p>
    <w:p>
      <w:pPr>
        <w:spacing w:line="360" w:lineRule="auto"/>
        <w:ind w:firstLine="480" w:firstLineChars="200"/>
        <w:rPr>
          <w:sz w:val="24"/>
          <w:szCs w:val="24"/>
        </w:rPr>
      </w:pPr>
      <w:r>
        <w:rPr>
          <w:rFonts w:hint="eastAsia"/>
          <w:sz w:val="24"/>
          <w:szCs w:val="24"/>
        </w:rPr>
        <w:t xml:space="preserve">中小企业按照《政府采购促进中小企业发展管理办法》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 </w:t>
      </w:r>
    </w:p>
    <w:p>
      <w:pPr>
        <w:spacing w:line="360" w:lineRule="auto"/>
        <w:ind w:firstLine="480" w:firstLineChars="200"/>
        <w:rPr>
          <w:sz w:val="24"/>
          <w:szCs w:val="24"/>
        </w:rPr>
      </w:pPr>
      <w:r>
        <w:rPr>
          <w:rFonts w:hint="eastAsia"/>
          <w:sz w:val="24"/>
          <w:szCs w:val="24"/>
        </w:rPr>
        <w:t>按财库〔2020〕46号、财库[2014]68号、财库[2017]141号文件的规定，提供的货物全部由符合政策要求的小型和微型企业（含监狱企业、残疾人福利性单位）制造的，对其报价给予10%的扣除，用扣除后的价格参与评审。小微企业须在投标文件中出具《中小企业声明函》如为监狱企业，提供由省级以上监狱管理局、戒毒管理局（含新疆生产建设兵团）出具的属于监狱企业的证明文件；如为残疾人福利性单位，提供《残疾人福利性单位声明函》。未提供以上材料不予计算价格扣除。在政府采购活动中，监狱企业和残疾人福利性单位视同小微企业。</w:t>
      </w:r>
    </w:p>
    <w:p>
      <w:pPr>
        <w:spacing w:line="360" w:lineRule="auto"/>
        <w:ind w:firstLine="480" w:firstLineChars="200"/>
        <w:rPr>
          <w:sz w:val="24"/>
          <w:szCs w:val="24"/>
        </w:rPr>
      </w:pPr>
      <w:r>
        <w:rPr>
          <w:rFonts w:hint="eastAsia"/>
          <w:sz w:val="24"/>
          <w:szCs w:val="24"/>
        </w:rPr>
        <w:t>在货物采购项目中，供应商提供的货物既有小微企业（监狱企业、残疾人福利性单位）制造货物，也有大中型企业（非监狱企业、残疾人福利性单位）制造货物的，不享受小微企业（监狱企业、残疾人福利性单位）价格扣除。享受小微企业扶持政策获得政府采购合同的，小微企业不得将合同分包给大中型企业。</w:t>
      </w:r>
    </w:p>
    <w:p>
      <w:pPr>
        <w:spacing w:line="360" w:lineRule="auto"/>
        <w:ind w:firstLine="480" w:firstLineChars="200"/>
        <w:rPr>
          <w:sz w:val="24"/>
          <w:szCs w:val="24"/>
        </w:rPr>
      </w:pPr>
      <w:r>
        <w:rPr>
          <w:rFonts w:hint="eastAsia"/>
          <w:sz w:val="24"/>
          <w:szCs w:val="24"/>
        </w:rPr>
        <w:t>加分部分为：投标产品是否为节能产品、环境标志产品、自主创新产品。对于已列入节能产品、环境标志产品品目清单的产品类别及《政府采购自主创新产品目录》的产品按《吉林省财政厅文件 吉财采购【2008】3号》给予加分。供应商应对所投标货物纳入品目清单和目录的产品在投标文件中按产品所在包另行单独列表，并提供相关依据须以报价表附件的形式单独列表，并对此部分产品的投标报价合计及在整体投标报价中所占百分比进行明确标注。节能产品、环境标志产品须提供品目清单、国家确定的认证机构（提供市场监管总局认定为认证机构的网上截图）出具的、处于有效期之内的节能产品、环境标志产品认证证书；自主创新产品须提供《政府采购自主创新产品目录》，否则不予计算（如已经将此内容列为技术要求或评委评分因素，不再重复加分）。</w:t>
      </w:r>
      <w:bookmarkEnd w:id="29"/>
    </w:p>
    <w:p>
      <w:pPr>
        <w:spacing w:line="360" w:lineRule="auto"/>
        <w:ind w:firstLine="480" w:firstLineChars="200"/>
        <w:rPr>
          <w:sz w:val="24"/>
          <w:szCs w:val="24"/>
        </w:rPr>
      </w:pPr>
      <w:r>
        <w:rPr>
          <w:rFonts w:hint="eastAsia"/>
          <w:sz w:val="24"/>
          <w:szCs w:val="24"/>
        </w:rPr>
        <w:t>如果有国家或者吉林省规定政府采购应当强制采购或优先采购的其他产品和服务，按照其规定实行强制采购或优先采购。</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rFonts w:hint="eastAsia"/>
          <w:sz w:val="24"/>
          <w:szCs w:val="24"/>
        </w:rPr>
      </w:pPr>
    </w:p>
    <w:p>
      <w:pPr>
        <w:pStyle w:val="2"/>
        <w:ind w:firstLine="1767" w:firstLineChars="400"/>
        <w:jc w:val="both"/>
      </w:pPr>
      <w:bookmarkStart w:id="30" w:name="_Toc333"/>
      <w:r>
        <w:t>第</w:t>
      </w:r>
      <w:r>
        <w:rPr>
          <w:rFonts w:hint="eastAsia"/>
        </w:rPr>
        <w:t>四</w:t>
      </w:r>
      <w:r>
        <w:t>章</w:t>
      </w:r>
      <w:r>
        <w:rPr>
          <w:rFonts w:hint="eastAsia"/>
        </w:rPr>
        <w:t xml:space="preserve"> 技术标准及要求</w:t>
      </w:r>
      <w:bookmarkEnd w:id="30"/>
    </w:p>
    <w:p>
      <w:pPr>
        <w:rPr>
          <w:rFonts w:ascii="宋体" w:hAnsi="宋体" w:cs="宋体"/>
          <w:b/>
          <w:bCs/>
          <w:sz w:val="30"/>
          <w:szCs w:val="30"/>
        </w:rPr>
      </w:pPr>
      <w:r>
        <w:rPr>
          <w:rFonts w:hint="eastAsia" w:ascii="宋体" w:hAnsi="宋体" w:cs="宋体"/>
          <w:b/>
          <w:bCs/>
          <w:sz w:val="30"/>
          <w:szCs w:val="30"/>
        </w:rPr>
        <w:t>一、电梯主要技术参数</w:t>
      </w:r>
    </w:p>
    <w:tbl>
      <w:tblPr>
        <w:tblStyle w:val="24"/>
        <w:tblW w:w="10650" w:type="dxa"/>
        <w:tblInd w:w="-1061" w:type="dxa"/>
        <w:tblLayout w:type="fixed"/>
        <w:tblCellMar>
          <w:top w:w="0" w:type="dxa"/>
          <w:left w:w="108" w:type="dxa"/>
          <w:bottom w:w="0" w:type="dxa"/>
          <w:right w:w="108" w:type="dxa"/>
        </w:tblCellMar>
      </w:tblPr>
      <w:tblGrid>
        <w:gridCol w:w="1589"/>
        <w:gridCol w:w="1783"/>
        <w:gridCol w:w="1694"/>
        <w:gridCol w:w="1717"/>
        <w:gridCol w:w="1706"/>
        <w:gridCol w:w="2161"/>
      </w:tblGrid>
      <w:tr>
        <w:tblPrEx>
          <w:tblCellMar>
            <w:top w:w="0" w:type="dxa"/>
            <w:left w:w="108" w:type="dxa"/>
            <w:bottom w:w="0" w:type="dxa"/>
            <w:right w:w="108" w:type="dxa"/>
          </w:tblCellMar>
        </w:tblPrEx>
        <w:trPr>
          <w:trHeight w:val="646"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szCs w:val="21"/>
              </w:rPr>
            </w:pPr>
            <w:r>
              <w:rPr>
                <w:rFonts w:hint="eastAsia" w:ascii="宋体" w:hAnsi="宋体" w:cs="宋体"/>
                <w:color w:val="000000"/>
                <w:kern w:val="0"/>
                <w:szCs w:val="21"/>
                <w:lang w:bidi="ar"/>
              </w:rPr>
              <w:t>梯型</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1#医用电梯</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2#医用电梯</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客用电梯</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客梯兼消防电梯</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食梯</w:t>
            </w:r>
          </w:p>
        </w:tc>
      </w:tr>
      <w:tr>
        <w:tblPrEx>
          <w:tblCellMar>
            <w:top w:w="0" w:type="dxa"/>
            <w:left w:w="108" w:type="dxa"/>
            <w:bottom w:w="0" w:type="dxa"/>
            <w:right w:w="108" w:type="dxa"/>
          </w:tblCellMar>
        </w:tblPrEx>
        <w:trPr>
          <w:trHeight w:val="677"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szCs w:val="21"/>
              </w:rPr>
            </w:pPr>
            <w:r>
              <w:rPr>
                <w:rFonts w:hint="eastAsia" w:ascii="宋体" w:hAnsi="宋体" w:cs="宋体"/>
                <w:color w:val="000000"/>
                <w:kern w:val="0"/>
                <w:szCs w:val="21"/>
                <w:lang w:bidi="ar"/>
              </w:rPr>
              <w:t>数量</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1台</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1台</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2台</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2台</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2台</w:t>
            </w:r>
          </w:p>
        </w:tc>
      </w:tr>
      <w:tr>
        <w:tblPrEx>
          <w:tblCellMar>
            <w:top w:w="0" w:type="dxa"/>
            <w:left w:w="108" w:type="dxa"/>
            <w:bottom w:w="0" w:type="dxa"/>
            <w:right w:w="108" w:type="dxa"/>
          </w:tblCellMar>
        </w:tblPrEx>
        <w:trPr>
          <w:trHeight w:val="677"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是否有机房</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是</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是</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是</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是</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否</w:t>
            </w:r>
          </w:p>
        </w:tc>
      </w:tr>
      <w:tr>
        <w:tblPrEx>
          <w:tblCellMar>
            <w:top w:w="0" w:type="dxa"/>
            <w:left w:w="108" w:type="dxa"/>
            <w:bottom w:w="0" w:type="dxa"/>
            <w:right w:w="108" w:type="dxa"/>
          </w:tblCellMar>
        </w:tblPrEx>
        <w:trPr>
          <w:trHeight w:val="633"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层/站/门</w:t>
            </w:r>
          </w:p>
        </w:tc>
        <w:tc>
          <w:tcPr>
            <w:tcW w:w="90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2516"/>
              </w:tabs>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6/6/6</w:t>
            </w:r>
          </w:p>
        </w:tc>
      </w:tr>
      <w:tr>
        <w:tblPrEx>
          <w:tblCellMar>
            <w:top w:w="0" w:type="dxa"/>
            <w:left w:w="108" w:type="dxa"/>
            <w:bottom w:w="0" w:type="dxa"/>
            <w:right w:w="108" w:type="dxa"/>
          </w:tblCellMar>
        </w:tblPrEx>
        <w:trPr>
          <w:trHeight w:val="568"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控制方式</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并联</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集选</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并联</w:t>
            </w:r>
          </w:p>
          <w:p>
            <w:pPr>
              <w:widowControl/>
              <w:spacing w:line="264" w:lineRule="auto"/>
              <w:jc w:val="center"/>
              <w:textAlignment w:val="center"/>
              <w:rPr>
                <w:rFonts w:ascii="宋体" w:hAnsi="宋体" w:cs="宋体"/>
              </w:rPr>
            </w:pPr>
            <w:r>
              <w:rPr>
                <w:rFonts w:hint="eastAsia" w:ascii="宋体" w:hAnsi="宋体" w:cs="宋体"/>
              </w:rPr>
              <w:t>并联</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集选</w:t>
            </w:r>
          </w:p>
          <w:p>
            <w:pPr>
              <w:widowControl/>
              <w:spacing w:line="264" w:lineRule="auto"/>
              <w:jc w:val="center"/>
              <w:textAlignment w:val="center"/>
              <w:rPr>
                <w:rFonts w:ascii="宋体" w:hAnsi="宋体" w:cs="宋体"/>
              </w:rPr>
            </w:pPr>
            <w:r>
              <w:rPr>
                <w:rFonts w:hint="eastAsia" w:ascii="宋体" w:hAnsi="宋体" w:cs="宋体"/>
                <w:color w:val="000000"/>
                <w:kern w:val="0"/>
                <w:szCs w:val="21"/>
                <w:lang w:bidi="ar"/>
              </w:rPr>
              <w:t>集选</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微机</w:t>
            </w:r>
          </w:p>
          <w:p>
            <w:pPr>
              <w:widowControl/>
              <w:spacing w:line="264" w:lineRule="auto"/>
              <w:jc w:val="center"/>
              <w:textAlignment w:val="center"/>
              <w:rPr>
                <w:rFonts w:ascii="宋体" w:hAnsi="宋体" w:cs="宋体"/>
              </w:rPr>
            </w:pPr>
            <w:r>
              <w:rPr>
                <w:rFonts w:hint="eastAsia" w:ascii="宋体" w:hAnsi="宋体" w:cs="宋体"/>
                <w:color w:val="000000"/>
                <w:kern w:val="0"/>
                <w:szCs w:val="21"/>
                <w:lang w:bidi="ar"/>
              </w:rPr>
              <w:t>微机</w:t>
            </w:r>
          </w:p>
        </w:tc>
      </w:tr>
      <w:tr>
        <w:tblPrEx>
          <w:tblCellMar>
            <w:top w:w="0" w:type="dxa"/>
            <w:left w:w="108" w:type="dxa"/>
            <w:bottom w:w="0" w:type="dxa"/>
            <w:right w:w="108" w:type="dxa"/>
          </w:tblCellMar>
        </w:tblPrEx>
        <w:trPr>
          <w:trHeight w:val="584"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载重</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FF0000"/>
                <w:kern w:val="0"/>
                <w:szCs w:val="21"/>
                <w:lang w:bidi="ar"/>
              </w:rPr>
            </w:pPr>
            <w:r>
              <w:rPr>
                <w:rFonts w:hint="eastAsia" w:ascii="宋体" w:hAnsi="宋体" w:cs="宋体"/>
                <w:color w:val="000000"/>
                <w:kern w:val="0"/>
                <w:szCs w:val="21"/>
                <w:lang w:bidi="ar"/>
              </w:rPr>
              <w:t>1600kg</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FF0000"/>
                <w:kern w:val="0"/>
                <w:szCs w:val="21"/>
                <w:lang w:bidi="ar"/>
              </w:rPr>
            </w:pPr>
            <w:r>
              <w:rPr>
                <w:rFonts w:hint="eastAsia" w:ascii="宋体" w:hAnsi="宋体" w:cs="宋体"/>
                <w:color w:val="000000"/>
                <w:kern w:val="0"/>
                <w:szCs w:val="21"/>
                <w:lang w:bidi="ar"/>
              </w:rPr>
              <w:t>1000kg</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1000kg</w:t>
            </w:r>
          </w:p>
          <w:p>
            <w:pPr>
              <w:widowControl/>
              <w:spacing w:line="264" w:lineRule="auto"/>
              <w:jc w:val="center"/>
              <w:textAlignment w:val="center"/>
              <w:rPr>
                <w:rFonts w:ascii="宋体" w:hAnsi="宋体" w:cs="宋体"/>
              </w:rPr>
            </w:pPr>
            <w:r>
              <w:rPr>
                <w:rFonts w:hint="eastAsia" w:ascii="宋体" w:hAnsi="宋体" w:cs="宋体"/>
                <w:color w:val="000000"/>
                <w:kern w:val="0"/>
                <w:szCs w:val="21"/>
                <w:lang w:bidi="ar"/>
              </w:rPr>
              <w:t>1000kg</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1000kg</w:t>
            </w:r>
          </w:p>
          <w:p>
            <w:pPr>
              <w:widowControl/>
              <w:spacing w:line="264" w:lineRule="auto"/>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1000kg</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200kg</w:t>
            </w:r>
          </w:p>
          <w:p>
            <w:pPr>
              <w:widowControl/>
              <w:spacing w:line="264" w:lineRule="auto"/>
              <w:jc w:val="center"/>
              <w:textAlignment w:val="center"/>
              <w:rPr>
                <w:rFonts w:ascii="宋体" w:hAnsi="宋体" w:cs="宋体"/>
              </w:rPr>
            </w:pPr>
            <w:r>
              <w:rPr>
                <w:rFonts w:hint="eastAsia" w:ascii="宋体" w:hAnsi="宋体" w:cs="宋体"/>
                <w:color w:val="000000"/>
                <w:kern w:val="0"/>
                <w:szCs w:val="21"/>
                <w:lang w:bidi="ar"/>
              </w:rPr>
              <w:t>200kg</w:t>
            </w:r>
          </w:p>
        </w:tc>
      </w:tr>
      <w:tr>
        <w:tblPrEx>
          <w:tblCellMar>
            <w:top w:w="0" w:type="dxa"/>
            <w:left w:w="108" w:type="dxa"/>
            <w:bottom w:w="0" w:type="dxa"/>
            <w:right w:w="108" w:type="dxa"/>
          </w:tblCellMar>
        </w:tblPrEx>
        <w:trPr>
          <w:trHeight w:val="65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速度</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286"/>
              </w:tabs>
              <w:spacing w:line="264" w:lineRule="auto"/>
              <w:jc w:val="center"/>
              <w:textAlignment w:val="center"/>
              <w:rPr>
                <w:rFonts w:ascii="宋体" w:hAnsi="宋体" w:cs="宋体"/>
                <w:color w:val="FF0000"/>
              </w:rPr>
            </w:pPr>
            <w:r>
              <w:rPr>
                <w:rFonts w:hint="eastAsia" w:ascii="宋体" w:hAnsi="宋体" w:cs="宋体"/>
                <w:color w:val="000000"/>
                <w:kern w:val="0"/>
                <w:szCs w:val="21"/>
                <w:lang w:bidi="ar"/>
              </w:rPr>
              <w:t>1.0m/s</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FF0000"/>
              </w:rPr>
            </w:pPr>
            <w:r>
              <w:rPr>
                <w:rFonts w:hint="eastAsia" w:ascii="宋体" w:hAnsi="宋体" w:cs="宋体"/>
                <w:color w:val="000000"/>
                <w:kern w:val="0"/>
                <w:szCs w:val="21"/>
                <w:lang w:bidi="ar"/>
              </w:rPr>
              <w:t>1.0m/s</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1.0m/s</w:t>
            </w:r>
          </w:p>
          <w:p>
            <w:pPr>
              <w:widowControl/>
              <w:spacing w:line="264" w:lineRule="auto"/>
              <w:jc w:val="center"/>
              <w:textAlignment w:val="center"/>
              <w:rPr>
                <w:rFonts w:ascii="宋体" w:hAnsi="宋体" w:cs="宋体"/>
                <w:color w:val="FF0000"/>
              </w:rPr>
            </w:pPr>
            <w:r>
              <w:rPr>
                <w:rFonts w:hint="eastAsia" w:ascii="宋体" w:hAnsi="宋体" w:cs="宋体"/>
                <w:color w:val="000000"/>
                <w:kern w:val="0"/>
                <w:szCs w:val="21"/>
                <w:lang w:bidi="ar"/>
              </w:rPr>
              <w:t>1.0m/s</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ind w:left="420" w:left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1.0m/s</w:t>
            </w:r>
          </w:p>
          <w:p>
            <w:pPr>
              <w:widowControl/>
              <w:spacing w:line="264" w:lineRule="auto"/>
              <w:ind w:left="420" w:leftChars="200"/>
              <w:textAlignment w:val="center"/>
              <w:rPr>
                <w:rFonts w:ascii="宋体" w:hAnsi="宋体" w:cs="宋体"/>
                <w:color w:val="FF0000"/>
              </w:rPr>
            </w:pPr>
            <w:r>
              <w:rPr>
                <w:rFonts w:hint="eastAsia" w:ascii="宋体" w:hAnsi="宋体" w:cs="宋体"/>
                <w:color w:val="000000"/>
                <w:kern w:val="0"/>
                <w:szCs w:val="21"/>
                <w:lang w:bidi="ar"/>
              </w:rPr>
              <w:t>1.0m/s</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0.4m/s</w:t>
            </w:r>
          </w:p>
          <w:p>
            <w:pPr>
              <w:widowControl/>
              <w:spacing w:line="264" w:lineRule="auto"/>
              <w:jc w:val="center"/>
              <w:textAlignment w:val="center"/>
              <w:rPr>
                <w:rFonts w:ascii="宋体" w:hAnsi="宋体" w:cs="宋体"/>
              </w:rPr>
            </w:pPr>
            <w:r>
              <w:rPr>
                <w:rFonts w:hint="eastAsia" w:ascii="宋体" w:hAnsi="宋体" w:cs="宋体"/>
              </w:rPr>
              <w:t>0.4m/s</w:t>
            </w:r>
          </w:p>
        </w:tc>
      </w:tr>
      <w:tr>
        <w:tblPrEx>
          <w:tblCellMar>
            <w:top w:w="0" w:type="dxa"/>
            <w:left w:w="108" w:type="dxa"/>
            <w:bottom w:w="0" w:type="dxa"/>
            <w:right w:w="108" w:type="dxa"/>
          </w:tblCellMar>
        </w:tblPrEx>
        <w:trPr>
          <w:trHeight w:val="623"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门洞口尺寸   (宽×高）</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rPr>
            </w:pPr>
            <w:r>
              <w:rPr>
                <w:rFonts w:hint="eastAsia" w:ascii="宋体" w:hAnsi="宋体" w:cs="宋体"/>
                <w:color w:val="000000"/>
                <w:kern w:val="0"/>
                <w:szCs w:val="21"/>
                <w:lang w:bidi="ar"/>
              </w:rPr>
              <w:t>1300mmX2200mm</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1100mmX2200mm</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1100mmX2200mm</w:t>
            </w:r>
          </w:p>
          <w:p>
            <w:pPr>
              <w:widowControl/>
              <w:spacing w:line="264"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1100mmX2200mm</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1100mmX2200mm</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1100mmX2200mm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1250mmX1100mm</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1250mmX1100mm</w:t>
            </w:r>
          </w:p>
        </w:tc>
      </w:tr>
      <w:tr>
        <w:tblPrEx>
          <w:tblCellMar>
            <w:top w:w="0" w:type="dxa"/>
            <w:left w:w="108" w:type="dxa"/>
            <w:bottom w:w="0" w:type="dxa"/>
            <w:right w:w="108" w:type="dxa"/>
          </w:tblCellMar>
        </w:tblPrEx>
        <w:trPr>
          <w:trHeight w:val="1232"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井道尺寸   （宽×深）</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2500mm(宽)X2900mm（深）</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2100mm(宽)X2500mm（深）</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2200mm(宽)X2150mm（深）</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2200mm(宽)X2150mm（深）</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2200mm(宽)X2200mm（深)</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2200mm(宽)X2250mm（深）</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1500mm(宽)X1350m（深）</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2200mm(宽)X2150mm（深）</w:t>
            </w:r>
          </w:p>
        </w:tc>
      </w:tr>
      <w:tr>
        <w:tblPrEx>
          <w:tblCellMar>
            <w:top w:w="0" w:type="dxa"/>
            <w:left w:w="108" w:type="dxa"/>
            <w:bottom w:w="0" w:type="dxa"/>
            <w:right w:w="108" w:type="dxa"/>
          </w:tblCellMar>
        </w:tblPrEx>
        <w:trPr>
          <w:trHeight w:val="1232"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轿厢尺寸   （宽×深×高）</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1400mmX2400mm无高度</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1100mmX2000mm</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无高度</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1600mmX1500mm无高度</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1600mmX1500mm无高度</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1600mmX1500mm</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无高度</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1600mmX1500mm</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无高度</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1000mmX1000mmX1000mm</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1000mmX1000mmX1000mm</w:t>
            </w:r>
          </w:p>
        </w:tc>
      </w:tr>
      <w:tr>
        <w:tblPrEx>
          <w:tblCellMar>
            <w:top w:w="0" w:type="dxa"/>
            <w:left w:w="108" w:type="dxa"/>
            <w:bottom w:w="0" w:type="dxa"/>
            <w:right w:w="108" w:type="dxa"/>
          </w:tblCellMar>
        </w:tblPrEx>
        <w:trPr>
          <w:trHeight w:val="765"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开门方式</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中分两扇门</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中分两扇门</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中分两扇门</w:t>
            </w:r>
          </w:p>
          <w:p>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中分两扇门</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中分两扇门</w:t>
            </w:r>
          </w:p>
          <w:p>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中分两扇门</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手动上下中分</w:t>
            </w:r>
          </w:p>
          <w:p>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手动上下中分</w:t>
            </w:r>
          </w:p>
        </w:tc>
      </w:tr>
      <w:tr>
        <w:tblPrEx>
          <w:tblCellMar>
            <w:top w:w="0" w:type="dxa"/>
            <w:left w:w="108" w:type="dxa"/>
            <w:bottom w:w="0" w:type="dxa"/>
            <w:right w:w="108" w:type="dxa"/>
          </w:tblCellMar>
        </w:tblPrEx>
        <w:trPr>
          <w:trHeight w:val="998"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szCs w:val="21"/>
              </w:rPr>
              <w:t>门垛</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06"/>
              </w:tabs>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左侧650mm</w:t>
            </w:r>
          </w:p>
          <w:p>
            <w:pPr>
              <w:widowControl/>
              <w:tabs>
                <w:tab w:val="left" w:pos="406"/>
              </w:tabs>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右侧550mm</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左侧510mm</w:t>
            </w:r>
          </w:p>
          <w:p>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右侧490mm</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两侧550mm</w:t>
            </w:r>
          </w:p>
          <w:p>
            <w:pPr>
              <w:pStyle w:val="23"/>
              <w:spacing w:line="264" w:lineRule="auto"/>
              <w:ind w:left="0" w:leftChars="0" w:firstLine="0" w:firstLineChars="0"/>
              <w:jc w:val="center"/>
              <w:rPr>
                <w:rFonts w:ascii="宋体" w:hAnsi="宋体" w:cs="宋体"/>
              </w:rPr>
            </w:pPr>
            <w:r>
              <w:rPr>
                <w:rFonts w:hint="eastAsia" w:ascii="宋体" w:hAnsi="宋体" w:cs="宋体"/>
              </w:rPr>
              <w:t>两侧550mm</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左侧：550mm，右侧：700mm</w:t>
            </w:r>
          </w:p>
          <w:p>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左侧：550mm，右侧：700mm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左侧：250mm，右侧300mm</w:t>
            </w:r>
          </w:p>
          <w:p>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左侧：250mm，右侧300mm</w:t>
            </w:r>
          </w:p>
        </w:tc>
      </w:tr>
      <w:tr>
        <w:tblPrEx>
          <w:tblCellMar>
            <w:top w:w="0" w:type="dxa"/>
            <w:left w:w="108" w:type="dxa"/>
            <w:bottom w:w="0" w:type="dxa"/>
            <w:right w:w="108" w:type="dxa"/>
          </w:tblCellMar>
        </w:tblPrEx>
        <w:trPr>
          <w:trHeight w:val="691"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底坑深度</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3"/>
              <w:spacing w:line="264" w:lineRule="auto"/>
              <w:ind w:left="0" w:leftChars="0" w:firstLine="0" w:firstLineChars="0"/>
              <w:jc w:val="center"/>
              <w:rPr>
                <w:rFonts w:ascii="宋体" w:hAnsi="宋体" w:cs="宋体"/>
              </w:rPr>
            </w:pPr>
            <w:r>
              <w:rPr>
                <w:rFonts w:hint="eastAsia" w:ascii="宋体" w:hAnsi="宋体" w:cs="宋体"/>
                <w:color w:val="000000"/>
                <w:kern w:val="0"/>
                <w:szCs w:val="21"/>
                <w:lang w:bidi="ar"/>
              </w:rPr>
              <w:t>1600mm</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700mm</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700mm</w:t>
            </w:r>
          </w:p>
        </w:tc>
      </w:tr>
      <w:tr>
        <w:tblPrEx>
          <w:tblCellMar>
            <w:top w:w="0" w:type="dxa"/>
            <w:left w:w="108" w:type="dxa"/>
            <w:bottom w:w="0" w:type="dxa"/>
            <w:right w:w="108" w:type="dxa"/>
          </w:tblCellMar>
        </w:tblPrEx>
        <w:trPr>
          <w:trHeight w:val="705"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顶层高度</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4800mm</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4800mm</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4800mm</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4800mm</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4800mm</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4800mm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3500mm</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3500mm</w:t>
            </w:r>
          </w:p>
        </w:tc>
      </w:tr>
      <w:tr>
        <w:tblPrEx>
          <w:tblCellMar>
            <w:top w:w="0" w:type="dxa"/>
            <w:left w:w="108" w:type="dxa"/>
            <w:bottom w:w="0" w:type="dxa"/>
            <w:right w:w="108" w:type="dxa"/>
          </w:tblCellMar>
        </w:tblPrEx>
        <w:trPr>
          <w:trHeight w:val="747"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层高</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4200mm</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3200mm</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3200mm</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3200mm</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3200mm</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3200mm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3200mm</w:t>
            </w:r>
          </w:p>
          <w:p>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3200mm</w:t>
            </w:r>
          </w:p>
        </w:tc>
      </w:tr>
    </w:tbl>
    <w:p>
      <w:pPr>
        <w:jc w:val="center"/>
        <w:rPr>
          <w:rFonts w:ascii="宋体" w:hAnsi="宋体" w:cs="宋体"/>
          <w:b/>
          <w:bCs/>
          <w:szCs w:val="21"/>
        </w:rPr>
      </w:pPr>
      <w:r>
        <w:rPr>
          <w:rFonts w:hint="eastAsia" w:ascii="宋体" w:hAnsi="宋体" w:cs="宋体"/>
          <w:b/>
          <w:bCs/>
          <w:szCs w:val="21"/>
        </w:rPr>
        <w:t>以上电梯土建参数仅供参考，以投标单位到施工现场核实尺寸为准</w:t>
      </w:r>
    </w:p>
    <w:p>
      <w:pPr>
        <w:pStyle w:val="23"/>
        <w:ind w:left="0" w:leftChars="0" w:firstLine="0" w:firstLineChars="0"/>
        <w:rPr>
          <w:rFonts w:ascii="宋体" w:hAnsi="宋体" w:cs="宋体"/>
          <w:b/>
          <w:bCs/>
          <w:sz w:val="18"/>
          <w:szCs w:val="18"/>
        </w:rPr>
      </w:pPr>
    </w:p>
    <w:p>
      <w:pPr>
        <w:rPr>
          <w:rFonts w:ascii="宋体" w:hAnsi="宋体" w:cs="宋体"/>
          <w:b/>
          <w:bCs/>
          <w:sz w:val="30"/>
          <w:szCs w:val="30"/>
        </w:rPr>
      </w:pPr>
      <w:r>
        <w:rPr>
          <w:rFonts w:hint="eastAsia" w:ascii="宋体" w:hAnsi="宋体" w:cs="宋体"/>
          <w:b/>
          <w:bCs/>
          <w:sz w:val="30"/>
          <w:szCs w:val="30"/>
        </w:rPr>
        <w:t>二、电梯主要配置要求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电梯主要配置要求</w:t>
            </w:r>
          </w:p>
        </w:tc>
        <w:tc>
          <w:tcPr>
            <w:tcW w:w="6174" w:type="dxa"/>
          </w:tcPr>
          <w:p>
            <w:pPr>
              <w:widowControl/>
              <w:kinsoku w:val="0"/>
              <w:autoSpaceDE w:val="0"/>
              <w:autoSpaceDN w:val="0"/>
              <w:adjustRightInd w:val="0"/>
              <w:snapToGrid w:val="0"/>
              <w:ind w:firstLine="420" w:firstLineChars="200"/>
              <w:textAlignment w:val="baseline"/>
              <w:rPr>
                <w:rFonts w:ascii="宋体" w:hAnsi="宋体" w:cs="宋体"/>
                <w:highlight w:val="none"/>
              </w:rPr>
            </w:pPr>
            <w:r>
              <w:rPr>
                <w:rFonts w:hint="eastAsia" w:ascii="宋体" w:hAnsi="宋体" w:cs="宋体"/>
                <w:highlight w:val="none"/>
              </w:rPr>
              <w:t>1、★调速方式：变频变压调速 (VVVF)。</w:t>
            </w:r>
          </w:p>
          <w:p>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rPr>
              <w:t>2、★曳引机：采用永磁同步无齿轮曳引主机；要求原装、原厂、原品牌，需提供特种设备型式</w:t>
            </w:r>
            <w:r>
              <w:rPr>
                <w:rFonts w:hint="eastAsia" w:ascii="宋体" w:hAnsi="宋体" w:cs="宋体"/>
                <w:highlight w:val="none"/>
                <w:lang w:val="en-US" w:eastAsia="zh-CN"/>
              </w:rPr>
              <w:t>提供相关证明材料</w:t>
            </w:r>
            <w:r>
              <w:rPr>
                <w:rFonts w:hint="eastAsia" w:ascii="宋体" w:hAnsi="宋体" w:cs="宋体"/>
                <w:highlight w:val="none"/>
              </w:rPr>
              <w:t>。</w:t>
            </w:r>
          </w:p>
          <w:p>
            <w:pPr>
              <w:pStyle w:val="8"/>
              <w:widowControl/>
              <w:kinsoku w:val="0"/>
              <w:autoSpaceDE w:val="0"/>
              <w:autoSpaceDN w:val="0"/>
              <w:adjustRightInd w:val="0"/>
              <w:snapToGrid w:val="0"/>
              <w:spacing w:after="0"/>
              <w:ind w:firstLine="420" w:firstLineChars="200"/>
              <w:jc w:val="left"/>
              <w:textAlignment w:val="baseline"/>
              <w:rPr>
                <w:rFonts w:ascii="宋体" w:hAnsi="宋体" w:cs="宋体"/>
                <w:highlight w:val="none"/>
              </w:rPr>
            </w:pPr>
            <w:r>
              <w:rPr>
                <w:rFonts w:hint="eastAsia" w:ascii="宋体" w:hAnsi="宋体" w:cs="宋体"/>
                <w:highlight w:val="none"/>
              </w:rPr>
              <w:t>3、★曳引机制动器在正常工作条件下，正常动作次数 ≥200(含)万次，提供检验机构出具的</w:t>
            </w:r>
            <w:r>
              <w:rPr>
                <w:rFonts w:hint="eastAsia" w:ascii="宋体" w:hAnsi="宋体" w:cs="宋体"/>
                <w:highlight w:val="none"/>
                <w:lang w:val="en-US" w:eastAsia="zh-CN"/>
              </w:rPr>
              <w:t>提供相关证明材料</w:t>
            </w:r>
            <w:r>
              <w:rPr>
                <w:rFonts w:hint="eastAsia" w:ascii="宋体" w:hAnsi="宋体" w:cs="宋体"/>
                <w:highlight w:val="none"/>
              </w:rPr>
              <w:t>。</w:t>
            </w:r>
          </w:p>
          <w:p>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rPr>
              <w:t>4、★永磁同步门机，原厂原品牌，电机符合3C强制认证；整体通过1200万次无故障运行测试，开关门噪音65dB(A)以下，要求单独提供权威机构提供检测报告的扫描件。</w:t>
            </w:r>
          </w:p>
          <w:p>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rPr>
              <w:t>5、★控制柜：原厂原品牌，采用先进的PIM功率模块，双32位微处理器，全计算机数据网络化CANBUS串行通信技术，支持互联网监控，供电电源电压在380v±15%(57V）范围内时，仍可保持电梯正常运行。要求单独提供权威机构提供检测报告的扫描件。</w:t>
            </w:r>
          </w:p>
          <w:p>
            <w:pPr>
              <w:widowControl/>
              <w:kinsoku w:val="0"/>
              <w:autoSpaceDE w:val="0"/>
              <w:autoSpaceDN w:val="0"/>
              <w:adjustRightInd w:val="0"/>
              <w:snapToGrid w:val="0"/>
              <w:ind w:firstLine="420" w:firstLineChars="200"/>
              <w:jc w:val="left"/>
              <w:textAlignment w:val="baseline"/>
              <w:rPr>
                <w:rFonts w:hint="eastAsia" w:ascii="宋体" w:hAnsi="宋体" w:cs="宋体"/>
                <w:highlight w:val="none"/>
              </w:rPr>
            </w:pPr>
            <w:r>
              <w:rPr>
                <w:rFonts w:hint="eastAsia" w:ascii="宋体" w:hAnsi="宋体" w:cs="宋体"/>
                <w:highlight w:val="none"/>
              </w:rPr>
              <w:t>6、★限速器、缓冲器、安全钳、称重装置、钢丝绳、制动器装置(上行超速保护)等部件应符合国家标准，提供部件特种设备型式</w:t>
            </w:r>
            <w:r>
              <w:rPr>
                <w:rFonts w:hint="eastAsia" w:ascii="宋体" w:hAnsi="宋体" w:cs="宋体"/>
                <w:highlight w:val="none"/>
                <w:lang w:val="en-US" w:eastAsia="zh-CN"/>
              </w:rPr>
              <w:t>提供相关证明材料</w:t>
            </w:r>
            <w:r>
              <w:rPr>
                <w:rFonts w:hint="eastAsia" w:ascii="宋体" w:hAnsi="宋体" w:cs="宋体"/>
                <w:highlight w:val="none"/>
              </w:rPr>
              <w:t>。</w:t>
            </w:r>
          </w:p>
          <w:p>
            <w:pPr>
              <w:widowControl/>
              <w:kinsoku w:val="0"/>
              <w:autoSpaceDE w:val="0"/>
              <w:autoSpaceDN w:val="0"/>
              <w:adjustRightInd w:val="0"/>
              <w:snapToGrid w:val="0"/>
              <w:ind w:firstLine="420" w:firstLineChars="200"/>
              <w:jc w:val="left"/>
              <w:textAlignment w:val="baseline"/>
              <w:rPr>
                <w:rFonts w:hint="eastAsia" w:ascii="宋体" w:hAnsi="宋体" w:cs="宋体"/>
                <w:highlight w:val="none"/>
              </w:rPr>
            </w:pPr>
            <w:r>
              <w:rPr>
                <w:rFonts w:hint="eastAsia" w:ascii="宋体" w:hAnsi="宋体" w:cs="宋体"/>
                <w:highlight w:val="none"/>
              </w:rPr>
              <w:t>7、★门保护系统：2D 光幕门保护系统(光幕束数：≥</w:t>
            </w:r>
            <w:r>
              <w:rPr>
                <w:rFonts w:hint="eastAsia" w:ascii="宋体" w:hAnsi="宋体" w:cs="宋体"/>
                <w:highlight w:val="none"/>
                <w:lang w:val="en-US" w:eastAsia="zh-CN"/>
              </w:rPr>
              <w:t>15</w:t>
            </w:r>
            <w:r>
              <w:rPr>
                <w:rFonts w:hint="eastAsia" w:ascii="宋体" w:hAnsi="宋体" w:cs="宋体"/>
                <w:highlight w:val="none"/>
              </w:rPr>
              <w:t>4束)防护等级：I</w:t>
            </w:r>
            <w:r>
              <w:rPr>
                <w:rFonts w:ascii="宋体" w:hAnsi="宋体" w:cs="宋体"/>
                <w:highlight w:val="none"/>
              </w:rPr>
              <w:t>P65</w:t>
            </w:r>
            <w:r>
              <w:rPr>
                <w:rFonts w:hint="eastAsia" w:ascii="宋体" w:hAnsi="宋体" w:cs="宋体"/>
                <w:highlight w:val="none"/>
              </w:rPr>
              <w:t>，要求提供权威机构检测报告的扫描件。</w:t>
            </w:r>
          </w:p>
          <w:p>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lang w:val="en-US" w:eastAsia="zh-CN"/>
              </w:rPr>
              <w:t>8</w:t>
            </w:r>
            <w:r>
              <w:rPr>
                <w:rFonts w:hint="eastAsia" w:ascii="宋体" w:hAnsi="宋体" w:cs="宋体"/>
                <w:highlight w:val="none"/>
              </w:rPr>
              <w:t>、★轿厢导轨采用T型导轨。</w:t>
            </w:r>
          </w:p>
          <w:p>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lang w:val="en-US" w:eastAsia="zh-CN"/>
              </w:rPr>
              <w:t>9</w:t>
            </w:r>
            <w:r>
              <w:rPr>
                <w:rFonts w:hint="eastAsia" w:ascii="宋体" w:hAnsi="宋体" w:cs="宋体"/>
                <w:highlight w:val="none"/>
              </w:rPr>
              <w:t>、★轿厢材质：侧围壁、后围壁、前围壁材质均为</w:t>
            </w:r>
            <w:r>
              <w:rPr>
                <w:rFonts w:hint="eastAsia" w:ascii="宋体" w:hAnsi="宋体" w:cs="宋体"/>
                <w:highlight w:val="none"/>
                <w:lang w:val="en-US" w:eastAsia="zh-CN"/>
              </w:rPr>
              <w:t>304</w:t>
            </w:r>
            <w:r>
              <w:rPr>
                <w:rFonts w:hint="eastAsia" w:ascii="宋体" w:hAnsi="宋体" w:cs="宋体"/>
                <w:highlight w:val="none"/>
              </w:rPr>
              <w:t>发纹不锈钢，板材厚度1.</w:t>
            </w:r>
            <w:r>
              <w:rPr>
                <w:rFonts w:hint="eastAsia" w:ascii="宋体" w:hAnsi="宋体" w:cs="宋体"/>
                <w:highlight w:val="none"/>
                <w:lang w:val="en-US" w:eastAsia="zh-CN"/>
              </w:rPr>
              <w:t>5</w:t>
            </w:r>
            <w:r>
              <w:rPr>
                <w:rFonts w:hint="eastAsia" w:ascii="宋体" w:hAnsi="宋体" w:cs="宋体"/>
                <w:highlight w:val="none"/>
              </w:rPr>
              <w:t>mm。</w:t>
            </w:r>
          </w:p>
          <w:p>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lang w:val="en-US" w:eastAsia="zh-CN"/>
              </w:rPr>
              <w:t>10</w:t>
            </w:r>
            <w:r>
              <w:rPr>
                <w:rFonts w:hint="eastAsia" w:ascii="宋体" w:hAnsi="宋体" w:cs="宋体"/>
                <w:highlight w:val="none"/>
              </w:rPr>
              <w:t>、★轿门材质为</w:t>
            </w:r>
            <w:r>
              <w:rPr>
                <w:rFonts w:hint="eastAsia" w:ascii="宋体" w:hAnsi="宋体" w:cs="宋体"/>
                <w:highlight w:val="none"/>
                <w:lang w:val="en-US" w:eastAsia="zh-CN"/>
              </w:rPr>
              <w:t>304</w:t>
            </w:r>
            <w:r>
              <w:rPr>
                <w:rFonts w:hint="eastAsia" w:ascii="宋体" w:hAnsi="宋体" w:cs="宋体"/>
                <w:highlight w:val="none"/>
              </w:rPr>
              <w:t>发纹不锈钢，板材厚度≥1.</w:t>
            </w:r>
            <w:r>
              <w:rPr>
                <w:rFonts w:hint="eastAsia" w:ascii="宋体" w:hAnsi="宋体" w:cs="宋体"/>
                <w:highlight w:val="none"/>
                <w:lang w:val="en-US" w:eastAsia="zh-CN"/>
              </w:rPr>
              <w:t>5</w:t>
            </w:r>
            <w:r>
              <w:rPr>
                <w:rFonts w:hint="eastAsia" w:ascii="宋体" w:hAnsi="宋体" w:cs="宋体"/>
                <w:highlight w:val="none"/>
              </w:rPr>
              <w:t>mm。</w:t>
            </w:r>
          </w:p>
          <w:p>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、★厅门为</w:t>
            </w:r>
            <w:r>
              <w:rPr>
                <w:rFonts w:hint="eastAsia" w:ascii="宋体" w:hAnsi="宋体" w:cs="宋体"/>
                <w:highlight w:val="none"/>
                <w:lang w:val="en-US" w:eastAsia="zh-CN"/>
              </w:rPr>
              <w:t>304</w:t>
            </w:r>
            <w:r>
              <w:rPr>
                <w:rFonts w:hint="eastAsia" w:ascii="宋体" w:hAnsi="宋体" w:cs="宋体"/>
                <w:highlight w:val="none"/>
              </w:rPr>
              <w:t>发纹不锈钢，板材厚度≥</w:t>
            </w:r>
            <w:r>
              <w:rPr>
                <w:rFonts w:ascii="宋体" w:hAnsi="宋体" w:cs="宋体"/>
                <w:highlight w:val="none"/>
              </w:rPr>
              <w:t>1.</w:t>
            </w:r>
            <w:r>
              <w:rPr>
                <w:rFonts w:hint="eastAsia" w:ascii="宋体" w:hAnsi="宋体" w:cs="宋体"/>
                <w:highlight w:val="none"/>
                <w:lang w:val="en-US" w:eastAsia="zh-CN"/>
              </w:rPr>
              <w:t>5</w:t>
            </w:r>
            <w:r>
              <w:rPr>
                <w:rFonts w:hint="eastAsia" w:ascii="宋体" w:hAnsi="宋体" w:cs="宋体"/>
                <w:highlight w:val="none"/>
              </w:rPr>
              <w:t>mm。门套材质为</w:t>
            </w:r>
            <w:r>
              <w:rPr>
                <w:rFonts w:hint="eastAsia" w:ascii="宋体" w:hAnsi="宋体" w:cs="宋体"/>
                <w:highlight w:val="none"/>
                <w:lang w:val="en-US" w:eastAsia="zh-CN"/>
              </w:rPr>
              <w:t>304</w:t>
            </w:r>
            <w:r>
              <w:rPr>
                <w:rFonts w:hint="eastAsia" w:ascii="宋体" w:hAnsi="宋体" w:cs="宋体"/>
                <w:highlight w:val="none"/>
              </w:rPr>
              <w:t>发纹不锈钢，板材厚度≥1.</w:t>
            </w:r>
            <w:r>
              <w:rPr>
                <w:rFonts w:ascii="宋体" w:hAnsi="宋体" w:cs="宋体"/>
                <w:highlight w:val="none"/>
              </w:rPr>
              <w:t>5</w:t>
            </w:r>
            <w:r>
              <w:rPr>
                <w:rFonts w:hint="eastAsia" w:ascii="宋体" w:hAnsi="宋体" w:cs="宋体"/>
                <w:highlight w:val="none"/>
              </w:rPr>
              <w:t>mm。</w:t>
            </w:r>
          </w:p>
          <w:p>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highlight w:val="none"/>
              </w:rPr>
              <w:t>、★噪声要求：机房≤80dB(A) 、 轿厢内≤55dB(A) 、 开关门≤65dB(A)。</w:t>
            </w:r>
          </w:p>
          <w:p>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3</w:t>
            </w:r>
            <w:r>
              <w:rPr>
                <w:rFonts w:hint="eastAsia" w:ascii="宋体" w:hAnsi="宋体" w:cs="宋体"/>
                <w:highlight w:val="none"/>
              </w:rPr>
              <w:t>、★按钮：寿命大于</w:t>
            </w:r>
            <w:r>
              <w:rPr>
                <w:rFonts w:hint="eastAsia" w:ascii="宋体" w:hAnsi="宋体" w:cs="宋体"/>
                <w:highlight w:val="none"/>
                <w:lang w:val="en-US" w:eastAsia="zh-CN"/>
              </w:rPr>
              <w:t>500</w:t>
            </w:r>
            <w:r>
              <w:rPr>
                <w:rFonts w:hint="eastAsia" w:ascii="宋体" w:hAnsi="宋体" w:cs="宋体"/>
                <w:highlight w:val="none"/>
              </w:rPr>
              <w:t>万次。</w:t>
            </w:r>
          </w:p>
          <w:p>
            <w:pPr>
              <w:pStyle w:val="8"/>
              <w:widowControl/>
              <w:kinsoku w:val="0"/>
              <w:autoSpaceDE w:val="0"/>
              <w:autoSpaceDN w:val="0"/>
              <w:adjustRightInd w:val="0"/>
              <w:snapToGrid w:val="0"/>
              <w:spacing w:after="0"/>
              <w:ind w:firstLine="420" w:firstLineChars="200"/>
              <w:jc w:val="left"/>
              <w:textAlignment w:val="baseline"/>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4</w:t>
            </w:r>
            <w:r>
              <w:rPr>
                <w:rFonts w:hint="eastAsia" w:ascii="宋体" w:hAnsi="宋体" w:cs="宋体"/>
                <w:highlight w:val="none"/>
              </w:rPr>
              <w:t>、★无机房客梯载重 1000kg 速度 1.0m/s 以内，提供整机原厂原品牌报告。</w:t>
            </w:r>
          </w:p>
          <w:p>
            <w:pPr>
              <w:pStyle w:val="8"/>
              <w:widowControl/>
              <w:kinsoku w:val="0"/>
              <w:autoSpaceDE w:val="0"/>
              <w:autoSpaceDN w:val="0"/>
              <w:adjustRightInd w:val="0"/>
              <w:snapToGrid w:val="0"/>
              <w:spacing w:after="0"/>
              <w:ind w:firstLine="420" w:firstLineChars="200"/>
              <w:jc w:val="left"/>
              <w:textAlignment w:val="baseline"/>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5</w:t>
            </w:r>
            <w:r>
              <w:rPr>
                <w:rFonts w:hint="eastAsia" w:ascii="宋体" w:hAnsi="宋体" w:cs="宋体"/>
                <w:highlight w:val="none"/>
              </w:rPr>
              <w:t>、★有机房客梯载重 1000kg 速度 1.0m/s 以内，提供整机原厂原品牌报告。</w:t>
            </w:r>
          </w:p>
          <w:p>
            <w:pPr>
              <w:pStyle w:val="8"/>
              <w:widowControl/>
              <w:kinsoku w:val="0"/>
              <w:autoSpaceDE w:val="0"/>
              <w:autoSpaceDN w:val="0"/>
              <w:adjustRightInd w:val="0"/>
              <w:snapToGrid w:val="0"/>
              <w:spacing w:after="0"/>
              <w:ind w:firstLine="420" w:firstLineChars="200"/>
              <w:jc w:val="left"/>
              <w:textAlignment w:val="baseline"/>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6</w:t>
            </w:r>
            <w:r>
              <w:rPr>
                <w:rFonts w:hint="eastAsia" w:ascii="宋体" w:hAnsi="宋体" w:cs="宋体"/>
                <w:highlight w:val="none"/>
              </w:rPr>
              <w:t>、★光幕接收管数目≥4</w:t>
            </w:r>
            <w:r>
              <w:rPr>
                <w:rFonts w:ascii="宋体" w:hAnsi="宋体" w:cs="宋体"/>
                <w:highlight w:val="none"/>
              </w:rPr>
              <w:t>0</w:t>
            </w:r>
            <w:r>
              <w:rPr>
                <w:rFonts w:hint="eastAsia" w:ascii="宋体" w:hAnsi="宋体" w:cs="宋体"/>
                <w:highlight w:val="none"/>
              </w:rPr>
              <w:t>对</w:t>
            </w:r>
          </w:p>
          <w:p>
            <w:pPr>
              <w:pStyle w:val="8"/>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420" w:firstLineChars="200"/>
              <w:jc w:val="left"/>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17、★制造商获得中国合格评定国家认可委员会实验室认可证书，且检测能力范围内含电梯电引机(包含电机耐压、电动机能源效率、振动、电机绝缘电阻、电磁铁最低吸合电压和最高释放电压)检测，提供检测证书及报告。</w:t>
            </w:r>
          </w:p>
          <w:p>
            <w:pPr>
              <w:pStyle w:val="8"/>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420" w:firstLineChars="200"/>
              <w:jc w:val="left"/>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18、★制造商获得电梯乘运质量证书，</w:t>
            </w:r>
            <w:r>
              <w:rPr>
                <w:rFonts w:hint="eastAsia" w:ascii="宋体" w:hAnsi="宋体" w:cs="宋体"/>
                <w:highlight w:val="none"/>
                <w:lang w:val="en-US" w:eastAsia="zh-CN"/>
              </w:rPr>
              <w:t>提供相关证明材料</w:t>
            </w:r>
            <w:r>
              <w:rPr>
                <w:rFonts w:hint="eastAsia" w:ascii="宋体" w:hAnsi="宋体" w:eastAsia="宋体" w:cs="宋体"/>
                <w:highlight w:val="none"/>
                <w:lang w:val="en-US"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420" w:firstLineChars="200"/>
              <w:jc w:val="left"/>
              <w:textAlignment w:val="baseline"/>
              <w:rPr>
                <w:rFonts w:hint="eastAsia"/>
                <w:highlight w:val="none"/>
              </w:rPr>
            </w:pPr>
            <w:r>
              <w:rPr>
                <w:rFonts w:hint="eastAsia" w:ascii="宋体" w:hAnsi="宋体" w:eastAsia="宋体" w:cs="宋体"/>
                <w:highlight w:val="none"/>
                <w:lang w:val="en-US" w:eastAsia="zh-CN"/>
              </w:rPr>
              <w:t>19、★制造商获得电梯能效 A 级证书，</w:t>
            </w:r>
            <w:r>
              <w:rPr>
                <w:rFonts w:hint="eastAsia" w:ascii="宋体" w:hAnsi="宋体" w:cs="宋体"/>
                <w:highlight w:val="none"/>
                <w:lang w:val="en-US" w:eastAsia="zh-CN"/>
              </w:rPr>
              <w:t>并</w:t>
            </w:r>
            <w:r>
              <w:rPr>
                <w:rFonts w:hint="eastAsia" w:ascii="宋体" w:hAnsi="宋体" w:eastAsia="宋体" w:cs="宋体"/>
                <w:highlight w:val="none"/>
                <w:lang w:val="en-US" w:eastAsia="zh-CN"/>
              </w:rPr>
              <w:t>提供</w:t>
            </w:r>
            <w:r>
              <w:rPr>
                <w:rFonts w:hint="eastAsia" w:ascii="宋体" w:hAnsi="宋体" w:cs="宋体"/>
                <w:highlight w:val="none"/>
                <w:lang w:val="en-US" w:eastAsia="zh-CN"/>
              </w:rPr>
              <w:t>加盖公章的扫描件</w:t>
            </w:r>
            <w:r>
              <w:rPr>
                <w:rFonts w:hint="eastAsia" w:ascii="宋体" w:hAnsi="宋体" w:eastAsia="宋体" w:cs="宋体"/>
                <w:highlight w:val="none"/>
                <w:lang w:val="en-US" w:eastAsia="zh-CN"/>
              </w:rPr>
              <w:t>。</w:t>
            </w:r>
          </w:p>
          <w:p>
            <w:pPr>
              <w:ind w:firstLine="435"/>
              <w:rPr>
                <w:rFonts w:hint="eastAsia" w:ascii="宋体" w:hAnsi="宋体" w:cs="宋体"/>
                <w:highlight w:val="none"/>
              </w:rPr>
            </w:pPr>
            <w:r>
              <w:rPr>
                <w:rFonts w:hint="eastAsia"/>
                <w:highlight w:val="none"/>
              </w:rPr>
              <w:t>2</w:t>
            </w:r>
            <w:r>
              <w:rPr>
                <w:rFonts w:hint="eastAsia"/>
                <w:highlight w:val="none"/>
                <w:lang w:val="en-US" w:eastAsia="zh-CN"/>
              </w:rPr>
              <w:t>0</w:t>
            </w:r>
            <w:r>
              <w:rPr>
                <w:rFonts w:hint="eastAsia"/>
                <w:highlight w:val="none"/>
              </w:rPr>
              <w:t>、</w:t>
            </w:r>
            <w:r>
              <w:rPr>
                <w:rFonts w:hint="eastAsia" w:ascii="宋体" w:hAnsi="宋体" w:cs="宋体"/>
                <w:highlight w:val="none"/>
              </w:rPr>
              <w:t>★投标品牌保险：所投产品具备产品责任险</w:t>
            </w:r>
            <w:r>
              <w:rPr>
                <w:rFonts w:hint="eastAsia" w:ascii="宋体" w:hAnsi="宋体" w:cs="宋体"/>
                <w:highlight w:val="none"/>
                <w:lang w:eastAsia="zh-CN"/>
              </w:rPr>
              <w:t>，</w:t>
            </w:r>
            <w:r>
              <w:rPr>
                <w:rFonts w:hint="eastAsia" w:ascii="宋体" w:hAnsi="宋体" w:cs="宋体"/>
                <w:highlight w:val="none"/>
                <w:lang w:val="en-US" w:eastAsia="zh-CN"/>
              </w:rPr>
              <w:t>提供保单</w:t>
            </w:r>
            <w:r>
              <w:rPr>
                <w:rFonts w:hint="eastAsia" w:ascii="Arial" w:hAnsi="Arial" w:cs="Arial"/>
                <w:color w:val="333333"/>
                <w:szCs w:val="21"/>
                <w:highlight w:val="none"/>
                <w:shd w:val="clear" w:color="auto" w:fill="FFFFFF"/>
              </w:rPr>
              <w:t>。</w:t>
            </w:r>
          </w:p>
        </w:tc>
      </w:tr>
    </w:tbl>
    <w:p>
      <w:pPr>
        <w:widowControl/>
        <w:jc w:val="center"/>
        <w:textAlignment w:val="center"/>
        <w:rPr>
          <w:rFonts w:ascii="宋体" w:hAnsi="宋体" w:cs="宋体"/>
          <w:b/>
          <w:bCs/>
          <w:szCs w:val="21"/>
        </w:rPr>
      </w:pPr>
      <w:r>
        <w:rPr>
          <w:rFonts w:hint="eastAsia" w:ascii="宋体" w:hAnsi="宋体" w:cs="宋体"/>
          <w:b/>
          <w:bCs/>
          <w:color w:val="000000"/>
          <w:kern w:val="0"/>
          <w:szCs w:val="21"/>
          <w:lang w:bidi="ar"/>
        </w:rPr>
        <w:t>注：以上技术要求要最大化限度满足节能、环保要求。</w:t>
      </w:r>
    </w:p>
    <w:p>
      <w:pPr>
        <w:rPr>
          <w:rFonts w:ascii="宋体" w:hAnsi="宋体" w:cs="宋体"/>
          <w:b/>
          <w:bCs/>
          <w:sz w:val="32"/>
          <w:szCs w:val="32"/>
        </w:rPr>
      </w:pPr>
      <w:r>
        <w:rPr>
          <w:rFonts w:hint="eastAsia" w:ascii="宋体" w:hAnsi="宋体" w:cs="宋体"/>
          <w:b/>
          <w:bCs/>
          <w:sz w:val="32"/>
          <w:szCs w:val="32"/>
        </w:rPr>
        <w:t>三、电梯功能配置：（功能要求如下，但不限于下述功能）</w:t>
      </w:r>
    </w:p>
    <w:tbl>
      <w:tblPr>
        <w:tblStyle w:val="24"/>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7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10" w:type="dxa"/>
            <w:vMerge w:val="restart"/>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控制和安全保护</w:t>
            </w: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电梯受阻失速保护</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当曳引钢丝绳打滑达到预定时间时，电梯停止运行。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制动器冗余保护</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当一组制动器发生故障时，其余制动器也可以实现电梯有效制动。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电气安全回路保护</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串联在一起的电器安全装置一旦动作，则阻止电梯运行。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层高自测定</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自动测量并记录层高数据。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检修操作</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供维修人员使用的检修运行模式。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故障自动存储功能</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当有故障发生时，电梯可以自动存储故障发生的资料，远程监控电脑能调取自动存储故障记录。方便维修保养工作。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称重启动</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电梯根据轿厢内的负载，调整启动力矩(或通过力矩补偿给予优化)，以使电梯启动平稳。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过电流保护</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检测到整流装置或逆变装置电流过大，则停止电梯运行。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超速保护</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检测到运行速度超出允许值时，则停止电梯运行。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电机过热保护</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检测到电机过热，则停止电梯运行。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过电压保护</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检测到整流装置或逆变装置电压过高，则停止电梯运行。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电源故障保护</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电源发生缺断相、欠压等故障时，则停止电梯运行。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上电再平层</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由于断电引起轿厢停在门区范围内，当电源恢复后轿厢将再平层到平层位置。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逆行保护（扶梯）</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检测到电梯逆行，则停止电梯运行。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安全停靠</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电梯因故停在门区外时，控制器进行安全检测，若符合启动要求，则电梯就近停层开门。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停层开门</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电梯停层后自动开门。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逆变装置高温检测</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检测到逆变装置过热，则停止电梯运行。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过低速保护</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检测到运行速度低于允许值时，则停止电梯运行。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210" w:type="dxa"/>
            <w:vMerge w:val="restart"/>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操作和服务</w:t>
            </w: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满载直驶</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轿厢载荷超过额定载重的80%（可以调整）时，电梯不响应沿途的层站召唤。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操纵箱微机异常处理</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当操纵箱微机发生异常时，就近层停靠后，电梯不能再启动。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轿内反向指令消除</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电梯自动运行时，当电梯沿途响应完最后一个轿内指令或层站召唤后，系统自动检查并消除余下的轿内指令。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轿内照明风扇自动关闭</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电梯无方向待机一定时间后，轿内照明/风扇自动关闭。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故障自动检测功能</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当有电梯运行过程中的异常、故障发生时，电梯可以自动检测故障发生的原因，位置和状态等并分级处理。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轿内误指令自动消除</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如果轿厢内已登记的指令数与乘客数不符，为避免不必要的停层取消所有指令。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层站运行控制开关</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通过操作指定层站上安装的“运行/停止”钥匙开关，开启或关闭电梯。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独立运行</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使用操纵箱内“独立”开关，可以在不中断运行的情况下，只响应轿内指令而不响应层站召唤。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次层停靠</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电梯到达目的层后，若轿厢门不能完全开启，则关门后继续向下一层运行，直到门能完全开启后，恢复正常运行。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超载报警保护功能</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轿厢超载时，电梯保持开门并且轿内蜂鸣器鸣响，并停止于该层。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检修操作功能</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控制电梯进行慢速点动运行，方便电梯检修保养工作。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10" w:type="dxa"/>
            <w:vMerge w:val="restart"/>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应急运行</w:t>
            </w: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轿箱紧急照明</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当正常供电电源断电时，立即提供轿厢紧急照明。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紧急报警装置</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紧急时按下该装置，可与设立的电梯机房、值班室或监控中心及时联系。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消防专用与紧急迫降</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遇见消防紧急情况时,消防员开关动作，立即取消所有层站召唤和轿内指令，电梯返回到预定层站并开门后，电梯由消防员控制运行。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10" w:type="dxa"/>
            <w:vMerge w:val="restart"/>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门操作</w:t>
            </w: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关门保护</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当轿厢门不能完全关闭时，门反向开启。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换向重开门</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电梯门开状态，前行方向上没有轿内和层站指令，且该层站的相反方向的层站召唤已被登记，电梯关门后立即重开。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开门保持时间自动调整</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根据层站召唤或轿内指令自动调整开门保持时间。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开关门力矩自动控制</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电梯开关门遇到额外阻力时，门系统自动增大力矩。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即时关门</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电梯停站开门后，按下关门按钮，门立即关闭。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光幕门保护</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在关门期间，检测到门位置有乘客或物体时，重新开门。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重复关门</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如果关门受阻，电梯就会重复关门动作，直到杂物被清除。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本层再开门</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关门过程中，按同方向层站召唤按钮，电梯重新开门。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10" w:type="dxa"/>
            <w:vMerge w:val="restart"/>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信息和显示</w:t>
            </w: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层站自动运行指示</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层站显示器显示电梯处于自动运行状态。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层站直达运行指示</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层站显示器显示电梯运行处于（直达运行）状态。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运行方向指示</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轿厢内外均有箭头指示电梯其运行方向。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开关门按钮指示</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按下开或关门按钮时,其相应的灯同时亮。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层站到站显示</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指示电梯到达及其运行方向。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五方通话</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（轿厢、机房、轿顶、底坑、值班室五方对讲通话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轿内超载指示</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超载时钟鸣响提示,指示灯亮并停止运行。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盲文按钮</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所有按钮配盲文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pPr>
              <w:widowControl/>
              <w:jc w:val="left"/>
              <w:textAlignment w:val="center"/>
              <w:rPr>
                <w:rFonts w:ascii="宋体" w:hAnsi="宋体" w:cs="宋体"/>
                <w:color w:val="000000"/>
                <w:kern w:val="0"/>
                <w:szCs w:val="21"/>
                <w:lang w:bidi="ar"/>
              </w:rPr>
            </w:pPr>
          </w:p>
        </w:tc>
        <w:tc>
          <w:tcPr>
            <w:tcW w:w="174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预留视频电缆</w:t>
            </w:r>
          </w:p>
        </w:tc>
        <w:tc>
          <w:tcPr>
            <w:tcW w:w="5598"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预留视频电缆</w:t>
            </w:r>
          </w:p>
        </w:tc>
      </w:tr>
    </w:tbl>
    <w:p>
      <w:pPr>
        <w:widowControl/>
        <w:jc w:val="left"/>
        <w:rPr>
          <w:rFonts w:ascii="宋体" w:cs="宋体"/>
          <w:kern w:val="0"/>
          <w:sz w:val="24"/>
        </w:rPr>
      </w:pPr>
      <w:r>
        <w:rPr>
          <w:rFonts w:hint="eastAsia" w:ascii="宋体" w:cs="宋体"/>
          <w:kern w:val="0"/>
          <w:sz w:val="24"/>
        </w:rPr>
        <w:t>※</w:t>
      </w:r>
      <w:r>
        <w:rPr>
          <w:rFonts w:ascii="宋体" w:cs="宋体"/>
          <w:kern w:val="0"/>
          <w:sz w:val="24"/>
        </w:rPr>
        <w:t>说明：</w:t>
      </w:r>
    </w:p>
    <w:p>
      <w:pPr>
        <w:widowControl/>
        <w:ind w:firstLine="480" w:firstLineChars="200"/>
        <w:jc w:val="left"/>
        <w:rPr>
          <w:rFonts w:ascii="宋体" w:cs="宋体"/>
          <w:kern w:val="0"/>
          <w:sz w:val="24"/>
        </w:rPr>
      </w:pPr>
      <w:r>
        <w:rPr>
          <w:rFonts w:ascii="宋体" w:cs="宋体"/>
          <w:kern w:val="0"/>
          <w:sz w:val="24"/>
        </w:rPr>
        <w:t>为保证招标的合法性、公平性，投标人认为上述技术需求指标存在排他性或歧视性的，可在收到或下载招标文件之日起七个工作日内提出并附相关证据，招标人将及时进行调查或组织论证，如情况属实，招标人将对上述相关技术需求指标做相应修改。</w:t>
      </w:r>
    </w:p>
    <w:p>
      <w:pPr>
        <w:widowControl/>
        <w:ind w:firstLine="480" w:firstLineChars="200"/>
        <w:jc w:val="left"/>
        <w:rPr>
          <w:rFonts w:ascii="宋体" w:cs="宋体"/>
          <w:kern w:val="0"/>
          <w:sz w:val="24"/>
        </w:rPr>
      </w:pPr>
      <w:r>
        <w:rPr>
          <w:rFonts w:ascii="宋体" w:cs="宋体"/>
          <w:kern w:val="0"/>
          <w:sz w:val="24"/>
        </w:rPr>
        <w:t>招标人在技术需求中指出的工艺、材料和货物的标准以及参照的技术参数或型号仅起说明作用，并没有任何限制性，投标人在投标中可以选用其他替代标准、技术参数或型号，但这些替代要实质上优于或相当于技术规格的要求。</w:t>
      </w:r>
    </w:p>
    <w:p>
      <w:pPr>
        <w:rPr>
          <w:rFonts w:ascii="宋体" w:hAnsi="宋体" w:cs="宋体"/>
          <w:b/>
          <w:bCs/>
          <w:sz w:val="32"/>
          <w:szCs w:val="32"/>
        </w:rPr>
      </w:pPr>
    </w:p>
    <w:p>
      <w:pPr>
        <w:rPr>
          <w:rFonts w:ascii="宋体" w:hAnsi="宋体" w:cs="宋体"/>
          <w:b/>
          <w:bCs/>
          <w:sz w:val="32"/>
          <w:szCs w:val="32"/>
        </w:rPr>
      </w:pPr>
      <w:r>
        <w:rPr>
          <w:rFonts w:hint="eastAsia" w:ascii="宋体" w:hAnsi="宋体" w:cs="宋体"/>
          <w:b/>
          <w:bCs/>
          <w:sz w:val="32"/>
          <w:szCs w:val="32"/>
        </w:rPr>
        <w:t>四、对供应商的售后（服务）要求：</w:t>
      </w:r>
    </w:p>
    <w:p>
      <w:pPr>
        <w:rPr>
          <w:rFonts w:ascii="宋体" w:hAnsi="宋体" w:cs="宋体"/>
          <w:sz w:val="24"/>
          <w:szCs w:val="24"/>
          <w:u w:val="single"/>
        </w:rPr>
      </w:pPr>
      <w:r>
        <w:rPr>
          <w:rFonts w:hint="eastAsia" w:ascii="宋体" w:hAnsi="宋体" w:cs="宋体"/>
          <w:sz w:val="24"/>
          <w:szCs w:val="24"/>
        </w:rPr>
        <w:t>1、</w:t>
      </w:r>
      <w:r>
        <w:rPr>
          <w:rFonts w:hint="eastAsia" w:ascii="宋体" w:hAnsi="宋体" w:cs="宋体"/>
          <w:sz w:val="24"/>
          <w:szCs w:val="24"/>
          <w:u w:val="single"/>
        </w:rPr>
        <w:t>概述</w:t>
      </w:r>
    </w:p>
    <w:p>
      <w:pPr>
        <w:spacing w:line="360" w:lineRule="auto"/>
        <w:ind w:firstLine="240" w:firstLineChars="100"/>
        <w:rPr>
          <w:rFonts w:ascii="宋体" w:hAnsi="宋体" w:cs="宋体"/>
          <w:sz w:val="24"/>
          <w:szCs w:val="24"/>
        </w:rPr>
      </w:pPr>
      <w:r>
        <w:rPr>
          <w:rFonts w:hint="eastAsia" w:ascii="宋体" w:hAnsi="宋体" w:cs="宋体"/>
          <w:sz w:val="24"/>
          <w:szCs w:val="24"/>
        </w:rPr>
        <w:t>1.1供应商需提供全面的电梯供货售后服务，包括售前咨询、产品供货、安装调试、产品维护、故障修复和技术支持等。</w:t>
      </w:r>
    </w:p>
    <w:p>
      <w:pPr>
        <w:spacing w:line="360" w:lineRule="auto"/>
        <w:ind w:firstLine="240" w:firstLineChars="100"/>
        <w:rPr>
          <w:rFonts w:ascii="宋体" w:hAnsi="宋体" w:cs="宋体"/>
          <w:sz w:val="24"/>
          <w:szCs w:val="24"/>
        </w:rPr>
      </w:pPr>
      <w:r>
        <w:rPr>
          <w:rFonts w:hint="eastAsia" w:ascii="宋体" w:hAnsi="宋体" w:cs="宋体"/>
          <w:sz w:val="24"/>
          <w:szCs w:val="24"/>
        </w:rPr>
        <w:t>1.2免费维修保养工作范围包括对所有电梯装置及机房、井道、底坑之装置作系统。建立定期巡检制度，对电梯设备进行定期维护;定期检查电梯设备的电气、传动、制动等部件，确保其正常运行;提供电梯设备养护建议，延长设备寿命。定期巡查、调试和润滑及在有需要时更换损坏及故障的设施。</w:t>
      </w:r>
    </w:p>
    <w:p>
      <w:pPr>
        <w:spacing w:line="360" w:lineRule="auto"/>
        <w:ind w:firstLine="240" w:firstLineChars="100"/>
        <w:rPr>
          <w:rFonts w:ascii="宋体" w:hAnsi="宋体" w:cs="宋体"/>
          <w:sz w:val="24"/>
          <w:szCs w:val="24"/>
        </w:rPr>
      </w:pPr>
      <w:r>
        <w:rPr>
          <w:rFonts w:hint="eastAsia" w:ascii="宋体" w:hAnsi="宋体" w:cs="宋体"/>
          <w:sz w:val="24"/>
          <w:szCs w:val="24"/>
        </w:rPr>
        <w:t>1.3当有需要时供应商须修理或更换电梯装置的电力和机械的部分。</w:t>
      </w:r>
    </w:p>
    <w:p>
      <w:pPr>
        <w:spacing w:line="360" w:lineRule="auto"/>
        <w:ind w:firstLine="240" w:firstLineChars="100"/>
        <w:rPr>
          <w:rFonts w:ascii="宋体" w:hAnsi="宋体" w:cs="宋体"/>
          <w:sz w:val="24"/>
          <w:szCs w:val="24"/>
        </w:rPr>
      </w:pPr>
      <w:r>
        <w:rPr>
          <w:rFonts w:hint="eastAsia" w:ascii="宋体" w:hAnsi="宋体" w:cs="宋体"/>
          <w:sz w:val="24"/>
          <w:szCs w:val="24"/>
        </w:rPr>
        <w:t>1.4在免费维修保养期结束时，须由二名合格的电梯工程师对电梯进行另一次测试，任何缺陷必须由中标方自费修理。</w:t>
      </w:r>
    </w:p>
    <w:p>
      <w:pPr>
        <w:pStyle w:val="23"/>
        <w:ind w:left="0" w:leftChars="0" w:firstLine="240" w:firstLineChars="100"/>
        <w:rPr>
          <w:rFonts w:ascii="宋体" w:hAnsi="宋体" w:cs="宋体"/>
          <w:sz w:val="24"/>
          <w:szCs w:val="24"/>
        </w:rPr>
      </w:pPr>
      <w:r>
        <w:rPr>
          <w:rFonts w:hint="eastAsia" w:ascii="宋体" w:hAnsi="宋体" w:cs="宋体"/>
          <w:sz w:val="24"/>
          <w:szCs w:val="24"/>
        </w:rPr>
        <w:t>1.5供应商应提供包括热线咨询、现场指导、远程技术支持、现场故障排除、故障设备维修、系统软件升级等各种技术服务。依照产品所发生问题的严重性，提供如下维护工作:</w:t>
      </w:r>
    </w:p>
    <w:p>
      <w:pPr>
        <w:pStyle w:val="23"/>
        <w:ind w:left="0" w:leftChars="0" w:firstLine="240" w:firstLineChars="100"/>
        <w:rPr>
          <w:rFonts w:ascii="宋体" w:hAnsi="宋体" w:cs="宋体"/>
          <w:sz w:val="24"/>
          <w:szCs w:val="24"/>
        </w:rPr>
      </w:pPr>
      <w:r>
        <w:rPr>
          <w:rFonts w:hint="eastAsia" w:ascii="宋体" w:hAnsi="宋体" w:cs="宋体"/>
          <w:sz w:val="24"/>
          <w:szCs w:val="24"/>
        </w:rPr>
        <w:t>（1）承诺在服务周期内提供免费技术支持。</w:t>
      </w:r>
    </w:p>
    <w:p>
      <w:pPr>
        <w:pStyle w:val="23"/>
        <w:ind w:left="0" w:leftChars="0" w:firstLine="240" w:firstLineChars="100"/>
        <w:rPr>
          <w:rFonts w:ascii="宋体" w:hAnsi="宋体" w:cs="宋体"/>
          <w:sz w:val="24"/>
          <w:szCs w:val="24"/>
        </w:rPr>
      </w:pPr>
      <w:r>
        <w:rPr>
          <w:rFonts w:hint="eastAsia" w:ascii="宋体" w:hAnsi="宋体" w:cs="宋体"/>
          <w:sz w:val="24"/>
          <w:szCs w:val="24"/>
        </w:rPr>
        <w:t>（2）保证开通 7X24 小时的热线服务电话随时解答系统的问题，可直接与有关技术人员进行定期和不定期的技术咨询和联络。</w:t>
      </w:r>
    </w:p>
    <w:p>
      <w:pPr>
        <w:pStyle w:val="23"/>
        <w:ind w:left="0" w:leftChars="0" w:firstLine="240" w:firstLineChars="100"/>
        <w:rPr>
          <w:rFonts w:ascii="宋体" w:hAnsi="宋体" w:cs="宋体"/>
          <w:sz w:val="24"/>
          <w:szCs w:val="24"/>
        </w:rPr>
      </w:pPr>
      <w:r>
        <w:rPr>
          <w:rFonts w:hint="eastAsia" w:ascii="宋体" w:hAnsi="宋体" w:cs="宋体"/>
          <w:sz w:val="24"/>
          <w:szCs w:val="24"/>
        </w:rPr>
        <w:t>（3）针对需方的实际需求，从机器体系架构的角度提供专业的咨询。</w:t>
      </w:r>
    </w:p>
    <w:p>
      <w:pPr>
        <w:pStyle w:val="23"/>
        <w:ind w:left="0" w:leftChars="0" w:firstLine="240" w:firstLineChars="100"/>
        <w:rPr>
          <w:rFonts w:ascii="宋体" w:hAnsi="宋体" w:cs="宋体"/>
          <w:sz w:val="24"/>
          <w:szCs w:val="24"/>
        </w:rPr>
      </w:pPr>
      <w:r>
        <w:rPr>
          <w:rFonts w:hint="eastAsia" w:ascii="宋体" w:hAnsi="宋体" w:cs="宋体"/>
          <w:sz w:val="24"/>
          <w:szCs w:val="24"/>
        </w:rPr>
        <w:t>（4）提供应用升级风险预测，制定专业的升级方案并配合应用测试上线。</w:t>
      </w:r>
    </w:p>
    <w:p>
      <w:pPr>
        <w:pStyle w:val="23"/>
        <w:ind w:left="0" w:leftChars="0" w:firstLine="240" w:firstLineChars="100"/>
        <w:rPr>
          <w:rFonts w:ascii="宋体" w:hAnsi="宋体" w:cs="宋体"/>
          <w:sz w:val="24"/>
          <w:szCs w:val="24"/>
        </w:rPr>
      </w:pPr>
      <w:r>
        <w:rPr>
          <w:rFonts w:hint="eastAsia" w:ascii="宋体" w:hAnsi="宋体" w:cs="宋体"/>
          <w:sz w:val="24"/>
          <w:szCs w:val="24"/>
        </w:rPr>
        <w:t>（5）性能调优:根据需方的系统现状，运维人员对参数配置进行适当的调整，从而更好的发挥系统的性能。</w:t>
      </w:r>
    </w:p>
    <w:p>
      <w:pPr>
        <w:pStyle w:val="23"/>
        <w:ind w:left="0" w:leftChars="0" w:firstLine="240" w:firstLineChars="100"/>
        <w:rPr>
          <w:rFonts w:ascii="宋体" w:hAnsi="宋体" w:cs="宋体"/>
          <w:sz w:val="24"/>
          <w:szCs w:val="24"/>
        </w:rPr>
      </w:pPr>
      <w:r>
        <w:rPr>
          <w:rFonts w:hint="eastAsia" w:ascii="宋体" w:hAnsi="宋体" w:cs="宋体"/>
          <w:sz w:val="24"/>
          <w:szCs w:val="24"/>
        </w:rPr>
        <w:t>（6）在出现问题后，技术人员应在现场协助相关管理人员一同进行诊断，启动问题管理流程并展开测试和验证，查找出现问题的原因，尽快排除故障。若出现重大故障不能运行，4小时内现场人员仍无法排除的，有责任提供更高级别的技术人员在规定的服务时间内赶赴现场处理，将损失降到最低</w:t>
      </w:r>
    </w:p>
    <w:p>
      <w:pPr>
        <w:pStyle w:val="23"/>
        <w:ind w:left="0" w:leftChars="0" w:firstLine="240" w:firstLineChars="100"/>
        <w:rPr>
          <w:rFonts w:ascii="宋体" w:hAnsi="宋体" w:cs="宋体"/>
          <w:sz w:val="24"/>
          <w:szCs w:val="24"/>
        </w:rPr>
      </w:pPr>
      <w:r>
        <w:rPr>
          <w:rFonts w:hint="eastAsia" w:ascii="宋体" w:hAnsi="宋体" w:cs="宋体"/>
          <w:sz w:val="24"/>
          <w:szCs w:val="24"/>
        </w:rPr>
        <w:t>（7）在故障排除过程中因供方技术人员工作程序和方法不当给需方造成损失，应由供方承担赔偿责任。</w:t>
      </w:r>
    </w:p>
    <w:p>
      <w:pPr>
        <w:pStyle w:val="23"/>
        <w:ind w:left="0" w:leftChars="0" w:firstLine="240" w:firstLineChars="100"/>
        <w:rPr>
          <w:rFonts w:ascii="宋体" w:hAnsi="宋体" w:cs="宋体"/>
          <w:sz w:val="24"/>
          <w:szCs w:val="24"/>
        </w:rPr>
      </w:pPr>
      <w:r>
        <w:rPr>
          <w:rFonts w:hint="eastAsia" w:ascii="宋体" w:hAnsi="宋体" w:cs="宋体"/>
          <w:sz w:val="24"/>
          <w:szCs w:val="24"/>
        </w:rPr>
        <w:t>（8）每次进行故障处理后，技术人员应以书面方式将故障处理经过提交给需方。一般故障应于每周反馈处理结果;可能影响相关指标的故障应在处理完成后立即反馈处理结果;对于临时特殊事件，供方要在接到需方通知 15 分钟内进行响应，并在处理完成后立即反馈处理结果。</w:t>
      </w:r>
    </w:p>
    <w:p>
      <w:pPr>
        <w:pStyle w:val="23"/>
        <w:ind w:left="0" w:leftChars="0" w:firstLine="240" w:firstLineChars="100"/>
        <w:rPr>
          <w:rFonts w:ascii="宋体" w:hAnsi="宋体" w:cs="宋体"/>
          <w:sz w:val="24"/>
          <w:szCs w:val="24"/>
        </w:rPr>
      </w:pPr>
      <w:r>
        <w:rPr>
          <w:rFonts w:hint="eastAsia" w:ascii="宋体" w:hAnsi="宋体" w:cs="宋体"/>
          <w:sz w:val="24"/>
          <w:szCs w:val="24"/>
        </w:rPr>
        <w:t>（9）按照需方的信息设备台帐格式做好设备台账管理，及时更新台账信息。在系统调整变更完成后提供变更台账信息。每半年应向需方提供一份完整的信息设备台帐。</w:t>
      </w:r>
    </w:p>
    <w:p>
      <w:pPr>
        <w:pStyle w:val="23"/>
        <w:ind w:left="0" w:leftChars="0" w:firstLine="240" w:firstLineChars="100"/>
        <w:rPr>
          <w:rFonts w:ascii="宋体" w:hAnsi="宋体" w:cs="宋体"/>
          <w:sz w:val="24"/>
          <w:szCs w:val="24"/>
        </w:rPr>
      </w:pPr>
      <w:r>
        <w:rPr>
          <w:rFonts w:hint="eastAsia" w:ascii="宋体" w:hAnsi="宋体" w:cs="宋体"/>
          <w:sz w:val="24"/>
          <w:szCs w:val="24"/>
        </w:rPr>
        <w:t>（10）供方按需方的要求对设备进行定期检查，及时发现设备运行中出现的隐患，通过对设备健康性、安全性以及性能评估检查等手段，提出并采取优化、解决措施，减少设备发生故障的概率，保证设备稳定，高效运行。</w:t>
      </w:r>
    </w:p>
    <w:p>
      <w:pPr>
        <w:pStyle w:val="23"/>
        <w:ind w:left="0" w:leftChars="0" w:firstLine="240" w:firstLineChars="100"/>
        <w:rPr>
          <w:rFonts w:ascii="宋体" w:hAnsi="宋体" w:cs="宋体"/>
          <w:sz w:val="24"/>
          <w:szCs w:val="24"/>
        </w:rPr>
      </w:pPr>
      <w:r>
        <w:rPr>
          <w:rFonts w:hint="eastAsia" w:ascii="宋体" w:hAnsi="宋体" w:cs="宋体"/>
          <w:sz w:val="24"/>
          <w:szCs w:val="24"/>
        </w:rPr>
        <w:t>（11）根据业务发展和变化需要，组织系统版本升级、补丁更新等工作，升级前进行测试操作。</w:t>
      </w:r>
    </w:p>
    <w:p>
      <w:pPr>
        <w:pStyle w:val="23"/>
        <w:ind w:left="0" w:leftChars="0" w:firstLine="240" w:firstLineChars="100"/>
        <w:rPr>
          <w:rFonts w:ascii="宋体" w:hAnsi="宋体" w:cs="宋体"/>
          <w:sz w:val="24"/>
          <w:szCs w:val="24"/>
        </w:rPr>
      </w:pPr>
      <w:r>
        <w:rPr>
          <w:rFonts w:hint="eastAsia" w:ascii="宋体" w:hAnsi="宋体" w:cs="宋体"/>
          <w:sz w:val="24"/>
          <w:szCs w:val="24"/>
        </w:rPr>
        <w:t>（12）参与制定应急与快速恢复方案，协助方案的实施，并参与方案的测试。</w:t>
      </w:r>
    </w:p>
    <w:p>
      <w:pPr>
        <w:pStyle w:val="23"/>
        <w:ind w:left="0" w:leftChars="0" w:firstLine="240" w:firstLineChars="100"/>
        <w:rPr>
          <w:rFonts w:ascii="宋体" w:hAnsi="宋体" w:cs="宋体"/>
          <w:sz w:val="24"/>
          <w:szCs w:val="24"/>
        </w:rPr>
      </w:pPr>
      <w:r>
        <w:rPr>
          <w:rFonts w:hint="eastAsia" w:ascii="宋体" w:hAnsi="宋体" w:cs="宋体"/>
          <w:sz w:val="24"/>
          <w:szCs w:val="24"/>
        </w:rPr>
        <w:t>（13）供方应按需方要求提供权限管理、用户管理、逻辑备份调整、安全管理及审计、备份与安全、知识管理、应用支持、技术支持、技术培训等服务。</w:t>
      </w:r>
    </w:p>
    <w:p>
      <w:pPr>
        <w:pStyle w:val="23"/>
        <w:ind w:left="0" w:leftChars="0" w:firstLine="240" w:firstLineChars="100"/>
        <w:rPr>
          <w:rFonts w:ascii="宋体" w:hAnsi="宋体" w:cs="宋体"/>
          <w:sz w:val="24"/>
          <w:szCs w:val="24"/>
        </w:rPr>
      </w:pPr>
      <w:r>
        <w:rPr>
          <w:rFonts w:hint="eastAsia" w:ascii="宋体" w:hAnsi="宋体" w:cs="宋体"/>
          <w:sz w:val="24"/>
          <w:szCs w:val="24"/>
        </w:rPr>
        <w:t>（14）供方在运维期内须提供需方技术人员有关合同设备的本地免费现场技术培训，使他们熟悉设备运行、例行检查、修理和维护设备等技能。如遇需方有重大活动、会议或紧急情况时，供方应按需方要求，安排人员提前到达现场调试，提定专人协助工作，并提供技术支持服务。</w:t>
      </w:r>
    </w:p>
    <w:p>
      <w:pPr>
        <w:pStyle w:val="23"/>
        <w:ind w:left="0" w:leftChars="0" w:firstLine="240" w:firstLineChars="100"/>
        <w:rPr>
          <w:rFonts w:ascii="宋体" w:hAnsi="宋体" w:cs="宋体"/>
          <w:sz w:val="24"/>
          <w:szCs w:val="24"/>
        </w:rPr>
      </w:pPr>
      <w:r>
        <w:rPr>
          <w:rFonts w:hint="eastAsia" w:ascii="宋体" w:hAnsi="宋体" w:cs="宋体"/>
          <w:sz w:val="24"/>
          <w:szCs w:val="24"/>
        </w:rPr>
        <w:t>（15）法定节假日（如春节、国庆)需做好系统节假日检查，节假日应保证 24 小时热线技术咨询。提供7*24*NBD级别服务，协助需方运维人员进行日常维护工作。</w:t>
      </w:r>
    </w:p>
    <w:p>
      <w:pPr>
        <w:pStyle w:val="23"/>
        <w:ind w:left="0" w:leftChars="0" w:firstLine="240" w:firstLineChars="100"/>
        <w:rPr>
          <w:rFonts w:ascii="宋体" w:hAnsi="宋体" w:cs="宋体"/>
          <w:sz w:val="24"/>
          <w:szCs w:val="24"/>
        </w:rPr>
      </w:pPr>
      <w:r>
        <w:rPr>
          <w:rFonts w:hint="eastAsia" w:ascii="宋体" w:hAnsi="宋体" w:cs="宋体"/>
          <w:sz w:val="24"/>
          <w:szCs w:val="24"/>
        </w:rPr>
        <w:t>（16）对于维护范围的设备现有问题及将来发生问题及时提供技术咨询及解决方案，对于相关业务厂商和信息通信运维人员的需求和问题及时解决。</w:t>
      </w:r>
    </w:p>
    <w:p>
      <w:pPr>
        <w:pStyle w:val="23"/>
        <w:ind w:left="0" w:leftChars="0" w:firstLine="240" w:firstLineChars="100"/>
        <w:rPr>
          <w:rFonts w:ascii="宋体" w:hAnsi="宋体" w:cs="宋体"/>
          <w:sz w:val="24"/>
          <w:szCs w:val="24"/>
        </w:rPr>
      </w:pPr>
      <w:r>
        <w:rPr>
          <w:rFonts w:hint="eastAsia" w:ascii="宋体" w:hAnsi="宋体" w:cs="宋体"/>
          <w:sz w:val="24"/>
          <w:szCs w:val="24"/>
        </w:rPr>
        <w:t>（17）负责协助需方运维主管人员完成运维相关的组织建设与制度建设，协助需方运维主管人员建立IT基础架构日常管理体系、编制日常工作规范。当需方的保修设备需要更改放置地点时，供方工程师将到场协助进行搬迁指导，移机后该设备的保修服务仍有效，移机过程中非人为因素造成的设备故障仍负责免费保修。</w:t>
      </w:r>
    </w:p>
    <w:p>
      <w:pPr>
        <w:spacing w:line="360" w:lineRule="auto"/>
        <w:rPr>
          <w:rFonts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u w:val="single"/>
        </w:rPr>
        <w:t>免费维修保养范围、内容及要求</w:t>
      </w:r>
    </w:p>
    <w:p>
      <w:pPr>
        <w:spacing w:line="360" w:lineRule="auto"/>
        <w:ind w:firstLine="240" w:firstLineChars="100"/>
        <w:rPr>
          <w:rFonts w:ascii="宋体" w:hAnsi="宋体" w:cs="宋体"/>
          <w:sz w:val="24"/>
          <w:szCs w:val="24"/>
        </w:rPr>
      </w:pPr>
      <w:r>
        <w:rPr>
          <w:rFonts w:hint="eastAsia" w:ascii="宋体" w:hAnsi="宋体" w:cs="宋体"/>
          <w:sz w:val="24"/>
          <w:szCs w:val="24"/>
        </w:rPr>
        <w:t>2.1中标方须对本电梯系统工程提供合约规定的免保期内的免费维修保养服务。维修保养服务的工作包括每星期一次之有系统的检查、设备的调整和加润滑油以及需要时对各零件和设备作修理和更换。提供24小时全天候的紧急维修服务，中标人须在收到维修要求后30分钟内做出有效响应。</w:t>
      </w:r>
    </w:p>
    <w:p>
      <w:pPr>
        <w:spacing w:line="360" w:lineRule="auto"/>
        <w:ind w:firstLine="240" w:firstLineChars="100"/>
        <w:rPr>
          <w:rFonts w:ascii="宋体" w:hAnsi="宋体" w:cs="宋体"/>
          <w:sz w:val="24"/>
          <w:szCs w:val="24"/>
        </w:rPr>
      </w:pPr>
      <w:r>
        <w:rPr>
          <w:rFonts w:hint="eastAsia" w:ascii="宋体" w:hAnsi="宋体" w:cs="宋体"/>
          <w:sz w:val="24"/>
          <w:szCs w:val="24"/>
        </w:rPr>
        <w:t>2.2中标人须负责修理所有缺陷，包括每次服务及处理紧急维修时所发现的缺陷，保持整套电梯系统维持一流工作水平。</w:t>
      </w:r>
    </w:p>
    <w:p>
      <w:pPr>
        <w:spacing w:line="360" w:lineRule="auto"/>
        <w:ind w:firstLine="240" w:firstLineChars="100"/>
        <w:rPr>
          <w:rFonts w:ascii="宋体" w:hAnsi="宋体" w:cs="宋体"/>
          <w:sz w:val="24"/>
          <w:szCs w:val="24"/>
        </w:rPr>
      </w:pPr>
      <w:r>
        <w:rPr>
          <w:rFonts w:hint="eastAsia" w:ascii="宋体" w:hAnsi="宋体" w:cs="宋体"/>
          <w:sz w:val="24"/>
          <w:szCs w:val="24"/>
        </w:rPr>
        <w:t>2.3中标人的修理工作必须持续进行，一星期七天，每天二十四小时，直至故障排除并完全恢复正常服务为止。</w:t>
      </w:r>
    </w:p>
    <w:p>
      <w:pPr>
        <w:pStyle w:val="23"/>
        <w:ind w:left="0" w:leftChars="0" w:firstLine="240" w:firstLineChars="100"/>
        <w:rPr>
          <w:rFonts w:ascii="宋体" w:hAnsi="宋体" w:cs="宋体"/>
          <w:sz w:val="24"/>
          <w:szCs w:val="24"/>
        </w:rPr>
      </w:pPr>
      <w:r>
        <w:rPr>
          <w:rFonts w:hint="eastAsia" w:ascii="宋体" w:hAnsi="宋体" w:cs="宋体"/>
          <w:sz w:val="24"/>
          <w:szCs w:val="24"/>
        </w:rPr>
        <w:t>2.4（1）为维持电梯的正常运行，维保方应定期对电梯及有关设备进行维护保养，每月不少于2次/台，并做好逐台电梯维护保养记录，建档备查。维护保养范围及内容按附件一规定执行。</w:t>
      </w:r>
    </w:p>
    <w:p>
      <w:pPr>
        <w:pStyle w:val="23"/>
        <w:ind w:left="0" w:leftChars="0" w:firstLine="240" w:firstLineChars="100"/>
        <w:rPr>
          <w:rFonts w:ascii="宋体" w:hAnsi="宋体" w:cs="宋体"/>
          <w:sz w:val="24"/>
          <w:szCs w:val="24"/>
        </w:rPr>
      </w:pPr>
      <w:r>
        <w:rPr>
          <w:rFonts w:hint="eastAsia" w:ascii="宋体" w:hAnsi="宋体" w:cs="宋体"/>
          <w:sz w:val="24"/>
          <w:szCs w:val="24"/>
        </w:rPr>
        <w:t>（2）电梯在正常使用中发生故障时，维保方应接通知后半小时内派技术维修人员到现场进行处理。</w:t>
      </w:r>
    </w:p>
    <w:p>
      <w:pPr>
        <w:pStyle w:val="23"/>
        <w:ind w:left="0" w:leftChars="0" w:firstLine="240" w:firstLineChars="100"/>
        <w:rPr>
          <w:rFonts w:ascii="宋体" w:hAnsi="宋体" w:cs="宋体"/>
          <w:sz w:val="24"/>
          <w:szCs w:val="24"/>
        </w:rPr>
      </w:pPr>
      <w:r>
        <w:rPr>
          <w:rFonts w:hint="eastAsia" w:ascii="宋体" w:hAnsi="宋体" w:cs="宋体"/>
          <w:sz w:val="24"/>
          <w:szCs w:val="24"/>
        </w:rPr>
        <w:t>（3）维保方应随时听取的意见和建议，对不正常的运行状况和存在的问题，做认真分析，及时整改:凡上一级技术监督部门或有关部门抽查到维保技术和服务质量不符合要求的，维保方应按要求在规定时间内整改和无偿返修，以保证设备高效率运。</w:t>
      </w:r>
    </w:p>
    <w:p>
      <w:pPr>
        <w:pStyle w:val="23"/>
        <w:ind w:left="0" w:leftChars="0" w:firstLine="240" w:firstLineChars="100"/>
        <w:rPr>
          <w:rFonts w:ascii="宋体" w:hAnsi="宋体" w:cs="宋体"/>
          <w:sz w:val="24"/>
          <w:szCs w:val="24"/>
        </w:rPr>
      </w:pPr>
      <w:r>
        <w:rPr>
          <w:rFonts w:hint="eastAsia" w:ascii="宋体" w:hAnsi="宋体" w:cs="宋体"/>
          <w:sz w:val="24"/>
          <w:szCs w:val="24"/>
        </w:rPr>
        <w:t>（4）维保方应积极协助通过电梯年检和其它有关检查，负责做好各项检查前的准备和服务工作。见附件二。</w:t>
      </w:r>
    </w:p>
    <w:p>
      <w:pPr>
        <w:pStyle w:val="23"/>
        <w:ind w:left="0" w:leftChars="0" w:firstLine="240" w:firstLineChars="100"/>
        <w:rPr>
          <w:rFonts w:ascii="宋体" w:hAnsi="宋体" w:cs="宋体"/>
          <w:sz w:val="24"/>
          <w:szCs w:val="24"/>
        </w:rPr>
      </w:pPr>
      <w:r>
        <w:rPr>
          <w:rFonts w:hint="eastAsia" w:ascii="宋体" w:hAnsi="宋体" w:cs="宋体"/>
          <w:sz w:val="24"/>
          <w:szCs w:val="24"/>
        </w:rPr>
        <w:t>（5）维保方应备足常坏的配件(如光慕、门电机、接触器、按钮避免因无配件耽误维修时间，维保方负责单价在贰佰元以下的等)，易损零部件.</w:t>
      </w:r>
    </w:p>
    <w:p>
      <w:pPr>
        <w:pStyle w:val="23"/>
        <w:ind w:left="0" w:leftChars="0" w:firstLine="240" w:firstLineChars="100"/>
        <w:rPr>
          <w:rFonts w:ascii="宋体" w:hAnsi="宋体" w:cs="宋体"/>
          <w:sz w:val="24"/>
          <w:szCs w:val="24"/>
        </w:rPr>
      </w:pPr>
      <w:r>
        <w:rPr>
          <w:rFonts w:hint="eastAsia" w:ascii="宋体" w:hAnsi="宋体" w:cs="宋体"/>
          <w:sz w:val="24"/>
          <w:szCs w:val="24"/>
        </w:rPr>
        <w:t>附件一:保养项目</w:t>
      </w:r>
    </w:p>
    <w:p>
      <w:pPr>
        <w:pStyle w:val="23"/>
        <w:ind w:left="0" w:leftChars="0" w:firstLine="240" w:firstLineChars="100"/>
        <w:rPr>
          <w:rFonts w:ascii="宋体" w:hAnsi="宋体" w:cs="宋体"/>
          <w:sz w:val="24"/>
          <w:szCs w:val="24"/>
        </w:rPr>
      </w:pPr>
      <w:r>
        <w:rPr>
          <w:rFonts w:hint="eastAsia" w:ascii="宋体" w:hAnsi="宋体" w:cs="宋体"/>
          <w:sz w:val="24"/>
          <w:szCs w:val="24"/>
        </w:rPr>
        <w:t>第一部分机房</w:t>
      </w:r>
    </w:p>
    <w:p>
      <w:pPr>
        <w:pStyle w:val="23"/>
        <w:ind w:left="0" w:leftChars="0" w:firstLine="240" w:firstLineChars="100"/>
        <w:rPr>
          <w:rFonts w:ascii="宋体" w:hAnsi="宋体" w:cs="宋体"/>
          <w:sz w:val="24"/>
          <w:szCs w:val="24"/>
        </w:rPr>
      </w:pPr>
      <w:r>
        <w:rPr>
          <w:rFonts w:hint="eastAsia" w:ascii="宋体" w:hAnsi="宋体" w:cs="宋体"/>
          <w:sz w:val="24"/>
          <w:szCs w:val="24"/>
        </w:rPr>
        <w:t>1、确认主机及控制柜无异音、无异味、无常温升检查。电梯整机运行性能检查。</w:t>
      </w:r>
    </w:p>
    <w:p>
      <w:pPr>
        <w:pStyle w:val="23"/>
        <w:ind w:left="0" w:leftChars="0" w:firstLine="240" w:firstLineChars="100"/>
        <w:rPr>
          <w:rFonts w:ascii="宋体" w:hAnsi="宋体" w:cs="宋体"/>
          <w:sz w:val="24"/>
          <w:szCs w:val="24"/>
        </w:rPr>
      </w:pPr>
      <w:r>
        <w:rPr>
          <w:rFonts w:hint="eastAsia" w:ascii="宋体" w:hAnsi="宋体" w:cs="宋体"/>
          <w:sz w:val="24"/>
          <w:szCs w:val="24"/>
        </w:rPr>
        <w:t>2、制动器行程、动作灵活检查，制动皮厚度测量。</w:t>
      </w:r>
    </w:p>
    <w:p>
      <w:pPr>
        <w:pStyle w:val="23"/>
        <w:ind w:left="0" w:leftChars="0" w:firstLine="240" w:firstLineChars="100"/>
        <w:rPr>
          <w:rFonts w:ascii="宋体" w:hAnsi="宋体" w:cs="宋体"/>
          <w:sz w:val="24"/>
          <w:szCs w:val="24"/>
        </w:rPr>
      </w:pPr>
      <w:r>
        <w:rPr>
          <w:rFonts w:hint="eastAsia" w:ascii="宋体" w:hAnsi="宋体" w:cs="宋体"/>
          <w:sz w:val="24"/>
          <w:szCs w:val="24"/>
        </w:rPr>
        <w:t>3、曳引马达轴承加油、主机减速箱加油。</w:t>
      </w:r>
    </w:p>
    <w:p>
      <w:pPr>
        <w:pStyle w:val="23"/>
        <w:ind w:left="0" w:leftChars="0" w:firstLine="240" w:firstLineChars="100"/>
        <w:rPr>
          <w:rFonts w:ascii="宋体" w:hAnsi="宋体" w:cs="宋体"/>
          <w:sz w:val="24"/>
          <w:szCs w:val="24"/>
        </w:rPr>
      </w:pPr>
      <w:r>
        <w:rPr>
          <w:rFonts w:hint="eastAsia" w:ascii="宋体" w:hAnsi="宋体" w:cs="宋体"/>
          <w:sz w:val="24"/>
          <w:szCs w:val="24"/>
        </w:rPr>
        <w:t>4、曳引轮槽磨损情况检查，曳引钢丝绳和限速器钢丝绳磨损检查。</w:t>
      </w:r>
    </w:p>
    <w:p>
      <w:pPr>
        <w:pStyle w:val="23"/>
        <w:ind w:left="0" w:leftChars="0" w:firstLine="240" w:firstLineChars="100"/>
        <w:rPr>
          <w:rFonts w:ascii="宋体" w:hAnsi="宋体" w:cs="宋体"/>
          <w:sz w:val="24"/>
          <w:szCs w:val="24"/>
        </w:rPr>
      </w:pPr>
      <w:r>
        <w:rPr>
          <w:rFonts w:hint="eastAsia" w:ascii="宋体" w:hAnsi="宋体" w:cs="宋体"/>
          <w:sz w:val="24"/>
          <w:szCs w:val="24"/>
        </w:rPr>
        <w:t>5、主接触器动作情况检查，触点清理打磨。</w:t>
      </w:r>
    </w:p>
    <w:p>
      <w:pPr>
        <w:pStyle w:val="23"/>
        <w:ind w:left="0" w:leftChars="0" w:firstLine="240" w:firstLineChars="100"/>
        <w:rPr>
          <w:rFonts w:ascii="宋体" w:hAnsi="宋体" w:cs="宋体"/>
          <w:sz w:val="24"/>
          <w:szCs w:val="24"/>
        </w:rPr>
      </w:pPr>
      <w:r>
        <w:rPr>
          <w:rFonts w:hint="eastAsia" w:ascii="宋体" w:hAnsi="宋体" w:cs="宋体"/>
          <w:sz w:val="24"/>
          <w:szCs w:val="24"/>
        </w:rPr>
        <w:t>6、控制柜清洁除尘，主回路控制线螺丝紧固，电阻管螺丝紧固7、各空气开关、极限开关检查。</w:t>
      </w:r>
    </w:p>
    <w:p>
      <w:pPr>
        <w:pStyle w:val="23"/>
        <w:ind w:left="0" w:leftChars="0" w:firstLine="240" w:firstLineChars="100"/>
        <w:rPr>
          <w:rFonts w:ascii="宋体" w:hAnsi="宋体" w:cs="宋体"/>
          <w:sz w:val="24"/>
          <w:szCs w:val="24"/>
        </w:rPr>
      </w:pPr>
      <w:r>
        <w:rPr>
          <w:rFonts w:hint="eastAsia" w:ascii="宋体" w:hAnsi="宋体" w:cs="宋体"/>
          <w:sz w:val="24"/>
          <w:szCs w:val="24"/>
        </w:rPr>
        <w:t>8、限速器动作速度检查及清洁加油。</w:t>
      </w:r>
    </w:p>
    <w:p>
      <w:pPr>
        <w:pStyle w:val="23"/>
        <w:ind w:left="0" w:leftChars="0" w:firstLine="240" w:firstLineChars="100"/>
        <w:rPr>
          <w:rFonts w:ascii="宋体" w:hAnsi="宋体" w:cs="宋体"/>
          <w:sz w:val="24"/>
          <w:szCs w:val="24"/>
        </w:rPr>
      </w:pPr>
      <w:r>
        <w:rPr>
          <w:rFonts w:hint="eastAsia" w:ascii="宋体" w:hAnsi="宋体" w:cs="宋体"/>
          <w:sz w:val="24"/>
          <w:szCs w:val="24"/>
        </w:rPr>
        <w:t>9、绝缘电阻定期检查。</w:t>
      </w:r>
    </w:p>
    <w:p>
      <w:pPr>
        <w:pStyle w:val="23"/>
        <w:ind w:left="0" w:leftChars="0" w:firstLine="240" w:firstLineChars="100"/>
        <w:rPr>
          <w:rFonts w:ascii="宋体" w:hAnsi="宋体" w:cs="宋体"/>
          <w:sz w:val="24"/>
          <w:szCs w:val="24"/>
        </w:rPr>
      </w:pPr>
      <w:r>
        <w:rPr>
          <w:rFonts w:hint="eastAsia" w:ascii="宋体" w:hAnsi="宋体" w:cs="宋体"/>
          <w:sz w:val="24"/>
          <w:szCs w:val="24"/>
        </w:rPr>
        <w:t>第二部分 轿厢、厅门</w:t>
      </w:r>
    </w:p>
    <w:p>
      <w:pPr>
        <w:pStyle w:val="23"/>
        <w:ind w:left="0" w:leftChars="0" w:firstLine="240" w:firstLineChars="100"/>
        <w:rPr>
          <w:rFonts w:ascii="宋体" w:hAnsi="宋体" w:cs="宋体"/>
          <w:sz w:val="24"/>
          <w:szCs w:val="24"/>
        </w:rPr>
      </w:pPr>
      <w:r>
        <w:rPr>
          <w:rFonts w:hint="eastAsia" w:ascii="宋体" w:hAnsi="宋体" w:cs="宋体"/>
          <w:sz w:val="24"/>
          <w:szCs w:val="24"/>
        </w:rPr>
        <w:t>1、开关门及门联锁、安全触板检查，门锁功能检查，整机运行试验2、开关门电机整流子、碳刷清洁检查。</w:t>
      </w:r>
    </w:p>
    <w:p>
      <w:pPr>
        <w:pStyle w:val="23"/>
        <w:ind w:left="0" w:leftChars="0" w:firstLine="240" w:firstLineChars="100"/>
        <w:rPr>
          <w:rFonts w:ascii="宋体" w:hAnsi="宋体" w:cs="宋体"/>
          <w:sz w:val="24"/>
          <w:szCs w:val="24"/>
        </w:rPr>
      </w:pPr>
      <w:r>
        <w:rPr>
          <w:rFonts w:hint="eastAsia" w:ascii="宋体" w:hAnsi="宋体" w:cs="宋体"/>
          <w:sz w:val="24"/>
          <w:szCs w:val="24"/>
        </w:rPr>
        <w:t>3、门滑块螺丝紧固及磨损检查。</w:t>
      </w:r>
    </w:p>
    <w:p>
      <w:pPr>
        <w:pStyle w:val="23"/>
        <w:ind w:left="0" w:leftChars="0" w:firstLine="240" w:firstLineChars="100"/>
        <w:rPr>
          <w:rFonts w:ascii="宋体" w:hAnsi="宋体" w:cs="宋体"/>
          <w:sz w:val="24"/>
          <w:szCs w:val="24"/>
        </w:rPr>
      </w:pPr>
      <w:r>
        <w:rPr>
          <w:rFonts w:hint="eastAsia" w:ascii="宋体" w:hAnsi="宋体" w:cs="宋体"/>
          <w:sz w:val="24"/>
          <w:szCs w:val="24"/>
        </w:rPr>
        <w:t>4、内外门机械和电气调整，消除噪音。</w:t>
      </w:r>
    </w:p>
    <w:p>
      <w:pPr>
        <w:pStyle w:val="23"/>
        <w:ind w:left="0" w:leftChars="0" w:firstLine="240" w:firstLineChars="100"/>
        <w:rPr>
          <w:rFonts w:ascii="宋体" w:hAnsi="宋体" w:cs="宋体"/>
          <w:sz w:val="24"/>
          <w:szCs w:val="24"/>
        </w:rPr>
      </w:pPr>
      <w:r>
        <w:rPr>
          <w:rFonts w:hint="eastAsia" w:ascii="宋体" w:hAnsi="宋体" w:cs="宋体"/>
          <w:sz w:val="24"/>
          <w:szCs w:val="24"/>
        </w:rPr>
        <w:t>5、轿厢照明厅外、轿内指层指令及指示灯检查</w:t>
      </w:r>
    </w:p>
    <w:p>
      <w:pPr>
        <w:pStyle w:val="23"/>
        <w:ind w:left="0" w:leftChars="0" w:firstLine="240" w:firstLineChars="100"/>
        <w:rPr>
          <w:rFonts w:ascii="宋体" w:hAnsi="宋体" w:cs="宋体"/>
          <w:sz w:val="24"/>
          <w:szCs w:val="24"/>
        </w:rPr>
      </w:pPr>
      <w:r>
        <w:rPr>
          <w:rFonts w:hint="eastAsia" w:ascii="宋体" w:hAnsi="宋体" w:cs="宋体"/>
          <w:sz w:val="24"/>
          <w:szCs w:val="24"/>
        </w:rPr>
        <w:t>6、应急灯检查、电话检查及电池供电时间记录。</w:t>
      </w:r>
    </w:p>
    <w:p>
      <w:pPr>
        <w:pStyle w:val="23"/>
        <w:ind w:left="0" w:leftChars="0" w:firstLine="240" w:firstLineChars="100"/>
        <w:rPr>
          <w:rFonts w:ascii="宋体" w:hAnsi="宋体" w:cs="宋体"/>
          <w:sz w:val="24"/>
          <w:szCs w:val="24"/>
        </w:rPr>
      </w:pPr>
      <w:r>
        <w:rPr>
          <w:rFonts w:hint="eastAsia" w:ascii="宋体" w:hAnsi="宋体" w:cs="宋体"/>
          <w:sz w:val="24"/>
          <w:szCs w:val="24"/>
        </w:rPr>
        <w:t>7、整机开关性能检查。</w:t>
      </w:r>
    </w:p>
    <w:p>
      <w:pPr>
        <w:pStyle w:val="23"/>
        <w:ind w:left="0" w:leftChars="0" w:firstLine="240" w:firstLineChars="100"/>
        <w:rPr>
          <w:rFonts w:ascii="宋体" w:hAnsi="宋体" w:cs="宋体"/>
          <w:sz w:val="24"/>
          <w:szCs w:val="24"/>
        </w:rPr>
      </w:pPr>
      <w:r>
        <w:rPr>
          <w:rFonts w:hint="eastAsia" w:ascii="宋体" w:hAnsi="宋体" w:cs="宋体"/>
          <w:sz w:val="24"/>
          <w:szCs w:val="24"/>
        </w:rPr>
        <w:t>8、厅门及轿门踏板路轨清理、门导鞭检查。</w:t>
      </w:r>
    </w:p>
    <w:p>
      <w:pPr>
        <w:pStyle w:val="23"/>
        <w:ind w:left="0" w:leftChars="0" w:firstLine="240" w:firstLineChars="100"/>
        <w:rPr>
          <w:rFonts w:ascii="宋体" w:hAnsi="宋体" w:cs="宋体"/>
          <w:sz w:val="24"/>
          <w:szCs w:val="24"/>
        </w:rPr>
      </w:pPr>
      <w:r>
        <w:rPr>
          <w:rFonts w:hint="eastAsia" w:ascii="宋体" w:hAnsi="宋体" w:cs="宋体"/>
          <w:sz w:val="24"/>
          <w:szCs w:val="24"/>
        </w:rPr>
        <w:t>第三部分 井道、井底</w:t>
      </w:r>
    </w:p>
    <w:p>
      <w:pPr>
        <w:pStyle w:val="23"/>
        <w:ind w:left="0" w:leftChars="0" w:firstLine="240" w:firstLineChars="100"/>
        <w:rPr>
          <w:rFonts w:ascii="宋体" w:hAnsi="宋体" w:cs="宋体"/>
          <w:sz w:val="24"/>
          <w:szCs w:val="24"/>
        </w:rPr>
      </w:pPr>
      <w:r>
        <w:rPr>
          <w:rFonts w:hint="eastAsia" w:ascii="宋体" w:hAnsi="宋体" w:cs="宋体"/>
          <w:sz w:val="24"/>
          <w:szCs w:val="24"/>
        </w:rPr>
        <w:t>1、上下限位开关、极限开关、强迫减速开关及安装尺寸，动作点及电气性能检查。</w:t>
      </w:r>
    </w:p>
    <w:p>
      <w:pPr>
        <w:pStyle w:val="23"/>
        <w:ind w:left="0" w:leftChars="0" w:firstLine="240" w:firstLineChars="100"/>
        <w:rPr>
          <w:rFonts w:ascii="宋体" w:hAnsi="宋体" w:cs="宋体"/>
          <w:sz w:val="24"/>
          <w:szCs w:val="24"/>
        </w:rPr>
      </w:pPr>
      <w:r>
        <w:rPr>
          <w:rFonts w:hint="eastAsia" w:ascii="宋体" w:hAnsi="宋体" w:cs="宋体"/>
          <w:sz w:val="24"/>
          <w:szCs w:val="24"/>
        </w:rPr>
        <w:t>2、补偿链曳引钢丝绳限速器钢丝绳伸长情况检查3、厅门、撑架、对重的清扫。</w:t>
      </w:r>
    </w:p>
    <w:p>
      <w:pPr>
        <w:pStyle w:val="23"/>
        <w:ind w:left="0" w:leftChars="0" w:firstLine="240" w:firstLineChars="100"/>
        <w:rPr>
          <w:rFonts w:ascii="宋体" w:hAnsi="宋体" w:cs="宋体"/>
          <w:sz w:val="24"/>
          <w:szCs w:val="24"/>
        </w:rPr>
      </w:pPr>
      <w:r>
        <w:rPr>
          <w:rFonts w:hint="eastAsia" w:ascii="宋体" w:hAnsi="宋体" w:cs="宋体"/>
          <w:sz w:val="24"/>
          <w:szCs w:val="24"/>
        </w:rPr>
        <w:t>4、安全钳动作提拉力检查，安全钳系统的栓紧固及清洗。5导靴磨损情况，导靴安全尺寸调校。</w:t>
      </w:r>
    </w:p>
    <w:p>
      <w:pPr>
        <w:pStyle w:val="23"/>
        <w:ind w:left="0" w:leftChars="0" w:firstLine="240" w:firstLineChars="100"/>
        <w:rPr>
          <w:rFonts w:ascii="宋体" w:hAnsi="宋体" w:cs="宋体"/>
          <w:sz w:val="24"/>
          <w:szCs w:val="24"/>
        </w:rPr>
      </w:pPr>
      <w:r>
        <w:rPr>
          <w:rFonts w:hint="eastAsia" w:ascii="宋体" w:hAnsi="宋体" w:cs="宋体"/>
          <w:sz w:val="24"/>
          <w:szCs w:val="24"/>
        </w:rPr>
        <w:t>6随行电缆状况检查，感应器调整、隔磁板及感应器械清理。井道内导轨压码、连接板、撑架各螺栓修紧7</w:t>
      </w:r>
    </w:p>
    <w:p>
      <w:pPr>
        <w:pStyle w:val="23"/>
        <w:ind w:left="0" w:leftChars="0" w:firstLine="240" w:firstLineChars="100"/>
        <w:rPr>
          <w:rFonts w:ascii="宋体" w:hAnsi="宋体" w:cs="宋体"/>
          <w:sz w:val="24"/>
          <w:szCs w:val="24"/>
        </w:rPr>
      </w:pPr>
      <w:r>
        <w:rPr>
          <w:rFonts w:hint="eastAsia" w:ascii="宋体" w:hAnsi="宋体" w:cs="宋体"/>
          <w:sz w:val="24"/>
          <w:szCs w:val="24"/>
        </w:rPr>
        <w:t>8井道内照明、限速器坠位置是否正常。</w:t>
      </w:r>
    </w:p>
    <w:p>
      <w:pPr>
        <w:pStyle w:val="23"/>
        <w:numPr>
          <w:ilvl w:val="0"/>
          <w:numId w:val="3"/>
        </w:numPr>
        <w:ind w:left="0" w:leftChars="0" w:firstLine="240" w:firstLineChars="100"/>
        <w:rPr>
          <w:rFonts w:ascii="宋体" w:hAnsi="宋体" w:cs="宋体"/>
          <w:sz w:val="24"/>
          <w:szCs w:val="24"/>
        </w:rPr>
      </w:pPr>
      <w:r>
        <w:rPr>
          <w:rFonts w:hint="eastAsia" w:ascii="宋体" w:hAnsi="宋体" w:cs="宋体"/>
          <w:sz w:val="24"/>
          <w:szCs w:val="24"/>
        </w:rPr>
        <w:t>所有安全保护电气开关性能检查。</w:t>
      </w:r>
    </w:p>
    <w:p>
      <w:pPr>
        <w:pStyle w:val="23"/>
        <w:ind w:left="210" w:leftChars="100" w:firstLine="0" w:firstLineChars="0"/>
        <w:rPr>
          <w:rFonts w:ascii="宋体" w:hAnsi="宋体" w:cs="宋体"/>
          <w:sz w:val="24"/>
          <w:szCs w:val="24"/>
        </w:rPr>
      </w:pPr>
      <w:r>
        <w:rPr>
          <w:rFonts w:hint="eastAsia" w:ascii="宋体" w:hAnsi="宋体" w:cs="宋体"/>
          <w:sz w:val="24"/>
          <w:szCs w:val="24"/>
        </w:rPr>
        <w:t>附件二:年度检查项目表</w:t>
      </w:r>
    </w:p>
    <w:p>
      <w:pPr>
        <w:pStyle w:val="23"/>
        <w:ind w:left="210" w:leftChars="100" w:firstLine="0" w:firstLineChars="0"/>
        <w:rPr>
          <w:rFonts w:ascii="宋体" w:hAnsi="宋体" w:cs="宋体"/>
          <w:sz w:val="24"/>
          <w:szCs w:val="24"/>
        </w:rPr>
      </w:pPr>
      <w:r>
        <w:rPr>
          <w:rFonts w:hint="eastAsia" w:ascii="宋体" w:hAnsi="宋体" w:cs="宋体"/>
          <w:sz w:val="24"/>
          <w:szCs w:val="24"/>
        </w:rPr>
        <w:t>电梯年度检查项目</w:t>
      </w:r>
    </w:p>
    <w:p>
      <w:pPr>
        <w:pStyle w:val="23"/>
        <w:ind w:left="210" w:leftChars="100" w:firstLine="0" w:firstLineChars="0"/>
        <w:rPr>
          <w:rFonts w:ascii="宋体" w:hAnsi="宋体" w:cs="宋体"/>
          <w:sz w:val="24"/>
          <w:szCs w:val="24"/>
        </w:rPr>
      </w:pPr>
      <w:r>
        <w:rPr>
          <w:rFonts w:hint="eastAsia" w:ascii="宋体" w:hAnsi="宋体" w:cs="宋体"/>
          <w:sz w:val="24"/>
          <w:szCs w:val="24"/>
        </w:rPr>
        <w:t>1、强迫换速检查2、限位检查</w:t>
      </w:r>
    </w:p>
    <w:p>
      <w:pPr>
        <w:pStyle w:val="23"/>
        <w:ind w:left="210" w:leftChars="100" w:firstLine="0" w:firstLineChars="0"/>
        <w:rPr>
          <w:rFonts w:ascii="宋体" w:hAnsi="宋体" w:cs="宋体"/>
          <w:sz w:val="24"/>
          <w:szCs w:val="24"/>
        </w:rPr>
      </w:pPr>
      <w:r>
        <w:rPr>
          <w:rFonts w:hint="eastAsia" w:ascii="宋体" w:hAnsi="宋体" w:cs="宋体"/>
          <w:sz w:val="24"/>
          <w:szCs w:val="24"/>
        </w:rPr>
        <w:t>3、极限检查4、急停开关检查</w:t>
      </w:r>
    </w:p>
    <w:p>
      <w:pPr>
        <w:pStyle w:val="23"/>
        <w:ind w:left="210" w:leftChars="100" w:firstLine="0" w:firstLineChars="0"/>
        <w:rPr>
          <w:rFonts w:ascii="宋体" w:hAnsi="宋体" w:cs="宋体"/>
          <w:sz w:val="24"/>
          <w:szCs w:val="24"/>
        </w:rPr>
      </w:pPr>
      <w:r>
        <w:rPr>
          <w:rFonts w:hint="eastAsia" w:ascii="宋体" w:hAnsi="宋体" w:cs="宋体"/>
          <w:sz w:val="24"/>
          <w:szCs w:val="24"/>
        </w:rPr>
        <w:t>5、限速器检查6、安全触板检查</w:t>
      </w:r>
    </w:p>
    <w:p>
      <w:pPr>
        <w:pStyle w:val="23"/>
        <w:ind w:left="210" w:leftChars="100" w:firstLine="0" w:firstLineChars="0"/>
        <w:rPr>
          <w:rFonts w:ascii="宋体" w:hAnsi="宋体" w:cs="宋体"/>
          <w:sz w:val="24"/>
          <w:szCs w:val="24"/>
        </w:rPr>
      </w:pPr>
      <w:r>
        <w:rPr>
          <w:rFonts w:hint="eastAsia" w:ascii="宋体" w:hAnsi="宋体" w:cs="宋体"/>
          <w:sz w:val="24"/>
          <w:szCs w:val="24"/>
        </w:rPr>
        <w:t>7、曳引机绳轮磨损检查8、制动器检查</w:t>
      </w:r>
    </w:p>
    <w:p>
      <w:pPr>
        <w:pStyle w:val="23"/>
        <w:ind w:left="210" w:leftChars="100" w:firstLine="0" w:firstLineChars="0"/>
        <w:rPr>
          <w:rFonts w:ascii="宋体" w:hAnsi="宋体" w:cs="宋体"/>
          <w:sz w:val="24"/>
          <w:szCs w:val="24"/>
        </w:rPr>
      </w:pPr>
      <w:r>
        <w:rPr>
          <w:rFonts w:hint="eastAsia" w:ascii="宋体" w:hAnsi="宋体" w:cs="宋体"/>
          <w:sz w:val="24"/>
          <w:szCs w:val="24"/>
        </w:rPr>
        <w:t>9、接触器检查10、相序、断相保护装置检查</w:t>
      </w:r>
    </w:p>
    <w:p>
      <w:pPr>
        <w:pStyle w:val="23"/>
        <w:ind w:left="210" w:leftChars="100" w:firstLine="0" w:firstLineChars="0"/>
        <w:rPr>
          <w:rFonts w:ascii="宋体" w:hAnsi="宋体" w:cs="宋体"/>
          <w:sz w:val="24"/>
          <w:szCs w:val="24"/>
        </w:rPr>
      </w:pPr>
      <w:r>
        <w:rPr>
          <w:rFonts w:hint="eastAsia" w:ascii="宋体" w:hAnsi="宋体" w:cs="宋体"/>
          <w:sz w:val="24"/>
          <w:szCs w:val="24"/>
        </w:rPr>
        <w:t>11、整机绝缘检查12、厅门检查</w:t>
      </w:r>
    </w:p>
    <w:p>
      <w:pPr>
        <w:pStyle w:val="23"/>
        <w:ind w:left="210" w:leftChars="100" w:firstLine="0" w:firstLineChars="0"/>
        <w:rPr>
          <w:rFonts w:ascii="宋体" w:hAnsi="宋体" w:cs="宋体"/>
          <w:sz w:val="24"/>
          <w:szCs w:val="24"/>
        </w:rPr>
      </w:pPr>
      <w:r>
        <w:rPr>
          <w:rFonts w:hint="eastAsia" w:ascii="宋体" w:hAnsi="宋体" w:cs="宋体"/>
          <w:sz w:val="24"/>
          <w:szCs w:val="24"/>
        </w:rPr>
        <w:t>13、轿门系统检查14、导靴检查</w:t>
      </w:r>
    </w:p>
    <w:p>
      <w:pPr>
        <w:pStyle w:val="23"/>
        <w:ind w:left="210" w:leftChars="100" w:firstLine="0" w:firstLineChars="0"/>
        <w:rPr>
          <w:rFonts w:ascii="宋体" w:hAnsi="宋体" w:cs="宋体"/>
          <w:sz w:val="24"/>
          <w:szCs w:val="24"/>
        </w:rPr>
      </w:pPr>
      <w:r>
        <w:rPr>
          <w:rFonts w:hint="eastAsia" w:ascii="宋体" w:hAnsi="宋体" w:cs="宋体"/>
          <w:sz w:val="24"/>
          <w:szCs w:val="24"/>
        </w:rPr>
        <w:t>15、轿内对讲机、警铃检查16、轿内指令、层楼指示检查</w:t>
      </w:r>
    </w:p>
    <w:p>
      <w:pPr>
        <w:pStyle w:val="23"/>
        <w:ind w:left="210" w:leftChars="100" w:firstLine="0" w:firstLineChars="0"/>
        <w:rPr>
          <w:rFonts w:ascii="宋体" w:hAnsi="宋体" w:cs="宋体"/>
          <w:sz w:val="24"/>
          <w:szCs w:val="24"/>
        </w:rPr>
      </w:pPr>
      <w:r>
        <w:rPr>
          <w:rFonts w:hint="eastAsia" w:ascii="宋体" w:hAnsi="宋体" w:cs="宋体"/>
          <w:sz w:val="24"/>
          <w:szCs w:val="24"/>
        </w:rPr>
        <w:t>17、轿内风扇照明检查18、运行检查</w:t>
      </w:r>
    </w:p>
    <w:p>
      <w:pPr>
        <w:pStyle w:val="23"/>
        <w:ind w:left="210" w:leftChars="100" w:firstLine="0" w:firstLineChars="0"/>
        <w:rPr>
          <w:rFonts w:ascii="宋体" w:hAnsi="宋体" w:cs="宋体"/>
          <w:sz w:val="24"/>
          <w:szCs w:val="24"/>
        </w:rPr>
      </w:pPr>
      <w:r>
        <w:rPr>
          <w:rFonts w:hint="eastAsia" w:ascii="宋体" w:hAnsi="宋体" w:cs="宋体"/>
          <w:sz w:val="24"/>
          <w:szCs w:val="24"/>
        </w:rPr>
        <w:t>19、安全钳检查20、钢丝绳检查</w:t>
      </w:r>
    </w:p>
    <w:p>
      <w:pPr>
        <w:pStyle w:val="23"/>
        <w:ind w:left="210" w:leftChars="100" w:firstLine="0" w:firstLineChars="0"/>
        <w:rPr>
          <w:rFonts w:ascii="宋体" w:hAnsi="宋体" w:cs="宋体"/>
          <w:sz w:val="24"/>
          <w:szCs w:val="24"/>
        </w:rPr>
      </w:pPr>
      <w:r>
        <w:rPr>
          <w:rFonts w:hint="eastAsia" w:ascii="宋体" w:hAnsi="宋体" w:cs="宋体"/>
          <w:sz w:val="24"/>
          <w:szCs w:val="24"/>
        </w:rPr>
        <w:t>21、张紧轮检查22、缓冲器检查</w:t>
      </w:r>
    </w:p>
    <w:p>
      <w:pPr>
        <w:numPr>
          <w:ilvl w:val="0"/>
          <w:numId w:val="4"/>
        </w:numPr>
        <w:spacing w:line="360" w:lineRule="auto"/>
        <w:rPr>
          <w:rFonts w:ascii="宋体" w:hAnsi="宋体" w:cs="宋体"/>
          <w:sz w:val="24"/>
          <w:szCs w:val="24"/>
        </w:rPr>
      </w:pPr>
      <w:r>
        <w:rPr>
          <w:rFonts w:hint="eastAsia" w:ascii="宋体" w:hAnsi="宋体" w:cs="宋体"/>
          <w:sz w:val="24"/>
          <w:szCs w:val="24"/>
          <w:u w:val="single"/>
        </w:rPr>
        <w:t>维修保养基本要求</w:t>
      </w:r>
    </w:p>
    <w:p>
      <w:pPr>
        <w:pStyle w:val="23"/>
        <w:spacing w:line="360" w:lineRule="auto"/>
        <w:ind w:left="0" w:leftChars="0" w:firstLine="240" w:firstLineChars="100"/>
        <w:rPr>
          <w:rFonts w:ascii="宋体" w:hAnsi="宋体" w:cs="宋体"/>
          <w:sz w:val="24"/>
          <w:szCs w:val="24"/>
        </w:rPr>
      </w:pPr>
      <w:r>
        <w:rPr>
          <w:rFonts w:hint="eastAsia" w:ascii="宋体" w:hAnsi="宋体" w:cs="宋体"/>
          <w:sz w:val="24"/>
          <w:szCs w:val="24"/>
        </w:rPr>
        <w:t>3.1电梯</w:t>
      </w:r>
    </w:p>
    <w:p>
      <w:pPr>
        <w:spacing w:line="360" w:lineRule="auto"/>
        <w:rPr>
          <w:rFonts w:ascii="宋体" w:hAnsi="宋体" w:cs="宋体"/>
          <w:sz w:val="24"/>
          <w:szCs w:val="24"/>
        </w:rPr>
      </w:pPr>
      <w:r>
        <w:rPr>
          <w:rFonts w:hint="eastAsia" w:ascii="宋体" w:hAnsi="宋体" w:cs="宋体"/>
          <w:sz w:val="24"/>
          <w:szCs w:val="24"/>
        </w:rPr>
        <w:t>3.1.1定期服务,中标人须安排每星期-次定期检查和清洁。</w:t>
      </w:r>
    </w:p>
    <w:p>
      <w:pPr>
        <w:spacing w:line="360" w:lineRule="auto"/>
        <w:rPr>
          <w:rFonts w:ascii="宋体" w:hAnsi="宋体" w:cs="宋体"/>
          <w:sz w:val="24"/>
          <w:szCs w:val="24"/>
        </w:rPr>
      </w:pPr>
      <w:r>
        <w:rPr>
          <w:rFonts w:hint="eastAsia" w:ascii="宋体" w:hAnsi="宋体" w:cs="宋体"/>
          <w:sz w:val="24"/>
          <w:szCs w:val="24"/>
        </w:rPr>
        <w:t>工作范围须包但不局限于以下项目：</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(1)清洁门轨道、槛、吊钩，并检查门]锁和紧急开锁设备，确保操作安全，在有需要时添加润滑剂。</w:t>
      </w:r>
    </w:p>
    <w:p>
      <w:pPr>
        <w:spacing w:line="360" w:lineRule="auto"/>
        <w:rPr>
          <w:rFonts w:ascii="宋体" w:hAnsi="宋体" w:cs="宋体"/>
          <w:sz w:val="24"/>
          <w:szCs w:val="24"/>
        </w:rPr>
      </w:pPr>
      <w:r>
        <w:rPr>
          <w:rFonts w:hint="eastAsia" w:ascii="宋体" w:hAnsi="宋体" w:cs="宋体"/>
          <w:sz w:val="24"/>
          <w:szCs w:val="24"/>
        </w:rPr>
        <w:t>(2)检查所有电梯厅和电梯轿厢召唤按钮和指示器。</w:t>
      </w:r>
    </w:p>
    <w:p>
      <w:pPr>
        <w:spacing w:line="360" w:lineRule="auto"/>
        <w:rPr>
          <w:rFonts w:ascii="宋体" w:hAnsi="宋体" w:cs="宋体"/>
          <w:sz w:val="24"/>
          <w:szCs w:val="24"/>
        </w:rPr>
      </w:pPr>
      <w:r>
        <w:rPr>
          <w:rFonts w:hint="eastAsia" w:ascii="宋体" w:hAnsi="宋体" w:cs="宋体"/>
          <w:sz w:val="24"/>
          <w:szCs w:val="24"/>
        </w:rPr>
        <w:t>(3)检查控制器，检查断路器或总开关、接触点或接触器等。</w:t>
      </w:r>
    </w:p>
    <w:p>
      <w:pPr>
        <w:spacing w:line="360" w:lineRule="auto"/>
        <w:rPr>
          <w:rFonts w:ascii="宋体" w:hAnsi="宋体" w:cs="宋体"/>
          <w:sz w:val="24"/>
          <w:szCs w:val="24"/>
        </w:rPr>
      </w:pPr>
      <w:r>
        <w:rPr>
          <w:rFonts w:hint="eastAsia" w:ascii="宋体" w:hAnsi="宋体" w:cs="宋体"/>
          <w:sz w:val="24"/>
          <w:szCs w:val="24"/>
        </w:rPr>
        <w:t>(4)检查应急电池供应组和照明。</w:t>
      </w:r>
    </w:p>
    <w:p>
      <w:pPr>
        <w:spacing w:line="360" w:lineRule="auto"/>
        <w:rPr>
          <w:rFonts w:ascii="宋体" w:hAnsi="宋体" w:cs="宋体"/>
          <w:sz w:val="24"/>
          <w:szCs w:val="24"/>
        </w:rPr>
      </w:pPr>
      <w:r>
        <w:rPr>
          <w:rFonts w:hint="eastAsia" w:ascii="宋体" w:hAnsi="宋体" w:cs="宋体"/>
          <w:sz w:val="24"/>
          <w:szCs w:val="24"/>
        </w:rPr>
        <w:t>(5)检查轿厢顶部控制站。</w:t>
      </w:r>
    </w:p>
    <w:p>
      <w:pPr>
        <w:spacing w:line="360" w:lineRule="auto"/>
        <w:rPr>
          <w:rFonts w:ascii="宋体" w:hAnsi="宋体" w:cs="宋体"/>
          <w:sz w:val="24"/>
          <w:szCs w:val="24"/>
        </w:rPr>
      </w:pPr>
      <w:r>
        <w:rPr>
          <w:rFonts w:hint="eastAsia" w:ascii="宋体" w:hAnsi="宋体" w:cs="宋体"/>
          <w:sz w:val="24"/>
          <w:szCs w:val="24"/>
        </w:rPr>
        <w:t>(6)检查电动机/发电机/励磁转向器和滑环。</w:t>
      </w:r>
    </w:p>
    <w:p>
      <w:pPr>
        <w:spacing w:line="360" w:lineRule="auto"/>
        <w:rPr>
          <w:rFonts w:ascii="宋体" w:hAnsi="宋体" w:cs="宋体"/>
          <w:sz w:val="24"/>
          <w:szCs w:val="24"/>
        </w:rPr>
      </w:pPr>
      <w:r>
        <w:rPr>
          <w:rFonts w:hint="eastAsia" w:ascii="宋体" w:hAnsi="宋体" w:cs="宋体"/>
          <w:sz w:val="24"/>
          <w:szCs w:val="24"/>
        </w:rPr>
        <w:t>(7)检查轿厢内安全边缘、警铃、内部通话系统以及轿厢内部情况。</w:t>
      </w:r>
    </w:p>
    <w:p>
      <w:pPr>
        <w:spacing w:line="360" w:lineRule="auto"/>
        <w:rPr>
          <w:rFonts w:ascii="宋体" w:hAnsi="宋体" w:cs="宋体"/>
          <w:sz w:val="24"/>
          <w:szCs w:val="24"/>
        </w:rPr>
      </w:pPr>
      <w:r>
        <w:rPr>
          <w:rFonts w:hint="eastAsia" w:ascii="宋体" w:hAnsi="宋体" w:cs="宋体"/>
          <w:sz w:val="24"/>
          <w:szCs w:val="24"/>
        </w:rPr>
        <w:t>(8)清洁和检查超速调速器。</w:t>
      </w:r>
    </w:p>
    <w:p>
      <w:pPr>
        <w:spacing w:line="360" w:lineRule="auto"/>
        <w:rPr>
          <w:rFonts w:ascii="宋体" w:hAnsi="宋体" w:cs="宋体"/>
          <w:sz w:val="24"/>
          <w:szCs w:val="24"/>
        </w:rPr>
      </w:pPr>
      <w:r>
        <w:rPr>
          <w:rFonts w:hint="eastAsia" w:ascii="宋体" w:hAnsi="宋体" w:cs="宋体"/>
          <w:sz w:val="24"/>
          <w:szCs w:val="24"/>
        </w:rPr>
        <w:t>(9)检查位于.上下端的导轨和导靴，在有需要时调整和清洁。</w:t>
      </w:r>
    </w:p>
    <w:p>
      <w:pPr>
        <w:spacing w:line="360" w:lineRule="auto"/>
        <w:rPr>
          <w:rFonts w:ascii="宋体" w:hAnsi="宋体" w:cs="宋体"/>
          <w:sz w:val="24"/>
          <w:szCs w:val="24"/>
        </w:rPr>
      </w:pPr>
      <w:r>
        <w:rPr>
          <w:rFonts w:hint="eastAsia" w:ascii="宋体" w:hAnsi="宋体" w:cs="宋体"/>
          <w:sz w:val="24"/>
          <w:szCs w:val="24"/>
        </w:rPr>
        <w:t>(10)检查并调平准确度，确保乘客无不舒适感，有需要时重新调校。</w:t>
      </w:r>
    </w:p>
    <w:p>
      <w:pPr>
        <w:spacing w:line="360" w:lineRule="auto"/>
        <w:rPr>
          <w:rFonts w:ascii="宋体" w:hAnsi="宋体" w:cs="宋体"/>
          <w:sz w:val="24"/>
          <w:szCs w:val="24"/>
        </w:rPr>
      </w:pPr>
      <w:r>
        <w:rPr>
          <w:rFonts w:hint="eastAsia" w:ascii="宋体" w:hAnsi="宋体" w:cs="宋体"/>
          <w:sz w:val="24"/>
          <w:szCs w:val="24"/>
        </w:rPr>
        <w:t>(11)检查所有井道开关、极限开关、开关发动结构、楼选择制及感应器格。</w:t>
      </w:r>
    </w:p>
    <w:p>
      <w:pPr>
        <w:spacing w:line="360" w:lineRule="auto"/>
        <w:rPr>
          <w:rFonts w:ascii="宋体" w:hAnsi="宋体" w:cs="宋体"/>
          <w:sz w:val="24"/>
          <w:szCs w:val="24"/>
        </w:rPr>
      </w:pPr>
      <w:r>
        <w:rPr>
          <w:rFonts w:hint="eastAsia" w:ascii="宋体" w:hAnsi="宋体" w:cs="宋体"/>
          <w:sz w:val="24"/>
          <w:szCs w:val="24"/>
        </w:rPr>
        <w:t>检查及清洁电梯提供之所有机件，在有需要时重新调校。</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3.1.2每月服务</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(1) 所有上述3.3.1所列的事项。</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(2)检查机器齿轮箱和轴承。</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(3)检查制动器耦合和磨损补垫。</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(4) 检查滑车轮、滑轮、槽和轴承。</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(5)检查缆线的情况。</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(6)检查用于绳缆拉伸的对重间隙和绳缆均衡器。</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(7)检查缓动器。</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(8) 检查输送电缆及其锚定。</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(9)检查安全齿轮开关和超速调节器开关。</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3.3.3每年服务</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(1) 所有上述3.3.2略述的事项。</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(2)在无负重下测试超速调节器和安全钳。</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(3)检查超重装置。</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(4) 如有需要时，检查所有滑车轮、车轮和轴承的滑润情况。</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(5)所有安全开关的功能测试。</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(6)如有需要时，检查所有电梯厅门导靴。替换耗损的超重杆。</w:t>
      </w:r>
    </w:p>
    <w:p>
      <w:pPr>
        <w:pStyle w:val="23"/>
        <w:spacing w:line="360" w:lineRule="auto"/>
        <w:ind w:left="0" w:leftChars="0" w:firstLine="0" w:firstLineChars="0"/>
        <w:rPr>
          <w:rFonts w:ascii="宋体" w:hAnsi="宋体" w:cs="宋体"/>
          <w:sz w:val="24"/>
          <w:szCs w:val="24"/>
        </w:rPr>
      </w:pPr>
      <w:r>
        <w:rPr>
          <w:rFonts w:hint="eastAsia" w:ascii="宋体" w:hAnsi="宋体" w:cs="宋体"/>
          <w:sz w:val="24"/>
          <w:szCs w:val="24"/>
        </w:rPr>
        <w:t>(7)如适用，向有关部门发出所有电梯之安全运行说明书等。</w:t>
      </w:r>
    </w:p>
    <w:p>
      <w:pPr>
        <w:pStyle w:val="23"/>
        <w:ind w:left="0" w:leftChars="0" w:firstLine="0" w:firstLineChars="0"/>
        <w:rPr>
          <w:rFonts w:ascii="宋体" w:cs="宋体"/>
          <w:color w:val="000000"/>
          <w:kern w:val="0"/>
          <w:sz w:val="24"/>
        </w:rPr>
      </w:pPr>
      <w:r>
        <w:rPr>
          <w:rFonts w:hint="eastAsia" w:ascii="宋体" w:cs="宋体"/>
          <w:color w:val="000000"/>
          <w:kern w:val="0"/>
          <w:sz w:val="24"/>
        </w:rPr>
        <w:t>4、电梯软件升级服务</w:t>
      </w:r>
    </w:p>
    <w:p>
      <w:pPr>
        <w:widowControl/>
        <w:ind w:firstLine="480" w:firstLineChars="200"/>
        <w:jc w:val="left"/>
        <w:rPr>
          <w:rFonts w:ascii="宋体" w:cs="宋体"/>
          <w:kern w:val="0"/>
          <w:sz w:val="24"/>
        </w:rPr>
      </w:pPr>
      <w:r>
        <w:rPr>
          <w:rFonts w:hint="eastAsia" w:ascii="宋体" w:cs="宋体"/>
          <w:kern w:val="0"/>
          <w:sz w:val="24"/>
        </w:rPr>
        <w:t>中标方必须提供自验收合格之日起至合约规定的免保期内的免费电梯软件升级服务。制定电梯升级方案，包括但不限制于电梯控制系统升级、电梯驱动系统升级、电梯门系统升级、电梯井道照明系统升级、通信系统升级、安全系统升级等。</w:t>
      </w:r>
    </w:p>
    <w:p>
      <w:pPr>
        <w:pStyle w:val="23"/>
        <w:rPr>
          <w:rFonts w:ascii="宋体" w:hAnsi="宋体" w:cs="宋体"/>
          <w:szCs w:val="21"/>
        </w:rPr>
      </w:pPr>
    </w:p>
    <w:p>
      <w:pPr>
        <w:rPr>
          <w:rFonts w:ascii="宋体" w:hAnsi="宋体" w:cs="宋体"/>
          <w:b/>
          <w:bCs/>
          <w:sz w:val="32"/>
          <w:szCs w:val="32"/>
        </w:rPr>
      </w:pPr>
      <w:r>
        <w:rPr>
          <w:rFonts w:hint="eastAsia" w:ascii="宋体" w:hAnsi="宋体" w:cs="宋体"/>
          <w:b/>
          <w:bCs/>
          <w:sz w:val="32"/>
          <w:szCs w:val="32"/>
        </w:rPr>
        <w:t>五、项目供货及管理要求</w:t>
      </w:r>
    </w:p>
    <w:p>
      <w:pPr>
        <w:widowControl/>
        <w:ind w:firstLine="480" w:firstLineChars="200"/>
        <w:jc w:val="left"/>
        <w:rPr>
          <w:rFonts w:ascii="宋体" w:cs="宋体"/>
          <w:kern w:val="0"/>
          <w:sz w:val="24"/>
          <w:szCs w:val="24"/>
        </w:rPr>
      </w:pPr>
      <w:r>
        <w:rPr>
          <w:rFonts w:ascii="宋体" w:cs="宋体"/>
          <w:kern w:val="0"/>
          <w:sz w:val="24"/>
          <w:szCs w:val="24"/>
        </w:rPr>
        <w:t>1.本项目供货安装期限为</w:t>
      </w:r>
      <w:r>
        <w:rPr>
          <w:rFonts w:hint="eastAsia" w:ascii="宋体" w:cs="宋体"/>
          <w:kern w:val="0"/>
          <w:sz w:val="24"/>
          <w:szCs w:val="24"/>
        </w:rPr>
        <w:t>30个工作日</w:t>
      </w:r>
      <w:r>
        <w:rPr>
          <w:rFonts w:ascii="宋体" w:cs="宋体"/>
          <w:kern w:val="0"/>
          <w:sz w:val="24"/>
          <w:szCs w:val="24"/>
        </w:rPr>
        <w:t>，此时间为自建设单位签订合同之日起至验收合格交付使用截止时间止</w:t>
      </w:r>
      <w:r>
        <w:rPr>
          <w:rFonts w:hint="eastAsia" w:ascii="宋体" w:cs="宋体"/>
          <w:kern w:val="0"/>
          <w:sz w:val="24"/>
          <w:szCs w:val="24"/>
        </w:rPr>
        <w:t>。</w:t>
      </w:r>
    </w:p>
    <w:p>
      <w:pPr>
        <w:widowControl/>
        <w:ind w:firstLine="480" w:firstLineChars="200"/>
        <w:jc w:val="left"/>
        <w:rPr>
          <w:rFonts w:ascii="宋体" w:cs="宋体"/>
          <w:kern w:val="0"/>
          <w:sz w:val="24"/>
          <w:szCs w:val="24"/>
        </w:rPr>
      </w:pPr>
      <w:r>
        <w:rPr>
          <w:rFonts w:ascii="宋体" w:cs="宋体"/>
          <w:kern w:val="0"/>
          <w:sz w:val="24"/>
          <w:szCs w:val="24"/>
        </w:rPr>
        <w:t>2.安全生产、文明施工（安装）与环境保护要求</w:t>
      </w:r>
    </w:p>
    <w:p>
      <w:pPr>
        <w:widowControl/>
        <w:ind w:firstLine="480" w:firstLineChars="200"/>
        <w:jc w:val="left"/>
        <w:rPr>
          <w:rFonts w:ascii="宋体" w:cs="宋体"/>
          <w:kern w:val="0"/>
          <w:sz w:val="24"/>
          <w:szCs w:val="24"/>
        </w:rPr>
      </w:pPr>
      <w:r>
        <w:rPr>
          <w:rFonts w:ascii="宋体" w:cs="宋体"/>
          <w:kern w:val="0"/>
          <w:sz w:val="24"/>
          <w:szCs w:val="24"/>
        </w:rPr>
        <w:t>2.1 投标人应具备有关行业管理部门规定的在本市进行相关安装、调试服务所需的资质（包括国家和本市各类专业工种持证上岗要求）、资格和一切手续（如有的话），由此引起的所有有关事宜及费用由投标人自行负责。</w:t>
      </w:r>
    </w:p>
    <w:p>
      <w:pPr>
        <w:widowControl/>
        <w:ind w:firstLine="480" w:firstLineChars="200"/>
        <w:jc w:val="left"/>
        <w:rPr>
          <w:rFonts w:ascii="宋体" w:cs="宋体"/>
          <w:kern w:val="0"/>
          <w:sz w:val="24"/>
          <w:szCs w:val="24"/>
        </w:rPr>
      </w:pPr>
      <w:r>
        <w:rPr>
          <w:rFonts w:ascii="宋体" w:cs="宋体"/>
          <w:kern w:val="0"/>
          <w:sz w:val="24"/>
          <w:szCs w:val="24"/>
        </w:rPr>
        <w:t>2.2 在项目安装、调试实施期间为确保安装作业区域及周围环境的整洁和不影响</w:t>
      </w:r>
      <w:r>
        <w:rPr>
          <w:rFonts w:hint="eastAsia" w:ascii="宋体" w:cs="宋体"/>
          <w:kern w:val="0"/>
          <w:sz w:val="24"/>
          <w:szCs w:val="24"/>
        </w:rPr>
        <w:t>学校</w:t>
      </w:r>
      <w:r>
        <w:rPr>
          <w:rFonts w:ascii="宋体" w:cs="宋体"/>
          <w:kern w:val="0"/>
          <w:sz w:val="24"/>
          <w:szCs w:val="24"/>
        </w:rPr>
        <w:t>正常</w:t>
      </w:r>
      <w:r>
        <w:rPr>
          <w:rFonts w:hint="eastAsia" w:ascii="宋体" w:cs="宋体"/>
          <w:kern w:val="0"/>
          <w:sz w:val="24"/>
          <w:szCs w:val="24"/>
        </w:rPr>
        <w:t>运</w:t>
      </w:r>
      <w:r>
        <w:rPr>
          <w:rFonts w:ascii="宋体" w:cs="宋体"/>
          <w:kern w:val="0"/>
          <w:sz w:val="24"/>
          <w:szCs w:val="24"/>
        </w:rPr>
        <w:t>行，中标人应严格执行国家与</w:t>
      </w:r>
      <w:r>
        <w:rPr>
          <w:rFonts w:hint="eastAsia" w:ascii="宋体" w:cs="宋体"/>
          <w:kern w:val="0"/>
          <w:sz w:val="24"/>
          <w:szCs w:val="24"/>
        </w:rPr>
        <w:t>吉林省有</w:t>
      </w:r>
      <w:r>
        <w:rPr>
          <w:rFonts w:ascii="宋体" w:cs="宋体"/>
          <w:kern w:val="0"/>
          <w:sz w:val="24"/>
          <w:szCs w:val="24"/>
        </w:rPr>
        <w:t>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pPr>
        <w:widowControl/>
        <w:ind w:firstLine="480" w:firstLineChars="200"/>
        <w:jc w:val="left"/>
        <w:rPr>
          <w:rFonts w:ascii="宋体" w:cs="宋体"/>
          <w:kern w:val="0"/>
          <w:sz w:val="24"/>
          <w:szCs w:val="24"/>
        </w:rPr>
      </w:pPr>
      <w:r>
        <w:rPr>
          <w:rFonts w:ascii="宋体" w:cs="宋体"/>
          <w:kern w:val="0"/>
          <w:sz w:val="24"/>
          <w:szCs w:val="24"/>
        </w:rPr>
        <w:t>2.3 中标人在项目供货、安装实施期间，必须遵守国家与</w:t>
      </w:r>
      <w:r>
        <w:rPr>
          <w:rFonts w:hint="eastAsia" w:ascii="宋体" w:cs="宋体"/>
          <w:kern w:val="0"/>
          <w:sz w:val="24"/>
          <w:szCs w:val="24"/>
        </w:rPr>
        <w:t>吉林省</w:t>
      </w:r>
      <w:r>
        <w:rPr>
          <w:rFonts w:ascii="宋体" w:cs="宋体"/>
          <w:kern w:val="0"/>
          <w:sz w:val="24"/>
          <w:szCs w:val="24"/>
        </w:rPr>
        <w:t>各项有关安全作业规章、规范与制度，建立动用明火申请批准制度，安全用电等制度，确保杜绝各类事故的发生。</w:t>
      </w:r>
    </w:p>
    <w:p>
      <w:pPr>
        <w:widowControl/>
        <w:ind w:firstLine="480" w:firstLineChars="200"/>
        <w:jc w:val="left"/>
        <w:rPr>
          <w:rFonts w:ascii="宋体" w:cs="宋体"/>
          <w:kern w:val="0"/>
          <w:sz w:val="24"/>
          <w:szCs w:val="24"/>
        </w:rPr>
      </w:pPr>
      <w:r>
        <w:rPr>
          <w:rFonts w:ascii="宋体" w:cs="宋体"/>
          <w:kern w:val="0"/>
          <w:sz w:val="24"/>
          <w:szCs w:val="24"/>
        </w:rPr>
        <w:t>2.4 中标人现场设备安装负责人应具有专业证书，安装人员必须持证上岗。中标人应对设备安装、调试期间自身和第三方安全与财产负责。</w:t>
      </w:r>
    </w:p>
    <w:p>
      <w:pPr>
        <w:widowControl/>
        <w:ind w:firstLine="480" w:firstLineChars="200"/>
        <w:jc w:val="left"/>
        <w:rPr>
          <w:rFonts w:ascii="宋体" w:cs="宋体"/>
          <w:kern w:val="0"/>
          <w:sz w:val="24"/>
          <w:szCs w:val="24"/>
        </w:rPr>
      </w:pPr>
      <w:r>
        <w:rPr>
          <w:rFonts w:ascii="宋体" w:cs="宋体"/>
          <w:kern w:val="0"/>
          <w:sz w:val="24"/>
          <w:szCs w:val="24"/>
        </w:rPr>
        <w:t>2.5 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pPr>
        <w:widowControl/>
        <w:ind w:firstLine="480" w:firstLineChars="200"/>
        <w:jc w:val="left"/>
        <w:rPr>
          <w:rFonts w:ascii="宋体" w:cs="宋体"/>
          <w:kern w:val="0"/>
          <w:sz w:val="24"/>
          <w:szCs w:val="24"/>
        </w:rPr>
      </w:pPr>
      <w:r>
        <w:rPr>
          <w:rFonts w:ascii="宋体" w:cs="宋体"/>
          <w:kern w:val="0"/>
          <w:sz w:val="24"/>
          <w:szCs w:val="24"/>
        </w:rPr>
        <w:t>2.6 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pPr>
        <w:pStyle w:val="23"/>
        <w:ind w:left="840" w:leftChars="400" w:firstLine="0" w:firstLineChars="0"/>
        <w:rPr>
          <w:sz w:val="24"/>
          <w:szCs w:val="24"/>
        </w:rPr>
      </w:pPr>
    </w:p>
    <w:p>
      <w:pPr>
        <w:rPr>
          <w:rFonts w:ascii="宋体" w:hAnsi="宋体" w:cs="宋体"/>
          <w:b/>
          <w:bCs/>
          <w:sz w:val="32"/>
          <w:szCs w:val="32"/>
        </w:rPr>
      </w:pPr>
      <w:r>
        <w:rPr>
          <w:rFonts w:hint="eastAsia" w:ascii="宋体" w:hAnsi="宋体" w:cs="宋体"/>
          <w:b/>
          <w:bCs/>
          <w:sz w:val="32"/>
          <w:szCs w:val="32"/>
        </w:rPr>
        <w:t>六、质保期要求</w:t>
      </w:r>
    </w:p>
    <w:p>
      <w:pPr>
        <w:pStyle w:val="23"/>
        <w:spacing w:line="360" w:lineRule="auto"/>
        <w:ind w:left="0" w:leftChars="0" w:firstLine="480"/>
        <w:rPr>
          <w:rFonts w:ascii="宋体" w:hAnsi="宋体" w:cs="宋体"/>
          <w:sz w:val="24"/>
          <w:szCs w:val="24"/>
        </w:rPr>
      </w:pPr>
      <w:r>
        <w:rPr>
          <w:rFonts w:hint="eastAsia" w:ascii="宋体" w:hAnsi="宋体" w:cs="宋体"/>
          <w:sz w:val="24"/>
          <w:szCs w:val="24"/>
        </w:rPr>
        <w:t>整机质保期为自验收合格之日起1年止，主要部件如：曳引机质保10年，控制柜、门机质保3年。</w:t>
      </w:r>
    </w:p>
    <w:p>
      <w:pPr>
        <w:jc w:val="left"/>
        <w:rPr>
          <w:rFonts w:ascii="宋体" w:hAnsi="宋体" w:cs="宋体"/>
          <w:b/>
          <w:bCs/>
          <w:kern w:val="0"/>
          <w:sz w:val="32"/>
          <w:szCs w:val="32"/>
        </w:rPr>
      </w:pPr>
      <w:r>
        <w:rPr>
          <w:rFonts w:hint="eastAsia" w:ascii="宋体" w:hAnsi="宋体" w:cs="宋体"/>
          <w:b/>
          <w:bCs/>
          <w:sz w:val="32"/>
          <w:szCs w:val="32"/>
        </w:rPr>
        <w:t>七、</w:t>
      </w:r>
      <w:r>
        <w:rPr>
          <w:rFonts w:hint="eastAsia" w:ascii="宋体" w:hAnsi="宋体" w:cs="宋体"/>
          <w:b/>
          <w:bCs/>
          <w:kern w:val="0"/>
          <w:sz w:val="32"/>
          <w:szCs w:val="32"/>
        </w:rPr>
        <w:t>投标人应提供的项目实施方案包含以下内容</w:t>
      </w:r>
    </w:p>
    <w:p>
      <w:pPr>
        <w:ind w:firstLine="240" w:firstLineChars="100"/>
        <w:jc w:val="left"/>
        <w:rPr>
          <w:rFonts w:ascii="宋体" w:hAnsi="宋体" w:cs="宋体"/>
          <w:kern w:val="0"/>
          <w:sz w:val="24"/>
          <w:szCs w:val="24"/>
        </w:rPr>
      </w:pPr>
      <w:r>
        <w:rPr>
          <w:rFonts w:hint="eastAsia" w:ascii="宋体" w:hAnsi="宋体" w:cs="宋体"/>
          <w:kern w:val="0"/>
          <w:sz w:val="24"/>
          <w:szCs w:val="24"/>
        </w:rPr>
        <w:t>1.项目管理方案：项目组织结构，管理流程和监控机制等</w:t>
      </w:r>
    </w:p>
    <w:p>
      <w:pPr>
        <w:ind w:firstLine="240" w:firstLineChars="100"/>
        <w:jc w:val="left"/>
        <w:rPr>
          <w:rFonts w:ascii="宋体" w:hAnsi="宋体" w:cs="宋体"/>
          <w:kern w:val="0"/>
          <w:sz w:val="24"/>
          <w:szCs w:val="24"/>
        </w:rPr>
      </w:pPr>
      <w:r>
        <w:rPr>
          <w:rFonts w:hint="eastAsia" w:ascii="宋体" w:hAnsi="宋体" w:cs="宋体"/>
          <w:kern w:val="0"/>
          <w:sz w:val="24"/>
          <w:szCs w:val="24"/>
        </w:rPr>
        <w:t>2.施工方案：施工进度安排，关键节点控制等</w:t>
      </w:r>
    </w:p>
    <w:p>
      <w:pPr>
        <w:ind w:firstLine="240" w:firstLineChars="100"/>
        <w:jc w:val="left"/>
        <w:rPr>
          <w:rFonts w:ascii="宋体" w:hAnsi="宋体" w:cs="宋体"/>
          <w:kern w:val="0"/>
          <w:sz w:val="24"/>
          <w:szCs w:val="24"/>
        </w:rPr>
      </w:pPr>
      <w:r>
        <w:rPr>
          <w:rFonts w:hint="eastAsia" w:ascii="宋体" w:hAnsi="宋体" w:cs="宋体"/>
          <w:kern w:val="0"/>
          <w:sz w:val="24"/>
          <w:szCs w:val="24"/>
        </w:rPr>
        <w:t>3.质量保证措施：质量管理体系，检验和测试计划等</w:t>
      </w:r>
    </w:p>
    <w:p>
      <w:pPr>
        <w:ind w:firstLine="240" w:firstLineChars="100"/>
        <w:jc w:val="left"/>
        <w:rPr>
          <w:rFonts w:ascii="宋体" w:hAnsi="宋体" w:cs="宋体"/>
          <w:kern w:val="0"/>
          <w:sz w:val="24"/>
          <w:szCs w:val="24"/>
        </w:rPr>
      </w:pPr>
      <w:r>
        <w:rPr>
          <w:rFonts w:hint="eastAsia" w:ascii="宋体" w:hAnsi="宋体" w:cs="宋体"/>
          <w:kern w:val="0"/>
          <w:sz w:val="24"/>
          <w:szCs w:val="24"/>
        </w:rPr>
        <w:t>4.安全保障措施：安全培训，防护设备，保险等</w:t>
      </w:r>
    </w:p>
    <w:p>
      <w:pPr>
        <w:ind w:firstLine="240" w:firstLineChars="100"/>
        <w:jc w:val="left"/>
        <w:rPr>
          <w:rFonts w:ascii="宋体" w:hAnsi="宋体" w:cs="宋体"/>
          <w:kern w:val="0"/>
          <w:sz w:val="24"/>
          <w:szCs w:val="24"/>
        </w:rPr>
      </w:pPr>
      <w:r>
        <w:rPr>
          <w:rFonts w:hint="eastAsia" w:ascii="宋体" w:hAnsi="宋体" w:cs="宋体"/>
          <w:kern w:val="0"/>
          <w:sz w:val="24"/>
          <w:szCs w:val="24"/>
        </w:rPr>
        <w:t>5.应急援助预案：组织构架、响应流程、处理措施、预防措施、应急保障、培训演练等</w:t>
      </w:r>
    </w:p>
    <w:p>
      <w:pPr>
        <w:ind w:firstLine="240" w:firstLineChars="100"/>
        <w:jc w:val="left"/>
        <w:rPr>
          <w:rFonts w:ascii="宋体" w:hAnsi="宋体" w:cs="宋体"/>
          <w:kern w:val="0"/>
          <w:sz w:val="24"/>
          <w:szCs w:val="24"/>
        </w:rPr>
      </w:pPr>
      <w:r>
        <w:rPr>
          <w:rFonts w:hint="eastAsia" w:ascii="宋体" w:hAnsi="宋体" w:cs="宋体"/>
          <w:kern w:val="0"/>
          <w:sz w:val="24"/>
          <w:szCs w:val="24"/>
        </w:rPr>
        <w:t>6.团队资质和经验：团队成员数量、资质、从业年限等</w:t>
      </w:r>
    </w:p>
    <w:p>
      <w:pPr>
        <w:ind w:firstLine="240" w:firstLineChars="100"/>
        <w:jc w:val="left"/>
        <w:rPr>
          <w:rFonts w:ascii="宋体" w:hAnsi="宋体" w:cs="宋体"/>
          <w:kern w:val="0"/>
          <w:sz w:val="24"/>
          <w:szCs w:val="24"/>
        </w:rPr>
      </w:pPr>
      <w:r>
        <w:rPr>
          <w:rFonts w:hint="eastAsia" w:ascii="宋体" w:hAnsi="宋体" w:cs="宋体"/>
          <w:kern w:val="0"/>
          <w:sz w:val="24"/>
          <w:szCs w:val="24"/>
        </w:rPr>
        <w:t>7.交货期和安装周期：满足项目进度要求的能力等</w:t>
      </w:r>
    </w:p>
    <w:p>
      <w:pPr>
        <w:ind w:firstLine="240" w:firstLineChars="100"/>
        <w:jc w:val="left"/>
        <w:rPr>
          <w:rFonts w:ascii="宋体" w:hAnsi="宋体" w:cs="宋体"/>
          <w:kern w:val="0"/>
          <w:sz w:val="24"/>
          <w:szCs w:val="24"/>
        </w:rPr>
      </w:pPr>
      <w:r>
        <w:rPr>
          <w:rFonts w:hint="eastAsia" w:ascii="宋体" w:hAnsi="宋体" w:cs="宋体"/>
          <w:kern w:val="0"/>
          <w:sz w:val="24"/>
          <w:szCs w:val="24"/>
        </w:rPr>
        <w:t>8.培训计划方案：针对用户和运维人员的培训安排</w:t>
      </w:r>
    </w:p>
    <w:p>
      <w:pPr>
        <w:ind w:firstLine="240" w:firstLineChars="100"/>
        <w:jc w:val="left"/>
        <w:rPr>
          <w:rFonts w:ascii="宋体" w:hAnsi="宋体" w:cs="宋体"/>
          <w:kern w:val="0"/>
          <w:sz w:val="24"/>
          <w:szCs w:val="24"/>
        </w:rPr>
      </w:pPr>
      <w:r>
        <w:rPr>
          <w:rFonts w:hint="eastAsia" w:ascii="宋体" w:hAnsi="宋体" w:cs="宋体"/>
          <w:kern w:val="0"/>
          <w:sz w:val="24"/>
          <w:szCs w:val="24"/>
        </w:rPr>
        <w:t>9.项目验收方案：验收程序和标准等</w:t>
      </w:r>
    </w:p>
    <w:p>
      <w:pPr>
        <w:pStyle w:val="23"/>
        <w:ind w:left="0" w:leftChars="0" w:firstLine="240" w:firstLineChars="100"/>
        <w:rPr>
          <w:rFonts w:ascii="宋体" w:hAnsi="宋体" w:cs="宋体"/>
          <w:sz w:val="24"/>
          <w:szCs w:val="24"/>
        </w:rPr>
      </w:pPr>
      <w:r>
        <w:rPr>
          <w:rFonts w:hint="eastAsia" w:ascii="宋体" w:hAnsi="宋体" w:cs="宋体"/>
          <w:kern w:val="0"/>
          <w:sz w:val="24"/>
          <w:szCs w:val="24"/>
        </w:rPr>
        <w:t>10.文档管理方案：项目文档编制、整理和归档</w:t>
      </w:r>
    </w:p>
    <w:p>
      <w:pPr>
        <w:pStyle w:val="23"/>
        <w:spacing w:line="360" w:lineRule="auto"/>
        <w:ind w:left="0" w:leftChars="0" w:firstLine="480"/>
        <w:rPr>
          <w:rFonts w:ascii="宋体" w:hAnsi="宋体" w:cs="宋体"/>
          <w:sz w:val="24"/>
          <w:szCs w:val="24"/>
        </w:rPr>
      </w:pPr>
    </w:p>
    <w:p>
      <w:pPr>
        <w:rPr>
          <w:rFonts w:ascii="宋体" w:hAnsi="宋体" w:cs="宋体"/>
          <w:sz w:val="24"/>
          <w:szCs w:val="24"/>
        </w:rPr>
      </w:pPr>
    </w:p>
    <w:p>
      <w:pPr>
        <w:ind w:firstLine="2880" w:firstLineChars="800"/>
        <w:rPr>
          <w:rFonts w:ascii="宋体" w:hAnsi="宋体" w:cs="宋体"/>
          <w:sz w:val="36"/>
          <w:szCs w:val="36"/>
        </w:rPr>
      </w:pPr>
    </w:p>
    <w:p>
      <w:pPr>
        <w:ind w:firstLine="2880" w:firstLineChars="800"/>
        <w:rPr>
          <w:rFonts w:ascii="宋体" w:hAnsi="宋体" w:cs="宋体"/>
          <w:sz w:val="36"/>
          <w:szCs w:val="36"/>
        </w:rPr>
      </w:pPr>
    </w:p>
    <w:p>
      <w:pPr>
        <w:ind w:firstLine="2880" w:firstLineChars="800"/>
        <w:rPr>
          <w:rFonts w:ascii="宋体" w:hAnsi="宋体" w:cs="宋体"/>
          <w:sz w:val="36"/>
          <w:szCs w:val="36"/>
        </w:rPr>
      </w:pPr>
    </w:p>
    <w:p>
      <w:pPr>
        <w:ind w:firstLine="2880" w:firstLineChars="800"/>
        <w:rPr>
          <w:rFonts w:ascii="宋体" w:hAnsi="宋体" w:cs="宋体"/>
          <w:sz w:val="36"/>
          <w:szCs w:val="36"/>
        </w:rPr>
      </w:pPr>
    </w:p>
    <w:p>
      <w:pPr>
        <w:ind w:firstLine="2880" w:firstLineChars="800"/>
        <w:rPr>
          <w:rFonts w:ascii="宋体" w:hAnsi="宋体" w:cs="宋体"/>
          <w:sz w:val="36"/>
          <w:szCs w:val="36"/>
        </w:rPr>
      </w:pPr>
    </w:p>
    <w:p>
      <w:pPr>
        <w:ind w:firstLine="2880" w:firstLineChars="800"/>
        <w:rPr>
          <w:rFonts w:ascii="宋体" w:hAnsi="宋体" w:cs="宋体"/>
          <w:sz w:val="36"/>
          <w:szCs w:val="36"/>
        </w:rPr>
      </w:pPr>
    </w:p>
    <w:p>
      <w:pPr>
        <w:ind w:firstLine="2880" w:firstLineChars="800"/>
        <w:rPr>
          <w:rFonts w:ascii="宋体" w:hAnsi="宋体" w:cs="宋体"/>
          <w:sz w:val="36"/>
          <w:szCs w:val="36"/>
        </w:rPr>
      </w:pPr>
    </w:p>
    <w:p>
      <w:pPr>
        <w:ind w:firstLine="2880" w:firstLineChars="800"/>
        <w:rPr>
          <w:rFonts w:ascii="宋体" w:hAnsi="宋体" w:cs="宋体"/>
          <w:sz w:val="36"/>
          <w:szCs w:val="36"/>
        </w:rPr>
      </w:pPr>
    </w:p>
    <w:p>
      <w:pPr>
        <w:ind w:firstLine="2880" w:firstLineChars="800"/>
        <w:rPr>
          <w:rFonts w:ascii="宋体" w:hAnsi="宋体" w:cs="宋体"/>
          <w:sz w:val="36"/>
          <w:szCs w:val="36"/>
        </w:rPr>
      </w:pPr>
    </w:p>
    <w:p>
      <w:pPr>
        <w:ind w:firstLine="2880" w:firstLineChars="800"/>
        <w:rPr>
          <w:rFonts w:ascii="宋体" w:hAnsi="宋体" w:cs="宋体"/>
          <w:sz w:val="36"/>
          <w:szCs w:val="36"/>
        </w:rPr>
      </w:pPr>
    </w:p>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pStyle w:val="8"/>
        <w:rPr>
          <w:sz w:val="24"/>
          <w:szCs w:val="24"/>
        </w:rPr>
      </w:pPr>
    </w:p>
    <w:p>
      <w:pPr>
        <w:pStyle w:val="9"/>
        <w:ind w:left="1260"/>
        <w:rPr>
          <w:sz w:val="24"/>
          <w:szCs w:val="24"/>
        </w:rPr>
      </w:pPr>
    </w:p>
    <w:p/>
    <w:p>
      <w:pPr>
        <w:spacing w:line="360" w:lineRule="auto"/>
        <w:rPr>
          <w:sz w:val="24"/>
          <w:szCs w:val="24"/>
        </w:rPr>
      </w:pPr>
    </w:p>
    <w:p>
      <w:pPr>
        <w:spacing w:line="360" w:lineRule="auto"/>
        <w:rPr>
          <w:sz w:val="24"/>
          <w:szCs w:val="24"/>
        </w:rPr>
      </w:pPr>
    </w:p>
    <w:p>
      <w:pPr>
        <w:spacing w:line="360" w:lineRule="auto"/>
        <w:rPr>
          <w:sz w:val="24"/>
          <w:szCs w:val="24"/>
        </w:rPr>
      </w:pPr>
    </w:p>
    <w:p>
      <w:pPr>
        <w:pStyle w:val="2"/>
        <w:ind w:firstLine="1767" w:firstLineChars="400"/>
        <w:jc w:val="both"/>
      </w:pPr>
      <w:bookmarkStart w:id="31" w:name="_Toc9509"/>
      <w:r>
        <w:t>第五章</w:t>
      </w:r>
      <w:r>
        <w:rPr>
          <w:rFonts w:hint="eastAsia"/>
        </w:rPr>
        <w:t xml:space="preserve"> 政府采购合同</w:t>
      </w:r>
      <w:bookmarkEnd w:id="31"/>
    </w:p>
    <w:p>
      <w:pPr>
        <w:tabs>
          <w:tab w:val="left" w:pos="850"/>
        </w:tabs>
        <w:rPr>
          <w:b/>
          <w:sz w:val="24"/>
          <w:szCs w:val="24"/>
        </w:rPr>
      </w:pPr>
      <w:r>
        <w:rPr>
          <w:rFonts w:hint="eastAsia"/>
          <w:b/>
          <w:sz w:val="24"/>
          <w:szCs w:val="24"/>
        </w:rPr>
        <w:t>（此合同文本仅为通用参考合同文本，在确定中标人后，双方将对商务、技术、承诺等内容签订更加详细的内容，招标人保留对合同条款修改的权利。）</w:t>
      </w:r>
    </w:p>
    <w:p>
      <w:pPr>
        <w:tabs>
          <w:tab w:val="left" w:pos="850"/>
        </w:tabs>
        <w:rPr>
          <w:sz w:val="24"/>
          <w:szCs w:val="24"/>
        </w:rPr>
      </w:pPr>
    </w:p>
    <w:p>
      <w:pPr>
        <w:tabs>
          <w:tab w:val="left" w:pos="850"/>
        </w:tabs>
        <w:ind w:firstLine="2530" w:firstLineChars="900"/>
        <w:rPr>
          <w:sz w:val="28"/>
          <w:szCs w:val="28"/>
        </w:rPr>
      </w:pPr>
      <w:r>
        <w:rPr>
          <w:rFonts w:hint="eastAsia"/>
          <w:b/>
          <w:sz w:val="28"/>
          <w:szCs w:val="28"/>
        </w:rPr>
        <w:t>项目编号</w:t>
      </w:r>
      <w:r>
        <w:rPr>
          <w:rFonts w:hint="eastAsia"/>
          <w:sz w:val="28"/>
          <w:szCs w:val="28"/>
        </w:rPr>
        <w:t>：</w:t>
      </w: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ind w:firstLine="2530" w:firstLineChars="900"/>
        <w:rPr>
          <w:b/>
          <w:sz w:val="28"/>
          <w:szCs w:val="28"/>
        </w:rPr>
      </w:pPr>
      <w:r>
        <w:rPr>
          <w:rFonts w:hint="eastAsia"/>
          <w:b/>
          <w:sz w:val="28"/>
          <w:szCs w:val="28"/>
        </w:rPr>
        <w:t>项目名称</w:t>
      </w: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ind w:firstLine="3373" w:firstLineChars="1200"/>
        <w:rPr>
          <w:b/>
          <w:sz w:val="28"/>
          <w:szCs w:val="28"/>
        </w:rPr>
      </w:pPr>
      <w:r>
        <w:rPr>
          <w:rFonts w:hint="eastAsia"/>
          <w:b/>
          <w:sz w:val="28"/>
          <w:szCs w:val="28"/>
        </w:rPr>
        <w:t>政府采购货物合同</w:t>
      </w: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rPr>
          <w:sz w:val="24"/>
          <w:szCs w:val="24"/>
        </w:rPr>
      </w:pPr>
    </w:p>
    <w:p>
      <w:pPr>
        <w:tabs>
          <w:tab w:val="left" w:pos="850"/>
        </w:tabs>
        <w:ind w:firstLine="241" w:firstLineChars="100"/>
        <w:rPr>
          <w:b/>
          <w:sz w:val="24"/>
          <w:szCs w:val="24"/>
          <w:u w:val="single"/>
        </w:rPr>
      </w:pPr>
      <w:r>
        <w:rPr>
          <w:rFonts w:hint="eastAsia"/>
          <w:b/>
          <w:sz w:val="24"/>
          <w:szCs w:val="24"/>
        </w:rPr>
        <w:t>需方：</w:t>
      </w:r>
    </w:p>
    <w:p>
      <w:pPr>
        <w:tabs>
          <w:tab w:val="left" w:pos="850"/>
        </w:tabs>
        <w:rPr>
          <w:b/>
          <w:sz w:val="24"/>
          <w:szCs w:val="24"/>
        </w:rPr>
      </w:pPr>
    </w:p>
    <w:p>
      <w:pPr>
        <w:tabs>
          <w:tab w:val="left" w:pos="850"/>
        </w:tabs>
        <w:ind w:firstLine="241" w:firstLineChars="100"/>
        <w:rPr>
          <w:b/>
          <w:sz w:val="24"/>
          <w:szCs w:val="24"/>
          <w:u w:val="single"/>
        </w:rPr>
      </w:pPr>
      <w:r>
        <w:rPr>
          <w:rFonts w:hint="eastAsia"/>
          <w:b/>
          <w:sz w:val="24"/>
          <w:szCs w:val="24"/>
        </w:rPr>
        <w:t>供方：</w:t>
      </w:r>
    </w:p>
    <w:p>
      <w:pPr>
        <w:tabs>
          <w:tab w:val="left" w:pos="850"/>
        </w:tabs>
        <w:rPr>
          <w:b/>
          <w:sz w:val="24"/>
          <w:szCs w:val="24"/>
        </w:rPr>
      </w:pPr>
    </w:p>
    <w:p>
      <w:pPr>
        <w:tabs>
          <w:tab w:val="left" w:pos="850"/>
        </w:tabs>
        <w:ind w:firstLine="241" w:firstLineChars="100"/>
        <w:rPr>
          <w:b/>
          <w:sz w:val="24"/>
          <w:szCs w:val="24"/>
        </w:rPr>
      </w:pPr>
      <w:r>
        <w:rPr>
          <w:rFonts w:hint="eastAsia"/>
          <w:b/>
          <w:sz w:val="24"/>
          <w:szCs w:val="24"/>
        </w:rPr>
        <w:t>签订日期 ：年 月 日</w:t>
      </w:r>
    </w:p>
    <w:p>
      <w:pPr>
        <w:tabs>
          <w:tab w:val="left" w:pos="850"/>
        </w:tabs>
        <w:spacing w:line="360" w:lineRule="auto"/>
        <w:rPr>
          <w:b/>
          <w:bCs/>
          <w:sz w:val="24"/>
          <w:szCs w:val="24"/>
        </w:rPr>
      </w:pPr>
      <w:r>
        <w:rPr>
          <w:b/>
          <w:sz w:val="24"/>
          <w:szCs w:val="24"/>
        </w:rPr>
        <w:br w:type="page"/>
      </w:r>
      <w:bookmarkStart w:id="32" w:name="_Toc74647017"/>
      <w:r>
        <w:rPr>
          <w:rFonts w:hint="eastAsia"/>
          <w:b/>
          <w:bCs/>
          <w:sz w:val="24"/>
          <w:szCs w:val="24"/>
        </w:rPr>
        <w:t>政府采购合同通用条款</w:t>
      </w:r>
      <w:bookmarkEnd w:id="32"/>
    </w:p>
    <w:p>
      <w:pPr>
        <w:tabs>
          <w:tab w:val="left" w:pos="850"/>
        </w:tabs>
        <w:spacing w:line="360" w:lineRule="auto"/>
        <w:rPr>
          <w:b/>
          <w:sz w:val="24"/>
          <w:szCs w:val="24"/>
        </w:rPr>
      </w:pPr>
      <w:r>
        <w:rPr>
          <w:b/>
          <w:sz w:val="24"/>
          <w:szCs w:val="24"/>
        </w:rPr>
        <w:t>1</w:t>
      </w:r>
      <w:r>
        <w:rPr>
          <w:rFonts w:hint="eastAsia"/>
          <w:b/>
          <w:sz w:val="24"/>
          <w:szCs w:val="24"/>
        </w:rPr>
        <w:t>．定义：</w:t>
      </w:r>
      <w:r>
        <w:rPr>
          <w:rFonts w:hint="eastAsia"/>
          <w:sz w:val="24"/>
          <w:szCs w:val="24"/>
        </w:rPr>
        <w:t>除非另有约定，在本合同下列术语按如下定义进行解释：</w:t>
      </w:r>
    </w:p>
    <w:p>
      <w:pPr>
        <w:tabs>
          <w:tab w:val="left" w:pos="850"/>
        </w:tabs>
        <w:spacing w:line="360" w:lineRule="auto"/>
        <w:rPr>
          <w:sz w:val="24"/>
          <w:szCs w:val="24"/>
        </w:rPr>
      </w:pPr>
      <w:r>
        <w:rPr>
          <w:rFonts w:hint="eastAsia"/>
          <w:sz w:val="24"/>
          <w:szCs w:val="24"/>
        </w:rPr>
        <w:t>（</w:t>
      </w:r>
      <w:r>
        <w:rPr>
          <w:sz w:val="24"/>
          <w:szCs w:val="24"/>
        </w:rPr>
        <w:t>1</w:t>
      </w:r>
      <w:r>
        <w:rPr>
          <w:rFonts w:hint="eastAsia"/>
          <w:sz w:val="24"/>
          <w:szCs w:val="24"/>
        </w:rPr>
        <w:t>）</w:t>
      </w:r>
      <w:r>
        <w:rPr>
          <w:sz w:val="24"/>
          <w:szCs w:val="24"/>
        </w:rPr>
        <w:t>“</w:t>
      </w:r>
      <w:r>
        <w:rPr>
          <w:rFonts w:hint="eastAsia"/>
          <w:sz w:val="24"/>
          <w:szCs w:val="24"/>
        </w:rPr>
        <w:t>合同</w:t>
      </w:r>
      <w:r>
        <w:rPr>
          <w:sz w:val="24"/>
          <w:szCs w:val="24"/>
        </w:rPr>
        <w:t>”</w:t>
      </w:r>
      <w:r>
        <w:rPr>
          <w:rFonts w:hint="eastAsia"/>
          <w:sz w:val="24"/>
          <w:szCs w:val="24"/>
        </w:rPr>
        <w:t>指供需双方签署的、在合同中载明的合同各方所达成的协议，包括构成合同的所有附件、附录和其他文件。</w:t>
      </w:r>
    </w:p>
    <w:p>
      <w:pPr>
        <w:tabs>
          <w:tab w:val="left" w:pos="850"/>
        </w:tabs>
        <w:spacing w:line="360" w:lineRule="auto"/>
        <w:rPr>
          <w:sz w:val="24"/>
          <w:szCs w:val="24"/>
        </w:rPr>
      </w:pPr>
      <w:r>
        <w:rPr>
          <w:rFonts w:hint="eastAsia"/>
          <w:sz w:val="24"/>
          <w:szCs w:val="24"/>
        </w:rPr>
        <w:t>（</w:t>
      </w:r>
      <w:r>
        <w:rPr>
          <w:sz w:val="24"/>
          <w:szCs w:val="24"/>
        </w:rPr>
        <w:t>2</w:t>
      </w:r>
      <w:r>
        <w:rPr>
          <w:rFonts w:hint="eastAsia"/>
          <w:sz w:val="24"/>
          <w:szCs w:val="24"/>
        </w:rPr>
        <w:t>）</w:t>
      </w:r>
      <w:r>
        <w:rPr>
          <w:sz w:val="24"/>
          <w:szCs w:val="24"/>
        </w:rPr>
        <w:t>“</w:t>
      </w:r>
      <w:r>
        <w:rPr>
          <w:rFonts w:hint="eastAsia"/>
          <w:sz w:val="24"/>
          <w:szCs w:val="24"/>
        </w:rPr>
        <w:t>附件、附录</w:t>
      </w:r>
      <w:r>
        <w:rPr>
          <w:sz w:val="24"/>
          <w:szCs w:val="24"/>
        </w:rPr>
        <w:t>”</w:t>
      </w:r>
      <w:r>
        <w:rPr>
          <w:rFonts w:hint="eastAsia"/>
          <w:sz w:val="24"/>
          <w:szCs w:val="24"/>
        </w:rPr>
        <w:t>指与本合同的订立、履行有关的，经供需双方认可的，对本合同约定内容进行细化、补充、修改、变更等的文件资料。</w:t>
      </w:r>
    </w:p>
    <w:p>
      <w:pPr>
        <w:tabs>
          <w:tab w:val="left" w:pos="850"/>
        </w:tabs>
        <w:spacing w:line="360" w:lineRule="auto"/>
        <w:rPr>
          <w:sz w:val="24"/>
          <w:szCs w:val="24"/>
        </w:rPr>
      </w:pPr>
      <w:r>
        <w:rPr>
          <w:rFonts w:hint="eastAsia"/>
          <w:sz w:val="24"/>
          <w:szCs w:val="24"/>
        </w:rPr>
        <w:t>（</w:t>
      </w:r>
      <w:r>
        <w:rPr>
          <w:sz w:val="24"/>
          <w:szCs w:val="24"/>
        </w:rPr>
        <w:t>3</w:t>
      </w:r>
      <w:r>
        <w:rPr>
          <w:rFonts w:hint="eastAsia"/>
          <w:sz w:val="24"/>
          <w:szCs w:val="24"/>
        </w:rPr>
        <w:t>）</w:t>
      </w:r>
      <w:r>
        <w:rPr>
          <w:sz w:val="24"/>
          <w:szCs w:val="24"/>
        </w:rPr>
        <w:t>“</w:t>
      </w:r>
      <w:r>
        <w:rPr>
          <w:rFonts w:hint="eastAsia"/>
          <w:sz w:val="24"/>
          <w:szCs w:val="24"/>
        </w:rPr>
        <w:t>合同价格</w:t>
      </w:r>
      <w:r>
        <w:rPr>
          <w:sz w:val="24"/>
          <w:szCs w:val="24"/>
        </w:rPr>
        <w:t>”</w:t>
      </w:r>
      <w:r>
        <w:rPr>
          <w:rFonts w:hint="eastAsia"/>
          <w:sz w:val="24"/>
          <w:szCs w:val="24"/>
        </w:rPr>
        <w:t>指根据合同规定供方正确地完全履行合同义务后需方应支付给供方的价格。</w:t>
      </w:r>
    </w:p>
    <w:p>
      <w:pPr>
        <w:tabs>
          <w:tab w:val="left" w:pos="850"/>
        </w:tabs>
        <w:spacing w:line="360" w:lineRule="auto"/>
        <w:rPr>
          <w:sz w:val="24"/>
          <w:szCs w:val="24"/>
        </w:rPr>
      </w:pPr>
      <w:r>
        <w:rPr>
          <w:rFonts w:hint="eastAsia"/>
          <w:sz w:val="24"/>
          <w:szCs w:val="24"/>
        </w:rPr>
        <w:t>（</w:t>
      </w:r>
      <w:r>
        <w:rPr>
          <w:sz w:val="24"/>
          <w:szCs w:val="24"/>
        </w:rPr>
        <w:t>4</w:t>
      </w:r>
      <w:r>
        <w:rPr>
          <w:rFonts w:hint="eastAsia"/>
          <w:sz w:val="24"/>
          <w:szCs w:val="24"/>
        </w:rPr>
        <w:t>）</w:t>
      </w:r>
      <w:r>
        <w:rPr>
          <w:sz w:val="24"/>
          <w:szCs w:val="24"/>
        </w:rPr>
        <w:t>“</w:t>
      </w:r>
      <w:r>
        <w:rPr>
          <w:rFonts w:hint="eastAsia"/>
          <w:sz w:val="24"/>
          <w:szCs w:val="24"/>
        </w:rPr>
        <w:t>货物</w:t>
      </w:r>
      <w:r>
        <w:rPr>
          <w:sz w:val="24"/>
          <w:szCs w:val="24"/>
        </w:rPr>
        <w:t>”</w:t>
      </w:r>
      <w:r>
        <w:rPr>
          <w:rFonts w:hint="eastAsia"/>
          <w:sz w:val="24"/>
          <w:szCs w:val="24"/>
        </w:rPr>
        <w:t>指根据合同规定供方须向需方提供的一切材料、设备、机械、仪表、备件、工具和</w:t>
      </w:r>
      <w:r>
        <w:rPr>
          <w:sz w:val="24"/>
          <w:szCs w:val="24"/>
        </w:rPr>
        <w:t>/</w:t>
      </w:r>
      <w:r>
        <w:rPr>
          <w:rFonts w:hint="eastAsia"/>
          <w:sz w:val="24"/>
          <w:szCs w:val="24"/>
        </w:rPr>
        <w:t>或其它材料。</w:t>
      </w:r>
    </w:p>
    <w:p>
      <w:pPr>
        <w:tabs>
          <w:tab w:val="left" w:pos="850"/>
        </w:tabs>
        <w:spacing w:line="360" w:lineRule="auto"/>
        <w:rPr>
          <w:sz w:val="24"/>
          <w:szCs w:val="24"/>
        </w:rPr>
      </w:pPr>
      <w:r>
        <w:rPr>
          <w:rFonts w:hint="eastAsia"/>
          <w:sz w:val="24"/>
          <w:szCs w:val="24"/>
        </w:rPr>
        <w:t>（</w:t>
      </w:r>
      <w:r>
        <w:rPr>
          <w:sz w:val="24"/>
          <w:szCs w:val="24"/>
        </w:rPr>
        <w:t>5</w:t>
      </w:r>
      <w:r>
        <w:rPr>
          <w:rFonts w:hint="eastAsia"/>
          <w:sz w:val="24"/>
          <w:szCs w:val="24"/>
        </w:rPr>
        <w:t>）</w:t>
      </w:r>
      <w:r>
        <w:rPr>
          <w:sz w:val="24"/>
          <w:szCs w:val="24"/>
        </w:rPr>
        <w:t>“</w:t>
      </w:r>
      <w:r>
        <w:rPr>
          <w:rFonts w:hint="eastAsia"/>
          <w:sz w:val="24"/>
          <w:szCs w:val="24"/>
        </w:rPr>
        <w:t>服务</w:t>
      </w:r>
      <w:r>
        <w:rPr>
          <w:sz w:val="24"/>
          <w:szCs w:val="24"/>
        </w:rPr>
        <w:t>”</w:t>
      </w:r>
      <w:r>
        <w:rPr>
          <w:rFonts w:hint="eastAsia"/>
          <w:sz w:val="24"/>
          <w:szCs w:val="24"/>
        </w:rPr>
        <w:t>指根据合同规定供方承担的与供货和履行合同有关的辅助服务。</w:t>
      </w:r>
    </w:p>
    <w:p>
      <w:pPr>
        <w:tabs>
          <w:tab w:val="left" w:pos="850"/>
        </w:tabs>
        <w:spacing w:line="360" w:lineRule="auto"/>
        <w:rPr>
          <w:sz w:val="24"/>
          <w:szCs w:val="24"/>
        </w:rPr>
      </w:pPr>
      <w:r>
        <w:rPr>
          <w:rFonts w:hint="eastAsia"/>
          <w:sz w:val="24"/>
          <w:szCs w:val="24"/>
        </w:rPr>
        <w:t>（</w:t>
      </w:r>
      <w:r>
        <w:rPr>
          <w:sz w:val="24"/>
          <w:szCs w:val="24"/>
        </w:rPr>
        <w:t>6</w:t>
      </w:r>
      <w:r>
        <w:rPr>
          <w:rFonts w:hint="eastAsia"/>
          <w:sz w:val="24"/>
          <w:szCs w:val="24"/>
        </w:rPr>
        <w:t>）</w:t>
      </w:r>
      <w:r>
        <w:rPr>
          <w:sz w:val="24"/>
          <w:szCs w:val="24"/>
        </w:rPr>
        <w:t>“</w:t>
      </w:r>
      <w:r>
        <w:rPr>
          <w:rFonts w:hint="eastAsia"/>
          <w:sz w:val="24"/>
          <w:szCs w:val="24"/>
        </w:rPr>
        <w:t>需方</w:t>
      </w:r>
      <w:r>
        <w:rPr>
          <w:sz w:val="24"/>
          <w:szCs w:val="24"/>
        </w:rPr>
        <w:t>”</w:t>
      </w:r>
      <w:r>
        <w:rPr>
          <w:rFonts w:hint="eastAsia"/>
          <w:sz w:val="24"/>
          <w:szCs w:val="24"/>
        </w:rPr>
        <w:t>指政府采购货物和服务的使用单位。</w:t>
      </w:r>
    </w:p>
    <w:p>
      <w:pPr>
        <w:tabs>
          <w:tab w:val="left" w:pos="850"/>
        </w:tabs>
        <w:spacing w:line="360" w:lineRule="auto"/>
        <w:rPr>
          <w:sz w:val="24"/>
          <w:szCs w:val="24"/>
        </w:rPr>
      </w:pPr>
      <w:r>
        <w:rPr>
          <w:rFonts w:hint="eastAsia"/>
          <w:sz w:val="24"/>
          <w:szCs w:val="24"/>
        </w:rPr>
        <w:t>（</w:t>
      </w:r>
      <w:r>
        <w:rPr>
          <w:sz w:val="24"/>
          <w:szCs w:val="24"/>
        </w:rPr>
        <w:t>7</w:t>
      </w:r>
      <w:r>
        <w:rPr>
          <w:rFonts w:hint="eastAsia"/>
          <w:sz w:val="24"/>
          <w:szCs w:val="24"/>
        </w:rPr>
        <w:t>）</w:t>
      </w:r>
      <w:r>
        <w:rPr>
          <w:sz w:val="24"/>
          <w:szCs w:val="24"/>
        </w:rPr>
        <w:t>“</w:t>
      </w:r>
      <w:r>
        <w:rPr>
          <w:rFonts w:hint="eastAsia"/>
          <w:sz w:val="24"/>
          <w:szCs w:val="24"/>
        </w:rPr>
        <w:t>供方</w:t>
      </w:r>
      <w:r>
        <w:rPr>
          <w:sz w:val="24"/>
          <w:szCs w:val="24"/>
        </w:rPr>
        <w:t>”</w:t>
      </w:r>
      <w:r>
        <w:rPr>
          <w:rFonts w:hint="eastAsia"/>
          <w:sz w:val="24"/>
          <w:szCs w:val="24"/>
        </w:rPr>
        <w:t>指按照合同规定向需方提供货物和服务的公司或实体。</w:t>
      </w:r>
    </w:p>
    <w:p>
      <w:pPr>
        <w:tabs>
          <w:tab w:val="left" w:pos="850"/>
        </w:tabs>
        <w:spacing w:line="360" w:lineRule="auto"/>
        <w:rPr>
          <w:sz w:val="24"/>
          <w:szCs w:val="24"/>
        </w:rPr>
      </w:pPr>
      <w:r>
        <w:rPr>
          <w:rFonts w:hint="eastAsia"/>
          <w:sz w:val="24"/>
          <w:szCs w:val="24"/>
        </w:rPr>
        <w:t>（</w:t>
      </w:r>
      <w:r>
        <w:rPr>
          <w:sz w:val="24"/>
          <w:szCs w:val="24"/>
        </w:rPr>
        <w:t>8</w:t>
      </w:r>
      <w:r>
        <w:rPr>
          <w:rFonts w:hint="eastAsia"/>
          <w:sz w:val="24"/>
          <w:szCs w:val="24"/>
        </w:rPr>
        <w:t>）</w:t>
      </w:r>
      <w:r>
        <w:rPr>
          <w:sz w:val="24"/>
          <w:szCs w:val="24"/>
        </w:rPr>
        <w:t>“</w:t>
      </w:r>
      <w:r>
        <w:rPr>
          <w:rFonts w:hint="eastAsia"/>
          <w:sz w:val="24"/>
          <w:szCs w:val="24"/>
        </w:rPr>
        <w:t>第三方</w:t>
      </w:r>
      <w:r>
        <w:rPr>
          <w:sz w:val="24"/>
          <w:szCs w:val="24"/>
        </w:rPr>
        <w:t>”</w:t>
      </w:r>
      <w:r>
        <w:rPr>
          <w:rFonts w:hint="eastAsia"/>
          <w:sz w:val="24"/>
          <w:szCs w:val="24"/>
        </w:rPr>
        <w:t>指本合同以外的任何中国境内、境外的法人、自然人或其他组织。</w:t>
      </w:r>
    </w:p>
    <w:p>
      <w:pPr>
        <w:tabs>
          <w:tab w:val="left" w:pos="850"/>
        </w:tabs>
        <w:spacing w:line="360" w:lineRule="auto"/>
        <w:rPr>
          <w:sz w:val="24"/>
          <w:szCs w:val="24"/>
        </w:rPr>
      </w:pPr>
      <w:r>
        <w:rPr>
          <w:rFonts w:hint="eastAsia"/>
          <w:sz w:val="24"/>
          <w:szCs w:val="24"/>
        </w:rPr>
        <w:t>（</w:t>
      </w:r>
      <w:r>
        <w:rPr>
          <w:sz w:val="24"/>
          <w:szCs w:val="24"/>
        </w:rPr>
        <w:t>9</w:t>
      </w:r>
      <w:r>
        <w:rPr>
          <w:rFonts w:hint="eastAsia"/>
          <w:sz w:val="24"/>
          <w:szCs w:val="24"/>
        </w:rPr>
        <w:t>）</w:t>
      </w:r>
      <w:r>
        <w:rPr>
          <w:sz w:val="24"/>
          <w:szCs w:val="24"/>
        </w:rPr>
        <w:t>“</w:t>
      </w:r>
      <w:r>
        <w:rPr>
          <w:rFonts w:hint="eastAsia"/>
          <w:sz w:val="24"/>
          <w:szCs w:val="24"/>
        </w:rPr>
        <w:t>日、天</w:t>
      </w:r>
      <w:r>
        <w:rPr>
          <w:sz w:val="24"/>
          <w:szCs w:val="24"/>
        </w:rPr>
        <w:t>”</w:t>
      </w:r>
      <w:r>
        <w:rPr>
          <w:rFonts w:hint="eastAsia"/>
          <w:sz w:val="24"/>
          <w:szCs w:val="24"/>
        </w:rPr>
        <w:t>均指日历天数。</w:t>
      </w:r>
    </w:p>
    <w:p>
      <w:pPr>
        <w:tabs>
          <w:tab w:val="left" w:pos="850"/>
        </w:tabs>
        <w:spacing w:line="360" w:lineRule="auto"/>
        <w:rPr>
          <w:sz w:val="24"/>
          <w:szCs w:val="24"/>
        </w:rPr>
      </w:pPr>
      <w:r>
        <w:rPr>
          <w:rFonts w:hint="eastAsia"/>
          <w:sz w:val="24"/>
          <w:szCs w:val="24"/>
        </w:rPr>
        <w:t>（</w:t>
      </w:r>
      <w:r>
        <w:rPr>
          <w:sz w:val="24"/>
          <w:szCs w:val="24"/>
        </w:rPr>
        <w:t>10</w:t>
      </w:r>
      <w:r>
        <w:rPr>
          <w:rFonts w:hint="eastAsia"/>
          <w:sz w:val="24"/>
          <w:szCs w:val="24"/>
        </w:rPr>
        <w:t>）</w:t>
      </w:r>
      <w:r>
        <w:rPr>
          <w:sz w:val="24"/>
          <w:szCs w:val="24"/>
        </w:rPr>
        <w:t>“</w:t>
      </w:r>
      <w:r>
        <w:rPr>
          <w:rFonts w:hint="eastAsia"/>
          <w:sz w:val="24"/>
          <w:szCs w:val="24"/>
        </w:rPr>
        <w:t>工作日</w:t>
      </w:r>
      <w:r>
        <w:rPr>
          <w:sz w:val="24"/>
          <w:szCs w:val="24"/>
        </w:rPr>
        <w:t>”</w:t>
      </w:r>
      <w:r>
        <w:rPr>
          <w:rFonts w:hint="eastAsia"/>
          <w:sz w:val="24"/>
          <w:szCs w:val="24"/>
        </w:rPr>
        <w:t>指扣除公休日和国家法定节假日以外的日历日。</w:t>
      </w:r>
    </w:p>
    <w:p>
      <w:pPr>
        <w:tabs>
          <w:tab w:val="left" w:pos="850"/>
        </w:tabs>
        <w:spacing w:line="360" w:lineRule="auto"/>
        <w:rPr>
          <w:sz w:val="24"/>
          <w:szCs w:val="24"/>
          <w:u w:val="single"/>
        </w:rPr>
      </w:pPr>
      <w:r>
        <w:rPr>
          <w:b/>
          <w:sz w:val="24"/>
          <w:szCs w:val="24"/>
        </w:rPr>
        <w:t>2</w:t>
      </w:r>
      <w:r>
        <w:rPr>
          <w:rFonts w:hint="eastAsia"/>
          <w:b/>
          <w:sz w:val="24"/>
          <w:szCs w:val="24"/>
        </w:rPr>
        <w:t>．适用范围：</w:t>
      </w:r>
      <w:r>
        <w:rPr>
          <w:rFonts w:hint="eastAsia"/>
          <w:sz w:val="24"/>
          <w:szCs w:val="24"/>
        </w:rPr>
        <w:t>本合同条款仅适用</w:t>
      </w:r>
      <w:r>
        <w:rPr>
          <w:rFonts w:hint="eastAsia"/>
          <w:sz w:val="24"/>
          <w:szCs w:val="24"/>
          <w:u w:val="single"/>
        </w:rPr>
        <w:t>（项目名称）。</w:t>
      </w:r>
    </w:p>
    <w:p>
      <w:pPr>
        <w:tabs>
          <w:tab w:val="left" w:pos="850"/>
        </w:tabs>
        <w:spacing w:line="360" w:lineRule="auto"/>
        <w:rPr>
          <w:b/>
          <w:sz w:val="24"/>
          <w:szCs w:val="24"/>
        </w:rPr>
      </w:pPr>
      <w:r>
        <w:rPr>
          <w:b/>
          <w:sz w:val="24"/>
          <w:szCs w:val="24"/>
        </w:rPr>
        <w:t>3</w:t>
      </w:r>
      <w:r>
        <w:rPr>
          <w:rFonts w:hint="eastAsia"/>
          <w:b/>
          <w:sz w:val="24"/>
          <w:szCs w:val="24"/>
        </w:rPr>
        <w:t>．合同内容：</w:t>
      </w:r>
      <w:r>
        <w:rPr>
          <w:rFonts w:hint="eastAsia"/>
          <w:sz w:val="24"/>
          <w:szCs w:val="24"/>
        </w:rPr>
        <w:t>详见招标文件</w:t>
      </w:r>
      <w:r>
        <w:rPr>
          <w:sz w:val="24"/>
          <w:szCs w:val="24"/>
        </w:rPr>
        <w:t>“</w:t>
      </w:r>
      <w:r>
        <w:rPr>
          <w:rFonts w:hint="eastAsia"/>
          <w:sz w:val="24"/>
          <w:szCs w:val="24"/>
        </w:rPr>
        <w:t>技术规格与要求</w:t>
      </w:r>
      <w:r>
        <w:rPr>
          <w:sz w:val="24"/>
          <w:szCs w:val="24"/>
        </w:rPr>
        <w:t>”</w:t>
      </w:r>
      <w:r>
        <w:rPr>
          <w:rFonts w:hint="eastAsia"/>
          <w:sz w:val="24"/>
          <w:szCs w:val="24"/>
        </w:rPr>
        <w:t>及供方的投标文件。未尽事宜在</w:t>
      </w:r>
      <w:r>
        <w:rPr>
          <w:sz w:val="24"/>
          <w:szCs w:val="24"/>
        </w:rPr>
        <w:t>“</w:t>
      </w:r>
      <w:r>
        <w:rPr>
          <w:rFonts w:hint="eastAsia"/>
          <w:sz w:val="24"/>
          <w:szCs w:val="24"/>
        </w:rPr>
        <w:t>政府采购合同书中</w:t>
      </w:r>
      <w:r>
        <w:rPr>
          <w:sz w:val="24"/>
          <w:szCs w:val="24"/>
        </w:rPr>
        <w:t>”</w:t>
      </w:r>
      <w:r>
        <w:rPr>
          <w:rFonts w:hint="eastAsia"/>
          <w:sz w:val="24"/>
          <w:szCs w:val="24"/>
        </w:rPr>
        <w:t>约定。</w:t>
      </w:r>
    </w:p>
    <w:p>
      <w:pPr>
        <w:tabs>
          <w:tab w:val="left" w:pos="850"/>
        </w:tabs>
        <w:spacing w:line="360" w:lineRule="auto"/>
        <w:rPr>
          <w:b/>
          <w:sz w:val="24"/>
          <w:szCs w:val="24"/>
        </w:rPr>
      </w:pPr>
      <w:r>
        <w:rPr>
          <w:b/>
          <w:sz w:val="24"/>
          <w:szCs w:val="24"/>
        </w:rPr>
        <w:t>4</w:t>
      </w:r>
      <w:r>
        <w:rPr>
          <w:rFonts w:hint="eastAsia"/>
          <w:b/>
          <w:sz w:val="24"/>
          <w:szCs w:val="24"/>
        </w:rPr>
        <w:t>．合同价格、交货时间及地点、交货方式、付款方式及条件：</w:t>
      </w:r>
      <w:r>
        <w:rPr>
          <w:rFonts w:hint="eastAsia"/>
          <w:sz w:val="24"/>
          <w:szCs w:val="24"/>
        </w:rPr>
        <w:t>在</w:t>
      </w:r>
      <w:r>
        <w:rPr>
          <w:sz w:val="24"/>
          <w:szCs w:val="24"/>
        </w:rPr>
        <w:t>“</w:t>
      </w:r>
      <w:r>
        <w:rPr>
          <w:rFonts w:hint="eastAsia"/>
          <w:sz w:val="24"/>
          <w:szCs w:val="24"/>
        </w:rPr>
        <w:t>政府采购合同书</w:t>
      </w:r>
      <w:r>
        <w:rPr>
          <w:sz w:val="24"/>
          <w:szCs w:val="24"/>
        </w:rPr>
        <w:t>”</w:t>
      </w:r>
      <w:r>
        <w:rPr>
          <w:rFonts w:hint="eastAsia"/>
          <w:sz w:val="24"/>
          <w:szCs w:val="24"/>
        </w:rPr>
        <w:t>中约定。</w:t>
      </w:r>
    </w:p>
    <w:p>
      <w:pPr>
        <w:tabs>
          <w:tab w:val="left" w:pos="850"/>
        </w:tabs>
        <w:spacing w:line="360" w:lineRule="auto"/>
        <w:rPr>
          <w:sz w:val="24"/>
          <w:szCs w:val="24"/>
        </w:rPr>
      </w:pPr>
      <w:r>
        <w:rPr>
          <w:b/>
          <w:sz w:val="24"/>
          <w:szCs w:val="24"/>
        </w:rPr>
        <w:t>5</w:t>
      </w:r>
      <w:r>
        <w:rPr>
          <w:rFonts w:hint="eastAsia"/>
          <w:b/>
          <w:sz w:val="24"/>
          <w:szCs w:val="24"/>
        </w:rPr>
        <w:t>．知识产权及有关规定：</w:t>
      </w:r>
      <w:r>
        <w:rPr>
          <w:rFonts w:hint="eastAsia"/>
          <w:sz w:val="24"/>
          <w:szCs w:val="24"/>
        </w:rPr>
        <w:t>供方应保证需方在使用本合同项下的货物或其任何一部分时免受第三方提出侵犯其知识产权、商标权或工业设计权的起诉。如果发生此类问题，供方应负责交涉并承担一切费用和责任。</w:t>
      </w:r>
    </w:p>
    <w:p>
      <w:pPr>
        <w:tabs>
          <w:tab w:val="left" w:pos="850"/>
        </w:tabs>
        <w:spacing w:line="360" w:lineRule="auto"/>
        <w:rPr>
          <w:b/>
          <w:sz w:val="24"/>
          <w:szCs w:val="24"/>
        </w:rPr>
      </w:pPr>
      <w:r>
        <w:rPr>
          <w:b/>
          <w:sz w:val="24"/>
          <w:szCs w:val="24"/>
        </w:rPr>
        <w:t>6</w:t>
      </w:r>
      <w:r>
        <w:rPr>
          <w:rFonts w:hint="eastAsia"/>
          <w:b/>
          <w:sz w:val="24"/>
          <w:szCs w:val="24"/>
        </w:rPr>
        <w:t>．保密条款</w:t>
      </w:r>
    </w:p>
    <w:p>
      <w:pPr>
        <w:tabs>
          <w:tab w:val="left" w:pos="850"/>
        </w:tabs>
        <w:spacing w:line="360" w:lineRule="auto"/>
        <w:rPr>
          <w:sz w:val="24"/>
          <w:szCs w:val="24"/>
        </w:rPr>
      </w:pPr>
      <w:r>
        <w:rPr>
          <w:sz w:val="24"/>
          <w:szCs w:val="24"/>
        </w:rPr>
        <w:t>6.1</w:t>
      </w:r>
      <w:r>
        <w:rPr>
          <w:rFonts w:hint="eastAsia"/>
          <w:sz w:val="24"/>
          <w:szCs w:val="24"/>
        </w:rPr>
        <w:t>任何一方对其获知的本合同涉及的所有有形、无形的信息及资料（包括但不限于供需双方的往来书面文字文件、电子邮件等）中另一方的商业秘密或国家秘密负有保密义务。</w:t>
      </w:r>
    </w:p>
    <w:p>
      <w:pPr>
        <w:tabs>
          <w:tab w:val="left" w:pos="850"/>
        </w:tabs>
        <w:spacing w:line="360" w:lineRule="auto"/>
        <w:rPr>
          <w:sz w:val="24"/>
          <w:szCs w:val="24"/>
        </w:rPr>
      </w:pPr>
      <w:r>
        <w:rPr>
          <w:sz w:val="24"/>
          <w:szCs w:val="24"/>
        </w:rPr>
        <w:t>6.2</w:t>
      </w:r>
      <w:r>
        <w:rPr>
          <w:rFonts w:hint="eastAsia"/>
          <w:sz w:val="24"/>
          <w:szCs w:val="24"/>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pPr>
        <w:tabs>
          <w:tab w:val="left" w:pos="850"/>
        </w:tabs>
        <w:spacing w:line="360" w:lineRule="auto"/>
        <w:rPr>
          <w:b/>
          <w:sz w:val="24"/>
          <w:szCs w:val="24"/>
        </w:rPr>
      </w:pPr>
      <w:r>
        <w:rPr>
          <w:b/>
          <w:sz w:val="24"/>
          <w:szCs w:val="24"/>
        </w:rPr>
        <w:t>7.</w:t>
      </w:r>
      <w:r>
        <w:rPr>
          <w:rFonts w:hint="eastAsia"/>
          <w:b/>
          <w:sz w:val="24"/>
          <w:szCs w:val="24"/>
        </w:rPr>
        <w:t>合同的解释</w:t>
      </w:r>
    </w:p>
    <w:p>
      <w:pPr>
        <w:tabs>
          <w:tab w:val="left" w:pos="850"/>
        </w:tabs>
        <w:spacing w:line="360" w:lineRule="auto"/>
        <w:rPr>
          <w:sz w:val="24"/>
          <w:szCs w:val="24"/>
        </w:rPr>
      </w:pPr>
      <w:r>
        <w:rPr>
          <w:sz w:val="24"/>
          <w:szCs w:val="24"/>
        </w:rPr>
        <w:t>7.1</w:t>
      </w:r>
      <w:r>
        <w:rPr>
          <w:rFonts w:hint="eastAsia"/>
          <w:sz w:val="24"/>
          <w:szCs w:val="24"/>
        </w:rPr>
        <w:t>任何一方对本合同及其附件的解释均应遵循诚实信用原则，依照本合同签订时有效的中华人民共和国的法律、法规以及人们通常的理解进行。</w:t>
      </w:r>
    </w:p>
    <w:p>
      <w:pPr>
        <w:tabs>
          <w:tab w:val="left" w:pos="850"/>
        </w:tabs>
        <w:spacing w:line="360" w:lineRule="auto"/>
        <w:rPr>
          <w:sz w:val="24"/>
          <w:szCs w:val="24"/>
        </w:rPr>
      </w:pPr>
      <w:r>
        <w:rPr>
          <w:sz w:val="24"/>
          <w:szCs w:val="24"/>
        </w:rPr>
        <w:t>7.2</w:t>
      </w:r>
      <w:r>
        <w:rPr>
          <w:rFonts w:hint="eastAsia"/>
          <w:sz w:val="24"/>
          <w:szCs w:val="24"/>
        </w:rPr>
        <w:t>本合同中以日（天）表述的时间期限均指公历日。</w:t>
      </w:r>
    </w:p>
    <w:p>
      <w:pPr>
        <w:tabs>
          <w:tab w:val="left" w:pos="850"/>
        </w:tabs>
        <w:spacing w:line="360" w:lineRule="auto"/>
        <w:rPr>
          <w:sz w:val="24"/>
          <w:szCs w:val="24"/>
        </w:rPr>
      </w:pPr>
      <w:r>
        <w:rPr>
          <w:sz w:val="24"/>
          <w:szCs w:val="24"/>
        </w:rPr>
        <w:t>7.3</w:t>
      </w:r>
      <w:r>
        <w:rPr>
          <w:rFonts w:hint="eastAsia"/>
          <w:sz w:val="24"/>
          <w:szCs w:val="24"/>
        </w:rPr>
        <w:t>对本合同的任何解释均应以书面做出。</w:t>
      </w:r>
    </w:p>
    <w:p>
      <w:pPr>
        <w:tabs>
          <w:tab w:val="left" w:pos="850"/>
        </w:tabs>
        <w:spacing w:line="360" w:lineRule="auto"/>
        <w:rPr>
          <w:sz w:val="24"/>
          <w:szCs w:val="24"/>
        </w:rPr>
      </w:pPr>
      <w:r>
        <w:rPr>
          <w:b/>
          <w:sz w:val="24"/>
          <w:szCs w:val="24"/>
        </w:rPr>
        <w:t>8</w:t>
      </w:r>
      <w:r>
        <w:rPr>
          <w:rFonts w:hint="eastAsia"/>
          <w:b/>
          <w:sz w:val="24"/>
          <w:szCs w:val="24"/>
        </w:rPr>
        <w:t>．包装要求：</w:t>
      </w:r>
      <w:r>
        <w:rPr>
          <w:rFonts w:hint="eastAsia"/>
          <w:sz w:val="24"/>
          <w:szCs w:val="24"/>
        </w:rPr>
        <w:t>除合同另有规定外，供方提供的全部货物均应按国家或行业标准进行包装。因包装出现问题导致货物毁损的</w:t>
      </w:r>
      <w:r>
        <w:rPr>
          <w:sz w:val="24"/>
          <w:szCs w:val="24"/>
        </w:rPr>
        <w:t>,</w:t>
      </w:r>
      <w:r>
        <w:rPr>
          <w:rFonts w:hint="eastAsia"/>
          <w:sz w:val="24"/>
          <w:szCs w:val="24"/>
        </w:rPr>
        <w:t>由供方向需方直接承担责任。每一个包装箱内应附一份详细的装箱单和质量合格证书。</w:t>
      </w:r>
    </w:p>
    <w:p>
      <w:pPr>
        <w:tabs>
          <w:tab w:val="left" w:pos="850"/>
        </w:tabs>
        <w:spacing w:line="360" w:lineRule="auto"/>
        <w:rPr>
          <w:sz w:val="24"/>
          <w:szCs w:val="24"/>
        </w:rPr>
      </w:pPr>
      <w:r>
        <w:rPr>
          <w:b/>
          <w:sz w:val="24"/>
          <w:szCs w:val="24"/>
        </w:rPr>
        <w:t>9</w:t>
      </w:r>
      <w:r>
        <w:rPr>
          <w:rFonts w:hint="eastAsia"/>
          <w:b/>
          <w:sz w:val="24"/>
          <w:szCs w:val="24"/>
        </w:rPr>
        <w:t>．包装标志：</w:t>
      </w:r>
      <w:r>
        <w:rPr>
          <w:rFonts w:hint="eastAsia"/>
          <w:sz w:val="24"/>
          <w:szCs w:val="24"/>
        </w:rPr>
        <w:t>每一包装箱应用不褪色的油漆以醒目的中文字样做出相关标记。</w:t>
      </w:r>
    </w:p>
    <w:p>
      <w:pPr>
        <w:tabs>
          <w:tab w:val="left" w:pos="850"/>
        </w:tabs>
        <w:spacing w:line="360" w:lineRule="auto"/>
        <w:rPr>
          <w:b/>
          <w:sz w:val="24"/>
          <w:szCs w:val="24"/>
        </w:rPr>
      </w:pPr>
      <w:r>
        <w:rPr>
          <w:b/>
          <w:sz w:val="24"/>
          <w:szCs w:val="24"/>
        </w:rPr>
        <w:t>10</w:t>
      </w:r>
      <w:r>
        <w:rPr>
          <w:rFonts w:hint="eastAsia"/>
          <w:b/>
          <w:sz w:val="24"/>
          <w:szCs w:val="24"/>
        </w:rPr>
        <w:t>．伴随服务</w:t>
      </w:r>
    </w:p>
    <w:p>
      <w:pPr>
        <w:tabs>
          <w:tab w:val="left" w:pos="850"/>
        </w:tabs>
        <w:spacing w:line="360" w:lineRule="auto"/>
        <w:rPr>
          <w:sz w:val="24"/>
          <w:szCs w:val="24"/>
        </w:rPr>
      </w:pPr>
      <w:r>
        <w:rPr>
          <w:sz w:val="24"/>
          <w:szCs w:val="24"/>
        </w:rPr>
        <w:t>10.1</w:t>
      </w:r>
      <w:r>
        <w:rPr>
          <w:rFonts w:hint="eastAsia"/>
          <w:sz w:val="24"/>
          <w:szCs w:val="24"/>
        </w:rPr>
        <w:t>供方应提供所交付货物的全套技术文件资料，包括产品目录、图纸、操作手册、使用说明、维护手册和服务指南等。</w:t>
      </w:r>
    </w:p>
    <w:p>
      <w:pPr>
        <w:tabs>
          <w:tab w:val="left" w:pos="850"/>
        </w:tabs>
        <w:spacing w:line="360" w:lineRule="auto"/>
        <w:rPr>
          <w:sz w:val="24"/>
          <w:szCs w:val="24"/>
        </w:rPr>
      </w:pPr>
      <w:r>
        <w:rPr>
          <w:sz w:val="24"/>
          <w:szCs w:val="24"/>
        </w:rPr>
        <w:t>10.2</w:t>
      </w:r>
      <w:r>
        <w:rPr>
          <w:rFonts w:hint="eastAsia"/>
          <w:sz w:val="24"/>
          <w:szCs w:val="24"/>
        </w:rPr>
        <w:t>供方还应提供下列服务：货物的现场安装、启动和试运行；提供货物组装和维修所需的工具；在质量保证期内对所交付货物提供运行监督、维修、保养等；在制造厂家和</w:t>
      </w:r>
      <w:r>
        <w:rPr>
          <w:sz w:val="24"/>
          <w:szCs w:val="24"/>
        </w:rPr>
        <w:t>/</w:t>
      </w:r>
      <w:r>
        <w:rPr>
          <w:rFonts w:hint="eastAsia"/>
          <w:sz w:val="24"/>
          <w:szCs w:val="24"/>
        </w:rPr>
        <w:t>或在项目现场就货物的安装、启动、运行、维护等对需方人员进行培训。</w:t>
      </w:r>
    </w:p>
    <w:p>
      <w:pPr>
        <w:tabs>
          <w:tab w:val="left" w:pos="850"/>
        </w:tabs>
        <w:spacing w:line="360" w:lineRule="auto"/>
        <w:rPr>
          <w:sz w:val="24"/>
          <w:szCs w:val="24"/>
        </w:rPr>
      </w:pPr>
      <w:r>
        <w:rPr>
          <w:sz w:val="24"/>
          <w:szCs w:val="24"/>
        </w:rPr>
        <w:t>10.3</w:t>
      </w:r>
      <w:r>
        <w:rPr>
          <w:rFonts w:hint="eastAsia"/>
          <w:sz w:val="24"/>
          <w:szCs w:val="24"/>
        </w:rPr>
        <w:t>上述伴随服务的费用应包含在合同总价中，不单独进行支付。</w:t>
      </w:r>
    </w:p>
    <w:p>
      <w:pPr>
        <w:tabs>
          <w:tab w:val="left" w:pos="850"/>
        </w:tabs>
        <w:spacing w:line="360" w:lineRule="auto"/>
        <w:rPr>
          <w:b/>
          <w:sz w:val="24"/>
          <w:szCs w:val="24"/>
        </w:rPr>
      </w:pPr>
      <w:r>
        <w:rPr>
          <w:b/>
          <w:sz w:val="24"/>
          <w:szCs w:val="24"/>
        </w:rPr>
        <w:t>11</w:t>
      </w:r>
      <w:r>
        <w:rPr>
          <w:rFonts w:hint="eastAsia"/>
          <w:b/>
          <w:sz w:val="24"/>
          <w:szCs w:val="24"/>
        </w:rPr>
        <w:t>．质量保证期及售后服务</w:t>
      </w:r>
    </w:p>
    <w:p>
      <w:pPr>
        <w:tabs>
          <w:tab w:val="left" w:pos="850"/>
        </w:tabs>
        <w:spacing w:line="360" w:lineRule="auto"/>
        <w:rPr>
          <w:sz w:val="24"/>
          <w:szCs w:val="24"/>
        </w:rPr>
      </w:pPr>
      <w:r>
        <w:rPr>
          <w:sz w:val="24"/>
          <w:szCs w:val="24"/>
        </w:rPr>
        <w:t>11.1</w:t>
      </w:r>
      <w:r>
        <w:rPr>
          <w:rFonts w:hint="eastAsia"/>
          <w:sz w:val="24"/>
          <w:szCs w:val="24"/>
        </w:rPr>
        <w:t>质量保证期及售后服务：详见招标文件的要求，供方提交的售后服务承诺书和制造厂商的有关文件，如果上述文件有不一致之处，以对需方有利的为准。</w:t>
      </w:r>
    </w:p>
    <w:p>
      <w:pPr>
        <w:tabs>
          <w:tab w:val="left" w:pos="850"/>
        </w:tabs>
        <w:spacing w:line="360" w:lineRule="auto"/>
        <w:rPr>
          <w:sz w:val="24"/>
          <w:szCs w:val="24"/>
        </w:rPr>
      </w:pPr>
      <w:r>
        <w:rPr>
          <w:sz w:val="24"/>
          <w:szCs w:val="24"/>
        </w:rPr>
        <w:t>11.2</w:t>
      </w:r>
      <w:r>
        <w:rPr>
          <w:rFonts w:hint="eastAsia"/>
          <w:sz w:val="24"/>
          <w:szCs w:val="24"/>
        </w:rPr>
        <w:t>如果上述第</w:t>
      </w:r>
      <w:r>
        <w:rPr>
          <w:sz w:val="24"/>
          <w:szCs w:val="24"/>
        </w:rPr>
        <w:t>11.1</w:t>
      </w:r>
      <w:r>
        <w:rPr>
          <w:rFonts w:hint="eastAsia"/>
          <w:sz w:val="24"/>
          <w:szCs w:val="24"/>
        </w:rPr>
        <w:t>款无特别约定，本合同项下货物的质量保证期为从需方验收合格并交付给需方之日起两年。</w:t>
      </w:r>
    </w:p>
    <w:p>
      <w:pPr>
        <w:tabs>
          <w:tab w:val="left" w:pos="850"/>
        </w:tabs>
        <w:spacing w:line="360" w:lineRule="auto"/>
        <w:rPr>
          <w:b/>
          <w:sz w:val="24"/>
          <w:szCs w:val="24"/>
        </w:rPr>
      </w:pPr>
      <w:r>
        <w:rPr>
          <w:b/>
          <w:sz w:val="24"/>
          <w:szCs w:val="24"/>
        </w:rPr>
        <w:t>12</w:t>
      </w:r>
      <w:r>
        <w:rPr>
          <w:rFonts w:hint="eastAsia"/>
          <w:b/>
          <w:sz w:val="24"/>
          <w:szCs w:val="24"/>
        </w:rPr>
        <w:t>．质量保证</w:t>
      </w:r>
    </w:p>
    <w:p>
      <w:pPr>
        <w:tabs>
          <w:tab w:val="left" w:pos="850"/>
        </w:tabs>
        <w:spacing w:line="360" w:lineRule="auto"/>
        <w:rPr>
          <w:sz w:val="24"/>
          <w:szCs w:val="24"/>
        </w:rPr>
      </w:pPr>
      <w:r>
        <w:rPr>
          <w:sz w:val="24"/>
          <w:szCs w:val="24"/>
        </w:rPr>
        <w:t xml:space="preserve">12.1 </w:t>
      </w:r>
      <w:r>
        <w:rPr>
          <w:rFonts w:hint="eastAsia"/>
          <w:sz w:val="24"/>
          <w:szCs w:val="24"/>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sz w:val="24"/>
          <w:szCs w:val="24"/>
        </w:rPr>
        <w:t>11</w:t>
      </w:r>
      <w:r>
        <w:rPr>
          <w:rFonts w:hint="eastAsia"/>
          <w:sz w:val="24"/>
          <w:szCs w:val="24"/>
        </w:rPr>
        <w:t>条规定的质量保证期内，供方应对其交付的货物由于设计、工艺或材料的缺陷而产生的故障负责。</w:t>
      </w:r>
    </w:p>
    <w:p>
      <w:pPr>
        <w:tabs>
          <w:tab w:val="left" w:pos="850"/>
        </w:tabs>
        <w:spacing w:line="360" w:lineRule="auto"/>
        <w:rPr>
          <w:sz w:val="24"/>
          <w:szCs w:val="24"/>
        </w:rPr>
      </w:pPr>
      <w:r>
        <w:rPr>
          <w:sz w:val="24"/>
          <w:szCs w:val="24"/>
        </w:rPr>
        <w:t xml:space="preserve">12.2 </w:t>
      </w:r>
      <w:r>
        <w:rPr>
          <w:rFonts w:hint="eastAsia"/>
          <w:sz w:val="24"/>
          <w:szCs w:val="24"/>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pPr>
        <w:tabs>
          <w:tab w:val="left" w:pos="850"/>
        </w:tabs>
        <w:spacing w:line="360" w:lineRule="auto"/>
        <w:rPr>
          <w:sz w:val="24"/>
          <w:szCs w:val="24"/>
        </w:rPr>
      </w:pPr>
      <w:r>
        <w:rPr>
          <w:sz w:val="24"/>
          <w:szCs w:val="24"/>
        </w:rPr>
        <w:t>12.3</w:t>
      </w:r>
      <w:r>
        <w:rPr>
          <w:rFonts w:hint="eastAsia"/>
          <w:sz w:val="24"/>
          <w:szCs w:val="24"/>
        </w:rPr>
        <w:t>在质量保证期内，供方在接到需方的通知后，应在本合同条款第</w:t>
      </w:r>
      <w:r>
        <w:rPr>
          <w:sz w:val="24"/>
          <w:szCs w:val="24"/>
        </w:rPr>
        <w:t>11</w:t>
      </w:r>
      <w:r>
        <w:rPr>
          <w:rFonts w:hint="eastAsia"/>
          <w:sz w:val="24"/>
          <w:szCs w:val="24"/>
        </w:rPr>
        <w:t>条约定的投标时间内</w:t>
      </w:r>
      <w:r>
        <w:rPr>
          <w:sz w:val="24"/>
          <w:szCs w:val="24"/>
        </w:rPr>
        <w:t>,</w:t>
      </w:r>
      <w:r>
        <w:rPr>
          <w:rFonts w:hint="eastAsia"/>
          <w:sz w:val="24"/>
          <w:szCs w:val="24"/>
        </w:rPr>
        <w:t>免费维修和</w:t>
      </w:r>
      <w:r>
        <w:rPr>
          <w:sz w:val="24"/>
          <w:szCs w:val="24"/>
        </w:rPr>
        <w:t>/</w:t>
      </w:r>
      <w:r>
        <w:rPr>
          <w:rFonts w:hint="eastAsia"/>
          <w:sz w:val="24"/>
          <w:szCs w:val="24"/>
        </w:rPr>
        <w:t>或更换有缺陷的货物或部件。</w:t>
      </w:r>
    </w:p>
    <w:p>
      <w:pPr>
        <w:tabs>
          <w:tab w:val="left" w:pos="850"/>
        </w:tabs>
        <w:spacing w:line="360" w:lineRule="auto"/>
        <w:rPr>
          <w:sz w:val="24"/>
          <w:szCs w:val="24"/>
        </w:rPr>
      </w:pPr>
      <w:r>
        <w:rPr>
          <w:sz w:val="24"/>
          <w:szCs w:val="24"/>
        </w:rPr>
        <w:t xml:space="preserve">12.4 </w:t>
      </w:r>
      <w:r>
        <w:rPr>
          <w:rFonts w:hint="eastAsia"/>
          <w:sz w:val="24"/>
          <w:szCs w:val="24"/>
        </w:rPr>
        <w:t>如果供方在接到需方通知后，在本合同条款第</w:t>
      </w:r>
      <w:r>
        <w:rPr>
          <w:sz w:val="24"/>
          <w:szCs w:val="24"/>
        </w:rPr>
        <w:t>11</w:t>
      </w:r>
      <w:r>
        <w:rPr>
          <w:rFonts w:hint="eastAsia"/>
          <w:sz w:val="24"/>
          <w:szCs w:val="24"/>
        </w:rPr>
        <w:t>条约定的投标时间内没有弥补缺陷，需方可采取必要的补救措施，但其风险和费用将由供方负担，并且需方根据合同规定对供方行使的其他权利不受影响。</w:t>
      </w:r>
    </w:p>
    <w:p>
      <w:pPr>
        <w:tabs>
          <w:tab w:val="left" w:pos="850"/>
        </w:tabs>
        <w:spacing w:line="360" w:lineRule="auto"/>
        <w:rPr>
          <w:b/>
          <w:sz w:val="24"/>
          <w:szCs w:val="24"/>
        </w:rPr>
      </w:pPr>
      <w:r>
        <w:rPr>
          <w:b/>
          <w:sz w:val="24"/>
          <w:szCs w:val="24"/>
        </w:rPr>
        <w:t>13</w:t>
      </w:r>
      <w:r>
        <w:rPr>
          <w:rFonts w:hint="eastAsia"/>
          <w:b/>
          <w:sz w:val="24"/>
          <w:szCs w:val="24"/>
        </w:rPr>
        <w:t>．验收</w:t>
      </w:r>
    </w:p>
    <w:p>
      <w:pPr>
        <w:tabs>
          <w:tab w:val="left" w:pos="850"/>
        </w:tabs>
        <w:spacing w:line="360" w:lineRule="auto"/>
        <w:rPr>
          <w:sz w:val="24"/>
          <w:szCs w:val="24"/>
        </w:rPr>
      </w:pPr>
      <w:r>
        <w:rPr>
          <w:bCs/>
          <w:sz w:val="24"/>
          <w:szCs w:val="24"/>
        </w:rPr>
        <w:t>13.1</w:t>
      </w:r>
      <w:r>
        <w:rPr>
          <w:rFonts w:hint="eastAsia"/>
          <w:sz w:val="24"/>
          <w:szCs w:val="24"/>
        </w:rPr>
        <w:t>供方提交的货物由需方负责检验验收，或由需方聘请当地质检（商检）部门或有关部门对货物的品种、规格、性能、质量、数量、外观以及配件等进行检验，并出具检验证书。检验费用由供需双方协商确定。</w:t>
      </w:r>
    </w:p>
    <w:p>
      <w:pPr>
        <w:tabs>
          <w:tab w:val="left" w:pos="850"/>
        </w:tabs>
        <w:spacing w:line="360" w:lineRule="auto"/>
        <w:rPr>
          <w:sz w:val="24"/>
          <w:szCs w:val="24"/>
        </w:rPr>
      </w:pPr>
      <w:r>
        <w:rPr>
          <w:sz w:val="24"/>
          <w:szCs w:val="24"/>
        </w:rPr>
        <w:t>13.2</w:t>
      </w:r>
      <w:r>
        <w:rPr>
          <w:rFonts w:hint="eastAsia"/>
          <w:sz w:val="24"/>
          <w:szCs w:val="24"/>
        </w:rPr>
        <w:t>验收过程中，如果供需双方对合同标的质量发生争议，应当聘请当地质检（商检）部门或有关部门对有争议的货物质量进行鉴定，检验费用由责任方承担。</w:t>
      </w:r>
    </w:p>
    <w:p>
      <w:pPr>
        <w:tabs>
          <w:tab w:val="left" w:pos="850"/>
        </w:tabs>
        <w:spacing w:line="360" w:lineRule="auto"/>
        <w:rPr>
          <w:sz w:val="24"/>
          <w:szCs w:val="24"/>
        </w:rPr>
      </w:pPr>
      <w:r>
        <w:rPr>
          <w:sz w:val="24"/>
          <w:szCs w:val="24"/>
        </w:rPr>
        <w:t>13.3</w:t>
      </w:r>
      <w:r>
        <w:rPr>
          <w:rFonts w:hint="eastAsia"/>
          <w:sz w:val="24"/>
          <w:szCs w:val="24"/>
        </w:rPr>
        <w:t>按照规定必须由国家有关部门或者机构检验合格才允许使用的货物，由供方负责（需方配合）向有关部门或者机构申请检验并取得检验合格的报告（证书）或者使用许可证，费用包含在供方的投标总价中。</w:t>
      </w:r>
    </w:p>
    <w:p>
      <w:pPr>
        <w:tabs>
          <w:tab w:val="left" w:pos="850"/>
        </w:tabs>
        <w:spacing w:line="360" w:lineRule="auto"/>
        <w:rPr>
          <w:b/>
          <w:sz w:val="24"/>
          <w:szCs w:val="24"/>
        </w:rPr>
      </w:pPr>
      <w:r>
        <w:rPr>
          <w:b/>
          <w:sz w:val="24"/>
          <w:szCs w:val="24"/>
        </w:rPr>
        <w:t>14</w:t>
      </w:r>
      <w:r>
        <w:rPr>
          <w:rFonts w:hint="eastAsia"/>
          <w:b/>
          <w:sz w:val="24"/>
          <w:szCs w:val="24"/>
        </w:rPr>
        <w:t>．索赔</w:t>
      </w:r>
    </w:p>
    <w:p>
      <w:pPr>
        <w:tabs>
          <w:tab w:val="left" w:pos="850"/>
        </w:tabs>
        <w:spacing w:line="360" w:lineRule="auto"/>
        <w:rPr>
          <w:sz w:val="24"/>
          <w:szCs w:val="24"/>
        </w:rPr>
      </w:pPr>
      <w:r>
        <w:rPr>
          <w:sz w:val="24"/>
          <w:szCs w:val="24"/>
        </w:rPr>
        <w:t>14.1</w:t>
      </w:r>
      <w:r>
        <w:rPr>
          <w:rFonts w:hint="eastAsia"/>
          <w:sz w:val="24"/>
          <w:szCs w:val="24"/>
        </w:rPr>
        <w:t>需方有权根据国家技术监督局、进出口商品检验局或其他具有法定资格的质检机构出具的检验证书向供方提出索赔。</w:t>
      </w:r>
    </w:p>
    <w:p>
      <w:pPr>
        <w:tabs>
          <w:tab w:val="left" w:pos="850"/>
        </w:tabs>
        <w:spacing w:line="360" w:lineRule="auto"/>
        <w:rPr>
          <w:sz w:val="24"/>
          <w:szCs w:val="24"/>
        </w:rPr>
      </w:pPr>
      <w:r>
        <w:rPr>
          <w:sz w:val="24"/>
          <w:szCs w:val="24"/>
        </w:rPr>
        <w:t>14.2</w:t>
      </w:r>
      <w:r>
        <w:rPr>
          <w:rFonts w:hint="eastAsia"/>
          <w:sz w:val="24"/>
          <w:szCs w:val="24"/>
        </w:rPr>
        <w:t>如果供方对缺陷负有责任而需方提出索赔，供方应按照需方同意的下列一种或多种方式解决索赔事宜：</w:t>
      </w:r>
    </w:p>
    <w:p>
      <w:pPr>
        <w:tabs>
          <w:tab w:val="left" w:pos="850"/>
        </w:tabs>
        <w:spacing w:line="360" w:lineRule="auto"/>
        <w:rPr>
          <w:sz w:val="24"/>
          <w:szCs w:val="24"/>
        </w:rPr>
      </w:pPr>
      <w:r>
        <w:rPr>
          <w:rFonts w:hint="eastAsia"/>
          <w:sz w:val="24"/>
          <w:szCs w:val="24"/>
        </w:rPr>
        <w:t>（</w:t>
      </w:r>
      <w:r>
        <w:rPr>
          <w:sz w:val="24"/>
          <w:szCs w:val="24"/>
        </w:rPr>
        <w:t>1</w:t>
      </w:r>
      <w:r>
        <w:rPr>
          <w:rFonts w:hint="eastAsia"/>
          <w:sz w:val="24"/>
          <w:szCs w:val="24"/>
        </w:rPr>
        <w:t>）供方同意退货并用合同规定的货币将货款退还给需方，并承担由此发生的一切损失和费用，包括利息、银行手续费、运费、保险费、检验费、仓储费、装卸费以及为保护退回货物所需的其他必要费用。</w:t>
      </w:r>
    </w:p>
    <w:p>
      <w:pPr>
        <w:tabs>
          <w:tab w:val="left" w:pos="850"/>
        </w:tabs>
        <w:spacing w:line="360" w:lineRule="auto"/>
        <w:rPr>
          <w:sz w:val="24"/>
          <w:szCs w:val="24"/>
        </w:rPr>
      </w:pPr>
      <w:r>
        <w:rPr>
          <w:rFonts w:hint="eastAsia"/>
          <w:sz w:val="24"/>
          <w:szCs w:val="24"/>
        </w:rPr>
        <w:t>（</w:t>
      </w:r>
      <w:r>
        <w:rPr>
          <w:sz w:val="24"/>
          <w:szCs w:val="24"/>
        </w:rPr>
        <w:t>2</w:t>
      </w:r>
      <w:r>
        <w:rPr>
          <w:rFonts w:hint="eastAsia"/>
          <w:sz w:val="24"/>
          <w:szCs w:val="24"/>
        </w:rPr>
        <w:t>）根据货物低劣、损坏程度以及需方所遭受损失的金额，经双方商定降低货物的价格。</w:t>
      </w:r>
    </w:p>
    <w:p>
      <w:pPr>
        <w:tabs>
          <w:tab w:val="left" w:pos="850"/>
        </w:tabs>
        <w:spacing w:line="360" w:lineRule="auto"/>
        <w:rPr>
          <w:sz w:val="24"/>
          <w:szCs w:val="24"/>
        </w:rPr>
      </w:pPr>
      <w:r>
        <w:rPr>
          <w:rFonts w:hint="eastAsia"/>
          <w:sz w:val="24"/>
          <w:szCs w:val="24"/>
        </w:rPr>
        <w:t>（</w:t>
      </w:r>
      <w:r>
        <w:rPr>
          <w:sz w:val="24"/>
          <w:szCs w:val="24"/>
        </w:rPr>
        <w:t>3</w:t>
      </w:r>
      <w:r>
        <w:rPr>
          <w:rFonts w:hint="eastAsia"/>
          <w:sz w:val="24"/>
          <w:szCs w:val="24"/>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pPr>
        <w:tabs>
          <w:tab w:val="left" w:pos="850"/>
        </w:tabs>
        <w:spacing w:line="360" w:lineRule="auto"/>
        <w:rPr>
          <w:sz w:val="24"/>
          <w:szCs w:val="24"/>
        </w:rPr>
      </w:pPr>
      <w:r>
        <w:rPr>
          <w:sz w:val="24"/>
          <w:szCs w:val="24"/>
        </w:rPr>
        <w:t>14.3</w:t>
      </w:r>
      <w:r>
        <w:rPr>
          <w:rFonts w:hint="eastAsia"/>
          <w:sz w:val="24"/>
          <w:szCs w:val="24"/>
        </w:rPr>
        <w:t>如果在需方发出索赔通知后十天内供方未作答复，上述索赔应视为已被供方接受。如供方未能在接到需方索赔通知后十天内或需方同意的延长期限内，按照上述第</w:t>
      </w:r>
      <w:r>
        <w:rPr>
          <w:sz w:val="24"/>
          <w:szCs w:val="24"/>
        </w:rPr>
        <w:t>14.2</w:t>
      </w:r>
      <w:r>
        <w:rPr>
          <w:rFonts w:hint="eastAsia"/>
          <w:sz w:val="24"/>
          <w:szCs w:val="24"/>
        </w:rPr>
        <w:t>款规定的任何一种或多种方式解决索赔事宜并征得需方同意，需方有权从应付货款或从供方提交的履约保证金中扣回索赔金额，并拥有对赔偿不足部分进一步索赔的权利。</w:t>
      </w:r>
    </w:p>
    <w:p>
      <w:pPr>
        <w:tabs>
          <w:tab w:val="left" w:pos="850"/>
        </w:tabs>
        <w:spacing w:line="360" w:lineRule="auto"/>
        <w:rPr>
          <w:b/>
          <w:sz w:val="24"/>
          <w:szCs w:val="24"/>
        </w:rPr>
      </w:pPr>
      <w:r>
        <w:rPr>
          <w:b/>
          <w:sz w:val="24"/>
          <w:szCs w:val="24"/>
        </w:rPr>
        <w:t>15</w:t>
      </w:r>
      <w:r>
        <w:rPr>
          <w:rFonts w:hint="eastAsia"/>
          <w:b/>
          <w:sz w:val="24"/>
          <w:szCs w:val="24"/>
        </w:rPr>
        <w:t>．履约延误</w:t>
      </w:r>
    </w:p>
    <w:p>
      <w:pPr>
        <w:tabs>
          <w:tab w:val="left" w:pos="850"/>
        </w:tabs>
        <w:spacing w:line="360" w:lineRule="auto"/>
        <w:rPr>
          <w:sz w:val="24"/>
          <w:szCs w:val="24"/>
        </w:rPr>
      </w:pPr>
      <w:r>
        <w:rPr>
          <w:sz w:val="24"/>
          <w:szCs w:val="24"/>
        </w:rPr>
        <w:t xml:space="preserve">15.1 </w:t>
      </w:r>
      <w:r>
        <w:rPr>
          <w:rFonts w:hint="eastAsia"/>
          <w:sz w:val="24"/>
          <w:szCs w:val="24"/>
        </w:rPr>
        <w:t>供方应按照合同规定的时间、地点交货和提供服务；需方应按照合同规定的时间、地点接收货物和接受服务。</w:t>
      </w:r>
    </w:p>
    <w:p>
      <w:pPr>
        <w:tabs>
          <w:tab w:val="left" w:pos="850"/>
        </w:tabs>
        <w:spacing w:line="360" w:lineRule="auto"/>
        <w:rPr>
          <w:sz w:val="24"/>
          <w:szCs w:val="24"/>
        </w:rPr>
      </w:pPr>
      <w:r>
        <w:rPr>
          <w:sz w:val="24"/>
          <w:szCs w:val="24"/>
        </w:rPr>
        <w:t xml:space="preserve">15.2 </w:t>
      </w:r>
      <w:r>
        <w:rPr>
          <w:rFonts w:hint="eastAsia"/>
          <w:sz w:val="24"/>
          <w:szCs w:val="24"/>
        </w:rPr>
        <w:t>如果供方无正当理由拖延交货，将受到以下制裁：没收履约保证金、加收误期赔偿和／或违约终止合同；如果需方无正当理由拖延接收货物和接受服务，应承担相应的违约责任。</w:t>
      </w:r>
    </w:p>
    <w:p>
      <w:pPr>
        <w:tabs>
          <w:tab w:val="left" w:pos="850"/>
        </w:tabs>
        <w:spacing w:line="360" w:lineRule="auto"/>
        <w:rPr>
          <w:sz w:val="24"/>
          <w:szCs w:val="24"/>
        </w:rPr>
      </w:pPr>
      <w:r>
        <w:rPr>
          <w:sz w:val="24"/>
          <w:szCs w:val="24"/>
        </w:rPr>
        <w:t xml:space="preserve">15.3 </w:t>
      </w:r>
      <w:r>
        <w:rPr>
          <w:rFonts w:hint="eastAsia"/>
          <w:sz w:val="24"/>
          <w:szCs w:val="24"/>
        </w:rPr>
        <w:t>在履行合同过程中，如果供方遇到可能妨碍其按时交货和提供服务的情况，或者需方遇到可能妨碍其按时接收货物和接受服务的情况，应及时以书面形式将拖延的事实，可能拖延的期限和理由通知对方。需方（或供方）在收到供方（或需方）通知后，应尽快对情况进行评估，并确定是否通过修改合同，酌情延长交货时间和</w:t>
      </w:r>
      <w:r>
        <w:rPr>
          <w:sz w:val="24"/>
          <w:szCs w:val="24"/>
        </w:rPr>
        <w:t>/</w:t>
      </w:r>
      <w:r>
        <w:rPr>
          <w:rFonts w:hint="eastAsia"/>
          <w:sz w:val="24"/>
          <w:szCs w:val="24"/>
        </w:rPr>
        <w:t>或延期提供服务，或者终止合同。</w:t>
      </w:r>
    </w:p>
    <w:p>
      <w:pPr>
        <w:tabs>
          <w:tab w:val="left" w:pos="850"/>
        </w:tabs>
        <w:spacing w:line="360" w:lineRule="auto"/>
        <w:rPr>
          <w:sz w:val="24"/>
          <w:szCs w:val="24"/>
        </w:rPr>
      </w:pPr>
      <w:r>
        <w:rPr>
          <w:rFonts w:hint="eastAsia"/>
          <w:sz w:val="24"/>
          <w:szCs w:val="24"/>
        </w:rPr>
        <w:t>。</w:t>
      </w:r>
    </w:p>
    <w:p>
      <w:pPr>
        <w:tabs>
          <w:tab w:val="left" w:pos="850"/>
        </w:tabs>
        <w:spacing w:line="360" w:lineRule="auto"/>
        <w:rPr>
          <w:b/>
          <w:sz w:val="24"/>
          <w:szCs w:val="24"/>
        </w:rPr>
      </w:pPr>
      <w:r>
        <w:rPr>
          <w:rFonts w:hint="eastAsia"/>
          <w:b/>
          <w:sz w:val="24"/>
          <w:szCs w:val="24"/>
        </w:rPr>
        <w:t>16．履约保证金和质量保证金：在政府采购合同书中约定。</w:t>
      </w:r>
    </w:p>
    <w:p>
      <w:pPr>
        <w:tabs>
          <w:tab w:val="left" w:pos="850"/>
        </w:tabs>
        <w:spacing w:line="360" w:lineRule="auto"/>
        <w:rPr>
          <w:b/>
          <w:sz w:val="24"/>
          <w:szCs w:val="24"/>
        </w:rPr>
      </w:pPr>
      <w:r>
        <w:rPr>
          <w:rFonts w:hint="eastAsia"/>
          <w:b/>
          <w:sz w:val="24"/>
          <w:szCs w:val="24"/>
        </w:rPr>
        <w:t>17．不可抗力</w:t>
      </w:r>
    </w:p>
    <w:p>
      <w:pPr>
        <w:tabs>
          <w:tab w:val="left" w:pos="850"/>
        </w:tabs>
        <w:spacing w:line="360" w:lineRule="auto"/>
        <w:rPr>
          <w:sz w:val="24"/>
          <w:szCs w:val="24"/>
        </w:rPr>
      </w:pPr>
      <w:r>
        <w:rPr>
          <w:rFonts w:hint="eastAsia"/>
          <w:sz w:val="24"/>
          <w:szCs w:val="24"/>
        </w:rPr>
        <w:t>17</w:t>
      </w:r>
      <w:r>
        <w:rPr>
          <w:sz w:val="24"/>
          <w:szCs w:val="24"/>
        </w:rPr>
        <w:t xml:space="preserve">.1 </w:t>
      </w:r>
      <w:r>
        <w:rPr>
          <w:rFonts w:hint="eastAsia"/>
          <w:sz w:val="24"/>
          <w:szCs w:val="24"/>
        </w:rPr>
        <w:t>如果供方和需方因不可抗力导致合同实施延误或不能履行合同义务，不应该承担误期赔偿或不能履行合同义务的责任。但因供方或需方先延误或不能履行合同而后遇不可抗力的情形除外。</w:t>
      </w:r>
    </w:p>
    <w:p>
      <w:pPr>
        <w:tabs>
          <w:tab w:val="left" w:pos="850"/>
        </w:tabs>
        <w:spacing w:line="360" w:lineRule="auto"/>
        <w:rPr>
          <w:sz w:val="24"/>
          <w:szCs w:val="24"/>
        </w:rPr>
      </w:pPr>
      <w:r>
        <w:rPr>
          <w:rFonts w:hint="eastAsia"/>
          <w:sz w:val="24"/>
          <w:szCs w:val="24"/>
        </w:rPr>
        <w:t>17</w:t>
      </w:r>
      <w:r>
        <w:rPr>
          <w:sz w:val="24"/>
          <w:szCs w:val="24"/>
        </w:rPr>
        <w:t xml:space="preserve">.2 </w:t>
      </w:r>
      <w:r>
        <w:rPr>
          <w:rFonts w:hint="eastAsia"/>
          <w:sz w:val="24"/>
          <w:szCs w:val="24"/>
        </w:rPr>
        <w:t>本条所述的</w:t>
      </w:r>
      <w:r>
        <w:rPr>
          <w:sz w:val="24"/>
          <w:szCs w:val="24"/>
        </w:rPr>
        <w:t>“</w:t>
      </w:r>
      <w:r>
        <w:rPr>
          <w:rFonts w:hint="eastAsia"/>
          <w:sz w:val="24"/>
          <w:szCs w:val="24"/>
        </w:rPr>
        <w:t>不可抗力</w:t>
      </w:r>
      <w:r>
        <w:rPr>
          <w:sz w:val="24"/>
          <w:szCs w:val="24"/>
        </w:rPr>
        <w:t>”</w:t>
      </w:r>
      <w:r>
        <w:rPr>
          <w:rFonts w:hint="eastAsia"/>
          <w:sz w:val="24"/>
          <w:szCs w:val="24"/>
        </w:rPr>
        <w:t>系指那些双方无法控制，不可预见的事件，但不包括双方的违约或疏忽。这些事件包括但不限于：战争、严重火灾、洪水、台风、地震以及其它双方商定的事件。</w:t>
      </w:r>
    </w:p>
    <w:p>
      <w:pPr>
        <w:tabs>
          <w:tab w:val="left" w:pos="850"/>
        </w:tabs>
        <w:spacing w:line="360" w:lineRule="auto"/>
        <w:rPr>
          <w:sz w:val="24"/>
          <w:szCs w:val="24"/>
        </w:rPr>
      </w:pPr>
      <w:r>
        <w:rPr>
          <w:rFonts w:hint="eastAsia"/>
          <w:sz w:val="24"/>
          <w:szCs w:val="24"/>
        </w:rPr>
        <w:t>17</w:t>
      </w:r>
      <w:r>
        <w:rPr>
          <w:sz w:val="24"/>
          <w:szCs w:val="24"/>
        </w:rPr>
        <w:t xml:space="preserve">.3 </w:t>
      </w:r>
      <w:r>
        <w:rPr>
          <w:rFonts w:hint="eastAsia"/>
          <w:sz w:val="24"/>
          <w:szCs w:val="24"/>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pPr>
        <w:tabs>
          <w:tab w:val="left" w:pos="850"/>
        </w:tabs>
        <w:spacing w:line="360" w:lineRule="auto"/>
        <w:rPr>
          <w:b/>
          <w:sz w:val="24"/>
          <w:szCs w:val="24"/>
        </w:rPr>
      </w:pPr>
      <w:r>
        <w:rPr>
          <w:rFonts w:hint="eastAsia"/>
          <w:b/>
          <w:sz w:val="24"/>
          <w:szCs w:val="24"/>
        </w:rPr>
        <w:t>18．税费</w:t>
      </w:r>
    </w:p>
    <w:p>
      <w:pPr>
        <w:tabs>
          <w:tab w:val="left" w:pos="850"/>
        </w:tabs>
        <w:spacing w:line="360" w:lineRule="auto"/>
        <w:rPr>
          <w:sz w:val="24"/>
          <w:szCs w:val="24"/>
        </w:rPr>
      </w:pPr>
      <w:r>
        <w:rPr>
          <w:rFonts w:hint="eastAsia"/>
          <w:sz w:val="24"/>
          <w:szCs w:val="24"/>
        </w:rPr>
        <w:t>18</w:t>
      </w:r>
      <w:r>
        <w:rPr>
          <w:sz w:val="24"/>
          <w:szCs w:val="24"/>
        </w:rPr>
        <w:t xml:space="preserve">.1 </w:t>
      </w:r>
      <w:r>
        <w:rPr>
          <w:rFonts w:hint="eastAsia"/>
          <w:sz w:val="24"/>
          <w:szCs w:val="24"/>
        </w:rPr>
        <w:t>根据现行法律规定对需方征收的与本合同有关的一切税费均由需方负担。</w:t>
      </w:r>
    </w:p>
    <w:p>
      <w:pPr>
        <w:tabs>
          <w:tab w:val="left" w:pos="850"/>
        </w:tabs>
        <w:spacing w:line="360" w:lineRule="auto"/>
        <w:rPr>
          <w:sz w:val="24"/>
          <w:szCs w:val="24"/>
        </w:rPr>
      </w:pPr>
      <w:r>
        <w:rPr>
          <w:rFonts w:hint="eastAsia"/>
          <w:sz w:val="24"/>
          <w:szCs w:val="24"/>
        </w:rPr>
        <w:t>18</w:t>
      </w:r>
      <w:r>
        <w:rPr>
          <w:sz w:val="24"/>
          <w:szCs w:val="24"/>
        </w:rPr>
        <w:t xml:space="preserve">.2 </w:t>
      </w:r>
      <w:r>
        <w:rPr>
          <w:rFonts w:hint="eastAsia"/>
          <w:sz w:val="24"/>
          <w:szCs w:val="24"/>
        </w:rPr>
        <w:t>根据现行法律规定对供方征收的与本合同有关的一切税费均由供方负担。</w:t>
      </w:r>
    </w:p>
    <w:p>
      <w:pPr>
        <w:tabs>
          <w:tab w:val="left" w:pos="850"/>
        </w:tabs>
        <w:spacing w:line="360" w:lineRule="auto"/>
        <w:rPr>
          <w:sz w:val="24"/>
          <w:szCs w:val="24"/>
        </w:rPr>
      </w:pPr>
      <w:r>
        <w:rPr>
          <w:rFonts w:hint="eastAsia"/>
          <w:sz w:val="24"/>
          <w:szCs w:val="24"/>
        </w:rPr>
        <w:t>18</w:t>
      </w:r>
      <w:r>
        <w:rPr>
          <w:sz w:val="24"/>
          <w:szCs w:val="24"/>
        </w:rPr>
        <w:t xml:space="preserve">.3 </w:t>
      </w:r>
      <w:r>
        <w:rPr>
          <w:rFonts w:hint="eastAsia"/>
          <w:sz w:val="24"/>
          <w:szCs w:val="24"/>
        </w:rPr>
        <w:t>在中国境外发生的与执行本合同有关的一切税费均由供方负担。</w:t>
      </w:r>
    </w:p>
    <w:p>
      <w:pPr>
        <w:tabs>
          <w:tab w:val="left" w:pos="850"/>
        </w:tabs>
        <w:spacing w:line="360" w:lineRule="auto"/>
        <w:rPr>
          <w:b/>
          <w:sz w:val="24"/>
          <w:szCs w:val="24"/>
        </w:rPr>
      </w:pPr>
      <w:r>
        <w:rPr>
          <w:rFonts w:hint="eastAsia"/>
          <w:b/>
          <w:sz w:val="24"/>
          <w:szCs w:val="24"/>
        </w:rPr>
        <w:t>19．争议解决方式</w:t>
      </w:r>
    </w:p>
    <w:p>
      <w:pPr>
        <w:tabs>
          <w:tab w:val="left" w:pos="850"/>
        </w:tabs>
        <w:spacing w:line="360" w:lineRule="auto"/>
        <w:rPr>
          <w:b/>
          <w:sz w:val="24"/>
          <w:szCs w:val="24"/>
        </w:rPr>
      </w:pPr>
      <w:r>
        <w:rPr>
          <w:rFonts w:hint="eastAsia"/>
          <w:sz w:val="24"/>
          <w:szCs w:val="24"/>
        </w:rPr>
        <w:t>19</w:t>
      </w:r>
      <w:r>
        <w:rPr>
          <w:sz w:val="24"/>
          <w:szCs w:val="24"/>
        </w:rPr>
        <w:t>.1</w:t>
      </w:r>
      <w:r>
        <w:rPr>
          <w:rFonts w:hint="eastAsia"/>
          <w:sz w:val="24"/>
          <w:szCs w:val="24"/>
        </w:rPr>
        <w:t>供需双方应通过友好协商，解决在执行本合同过程中所发生的或与本合同有关的争议。如果不能协商解决，可以向国家有关部门申请调解。如果调解不成，双方可以在</w:t>
      </w:r>
      <w:r>
        <w:rPr>
          <w:rFonts w:hint="eastAsia"/>
          <w:b/>
          <w:sz w:val="24"/>
          <w:szCs w:val="24"/>
        </w:rPr>
        <w:t>政府采购合同书</w:t>
      </w:r>
      <w:r>
        <w:rPr>
          <w:rFonts w:hint="eastAsia"/>
          <w:sz w:val="24"/>
          <w:szCs w:val="24"/>
        </w:rPr>
        <w:t>内约定以下一种方式解决争议：</w:t>
      </w:r>
    </w:p>
    <w:p>
      <w:pPr>
        <w:tabs>
          <w:tab w:val="left" w:pos="850"/>
        </w:tabs>
        <w:spacing w:line="360" w:lineRule="auto"/>
        <w:rPr>
          <w:sz w:val="24"/>
          <w:szCs w:val="24"/>
        </w:rPr>
      </w:pPr>
      <w:r>
        <w:rPr>
          <w:rFonts w:hint="eastAsia"/>
          <w:sz w:val="24"/>
          <w:szCs w:val="24"/>
        </w:rPr>
        <w:t>第一种方式：双方达成仲裁协议，向约定的仲裁机构申请仲裁；</w:t>
      </w:r>
    </w:p>
    <w:p>
      <w:pPr>
        <w:tabs>
          <w:tab w:val="left" w:pos="850"/>
        </w:tabs>
        <w:spacing w:line="360" w:lineRule="auto"/>
        <w:rPr>
          <w:sz w:val="24"/>
          <w:szCs w:val="24"/>
        </w:rPr>
      </w:pPr>
      <w:r>
        <w:rPr>
          <w:rFonts w:hint="eastAsia"/>
          <w:sz w:val="24"/>
          <w:szCs w:val="24"/>
        </w:rPr>
        <w:t>第二种方式：向有管辖权的人民法院提起诉讼。</w:t>
      </w:r>
    </w:p>
    <w:p>
      <w:pPr>
        <w:tabs>
          <w:tab w:val="left" w:pos="850"/>
        </w:tabs>
        <w:spacing w:line="360" w:lineRule="auto"/>
        <w:rPr>
          <w:sz w:val="24"/>
          <w:szCs w:val="24"/>
        </w:rPr>
      </w:pPr>
      <w:r>
        <w:rPr>
          <w:rFonts w:hint="eastAsia"/>
          <w:sz w:val="24"/>
          <w:szCs w:val="24"/>
        </w:rPr>
        <w:t>19</w:t>
      </w:r>
      <w:r>
        <w:rPr>
          <w:sz w:val="24"/>
          <w:szCs w:val="24"/>
        </w:rPr>
        <w:t xml:space="preserve">.2 </w:t>
      </w:r>
      <w:r>
        <w:rPr>
          <w:rFonts w:hint="eastAsia"/>
          <w:sz w:val="24"/>
          <w:szCs w:val="24"/>
        </w:rPr>
        <w:t>因合同部分履行引发仲裁（诉讼）的，在仲裁（诉讼）期间，除正在进行仲裁（诉讼）的部分外，本合同的其它部分应继续执行。</w:t>
      </w:r>
    </w:p>
    <w:p>
      <w:pPr>
        <w:tabs>
          <w:tab w:val="left" w:pos="850"/>
        </w:tabs>
        <w:spacing w:line="360" w:lineRule="auto"/>
        <w:rPr>
          <w:b/>
          <w:sz w:val="24"/>
          <w:szCs w:val="24"/>
        </w:rPr>
      </w:pPr>
      <w:r>
        <w:rPr>
          <w:rFonts w:hint="eastAsia"/>
          <w:b/>
          <w:sz w:val="24"/>
          <w:szCs w:val="24"/>
        </w:rPr>
        <w:t>20．违约终止合同</w:t>
      </w:r>
    </w:p>
    <w:p>
      <w:pPr>
        <w:tabs>
          <w:tab w:val="left" w:pos="850"/>
        </w:tabs>
        <w:spacing w:line="360" w:lineRule="auto"/>
        <w:rPr>
          <w:sz w:val="24"/>
          <w:szCs w:val="24"/>
        </w:rPr>
      </w:pPr>
      <w:r>
        <w:rPr>
          <w:rFonts w:hint="eastAsia"/>
          <w:sz w:val="24"/>
          <w:szCs w:val="24"/>
        </w:rPr>
        <w:t>20</w:t>
      </w:r>
      <w:r>
        <w:rPr>
          <w:sz w:val="24"/>
          <w:szCs w:val="24"/>
        </w:rPr>
        <w:t xml:space="preserve">.1 </w:t>
      </w:r>
      <w:r>
        <w:rPr>
          <w:rFonts w:hint="eastAsia"/>
          <w:sz w:val="24"/>
          <w:szCs w:val="24"/>
        </w:rPr>
        <w:t>在需方因供方违约而按合同约定采取的任何补救措施不受影响的情况下，需方可在下列情况下向供方发出书面通知，提出终止部分或全部合同。</w:t>
      </w:r>
    </w:p>
    <w:p>
      <w:pPr>
        <w:tabs>
          <w:tab w:val="left" w:pos="850"/>
        </w:tabs>
        <w:spacing w:line="360" w:lineRule="auto"/>
        <w:rPr>
          <w:sz w:val="24"/>
          <w:szCs w:val="24"/>
        </w:rPr>
      </w:pPr>
      <w:r>
        <w:rPr>
          <w:rFonts w:hint="eastAsia"/>
          <w:sz w:val="24"/>
          <w:szCs w:val="24"/>
        </w:rPr>
        <w:t>（</w:t>
      </w:r>
      <w:r>
        <w:rPr>
          <w:sz w:val="24"/>
          <w:szCs w:val="24"/>
        </w:rPr>
        <w:t>1</w:t>
      </w:r>
      <w:r>
        <w:rPr>
          <w:rFonts w:hint="eastAsia"/>
          <w:sz w:val="24"/>
          <w:szCs w:val="24"/>
        </w:rPr>
        <w:t>）如果供方未能在合同规定的限期或需方同意延长的限期内提供部分或全部货物和服务。</w:t>
      </w:r>
    </w:p>
    <w:p>
      <w:pPr>
        <w:tabs>
          <w:tab w:val="left" w:pos="850"/>
        </w:tabs>
        <w:spacing w:line="360" w:lineRule="auto"/>
        <w:rPr>
          <w:sz w:val="24"/>
          <w:szCs w:val="24"/>
        </w:rPr>
      </w:pPr>
      <w:r>
        <w:rPr>
          <w:rFonts w:hint="eastAsia"/>
          <w:sz w:val="24"/>
          <w:szCs w:val="24"/>
        </w:rPr>
        <w:t>（</w:t>
      </w:r>
      <w:r>
        <w:rPr>
          <w:sz w:val="24"/>
          <w:szCs w:val="24"/>
        </w:rPr>
        <w:t>2</w:t>
      </w:r>
      <w:r>
        <w:rPr>
          <w:rFonts w:hint="eastAsia"/>
          <w:sz w:val="24"/>
          <w:szCs w:val="24"/>
        </w:rPr>
        <w:t>）如果供方未能履行合同规定的其它任何义务。</w:t>
      </w:r>
    </w:p>
    <w:p>
      <w:pPr>
        <w:tabs>
          <w:tab w:val="left" w:pos="850"/>
        </w:tabs>
        <w:spacing w:line="360" w:lineRule="auto"/>
        <w:rPr>
          <w:sz w:val="24"/>
          <w:szCs w:val="24"/>
        </w:rPr>
      </w:pPr>
      <w:r>
        <w:rPr>
          <w:rFonts w:hint="eastAsia"/>
          <w:sz w:val="24"/>
          <w:szCs w:val="24"/>
        </w:rPr>
        <w:t>（</w:t>
      </w:r>
      <w:r>
        <w:rPr>
          <w:sz w:val="24"/>
          <w:szCs w:val="24"/>
        </w:rPr>
        <w:t>3</w:t>
      </w:r>
      <w:r>
        <w:rPr>
          <w:rFonts w:hint="eastAsia"/>
          <w:sz w:val="24"/>
          <w:szCs w:val="24"/>
        </w:rPr>
        <w:t>）如果供方在本合同订立和履行过程中采取了任何</w:t>
      </w:r>
      <w:r>
        <w:rPr>
          <w:sz w:val="24"/>
          <w:szCs w:val="24"/>
        </w:rPr>
        <w:t>“</w:t>
      </w:r>
      <w:r>
        <w:rPr>
          <w:rFonts w:hint="eastAsia"/>
          <w:sz w:val="24"/>
          <w:szCs w:val="24"/>
        </w:rPr>
        <w:t>不正当竞争行为</w:t>
      </w:r>
      <w:r>
        <w:rPr>
          <w:sz w:val="24"/>
          <w:szCs w:val="24"/>
        </w:rPr>
        <w:t>”</w:t>
      </w:r>
      <w:r>
        <w:rPr>
          <w:rFonts w:hint="eastAsia"/>
          <w:sz w:val="24"/>
          <w:szCs w:val="24"/>
        </w:rPr>
        <w:t>，危害到国家利益、社会公共利益和需方的合法权益。</w:t>
      </w:r>
    </w:p>
    <w:p>
      <w:pPr>
        <w:tabs>
          <w:tab w:val="left" w:pos="850"/>
        </w:tabs>
        <w:spacing w:line="360" w:lineRule="auto"/>
        <w:rPr>
          <w:sz w:val="24"/>
          <w:szCs w:val="24"/>
        </w:rPr>
      </w:pPr>
      <w:r>
        <w:rPr>
          <w:rFonts w:hint="eastAsia"/>
          <w:sz w:val="24"/>
          <w:szCs w:val="24"/>
        </w:rPr>
        <w:t>20.</w:t>
      </w:r>
      <w:r>
        <w:rPr>
          <w:sz w:val="24"/>
          <w:szCs w:val="24"/>
        </w:rPr>
        <w:t xml:space="preserve">2 </w:t>
      </w:r>
      <w:r>
        <w:rPr>
          <w:rFonts w:hint="eastAsia"/>
          <w:sz w:val="24"/>
          <w:szCs w:val="24"/>
        </w:rPr>
        <w:t>如果需方根据上述第20</w:t>
      </w:r>
      <w:r>
        <w:rPr>
          <w:sz w:val="24"/>
          <w:szCs w:val="24"/>
        </w:rPr>
        <w:t>.1</w:t>
      </w:r>
      <w:r>
        <w:rPr>
          <w:rFonts w:hint="eastAsia"/>
          <w:sz w:val="24"/>
          <w:szCs w:val="24"/>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pPr>
        <w:tabs>
          <w:tab w:val="left" w:pos="850"/>
        </w:tabs>
        <w:spacing w:line="360" w:lineRule="auto"/>
        <w:rPr>
          <w:sz w:val="24"/>
          <w:szCs w:val="24"/>
        </w:rPr>
      </w:pPr>
      <w:r>
        <w:rPr>
          <w:rFonts w:hint="eastAsia"/>
          <w:sz w:val="24"/>
          <w:szCs w:val="24"/>
        </w:rPr>
        <w:t>20.</w:t>
      </w:r>
      <w:r>
        <w:rPr>
          <w:sz w:val="24"/>
          <w:szCs w:val="24"/>
        </w:rPr>
        <w:t>3</w:t>
      </w:r>
      <w:r>
        <w:rPr>
          <w:rFonts w:hint="eastAsia"/>
          <w:sz w:val="24"/>
          <w:szCs w:val="24"/>
        </w:rPr>
        <w:t>如果需方违约，应承担相应的违约责任。</w:t>
      </w:r>
    </w:p>
    <w:p>
      <w:pPr>
        <w:tabs>
          <w:tab w:val="left" w:pos="850"/>
        </w:tabs>
        <w:spacing w:line="360" w:lineRule="auto"/>
        <w:rPr>
          <w:sz w:val="24"/>
          <w:szCs w:val="24"/>
        </w:rPr>
      </w:pPr>
      <w:r>
        <w:rPr>
          <w:rFonts w:hint="eastAsia"/>
          <w:b/>
          <w:sz w:val="24"/>
          <w:szCs w:val="24"/>
        </w:rPr>
        <w:t>21．破产终止合同：</w:t>
      </w:r>
      <w:r>
        <w:rPr>
          <w:rFonts w:hint="eastAsia"/>
          <w:sz w:val="24"/>
          <w:szCs w:val="24"/>
        </w:rPr>
        <w:t>如果供方破产或丧失清偿能力，需方可在任何时候以书面形式通知供方终止合同而不给供方补偿。该终止合同将不损害或影响需方已经采取或将要采取任何补救措施的权力。</w:t>
      </w:r>
    </w:p>
    <w:p>
      <w:pPr>
        <w:tabs>
          <w:tab w:val="left" w:pos="850"/>
        </w:tabs>
        <w:spacing w:line="360" w:lineRule="auto"/>
        <w:rPr>
          <w:sz w:val="24"/>
          <w:szCs w:val="24"/>
        </w:rPr>
      </w:pPr>
      <w:r>
        <w:rPr>
          <w:rFonts w:hint="eastAsia"/>
          <w:b/>
          <w:sz w:val="24"/>
          <w:szCs w:val="24"/>
        </w:rPr>
        <w:t>22．合同转让和分包：</w:t>
      </w:r>
      <w:r>
        <w:rPr>
          <w:rFonts w:hint="eastAsia"/>
          <w:sz w:val="24"/>
          <w:szCs w:val="24"/>
        </w:rPr>
        <w:t>本合同不得转让或分包。</w:t>
      </w:r>
    </w:p>
    <w:p>
      <w:pPr>
        <w:tabs>
          <w:tab w:val="left" w:pos="850"/>
        </w:tabs>
        <w:spacing w:line="360" w:lineRule="auto"/>
        <w:rPr>
          <w:sz w:val="24"/>
          <w:szCs w:val="24"/>
        </w:rPr>
      </w:pPr>
      <w:r>
        <w:rPr>
          <w:rFonts w:hint="eastAsia"/>
          <w:b/>
          <w:sz w:val="24"/>
          <w:szCs w:val="24"/>
        </w:rPr>
        <w:t>23．需要补充的合同条款：</w:t>
      </w:r>
      <w:r>
        <w:rPr>
          <w:rFonts w:hint="eastAsia"/>
          <w:sz w:val="24"/>
          <w:szCs w:val="24"/>
        </w:rPr>
        <w:t>在政府采购合同书中约定。</w:t>
      </w:r>
    </w:p>
    <w:p>
      <w:pPr>
        <w:tabs>
          <w:tab w:val="left" w:pos="850"/>
        </w:tabs>
        <w:spacing w:line="360" w:lineRule="auto"/>
        <w:rPr>
          <w:sz w:val="24"/>
          <w:szCs w:val="24"/>
        </w:rPr>
      </w:pPr>
      <w:r>
        <w:rPr>
          <w:rFonts w:hint="eastAsia"/>
          <w:b/>
          <w:sz w:val="24"/>
          <w:szCs w:val="24"/>
        </w:rPr>
        <w:t>24．适用法律：</w:t>
      </w:r>
      <w:r>
        <w:rPr>
          <w:rFonts w:hint="eastAsia"/>
          <w:sz w:val="24"/>
          <w:szCs w:val="24"/>
        </w:rPr>
        <w:t>本合同及附件的订立、效力、解释、履行、争议的解决等适用本合同签订时有效的中华人民共和国法律、法规的有关规定。</w:t>
      </w:r>
    </w:p>
    <w:p>
      <w:pPr>
        <w:tabs>
          <w:tab w:val="left" w:pos="850"/>
        </w:tabs>
        <w:spacing w:line="360" w:lineRule="auto"/>
        <w:rPr>
          <w:b/>
          <w:sz w:val="24"/>
          <w:szCs w:val="24"/>
        </w:rPr>
      </w:pPr>
      <w:r>
        <w:rPr>
          <w:rFonts w:hint="eastAsia"/>
          <w:b/>
          <w:sz w:val="24"/>
          <w:szCs w:val="24"/>
        </w:rPr>
        <w:t>25</w:t>
      </w:r>
      <w:r>
        <w:rPr>
          <w:b/>
          <w:sz w:val="24"/>
          <w:szCs w:val="24"/>
        </w:rPr>
        <w:t>.</w:t>
      </w:r>
      <w:r>
        <w:rPr>
          <w:rFonts w:hint="eastAsia"/>
          <w:b/>
          <w:sz w:val="24"/>
          <w:szCs w:val="24"/>
        </w:rPr>
        <w:t>主导语言与计量单位</w:t>
      </w:r>
    </w:p>
    <w:p>
      <w:pPr>
        <w:tabs>
          <w:tab w:val="left" w:pos="850"/>
        </w:tabs>
        <w:spacing w:line="360" w:lineRule="auto"/>
        <w:rPr>
          <w:sz w:val="24"/>
          <w:szCs w:val="24"/>
        </w:rPr>
      </w:pPr>
      <w:r>
        <w:rPr>
          <w:rFonts w:hint="eastAsia"/>
          <w:sz w:val="24"/>
          <w:szCs w:val="24"/>
        </w:rPr>
        <w:t>25.</w:t>
      </w:r>
      <w:r>
        <w:rPr>
          <w:sz w:val="24"/>
          <w:szCs w:val="24"/>
        </w:rPr>
        <w:t>1</w:t>
      </w:r>
      <w:r>
        <w:rPr>
          <w:rFonts w:hint="eastAsia"/>
          <w:sz w:val="24"/>
          <w:szCs w:val="24"/>
        </w:rPr>
        <w:t>合同应用中文书写。供需双方所有来往信函，以及合同有关的文件均应以中文书写。</w:t>
      </w:r>
    </w:p>
    <w:p>
      <w:pPr>
        <w:tabs>
          <w:tab w:val="left" w:pos="850"/>
        </w:tabs>
        <w:spacing w:line="360" w:lineRule="auto"/>
        <w:rPr>
          <w:sz w:val="24"/>
          <w:szCs w:val="24"/>
        </w:rPr>
      </w:pPr>
      <w:r>
        <w:rPr>
          <w:rFonts w:hint="eastAsia"/>
          <w:sz w:val="24"/>
          <w:szCs w:val="24"/>
        </w:rPr>
        <w:t>25</w:t>
      </w:r>
      <w:r>
        <w:rPr>
          <w:sz w:val="24"/>
          <w:szCs w:val="24"/>
        </w:rPr>
        <w:t>.2</w:t>
      </w:r>
      <w:r>
        <w:rPr>
          <w:rFonts w:hint="eastAsia"/>
          <w:sz w:val="24"/>
          <w:szCs w:val="24"/>
        </w:rPr>
        <w:t>除合同另有规定外，计量单位均使用中华人民共和国法定计量单位。</w:t>
      </w:r>
    </w:p>
    <w:p>
      <w:pPr>
        <w:tabs>
          <w:tab w:val="left" w:pos="850"/>
        </w:tabs>
        <w:spacing w:line="360" w:lineRule="auto"/>
        <w:rPr>
          <w:sz w:val="24"/>
          <w:szCs w:val="24"/>
        </w:rPr>
      </w:pPr>
      <w:r>
        <w:rPr>
          <w:rFonts w:hint="eastAsia"/>
          <w:b/>
          <w:sz w:val="24"/>
          <w:szCs w:val="24"/>
        </w:rPr>
        <w:t>26．政府采购法对政府采购合同变更、终止的规定：</w:t>
      </w:r>
      <w:r>
        <w:rPr>
          <w:sz w:val="24"/>
          <w:szCs w:val="24"/>
        </w:rPr>
        <w:t>“</w:t>
      </w:r>
      <w:r>
        <w:rPr>
          <w:rFonts w:hint="eastAsia"/>
          <w:sz w:val="24"/>
          <w:szCs w:val="24"/>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sz w:val="24"/>
          <w:szCs w:val="24"/>
        </w:rPr>
        <w:t>”</w:t>
      </w:r>
    </w:p>
    <w:p>
      <w:pPr>
        <w:tabs>
          <w:tab w:val="left" w:pos="850"/>
        </w:tabs>
        <w:spacing w:line="360" w:lineRule="auto"/>
        <w:rPr>
          <w:sz w:val="24"/>
          <w:szCs w:val="24"/>
        </w:rPr>
      </w:pPr>
    </w:p>
    <w:p>
      <w:pPr>
        <w:tabs>
          <w:tab w:val="left" w:pos="850"/>
        </w:tabs>
        <w:spacing w:line="360" w:lineRule="auto"/>
        <w:rPr>
          <w:sz w:val="24"/>
          <w:szCs w:val="24"/>
        </w:rPr>
      </w:pPr>
    </w:p>
    <w:p>
      <w:pPr>
        <w:tabs>
          <w:tab w:val="left" w:pos="850"/>
        </w:tabs>
        <w:spacing w:line="360" w:lineRule="auto"/>
        <w:rPr>
          <w:sz w:val="24"/>
          <w:szCs w:val="24"/>
        </w:rPr>
      </w:pPr>
    </w:p>
    <w:p>
      <w:pPr>
        <w:tabs>
          <w:tab w:val="left" w:pos="850"/>
        </w:tabs>
        <w:spacing w:line="360" w:lineRule="auto"/>
        <w:rPr>
          <w:sz w:val="24"/>
          <w:szCs w:val="24"/>
        </w:rPr>
      </w:pPr>
    </w:p>
    <w:p>
      <w:pPr>
        <w:tabs>
          <w:tab w:val="left" w:pos="850"/>
        </w:tabs>
        <w:spacing w:line="360" w:lineRule="auto"/>
        <w:rPr>
          <w:sz w:val="24"/>
          <w:szCs w:val="24"/>
        </w:rPr>
      </w:pPr>
    </w:p>
    <w:p>
      <w:pPr>
        <w:tabs>
          <w:tab w:val="left" w:pos="850"/>
        </w:tabs>
        <w:spacing w:line="360" w:lineRule="auto"/>
        <w:rPr>
          <w:sz w:val="24"/>
          <w:szCs w:val="24"/>
        </w:rPr>
      </w:pPr>
    </w:p>
    <w:p>
      <w:pPr>
        <w:tabs>
          <w:tab w:val="left" w:pos="850"/>
        </w:tabs>
        <w:spacing w:line="360" w:lineRule="auto"/>
        <w:rPr>
          <w:sz w:val="24"/>
          <w:szCs w:val="24"/>
        </w:rPr>
      </w:pPr>
    </w:p>
    <w:p>
      <w:pPr>
        <w:tabs>
          <w:tab w:val="left" w:pos="850"/>
        </w:tabs>
        <w:spacing w:line="360" w:lineRule="auto"/>
        <w:rPr>
          <w:sz w:val="24"/>
          <w:szCs w:val="24"/>
        </w:rPr>
      </w:pPr>
    </w:p>
    <w:p>
      <w:pPr>
        <w:tabs>
          <w:tab w:val="left" w:pos="850"/>
        </w:tabs>
        <w:spacing w:line="360" w:lineRule="auto"/>
        <w:rPr>
          <w:sz w:val="24"/>
          <w:szCs w:val="24"/>
        </w:rPr>
      </w:pPr>
    </w:p>
    <w:p>
      <w:pPr>
        <w:tabs>
          <w:tab w:val="left" w:pos="850"/>
        </w:tabs>
        <w:spacing w:line="360" w:lineRule="auto"/>
        <w:rPr>
          <w:sz w:val="24"/>
          <w:szCs w:val="24"/>
        </w:rPr>
      </w:pPr>
    </w:p>
    <w:p>
      <w:pPr>
        <w:tabs>
          <w:tab w:val="left" w:pos="850"/>
        </w:tabs>
        <w:spacing w:line="360" w:lineRule="auto"/>
        <w:rPr>
          <w:sz w:val="24"/>
          <w:szCs w:val="24"/>
        </w:rPr>
      </w:pPr>
    </w:p>
    <w:p>
      <w:pPr>
        <w:tabs>
          <w:tab w:val="left" w:pos="850"/>
        </w:tabs>
        <w:spacing w:line="360" w:lineRule="auto"/>
        <w:rPr>
          <w:sz w:val="24"/>
          <w:szCs w:val="24"/>
        </w:rPr>
      </w:pPr>
    </w:p>
    <w:p>
      <w:pPr>
        <w:tabs>
          <w:tab w:val="left" w:pos="850"/>
        </w:tabs>
        <w:spacing w:line="360" w:lineRule="auto"/>
        <w:rPr>
          <w:sz w:val="24"/>
          <w:szCs w:val="24"/>
        </w:rPr>
      </w:pPr>
    </w:p>
    <w:p>
      <w:pPr>
        <w:tabs>
          <w:tab w:val="left" w:pos="850"/>
        </w:tabs>
        <w:spacing w:line="360" w:lineRule="auto"/>
        <w:rPr>
          <w:sz w:val="24"/>
          <w:szCs w:val="24"/>
        </w:rPr>
      </w:pPr>
    </w:p>
    <w:p>
      <w:pPr>
        <w:tabs>
          <w:tab w:val="left" w:pos="850"/>
        </w:tabs>
        <w:spacing w:line="360" w:lineRule="auto"/>
        <w:rPr>
          <w:sz w:val="24"/>
          <w:szCs w:val="24"/>
        </w:rPr>
      </w:pPr>
    </w:p>
    <w:p>
      <w:pPr>
        <w:tabs>
          <w:tab w:val="left" w:pos="850"/>
        </w:tabs>
        <w:jc w:val="center"/>
        <w:rPr>
          <w:b/>
          <w:bCs/>
          <w:sz w:val="44"/>
          <w:szCs w:val="24"/>
        </w:rPr>
      </w:pPr>
      <w:bookmarkStart w:id="33" w:name="_Toc74646998"/>
      <w:r>
        <w:rPr>
          <w:rFonts w:hint="eastAsia"/>
          <w:b/>
          <w:bCs/>
          <w:sz w:val="44"/>
          <w:szCs w:val="24"/>
        </w:rPr>
        <w:t>政府采购合同书格式</w:t>
      </w:r>
      <w:bookmarkEnd w:id="33"/>
    </w:p>
    <w:p>
      <w:pPr>
        <w:jc w:val="center"/>
        <w:rPr>
          <w:rFonts w:ascii="宋体" w:cs="宋体"/>
          <w:color w:val="000000"/>
          <w:sz w:val="32"/>
          <w:szCs w:val="24"/>
        </w:rPr>
      </w:pPr>
      <w:r>
        <w:rPr>
          <w:rFonts w:hint="eastAsia" w:ascii="宋体" w:cs="宋体"/>
          <w:color w:val="000000"/>
          <w:sz w:val="32"/>
          <w:szCs w:val="24"/>
        </w:rPr>
        <w:t>政府采购购销合同</w:t>
      </w:r>
    </w:p>
    <w:p>
      <w:pPr>
        <w:jc w:val="center"/>
        <w:rPr>
          <w:rFonts w:ascii="宋体" w:cs="宋体"/>
          <w:color w:val="000000"/>
          <w:sz w:val="24"/>
          <w:szCs w:val="24"/>
        </w:rPr>
      </w:pPr>
      <w:r>
        <w:rPr>
          <w:rFonts w:ascii="宋体" w:cs="宋体"/>
          <w:color w:val="000000"/>
          <w:sz w:val="24"/>
          <w:szCs w:val="24"/>
        </w:rPr>
        <w:t xml:space="preserve">                          </w:t>
      </w:r>
    </w:p>
    <w:p>
      <w:pPr>
        <w:rPr>
          <w:rFonts w:ascii="宋体" w:cs="宋体"/>
          <w:color w:val="000000"/>
          <w:sz w:val="24"/>
          <w:szCs w:val="24"/>
        </w:rPr>
      </w:pPr>
      <w:r>
        <w:rPr>
          <w:rFonts w:hint="eastAsia" w:ascii="宋体" w:cs="宋体"/>
          <w:color w:val="000000"/>
          <w:sz w:val="24"/>
          <w:szCs w:val="24"/>
        </w:rPr>
        <w:t>甲方：</w:t>
      </w:r>
    </w:p>
    <w:p>
      <w:pPr>
        <w:rPr>
          <w:rFonts w:ascii="宋体" w:cs="宋体"/>
          <w:color w:val="000000"/>
          <w:sz w:val="24"/>
          <w:szCs w:val="24"/>
        </w:rPr>
      </w:pPr>
      <w:r>
        <w:rPr>
          <w:rFonts w:hint="eastAsia" w:ascii="宋体" w:cs="宋体"/>
          <w:color w:val="000000"/>
          <w:sz w:val="24"/>
          <w:szCs w:val="24"/>
        </w:rPr>
        <w:t>乙方：</w:t>
      </w:r>
    </w:p>
    <w:p>
      <w:pPr>
        <w:tabs>
          <w:tab w:val="center" w:pos="4156"/>
          <w:tab w:val="left" w:pos="7500"/>
        </w:tabs>
        <w:ind w:firstLine="480" w:firstLineChars="200"/>
        <w:rPr>
          <w:rFonts w:ascii="宋体" w:cs="宋体"/>
          <w:color w:val="000000"/>
          <w:sz w:val="24"/>
          <w:szCs w:val="24"/>
        </w:rPr>
      </w:pPr>
    </w:p>
    <w:p>
      <w:pPr>
        <w:tabs>
          <w:tab w:val="center" w:pos="4156"/>
          <w:tab w:val="left" w:pos="7500"/>
        </w:tabs>
        <w:ind w:firstLine="480" w:firstLineChars="200"/>
        <w:rPr>
          <w:rFonts w:ascii="宋体" w:cs="宋体"/>
          <w:color w:val="000000"/>
          <w:sz w:val="24"/>
          <w:szCs w:val="24"/>
        </w:rPr>
      </w:pPr>
      <w:r>
        <w:rPr>
          <w:rFonts w:hint="eastAsia" w:ascii="宋体" w:cs="宋体"/>
          <w:color w:val="000000"/>
          <w:sz w:val="24"/>
          <w:szCs w:val="24"/>
        </w:rPr>
        <w:t>乙方在吉林市丰满区政府采购中心组织的XXXXXXXX项目政府采购招标中被确定为中标供应商，项目编号：xxxxxxxx，根据《中华人民共和国政府采购法》、《中华人民共和国民法典》及其他有关法律法规之规定，本合同当事人遵循平等、自愿、公平和诚实信用原则，在本项目经过政府采购的基础上，经协商一致，同意按下述条款和条件签署本合同：</w:t>
      </w:r>
    </w:p>
    <w:p>
      <w:pPr>
        <w:ind w:firstLine="480" w:firstLineChars="200"/>
        <w:rPr>
          <w:rFonts w:ascii="宋体" w:cs="宋体"/>
          <w:color w:val="000000"/>
          <w:sz w:val="24"/>
          <w:szCs w:val="24"/>
        </w:rPr>
      </w:pPr>
      <w:r>
        <w:rPr>
          <w:rFonts w:hint="eastAsia" w:ascii="宋体" w:cs="宋体"/>
          <w:color w:val="000000"/>
          <w:sz w:val="24"/>
          <w:szCs w:val="24"/>
        </w:rPr>
        <w:t>一、乙方根据本合同规定向甲方提供招标文件第四章技术标准及要求所列明的货物及服务，并将招标文件第四章技术标准及要求以及乙方响应文件和投标报价明细表作为合同附件。</w:t>
      </w:r>
    </w:p>
    <w:p>
      <w:pPr>
        <w:ind w:firstLine="480" w:firstLineChars="200"/>
        <w:rPr>
          <w:rFonts w:ascii="宋体" w:cs="宋体"/>
          <w:color w:val="000000"/>
          <w:sz w:val="24"/>
          <w:szCs w:val="24"/>
          <w:u w:val="single"/>
        </w:rPr>
      </w:pPr>
      <w:r>
        <w:rPr>
          <w:rFonts w:hint="eastAsia" w:ascii="宋体" w:cs="宋体"/>
          <w:color w:val="000000"/>
          <w:sz w:val="24"/>
          <w:szCs w:val="24"/>
        </w:rPr>
        <w:t>二、供货期：</w:t>
      </w:r>
      <w:r>
        <w:rPr>
          <w:rFonts w:hint="eastAsia" w:ascii="宋体" w:cs="宋体"/>
          <w:color w:val="000000"/>
          <w:sz w:val="24"/>
          <w:szCs w:val="24"/>
          <w:u w:val="single"/>
        </w:rPr>
        <w:t xml:space="preserve">                                       </w:t>
      </w:r>
    </w:p>
    <w:p>
      <w:pPr>
        <w:ind w:firstLine="480" w:firstLineChars="200"/>
        <w:rPr>
          <w:rFonts w:ascii="宋体" w:cs="宋体"/>
          <w:color w:val="000000"/>
          <w:sz w:val="24"/>
          <w:szCs w:val="24"/>
          <w:u w:val="single"/>
        </w:rPr>
      </w:pPr>
      <w:r>
        <w:rPr>
          <w:rFonts w:hint="eastAsia" w:ascii="宋体" w:cs="宋体"/>
          <w:color w:val="000000"/>
          <w:sz w:val="24"/>
          <w:szCs w:val="24"/>
        </w:rPr>
        <w:t>三、供货地点：</w:t>
      </w:r>
      <w:r>
        <w:rPr>
          <w:rFonts w:hint="eastAsia" w:ascii="宋体" w:cs="宋体"/>
          <w:color w:val="000000"/>
          <w:sz w:val="24"/>
          <w:szCs w:val="24"/>
          <w:u w:val="single"/>
        </w:rPr>
        <w:t xml:space="preserve">                                     </w:t>
      </w:r>
    </w:p>
    <w:p>
      <w:pPr>
        <w:ind w:firstLine="480" w:firstLineChars="200"/>
        <w:rPr>
          <w:rFonts w:ascii="宋体" w:cs="宋体"/>
          <w:color w:val="000000"/>
          <w:sz w:val="24"/>
          <w:szCs w:val="24"/>
        </w:rPr>
      </w:pPr>
      <w:r>
        <w:rPr>
          <w:rFonts w:hint="eastAsia" w:ascii="宋体" w:cs="宋体"/>
          <w:color w:val="000000"/>
          <w:sz w:val="24"/>
          <w:szCs w:val="24"/>
        </w:rPr>
        <w:t>四、付款方式：</w:t>
      </w:r>
      <w:r>
        <w:rPr>
          <w:rFonts w:hint="eastAsia" w:ascii="宋体" w:cs="宋体"/>
          <w:color w:val="000000"/>
          <w:sz w:val="24"/>
          <w:szCs w:val="24"/>
          <w:u w:val="single"/>
        </w:rPr>
        <w:t xml:space="preserve">                                     </w:t>
      </w:r>
      <w:r>
        <w:rPr>
          <w:rFonts w:hint="eastAsia" w:ascii="宋体" w:cs="宋体"/>
          <w:color w:val="FF0000"/>
          <w:sz w:val="24"/>
          <w:szCs w:val="24"/>
        </w:rPr>
        <w:t xml:space="preserve">   </w:t>
      </w:r>
      <w:r>
        <w:rPr>
          <w:rFonts w:hint="eastAsia" w:ascii="宋体" w:cs="宋体"/>
          <w:color w:val="000000"/>
          <w:sz w:val="24"/>
          <w:szCs w:val="24"/>
        </w:rPr>
        <w:t xml:space="preserve">                  </w:t>
      </w:r>
    </w:p>
    <w:p>
      <w:pPr>
        <w:ind w:firstLine="480" w:firstLineChars="200"/>
        <w:rPr>
          <w:rFonts w:ascii="宋体" w:cs="宋体"/>
          <w:color w:val="000000"/>
          <w:sz w:val="24"/>
          <w:szCs w:val="24"/>
        </w:rPr>
      </w:pPr>
      <w:r>
        <w:rPr>
          <w:rFonts w:hint="eastAsia" w:ascii="宋体" w:cs="宋体"/>
          <w:color w:val="000000"/>
          <w:sz w:val="24"/>
          <w:szCs w:val="24"/>
        </w:rPr>
        <w:t>五、货款总额（大写）：</w:t>
      </w:r>
      <w:r>
        <w:rPr>
          <w:rFonts w:hint="eastAsia" w:ascii="宋体" w:cs="宋体"/>
          <w:color w:val="000000"/>
          <w:sz w:val="24"/>
          <w:szCs w:val="24"/>
          <w:u w:val="single"/>
        </w:rPr>
        <w:t xml:space="preserve">                              </w:t>
      </w:r>
    </w:p>
    <w:p>
      <w:pPr>
        <w:tabs>
          <w:tab w:val="left" w:pos="1600"/>
        </w:tabs>
        <w:ind w:firstLine="480" w:firstLineChars="200"/>
        <w:rPr>
          <w:rFonts w:ascii="宋体" w:cs="宋体"/>
          <w:color w:val="000000"/>
          <w:sz w:val="24"/>
          <w:szCs w:val="24"/>
        </w:rPr>
      </w:pPr>
      <w:r>
        <w:rPr>
          <w:rFonts w:hint="eastAsia" w:ascii="宋体" w:cs="宋体"/>
          <w:color w:val="000000"/>
          <w:sz w:val="24"/>
          <w:szCs w:val="24"/>
        </w:rPr>
        <w:t>六、安装与调试由乙方负责，甲方应帮助协调解决安装、调试的时间、场地等问题。</w:t>
      </w:r>
    </w:p>
    <w:p>
      <w:pPr>
        <w:tabs>
          <w:tab w:val="left" w:pos="1600"/>
        </w:tabs>
        <w:ind w:firstLine="480" w:firstLineChars="200"/>
        <w:rPr>
          <w:rFonts w:ascii="宋体" w:cs="宋体"/>
          <w:color w:val="000000"/>
          <w:sz w:val="24"/>
          <w:szCs w:val="24"/>
        </w:rPr>
      </w:pPr>
      <w:r>
        <w:rPr>
          <w:rFonts w:hint="eastAsia" w:ascii="宋体" w:cs="宋体"/>
          <w:color w:val="000000"/>
          <w:sz w:val="24"/>
          <w:szCs w:val="24"/>
        </w:rPr>
        <w:t>七、验收：</w:t>
      </w:r>
    </w:p>
    <w:p>
      <w:pPr>
        <w:ind w:firstLine="720" w:firstLineChars="300"/>
        <w:rPr>
          <w:rFonts w:ascii="宋体" w:cs="宋体"/>
          <w:color w:val="000000"/>
          <w:sz w:val="24"/>
          <w:szCs w:val="24"/>
        </w:rPr>
      </w:pPr>
      <w:r>
        <w:rPr>
          <w:rFonts w:hint="eastAsia" w:ascii="宋体" w:cs="宋体"/>
          <w:color w:val="000000"/>
          <w:sz w:val="24"/>
          <w:szCs w:val="24"/>
        </w:rPr>
        <w:t>1、甲方成立由本单位采购项目使用部门以及资产管理、财务、纪检监察等部门及相关专业技术人员参加的验收小组，由本单位有关负责人担任组长，制订验收方案，集体组织验收；验收中如果发生争议，由甲方与乙方按照采购合同约定的方法解决。</w:t>
      </w:r>
    </w:p>
    <w:p>
      <w:pPr>
        <w:ind w:firstLine="720" w:firstLineChars="300"/>
        <w:rPr>
          <w:rFonts w:ascii="宋体" w:cs="宋体"/>
          <w:color w:val="000000"/>
          <w:sz w:val="24"/>
          <w:szCs w:val="24"/>
        </w:rPr>
      </w:pPr>
      <w:r>
        <w:rPr>
          <w:rFonts w:hint="eastAsia" w:ascii="宋体" w:cs="宋体"/>
          <w:color w:val="000000"/>
          <w:sz w:val="24"/>
          <w:szCs w:val="24"/>
        </w:rPr>
        <w:t>2、采购需求及乙方投标文件投标内容作为项目验收标准及合同附件内容。</w:t>
      </w:r>
    </w:p>
    <w:p>
      <w:pPr>
        <w:ind w:firstLine="480" w:firstLineChars="200"/>
        <w:rPr>
          <w:rFonts w:ascii="宋体" w:cs="宋体"/>
          <w:color w:val="000000"/>
          <w:sz w:val="24"/>
          <w:szCs w:val="24"/>
          <w:u w:val="single"/>
        </w:rPr>
      </w:pPr>
      <w:r>
        <w:rPr>
          <w:rFonts w:hint="eastAsia" w:ascii="宋体" w:cs="宋体"/>
          <w:color w:val="000000"/>
          <w:sz w:val="24"/>
          <w:szCs w:val="24"/>
        </w:rPr>
        <w:t>八、质量保证期限及售后服务要求：</w:t>
      </w:r>
      <w:r>
        <w:rPr>
          <w:rFonts w:hint="eastAsia" w:ascii="宋体" w:cs="宋体"/>
          <w:color w:val="000000"/>
          <w:sz w:val="24"/>
          <w:szCs w:val="24"/>
          <w:u w:val="single"/>
        </w:rPr>
        <w:t xml:space="preserve">                             </w:t>
      </w:r>
    </w:p>
    <w:p>
      <w:pPr>
        <w:ind w:firstLine="480" w:firstLineChars="200"/>
        <w:rPr>
          <w:rFonts w:ascii="宋体" w:cs="宋体"/>
          <w:color w:val="000000"/>
          <w:sz w:val="24"/>
          <w:szCs w:val="24"/>
          <w:u w:val="single"/>
        </w:rPr>
      </w:pPr>
      <w:r>
        <w:rPr>
          <w:rFonts w:hint="eastAsia" w:ascii="宋体" w:cs="宋体"/>
          <w:color w:val="000000"/>
          <w:sz w:val="24"/>
          <w:szCs w:val="24"/>
        </w:rPr>
        <w:t>九、违约责任：</w:t>
      </w:r>
      <w:r>
        <w:rPr>
          <w:rFonts w:hint="eastAsia" w:ascii="宋体" w:cs="宋体"/>
          <w:color w:val="000000"/>
          <w:sz w:val="24"/>
          <w:szCs w:val="24"/>
          <w:u w:val="single"/>
        </w:rPr>
        <w:t xml:space="preserve">                                               </w:t>
      </w:r>
    </w:p>
    <w:p>
      <w:pPr>
        <w:pStyle w:val="20"/>
        <w:ind w:firstLine="480" w:firstLineChars="200"/>
        <w:rPr>
          <w:u w:val="single"/>
        </w:rPr>
      </w:pPr>
      <w:r>
        <w:rPr>
          <w:rFonts w:hint="eastAsia"/>
        </w:rPr>
        <w:t>十、保密责任：</w:t>
      </w:r>
      <w:r>
        <w:rPr>
          <w:rFonts w:hint="eastAsia"/>
          <w:u w:val="single"/>
        </w:rPr>
        <w:t xml:space="preserve">                                               </w:t>
      </w:r>
    </w:p>
    <w:p>
      <w:pPr>
        <w:ind w:firstLine="480" w:firstLineChars="200"/>
        <w:rPr>
          <w:rFonts w:ascii="宋体" w:cs="宋体"/>
          <w:color w:val="000000"/>
          <w:sz w:val="24"/>
          <w:szCs w:val="24"/>
        </w:rPr>
      </w:pPr>
      <w:r>
        <w:rPr>
          <w:rFonts w:hint="eastAsia" w:ascii="宋体" w:cs="宋体"/>
          <w:color w:val="000000"/>
          <w:sz w:val="24"/>
          <w:szCs w:val="24"/>
        </w:rPr>
        <w:t>十一、发生纠纷，双方友好协商解决。</w:t>
      </w:r>
    </w:p>
    <w:p>
      <w:pPr>
        <w:ind w:firstLine="480" w:firstLineChars="200"/>
        <w:rPr>
          <w:rFonts w:ascii="宋体" w:cs="宋体"/>
          <w:color w:val="000000"/>
          <w:sz w:val="24"/>
          <w:szCs w:val="24"/>
        </w:rPr>
      </w:pPr>
      <w:r>
        <w:rPr>
          <w:rFonts w:hint="eastAsia" w:ascii="宋体" w:cs="宋体"/>
          <w:color w:val="000000"/>
          <w:sz w:val="24"/>
          <w:szCs w:val="24"/>
        </w:rPr>
        <w:t>十二、仲裁：双方在执行合同中发生的争议，应通过协商解决，如协商不成：</w:t>
      </w:r>
    </w:p>
    <w:p>
      <w:pPr>
        <w:ind w:firstLine="480" w:firstLineChars="200"/>
        <w:rPr>
          <w:rFonts w:ascii="宋体" w:cs="宋体"/>
          <w:color w:val="000000"/>
          <w:sz w:val="24"/>
          <w:szCs w:val="24"/>
        </w:rPr>
      </w:pPr>
      <w:r>
        <w:rPr>
          <w:rFonts w:hint="eastAsia" w:ascii="宋体" w:cs="宋体"/>
          <w:color w:val="000000"/>
          <w:sz w:val="24"/>
          <w:szCs w:val="24"/>
        </w:rPr>
        <w:t>○向合同签署地仲裁委员会提出仲裁。</w:t>
      </w:r>
    </w:p>
    <w:p>
      <w:pPr>
        <w:ind w:firstLine="480" w:firstLineChars="200"/>
        <w:rPr>
          <w:rFonts w:ascii="宋体" w:cs="宋体"/>
          <w:color w:val="000000"/>
          <w:sz w:val="24"/>
          <w:szCs w:val="24"/>
        </w:rPr>
      </w:pPr>
      <w:r>
        <w:rPr>
          <w:rFonts w:hint="eastAsia" w:ascii="宋体" w:cs="宋体"/>
          <w:color w:val="000000"/>
          <w:sz w:val="24"/>
          <w:szCs w:val="24"/>
        </w:rPr>
        <w:t>○向合同签订地人民法院起诉。</w:t>
      </w:r>
    </w:p>
    <w:p>
      <w:pPr>
        <w:ind w:firstLine="480" w:firstLineChars="200"/>
        <w:rPr>
          <w:rFonts w:ascii="宋体" w:cs="宋体"/>
          <w:color w:val="000000"/>
          <w:sz w:val="24"/>
          <w:szCs w:val="24"/>
        </w:rPr>
      </w:pPr>
      <w:r>
        <w:rPr>
          <w:rFonts w:hint="eastAsia" w:ascii="宋体" w:cs="宋体"/>
          <w:color w:val="000000"/>
          <w:sz w:val="24"/>
          <w:szCs w:val="24"/>
        </w:rPr>
        <w:t>十三、生效及其他：</w:t>
      </w:r>
    </w:p>
    <w:p>
      <w:pPr>
        <w:ind w:firstLine="480" w:firstLineChars="200"/>
        <w:rPr>
          <w:rFonts w:ascii="宋体" w:cs="宋体"/>
          <w:color w:val="000000"/>
          <w:sz w:val="24"/>
          <w:szCs w:val="24"/>
        </w:rPr>
      </w:pPr>
      <w:r>
        <w:rPr>
          <w:rFonts w:hint="eastAsia" w:ascii="宋体" w:cs="宋体"/>
          <w:color w:val="000000"/>
          <w:sz w:val="24"/>
          <w:szCs w:val="24"/>
        </w:rPr>
        <w:t>1、合同经双方签订即为生效。</w:t>
      </w:r>
    </w:p>
    <w:p>
      <w:pPr>
        <w:ind w:firstLine="480" w:firstLineChars="200"/>
        <w:rPr>
          <w:rFonts w:ascii="宋体" w:cs="宋体"/>
          <w:color w:val="000000"/>
          <w:sz w:val="24"/>
          <w:szCs w:val="24"/>
        </w:rPr>
      </w:pPr>
      <w:r>
        <w:rPr>
          <w:rFonts w:hint="eastAsia" w:ascii="宋体" w:cs="宋体"/>
          <w:color w:val="000000"/>
          <w:sz w:val="24"/>
          <w:szCs w:val="24"/>
        </w:rPr>
        <w:t>2、合同正本四份，甲、乙双方、政府采购中心及采购办各执一份。</w:t>
      </w:r>
    </w:p>
    <w:p>
      <w:pPr>
        <w:ind w:firstLine="480" w:firstLineChars="200"/>
        <w:rPr>
          <w:rFonts w:ascii="宋体" w:cs="宋体"/>
          <w:color w:val="000000"/>
          <w:sz w:val="24"/>
          <w:szCs w:val="24"/>
        </w:rPr>
      </w:pPr>
      <w:r>
        <w:rPr>
          <w:rFonts w:hint="eastAsia" w:ascii="宋体" w:cs="宋体"/>
          <w:color w:val="000000"/>
          <w:sz w:val="24"/>
          <w:szCs w:val="24"/>
        </w:rPr>
        <w:t>3、未尽事宜以《中华人民共和国民法典》为准。</w:t>
      </w:r>
    </w:p>
    <w:p>
      <w:pPr>
        <w:ind w:firstLine="480" w:firstLineChars="200"/>
        <w:rPr>
          <w:rFonts w:ascii="宋体" w:cs="宋体"/>
          <w:color w:val="000000"/>
          <w:sz w:val="24"/>
          <w:szCs w:val="24"/>
        </w:rPr>
      </w:pPr>
      <w:r>
        <w:rPr>
          <w:rFonts w:hint="eastAsia" w:ascii="宋体" w:cs="宋体"/>
          <w:color w:val="000000"/>
          <w:sz w:val="24"/>
          <w:szCs w:val="24"/>
        </w:rPr>
        <w:t>十四、备注：本合同未尽事宜，甲、乙双方可以另行签订补充协议。补充协议与本合同具有同样法律效力。</w:t>
      </w:r>
    </w:p>
    <w:p>
      <w:pPr>
        <w:rPr>
          <w:rFonts w:ascii="宋体" w:cs="宋体"/>
          <w:color w:val="000000"/>
          <w:sz w:val="24"/>
          <w:szCs w:val="24"/>
        </w:rPr>
      </w:pPr>
    </w:p>
    <w:p>
      <w:pPr>
        <w:rPr>
          <w:rFonts w:ascii="宋体" w:cs="宋体"/>
          <w:color w:val="000000"/>
          <w:sz w:val="24"/>
          <w:szCs w:val="24"/>
        </w:rPr>
      </w:pPr>
    </w:p>
    <w:p>
      <w:pPr>
        <w:rPr>
          <w:rFonts w:ascii="宋体" w:cs="宋体"/>
          <w:color w:val="000000"/>
          <w:sz w:val="24"/>
          <w:szCs w:val="24"/>
        </w:rPr>
      </w:pPr>
    </w:p>
    <w:p>
      <w:pPr>
        <w:rPr>
          <w:rFonts w:ascii="宋体" w:cs="宋体"/>
          <w:color w:val="000000"/>
          <w:sz w:val="24"/>
          <w:szCs w:val="24"/>
        </w:rPr>
      </w:pPr>
    </w:p>
    <w:p>
      <w:pPr>
        <w:rPr>
          <w:rFonts w:ascii="宋体" w:cs="宋体"/>
          <w:color w:val="000000"/>
          <w:sz w:val="24"/>
          <w:szCs w:val="24"/>
        </w:rPr>
      </w:pPr>
    </w:p>
    <w:p>
      <w:pPr>
        <w:rPr>
          <w:rFonts w:ascii="宋体" w:cs="宋体"/>
          <w:color w:val="000000"/>
          <w:sz w:val="24"/>
          <w:szCs w:val="24"/>
        </w:rPr>
      </w:pPr>
      <w:r>
        <w:rPr>
          <w:rFonts w:hint="eastAsia" w:ascii="宋体" w:cs="宋体"/>
          <w:color w:val="000000"/>
          <w:sz w:val="24"/>
          <w:szCs w:val="24"/>
        </w:rPr>
        <w:t xml:space="preserve">甲方：                           乙方：                    </w:t>
      </w:r>
    </w:p>
    <w:p>
      <w:pPr>
        <w:rPr>
          <w:rFonts w:ascii="宋体" w:cs="宋体"/>
          <w:color w:val="000000"/>
          <w:sz w:val="24"/>
          <w:szCs w:val="24"/>
        </w:rPr>
      </w:pPr>
      <w:r>
        <w:rPr>
          <w:rFonts w:hint="eastAsia" w:ascii="宋体" w:cs="宋体"/>
          <w:color w:val="000000"/>
          <w:sz w:val="24"/>
          <w:szCs w:val="24"/>
        </w:rPr>
        <w:t xml:space="preserve">地址：                           地址：                         </w:t>
      </w:r>
    </w:p>
    <w:p>
      <w:pPr>
        <w:rPr>
          <w:rFonts w:ascii="宋体" w:cs="宋体"/>
          <w:color w:val="000000"/>
          <w:sz w:val="24"/>
          <w:szCs w:val="24"/>
        </w:rPr>
      </w:pPr>
      <w:r>
        <w:rPr>
          <w:rFonts w:hint="eastAsia" w:ascii="宋体" w:cs="宋体"/>
          <w:color w:val="000000"/>
          <w:sz w:val="24"/>
          <w:szCs w:val="24"/>
        </w:rPr>
        <w:t xml:space="preserve">法定代表人：                     法定代表人：                       </w:t>
      </w:r>
    </w:p>
    <w:p>
      <w:pPr>
        <w:rPr>
          <w:rFonts w:ascii="宋体" w:cs="宋体"/>
          <w:color w:val="000000"/>
          <w:sz w:val="24"/>
          <w:szCs w:val="24"/>
        </w:rPr>
      </w:pPr>
      <w:r>
        <w:rPr>
          <w:rFonts w:hint="eastAsia" w:ascii="宋体" w:cs="宋体"/>
          <w:color w:val="000000"/>
          <w:sz w:val="24"/>
          <w:szCs w:val="24"/>
        </w:rPr>
        <w:t xml:space="preserve">委托代理人：                     委托代理人：                       </w:t>
      </w:r>
    </w:p>
    <w:p>
      <w:pPr>
        <w:rPr>
          <w:rFonts w:ascii="宋体" w:cs="宋体"/>
          <w:color w:val="000000"/>
          <w:sz w:val="24"/>
          <w:szCs w:val="24"/>
        </w:rPr>
      </w:pPr>
      <w:r>
        <w:rPr>
          <w:rFonts w:hint="eastAsia" w:ascii="宋体" w:cs="宋体"/>
          <w:color w:val="000000"/>
          <w:sz w:val="24"/>
          <w:szCs w:val="24"/>
        </w:rPr>
        <w:t xml:space="preserve">电话：                           电话：                          </w:t>
      </w:r>
    </w:p>
    <w:p>
      <w:pPr>
        <w:ind w:firstLine="4320" w:firstLineChars="1800"/>
        <w:rPr>
          <w:rFonts w:ascii="宋体" w:cs="宋体"/>
          <w:color w:val="000000"/>
          <w:sz w:val="24"/>
          <w:szCs w:val="24"/>
        </w:rPr>
      </w:pPr>
    </w:p>
    <w:p>
      <w:pPr>
        <w:rPr>
          <w:rFonts w:ascii="宋体" w:cs="宋体"/>
          <w:color w:val="000000"/>
          <w:sz w:val="24"/>
          <w:szCs w:val="24"/>
        </w:rPr>
      </w:pPr>
      <w:r>
        <w:rPr>
          <w:rFonts w:hint="eastAsia" w:ascii="宋体" w:cs="宋体"/>
          <w:color w:val="000000"/>
          <w:sz w:val="24"/>
          <w:szCs w:val="24"/>
        </w:rPr>
        <w:t>年   月   日                      年   月   日</w:t>
      </w:r>
    </w:p>
    <w:p>
      <w:pPr>
        <w:rPr>
          <w:rFonts w:ascii="宋体" w:cs="宋体"/>
          <w:color w:val="000000"/>
          <w:sz w:val="24"/>
          <w:szCs w:val="24"/>
        </w:rPr>
      </w:pPr>
    </w:p>
    <w:p>
      <w:pPr>
        <w:spacing w:line="400" w:lineRule="exact"/>
        <w:rPr>
          <w:rFonts w:ascii="宋体" w:cs="宋体"/>
          <w:color w:val="000000"/>
          <w:sz w:val="24"/>
          <w:szCs w:val="24"/>
        </w:rPr>
      </w:pPr>
    </w:p>
    <w:p>
      <w:pPr>
        <w:spacing w:line="400" w:lineRule="exact"/>
        <w:rPr>
          <w:rFonts w:ascii="宋体" w:cs="宋体"/>
          <w:color w:val="000000"/>
          <w:sz w:val="24"/>
          <w:szCs w:val="24"/>
        </w:rPr>
      </w:pPr>
    </w:p>
    <w:p>
      <w:pPr>
        <w:spacing w:line="400" w:lineRule="exact"/>
        <w:rPr>
          <w:rFonts w:ascii="宋体" w:cs="宋体"/>
          <w:color w:val="000000"/>
          <w:sz w:val="24"/>
          <w:szCs w:val="24"/>
        </w:rPr>
      </w:pPr>
    </w:p>
    <w:p>
      <w:pPr>
        <w:spacing w:line="400" w:lineRule="exact"/>
        <w:rPr>
          <w:rFonts w:ascii="宋体" w:cs="宋体"/>
          <w:color w:val="000000"/>
          <w:sz w:val="24"/>
          <w:szCs w:val="24"/>
        </w:rPr>
      </w:pPr>
      <w:r>
        <w:rPr>
          <w:rFonts w:hint="eastAsia" w:ascii="宋体" w:cs="宋体"/>
          <w:color w:val="000000"/>
          <w:sz w:val="24"/>
          <w:szCs w:val="24"/>
        </w:rPr>
        <w:t>《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bookmarkStart w:id="34" w:name="_Toc28962"/>
      <w:r>
        <w:rPr>
          <w:sz w:val="52"/>
          <w:szCs w:val="52"/>
        </w:rPr>
        <w:t xml:space="preserve">  </w:t>
      </w:r>
    </w:p>
    <w:p>
      <w:pPr>
        <w:pStyle w:val="2"/>
        <w:jc w:val="center"/>
        <w:rPr>
          <w:sz w:val="52"/>
          <w:szCs w:val="52"/>
        </w:rPr>
      </w:pPr>
    </w:p>
    <w:p>
      <w:pPr>
        <w:pStyle w:val="2"/>
        <w:jc w:val="center"/>
        <w:rPr>
          <w:sz w:val="52"/>
          <w:szCs w:val="52"/>
        </w:rPr>
      </w:pPr>
    </w:p>
    <w:p>
      <w:pPr>
        <w:pStyle w:val="2"/>
        <w:jc w:val="center"/>
        <w:rPr>
          <w:sz w:val="52"/>
          <w:szCs w:val="52"/>
        </w:rPr>
      </w:pPr>
    </w:p>
    <w:p>
      <w:pPr>
        <w:pStyle w:val="2"/>
        <w:jc w:val="center"/>
        <w:rPr>
          <w:sz w:val="52"/>
          <w:szCs w:val="52"/>
        </w:rPr>
      </w:pPr>
    </w:p>
    <w:p>
      <w:pPr>
        <w:pStyle w:val="2"/>
        <w:jc w:val="center"/>
        <w:rPr>
          <w:sz w:val="52"/>
          <w:szCs w:val="52"/>
        </w:rPr>
      </w:pPr>
    </w:p>
    <w:p/>
    <w:p/>
    <w:p/>
    <w:p/>
    <w:p>
      <w:pPr>
        <w:pStyle w:val="2"/>
        <w:jc w:val="center"/>
        <w:rPr>
          <w:sz w:val="52"/>
          <w:szCs w:val="52"/>
        </w:rPr>
      </w:pPr>
    </w:p>
    <w:p>
      <w:pPr>
        <w:pStyle w:val="2"/>
        <w:jc w:val="center"/>
        <w:rPr>
          <w:rFonts w:ascii="宋体" w:cs="宋体"/>
          <w:b w:val="0"/>
          <w:bCs w:val="0"/>
          <w:color w:val="000000"/>
          <w:sz w:val="36"/>
          <w:szCs w:val="32"/>
        </w:rPr>
      </w:pPr>
      <w:bookmarkStart w:id="35" w:name="_Toc5541"/>
      <w:r>
        <w:rPr>
          <w:rFonts w:hint="eastAsia"/>
          <w:sz w:val="52"/>
          <w:szCs w:val="52"/>
        </w:rPr>
        <w:t>第六章 投标文件部分格式</w:t>
      </w:r>
      <w:bookmarkEnd w:id="34"/>
      <w:r>
        <w:rPr>
          <w:rFonts w:hint="eastAsia" w:ascii="宋体" w:cs="宋体"/>
          <w:b w:val="0"/>
          <w:bCs w:val="0"/>
          <w:color w:val="000000"/>
          <w:sz w:val="36"/>
          <w:szCs w:val="32"/>
        </w:rPr>
        <w:t>【正/副本】</w:t>
      </w:r>
      <w:bookmarkEnd w:id="35"/>
    </w:p>
    <w:p>
      <w:pPr>
        <w:rPr>
          <w:rFonts w:ascii="宋体" w:cs="宋体"/>
          <w:color w:val="000000"/>
        </w:rPr>
      </w:pPr>
    </w:p>
    <w:p>
      <w:pPr>
        <w:spacing w:line="360" w:lineRule="auto"/>
        <w:jc w:val="center"/>
        <w:rPr>
          <w:rFonts w:ascii="宋体" w:cs="宋体"/>
          <w:b/>
          <w:color w:val="000000"/>
          <w:spacing w:val="-20"/>
          <w:sz w:val="44"/>
          <w:szCs w:val="44"/>
        </w:rPr>
      </w:pPr>
      <w:r>
        <w:rPr>
          <w:rFonts w:hint="eastAsia" w:ascii="宋体" w:cs="宋体"/>
          <w:b/>
          <w:color w:val="000000"/>
          <w:spacing w:val="-20"/>
          <w:sz w:val="44"/>
          <w:szCs w:val="44"/>
        </w:rPr>
        <w:t>XXXXXXXXXX项目</w:t>
      </w:r>
    </w:p>
    <w:p>
      <w:pPr>
        <w:jc w:val="center"/>
        <w:rPr>
          <w:rFonts w:ascii="宋体" w:cs="宋体"/>
          <w:b/>
          <w:color w:val="000000"/>
          <w:sz w:val="84"/>
          <w:szCs w:val="84"/>
        </w:rPr>
      </w:pPr>
    </w:p>
    <w:p>
      <w:pPr>
        <w:jc w:val="center"/>
        <w:rPr>
          <w:rFonts w:ascii="宋体" w:cs="宋体"/>
          <w:b/>
          <w:color w:val="000000"/>
          <w:sz w:val="84"/>
          <w:szCs w:val="84"/>
        </w:rPr>
      </w:pPr>
      <w:r>
        <w:rPr>
          <w:rFonts w:hint="eastAsia" w:ascii="宋体" w:cs="宋体"/>
          <w:b/>
          <w:color w:val="000000"/>
          <w:sz w:val="84"/>
          <w:szCs w:val="84"/>
        </w:rPr>
        <w:t>投 标 文 件</w:t>
      </w:r>
    </w:p>
    <w:p>
      <w:pPr>
        <w:rPr>
          <w:rFonts w:ascii="宋体" w:cs="宋体"/>
          <w:color w:val="000000"/>
        </w:rPr>
      </w:pPr>
    </w:p>
    <w:p>
      <w:pPr>
        <w:jc w:val="center"/>
        <w:rPr>
          <w:rFonts w:ascii="宋体" w:cs="宋体"/>
          <w:b/>
          <w:color w:val="000000"/>
          <w:sz w:val="36"/>
          <w:szCs w:val="36"/>
        </w:rPr>
      </w:pPr>
      <w:r>
        <w:rPr>
          <w:rFonts w:hint="eastAsia" w:ascii="宋体" w:cs="宋体"/>
          <w:b/>
          <w:color w:val="000000"/>
          <w:sz w:val="36"/>
          <w:szCs w:val="36"/>
        </w:rPr>
        <w:t xml:space="preserve">项目编号： </w:t>
      </w:r>
    </w:p>
    <w:p>
      <w:pPr>
        <w:rPr>
          <w:rFonts w:ascii="宋体" w:cs="宋体"/>
          <w:color w:val="000000"/>
          <w:sz w:val="36"/>
          <w:szCs w:val="36"/>
        </w:rPr>
      </w:pPr>
    </w:p>
    <w:p>
      <w:pPr>
        <w:rPr>
          <w:rFonts w:ascii="宋体" w:cs="宋体"/>
          <w:color w:val="000000"/>
          <w:sz w:val="36"/>
        </w:rPr>
      </w:pPr>
    </w:p>
    <w:p>
      <w:pPr>
        <w:rPr>
          <w:rFonts w:ascii="宋体" w:cs="宋体"/>
          <w:color w:val="000000"/>
          <w:sz w:val="30"/>
          <w:szCs w:val="30"/>
        </w:rPr>
      </w:pPr>
    </w:p>
    <w:p>
      <w:pPr>
        <w:rPr>
          <w:rFonts w:ascii="宋体" w:cs="宋体"/>
          <w:color w:val="000000"/>
          <w:sz w:val="30"/>
          <w:szCs w:val="30"/>
        </w:rPr>
      </w:pPr>
    </w:p>
    <w:p>
      <w:pPr>
        <w:rPr>
          <w:rFonts w:ascii="宋体" w:cs="宋体"/>
          <w:color w:val="000000"/>
          <w:sz w:val="30"/>
          <w:szCs w:val="30"/>
        </w:rPr>
      </w:pPr>
    </w:p>
    <w:p>
      <w:pPr>
        <w:rPr>
          <w:rFonts w:ascii="宋体" w:cs="宋体"/>
          <w:color w:val="000000"/>
          <w:sz w:val="30"/>
          <w:szCs w:val="30"/>
        </w:rPr>
      </w:pPr>
    </w:p>
    <w:p>
      <w:pPr>
        <w:spacing w:line="360" w:lineRule="auto"/>
        <w:ind w:firstLine="643" w:firstLineChars="200"/>
        <w:rPr>
          <w:rFonts w:ascii="宋体" w:cs="宋体"/>
          <w:b/>
          <w:color w:val="000000"/>
          <w:sz w:val="32"/>
          <w:szCs w:val="32"/>
        </w:rPr>
      </w:pPr>
      <w:r>
        <w:rPr>
          <w:rFonts w:hint="eastAsia" w:ascii="宋体" w:cs="宋体"/>
          <w:b/>
          <w:color w:val="000000"/>
          <w:sz w:val="32"/>
          <w:szCs w:val="32"/>
        </w:rPr>
        <w:t>投标单位：</w:t>
      </w:r>
      <w:r>
        <w:rPr>
          <w:rFonts w:hint="eastAsia" w:ascii="宋体" w:cs="宋体"/>
          <w:b/>
          <w:color w:val="000000"/>
          <w:sz w:val="32"/>
          <w:szCs w:val="32"/>
          <w:u w:val="single"/>
        </w:rPr>
        <w:t xml:space="preserve">                            </w:t>
      </w:r>
      <w:r>
        <w:rPr>
          <w:rFonts w:hint="eastAsia" w:ascii="宋体" w:cs="宋体"/>
          <w:b/>
          <w:color w:val="000000"/>
          <w:sz w:val="32"/>
          <w:szCs w:val="32"/>
        </w:rPr>
        <w:t>（盖章）</w:t>
      </w:r>
    </w:p>
    <w:p>
      <w:pPr>
        <w:spacing w:line="360" w:lineRule="auto"/>
        <w:ind w:firstLine="643" w:firstLineChars="200"/>
        <w:rPr>
          <w:rFonts w:ascii="宋体" w:cs="宋体"/>
          <w:b/>
          <w:color w:val="000000"/>
          <w:sz w:val="32"/>
          <w:szCs w:val="32"/>
        </w:rPr>
      </w:pPr>
    </w:p>
    <w:p>
      <w:pPr>
        <w:spacing w:line="360" w:lineRule="auto"/>
        <w:ind w:firstLine="643" w:firstLineChars="200"/>
        <w:rPr>
          <w:rFonts w:ascii="宋体" w:cs="宋体"/>
          <w:b/>
          <w:color w:val="000000"/>
          <w:sz w:val="32"/>
          <w:szCs w:val="32"/>
        </w:rPr>
      </w:pPr>
      <w:r>
        <w:rPr>
          <w:rFonts w:hint="eastAsia" w:ascii="宋体" w:cs="宋体"/>
          <w:b/>
          <w:color w:val="000000"/>
          <w:sz w:val="32"/>
          <w:szCs w:val="32"/>
        </w:rPr>
        <w:t>法定代表人或授权委托人：</w:t>
      </w:r>
      <w:r>
        <w:rPr>
          <w:rFonts w:hint="eastAsia" w:ascii="宋体" w:cs="宋体"/>
          <w:b/>
          <w:color w:val="000000"/>
          <w:sz w:val="32"/>
          <w:szCs w:val="32"/>
          <w:u w:val="single"/>
        </w:rPr>
        <w:t xml:space="preserve">              </w:t>
      </w:r>
      <w:r>
        <w:rPr>
          <w:rFonts w:hint="eastAsia" w:ascii="宋体" w:cs="宋体"/>
          <w:b/>
          <w:color w:val="000000"/>
          <w:sz w:val="32"/>
          <w:szCs w:val="32"/>
        </w:rPr>
        <w:t>（签字）</w:t>
      </w:r>
    </w:p>
    <w:p>
      <w:pPr>
        <w:spacing w:line="360" w:lineRule="auto"/>
        <w:ind w:firstLine="643" w:firstLineChars="200"/>
        <w:rPr>
          <w:rFonts w:ascii="宋体" w:cs="宋体"/>
          <w:b/>
          <w:color w:val="000000"/>
          <w:sz w:val="32"/>
          <w:szCs w:val="32"/>
        </w:rPr>
      </w:pPr>
    </w:p>
    <w:p>
      <w:pPr>
        <w:spacing w:line="360" w:lineRule="auto"/>
        <w:ind w:firstLine="1606" w:firstLineChars="500"/>
        <w:rPr>
          <w:rFonts w:ascii="宋体" w:cs="宋体"/>
          <w:b/>
          <w:color w:val="000000"/>
          <w:sz w:val="32"/>
          <w:szCs w:val="32"/>
        </w:rPr>
      </w:pPr>
      <w:r>
        <w:rPr>
          <w:rFonts w:hint="eastAsia" w:ascii="宋体" w:cs="宋体"/>
          <w:b/>
          <w:color w:val="000000"/>
          <w:sz w:val="32"/>
          <w:szCs w:val="32"/>
        </w:rPr>
        <w:t>投标日期：     年   月   日</w:t>
      </w:r>
    </w:p>
    <w:p>
      <w:pPr>
        <w:tabs>
          <w:tab w:val="left" w:pos="1365"/>
        </w:tabs>
        <w:jc w:val="center"/>
        <w:rPr>
          <w:rFonts w:ascii="宋体" w:cs="宋体"/>
          <w:b/>
          <w:color w:val="000000"/>
          <w:sz w:val="32"/>
        </w:rPr>
      </w:pPr>
      <w:r>
        <w:rPr>
          <w:rFonts w:hint="eastAsia" w:ascii="宋体" w:cs="宋体"/>
          <w:b/>
          <w:color w:val="000000"/>
          <w:sz w:val="32"/>
        </w:rPr>
        <w:br w:type="page"/>
      </w:r>
      <w:r>
        <w:rPr>
          <w:rFonts w:hint="eastAsia" w:ascii="宋体" w:cs="宋体"/>
          <w:b/>
          <w:color w:val="000000"/>
          <w:sz w:val="32"/>
        </w:rPr>
        <w:t>目录</w:t>
      </w:r>
    </w:p>
    <w:p>
      <w:pPr>
        <w:tabs>
          <w:tab w:val="left" w:pos="1365"/>
        </w:tabs>
        <w:spacing w:line="360" w:lineRule="auto"/>
        <w:rPr>
          <w:rFonts w:ascii="宋体" w:cs="宋体"/>
          <w:b/>
          <w:color w:val="000000"/>
          <w:sz w:val="22"/>
          <w:szCs w:val="15"/>
        </w:rPr>
      </w:pP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投标文件应包括：</w:t>
      </w:r>
    </w:p>
    <w:p>
      <w:pPr>
        <w:pStyle w:val="33"/>
        <w:numPr>
          <w:ilvl w:val="0"/>
          <w:numId w:val="5"/>
        </w:numPr>
        <w:tabs>
          <w:tab w:val="left" w:pos="851"/>
        </w:tabs>
        <w:spacing w:line="360" w:lineRule="auto"/>
        <w:ind w:left="567" w:hanging="87" w:firstLineChars="0"/>
        <w:rPr>
          <w:rFonts w:ascii="宋体" w:cs="宋体"/>
          <w:color w:val="000000"/>
          <w:sz w:val="24"/>
          <w:szCs w:val="24"/>
        </w:rPr>
      </w:pPr>
      <w:r>
        <w:rPr>
          <w:rFonts w:hint="eastAsia" w:ascii="宋体" w:cs="宋体"/>
          <w:color w:val="000000"/>
          <w:sz w:val="24"/>
          <w:szCs w:val="24"/>
        </w:rPr>
        <w:t>投标函（按标书规定格式）；</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2、投标方基本情况一览表（按标书规定格式）</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3、法定代表人（负责人）授权委托书（按标书规定格式）；</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4、法定代表人（负责人）和被授权人身份证明（按标书规定格式）；</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5、开标一览表；</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6、投标报价明细表；</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7、投标货物/服务技术文件（以文字、图片、检测报告等方式具体描述所投标货物/服务的实际技术性能情况）；</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8、投标货物/服务技术指标偏离表；</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9、投标方资格证明文件；</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w:t>
      </w:r>
      <w:r>
        <w:rPr>
          <w:rFonts w:ascii="宋体" w:cs="宋体"/>
          <w:color w:val="000000"/>
          <w:sz w:val="24"/>
          <w:szCs w:val="24"/>
        </w:rPr>
        <w:t>0</w:t>
      </w:r>
      <w:r>
        <w:rPr>
          <w:rFonts w:hint="eastAsia" w:ascii="宋体" w:cs="宋体"/>
          <w:color w:val="000000"/>
          <w:sz w:val="24"/>
          <w:szCs w:val="24"/>
        </w:rPr>
        <w:t>、投标书附件：包括投标方所完成的同类项目业绩情况、针对本项目的服务承诺内容以及与评标相关的其他相关证明文件等；如投标方为小微企业，提供《中小企业声明函》；如投标方为监狱企业，提供由省级以上监狱管理局、戒毒管理局（含新疆生产建设兵团）出具的属于监狱企业的证明文件；如投标方为残疾人福利性单位，提供《残疾人福利性单位声明函》；如投标产品为节能、环保、自主创新产品，提供相关证明文件；其他内容投标方视需要自行申明。</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投标方资格证明文件包括：</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 xml:space="preserve">（1）法人或者其他组织的营业执照等证明文件，自然人的身份证明； </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（2）财务状况报告；</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（3）具有履行合同所必须的设备和专业技术能力的证明材料；</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4）依法缴纳税收和社会保障资金的相关材料(缴纳税收的证明材料是指参加本次采购活动前三个月的缴税凭据；缴纳社会保障资金的证明材料是指投标单位参加本次采购活动前三个月的缴纳社会保险的专用收据或社会保险缴纳清单）；</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（5）参加政府采购活动前三年内在经营活动中没有重大违规记录的书面声明；</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（6）未被列入失信被执行人、重大税收违法案件当事人名单、政府采购严重违法失信行为记录名单的书面声明；</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（7）如属于特定行业项目,提供特定行业法定准入的证明材料。</w:t>
      </w:r>
    </w:p>
    <w:p>
      <w:pPr>
        <w:rPr>
          <w:rFonts w:ascii="宋体" w:cs="宋体"/>
          <w:b/>
          <w:color w:val="000000"/>
          <w:sz w:val="32"/>
        </w:rPr>
      </w:pPr>
      <w:r>
        <w:rPr>
          <w:rFonts w:hint="eastAsia" w:ascii="宋体" w:cs="宋体"/>
          <w:color w:val="000000"/>
        </w:rPr>
        <w:br w:type="page"/>
      </w:r>
      <w:bookmarkStart w:id="36" w:name="_Toc14983"/>
      <w:r>
        <w:rPr>
          <w:rFonts w:hint="eastAsia" w:ascii="宋体" w:cs="宋体"/>
          <w:b/>
          <w:color w:val="000000"/>
          <w:sz w:val="32"/>
        </w:rPr>
        <w:t>（一）、投标书部分格式</w:t>
      </w:r>
      <w:bookmarkEnd w:id="36"/>
      <w:r>
        <w:rPr>
          <w:rFonts w:hint="eastAsia" w:ascii="宋体" w:cs="宋体"/>
          <w:b/>
          <w:color w:val="000000"/>
          <w:sz w:val="32"/>
        </w:rPr>
        <w:t xml:space="preserve"> </w:t>
      </w:r>
      <w:bookmarkStart w:id="37" w:name="_Toc13309"/>
    </w:p>
    <w:p>
      <w:pPr>
        <w:rPr>
          <w:b/>
          <w:sz w:val="24"/>
        </w:rPr>
      </w:pPr>
      <w:r>
        <w:rPr>
          <w:rFonts w:hint="eastAsia" w:asciiTheme="majorEastAsia" w:hAnsiTheme="majorEastAsia" w:eastAsiaTheme="majorEastAsia"/>
          <w:b/>
          <w:sz w:val="28"/>
          <w:szCs w:val="28"/>
        </w:rPr>
        <w:t>1</w:t>
      </w:r>
      <w:r>
        <w:rPr>
          <w:rFonts w:hint="eastAsia"/>
          <w:b/>
          <w:sz w:val="24"/>
        </w:rPr>
        <w:t>、投标函</w:t>
      </w:r>
      <w:bookmarkEnd w:id="37"/>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致：吉林市丰满区政府采购中心</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根据贵方XXXXXXX项目政府采购(项目编号：xxxxxxx）的招标邀请，正式授权下述签字人         （</w:t>
      </w:r>
      <w:r>
        <w:rPr>
          <w:rFonts w:hint="eastAsia" w:ascii="宋体" w:cs="宋体"/>
          <w:color w:val="000000"/>
          <w:sz w:val="24"/>
          <w:szCs w:val="24"/>
        </w:rPr>
        <w:tab/>
      </w:r>
      <w:r>
        <w:rPr>
          <w:rFonts w:hint="eastAsia" w:ascii="宋体" w:cs="宋体"/>
          <w:color w:val="000000"/>
          <w:sz w:val="24"/>
          <w:szCs w:val="24"/>
        </w:rPr>
        <w:t>姓名和职务）代表投标方（投标单位名称）         ，提交投标文件。</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据此函，签字人同意如下：</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我们已详细审核全部招标文件，并严格按照招标文件要求编制投标书和履行一切必要手续；</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我们如中标后，严格履行招标规定的责任和义务，保证按时签订合同并于合同签字生效后立即开始依合同要求履行相关义务；</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如果中标签约后，我们有违反合同的行为，同意依照招标文件中关于罚则的规定进行处理；</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同意向贵方提供贵方可能另外要求的与投标有关的任何证据或资料；</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投标文件所提供的材料全部真实；</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不以不正当手段诋毁、排挤其他供应商；</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不与采购人、其他投标人、招标代理机构串通谋取中标；</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不向采购人、评委、招标代理机构行贿或提供不正当利益，中标后也不向采购人行贿；</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自觉遵守吉林市政府采购招投标有关工作纪律，不以任何方式干涉招标工作正常进行；</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愿意向贵方提供任何与该项投标有关的数据、情况和技术资料；</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本投标自开标之日起         天内有效。</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与本投标有关的正式通讯地址为：</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 xml:space="preserve">地址：                              </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 xml:space="preserve">邮编：                              </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 xml:space="preserve">电话：                              </w:t>
      </w:r>
    </w:p>
    <w:p>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传真：                               公章：</w:t>
      </w:r>
    </w:p>
    <w:p>
      <w:pPr>
        <w:tabs>
          <w:tab w:val="left" w:pos="630"/>
        </w:tabs>
        <w:spacing w:line="360" w:lineRule="auto"/>
        <w:ind w:firstLine="480" w:firstLineChars="200"/>
        <w:rPr>
          <w:u w:val="single"/>
        </w:rPr>
      </w:pPr>
      <w:r>
        <w:rPr>
          <w:rFonts w:hint="eastAsia" w:ascii="宋体" w:cs="宋体"/>
          <w:color w:val="000000"/>
          <w:sz w:val="24"/>
          <w:szCs w:val="24"/>
        </w:rPr>
        <w:t xml:space="preserve">投标单位代表姓名（签字或盖章）       日期：                                                       </w:t>
      </w:r>
      <w:bookmarkStart w:id="38" w:name="_Toc14230"/>
      <w:bookmarkStart w:id="39" w:name="_Toc428373490"/>
    </w:p>
    <w:p>
      <w:pPr>
        <w:rPr>
          <w:u w:val="single"/>
        </w:rPr>
      </w:pPr>
    </w:p>
    <w:p>
      <w:pPr>
        <w:rPr>
          <w:b/>
          <w:sz w:val="24"/>
        </w:rPr>
      </w:pPr>
      <w:r>
        <w:rPr>
          <w:rFonts w:hint="eastAsia" w:asciiTheme="majorEastAsia" w:hAnsiTheme="majorEastAsia" w:eastAsiaTheme="majorEastAsia"/>
          <w:b/>
          <w:sz w:val="28"/>
          <w:szCs w:val="28"/>
        </w:rPr>
        <w:t>2</w:t>
      </w:r>
      <w:r>
        <w:rPr>
          <w:rFonts w:hint="eastAsia"/>
          <w:b/>
          <w:sz w:val="24"/>
        </w:rPr>
        <w:t>、投标人基本情况一览表</w:t>
      </w:r>
    </w:p>
    <w:bookmarkEnd w:id="38"/>
    <w:bookmarkEnd w:id="39"/>
    <w:tbl>
      <w:tblPr>
        <w:tblStyle w:val="24"/>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3496"/>
        <w:gridCol w:w="4959"/>
      </w:tblGrid>
      <w:tr>
        <w:tblPrEx>
          <w:tblCellMar>
            <w:top w:w="0" w:type="dxa"/>
            <w:left w:w="108" w:type="dxa"/>
            <w:bottom w:w="0" w:type="dxa"/>
            <w:right w:w="108" w:type="dxa"/>
          </w:tblCellMar>
        </w:tblPrEx>
        <w:trPr>
          <w:trHeight w:val="799" w:hRule="atLeast"/>
        </w:trPr>
        <w:tc>
          <w:tcPr>
            <w:tcW w:w="8455" w:type="dxa"/>
            <w:gridSpan w:val="2"/>
            <w:tcBorders>
              <w:top w:val="nil"/>
              <w:left w:val="nil"/>
              <w:bottom w:val="nil"/>
              <w:right w:val="nil"/>
            </w:tcBorders>
            <w:noWrap/>
            <w:vAlign w:val="bottom"/>
          </w:tcPr>
          <w:p>
            <w:pPr>
              <w:rPr>
                <w:b/>
                <w:bCs/>
                <w:u w:val="single"/>
              </w:rPr>
            </w:pPr>
            <w:r>
              <w:rPr>
                <w:rFonts w:hint="eastAsia"/>
                <w:b/>
                <w:bCs/>
                <w:u w:val="single"/>
              </w:rPr>
              <w:t>单位名称：</w:t>
            </w:r>
            <w:r>
              <w:rPr>
                <w:rFonts w:hint="eastAsia"/>
                <w:b/>
                <w:u w:val="single"/>
              </w:rPr>
              <w:t xml:space="preserve">                                 （盖单位公章）</w:t>
            </w:r>
          </w:p>
        </w:tc>
      </w:tr>
      <w:tr>
        <w:tblPrEx>
          <w:tblCellMar>
            <w:top w:w="0" w:type="dxa"/>
            <w:left w:w="108" w:type="dxa"/>
            <w:bottom w:w="0" w:type="dxa"/>
            <w:right w:w="108" w:type="dxa"/>
          </w:tblCellMar>
        </w:tblPrEx>
        <w:trPr>
          <w:trHeight w:val="625" w:hRule="atLeast"/>
        </w:trPr>
        <w:tc>
          <w:tcPr>
            <w:tcW w:w="3496" w:type="dxa"/>
            <w:tcBorders>
              <w:top w:val="single" w:color="auto" w:sz="12" w:space="0"/>
              <w:left w:val="single" w:color="auto" w:sz="12" w:space="0"/>
              <w:bottom w:val="single" w:color="auto" w:sz="4" w:space="0"/>
              <w:right w:val="single" w:color="auto" w:sz="4" w:space="0"/>
            </w:tcBorders>
            <w:noWrap/>
            <w:vAlign w:val="center"/>
          </w:tcPr>
          <w:p>
            <w:pPr>
              <w:rPr>
                <w:b/>
                <w:bCs/>
                <w:u w:val="single"/>
              </w:rPr>
            </w:pPr>
            <w:r>
              <w:rPr>
                <w:rFonts w:hint="eastAsia"/>
                <w:b/>
                <w:bCs/>
                <w:u w:val="single"/>
              </w:rPr>
              <w:t>注册资金</w:t>
            </w:r>
          </w:p>
        </w:tc>
        <w:tc>
          <w:tcPr>
            <w:tcW w:w="4959" w:type="dxa"/>
            <w:tcBorders>
              <w:top w:val="single" w:color="auto" w:sz="12" w:space="0"/>
              <w:left w:val="nil"/>
              <w:bottom w:val="single" w:color="auto" w:sz="4" w:space="0"/>
              <w:right w:val="single" w:color="auto" w:sz="12" w:space="0"/>
            </w:tcBorders>
            <w:noWrap/>
            <w:vAlign w:val="center"/>
          </w:tcPr>
          <w:p>
            <w:pPr>
              <w:rPr>
                <w:b/>
                <w:u w:val="single"/>
              </w:rPr>
            </w:pPr>
            <w:r>
              <w:rPr>
                <w:rFonts w:hint="eastAsia"/>
                <w:b/>
                <w:u w:val="single"/>
              </w:rPr>
              <w:t>（万元）</w:t>
            </w:r>
          </w:p>
        </w:tc>
      </w:tr>
      <w:tr>
        <w:tblPrEx>
          <w:tblCellMar>
            <w:top w:w="0" w:type="dxa"/>
            <w:left w:w="108" w:type="dxa"/>
            <w:bottom w:w="0" w:type="dxa"/>
            <w:right w:w="108" w:type="dxa"/>
          </w:tblCellMar>
        </w:tblPrEx>
        <w:trPr>
          <w:trHeight w:val="670" w:hRule="atLeast"/>
        </w:trPr>
        <w:tc>
          <w:tcPr>
            <w:tcW w:w="3496" w:type="dxa"/>
            <w:tcBorders>
              <w:top w:val="single" w:color="auto" w:sz="12" w:space="0"/>
              <w:left w:val="single" w:color="auto" w:sz="12" w:space="0"/>
              <w:bottom w:val="single" w:color="auto" w:sz="4" w:space="0"/>
              <w:right w:val="single" w:color="auto" w:sz="4" w:space="0"/>
            </w:tcBorders>
            <w:noWrap/>
            <w:vAlign w:val="center"/>
          </w:tcPr>
          <w:p>
            <w:pPr>
              <w:rPr>
                <w:b/>
                <w:bCs/>
                <w:u w:val="single"/>
              </w:rPr>
            </w:pPr>
            <w:r>
              <w:rPr>
                <w:rFonts w:hint="eastAsia"/>
                <w:b/>
                <w:bCs/>
                <w:u w:val="single"/>
              </w:rPr>
              <w:t>行业类别</w:t>
            </w:r>
          </w:p>
          <w:p>
            <w:pPr>
              <w:rPr>
                <w:b/>
                <w:bCs/>
                <w:u w:val="single"/>
              </w:rPr>
            </w:pPr>
            <w:r>
              <w:rPr>
                <w:rFonts w:hint="eastAsia"/>
                <w:b/>
                <w:bCs/>
                <w:u w:val="single"/>
              </w:rPr>
              <w:t>（对应“□”画“√”）</w:t>
            </w:r>
          </w:p>
        </w:tc>
        <w:tc>
          <w:tcPr>
            <w:tcW w:w="4959" w:type="dxa"/>
            <w:tcBorders>
              <w:top w:val="single" w:color="auto" w:sz="12" w:space="0"/>
              <w:left w:val="nil"/>
              <w:bottom w:val="single" w:color="auto" w:sz="4" w:space="0"/>
              <w:right w:val="single" w:color="auto" w:sz="12" w:space="0"/>
            </w:tcBorders>
            <w:noWrap/>
            <w:vAlign w:val="bottom"/>
          </w:tcPr>
          <w:p>
            <w:pPr>
              <w:rPr>
                <w:b/>
                <w:u w:val="single"/>
              </w:rPr>
            </w:pPr>
            <w:r>
              <w:rPr>
                <w:rFonts w:hint="eastAsia"/>
                <w:b/>
                <w:u w:val="single"/>
              </w:rPr>
              <w:t xml:space="preserve">□（一）农、林、牧、渔业 </w:t>
            </w:r>
          </w:p>
          <w:p>
            <w:pPr>
              <w:rPr>
                <w:b/>
                <w:u w:val="single"/>
              </w:rPr>
            </w:pPr>
            <w:r>
              <w:rPr>
                <w:rFonts w:hint="eastAsia"/>
                <w:b/>
                <w:u w:val="single"/>
              </w:rPr>
              <w:t xml:space="preserve">□（二）工业 </w:t>
            </w:r>
          </w:p>
          <w:p>
            <w:pPr>
              <w:rPr>
                <w:b/>
                <w:u w:val="single"/>
              </w:rPr>
            </w:pPr>
            <w:r>
              <w:rPr>
                <w:rFonts w:hint="eastAsia"/>
                <w:b/>
                <w:u w:val="single"/>
              </w:rPr>
              <w:t xml:space="preserve">□（三）建筑业 </w:t>
            </w:r>
          </w:p>
          <w:p>
            <w:pPr>
              <w:rPr>
                <w:b/>
                <w:u w:val="single"/>
              </w:rPr>
            </w:pPr>
            <w:r>
              <w:rPr>
                <w:rFonts w:hint="eastAsia"/>
                <w:b/>
                <w:u w:val="single"/>
              </w:rPr>
              <w:t xml:space="preserve">□（四）批发业 </w:t>
            </w:r>
          </w:p>
          <w:p>
            <w:pPr>
              <w:rPr>
                <w:b/>
                <w:u w:val="single"/>
              </w:rPr>
            </w:pPr>
            <w:r>
              <w:rPr>
                <w:rFonts w:hint="eastAsia"/>
                <w:b/>
                <w:u w:val="single"/>
              </w:rPr>
              <w:t xml:space="preserve">□（五）零售业 </w:t>
            </w:r>
          </w:p>
          <w:p>
            <w:pPr>
              <w:rPr>
                <w:b/>
                <w:u w:val="single"/>
              </w:rPr>
            </w:pPr>
            <w:r>
              <w:rPr>
                <w:rFonts w:hint="eastAsia"/>
                <w:b/>
                <w:u w:val="single"/>
              </w:rPr>
              <w:t xml:space="preserve">□（六）交通运输业 </w:t>
            </w:r>
          </w:p>
          <w:p>
            <w:pPr>
              <w:rPr>
                <w:b/>
                <w:u w:val="single"/>
              </w:rPr>
            </w:pPr>
            <w:r>
              <w:rPr>
                <w:rFonts w:hint="eastAsia"/>
                <w:b/>
                <w:u w:val="single"/>
              </w:rPr>
              <w:t xml:space="preserve">□（七）仓储业 </w:t>
            </w:r>
          </w:p>
          <w:p>
            <w:pPr>
              <w:rPr>
                <w:b/>
                <w:u w:val="single"/>
              </w:rPr>
            </w:pPr>
            <w:r>
              <w:rPr>
                <w:rFonts w:hint="eastAsia"/>
                <w:b/>
                <w:u w:val="single"/>
              </w:rPr>
              <w:t xml:space="preserve">□（八）邮政业 </w:t>
            </w:r>
          </w:p>
          <w:p>
            <w:pPr>
              <w:rPr>
                <w:b/>
                <w:u w:val="single"/>
              </w:rPr>
            </w:pPr>
            <w:r>
              <w:rPr>
                <w:rFonts w:hint="eastAsia"/>
                <w:b/>
                <w:u w:val="single"/>
              </w:rPr>
              <w:t xml:space="preserve">□（九）住宿业 </w:t>
            </w:r>
          </w:p>
          <w:p>
            <w:pPr>
              <w:rPr>
                <w:b/>
                <w:u w:val="single"/>
              </w:rPr>
            </w:pPr>
            <w:r>
              <w:rPr>
                <w:rFonts w:hint="eastAsia"/>
                <w:b/>
                <w:u w:val="single"/>
              </w:rPr>
              <w:t xml:space="preserve">□（十）餐饮业 </w:t>
            </w:r>
          </w:p>
          <w:p>
            <w:pPr>
              <w:rPr>
                <w:b/>
                <w:u w:val="single"/>
              </w:rPr>
            </w:pPr>
            <w:r>
              <w:rPr>
                <w:rFonts w:hint="eastAsia"/>
                <w:b/>
                <w:u w:val="single"/>
              </w:rPr>
              <w:t xml:space="preserve">□（十一）信息传输业 </w:t>
            </w:r>
          </w:p>
          <w:p>
            <w:pPr>
              <w:rPr>
                <w:b/>
                <w:u w:val="single"/>
              </w:rPr>
            </w:pPr>
            <w:r>
              <w:rPr>
                <w:rFonts w:hint="eastAsia"/>
                <w:b/>
                <w:u w:val="single"/>
              </w:rPr>
              <w:t xml:space="preserve">□（十二）软件和信息信息技术服务业 </w:t>
            </w:r>
          </w:p>
          <w:p>
            <w:pPr>
              <w:rPr>
                <w:b/>
                <w:u w:val="single"/>
              </w:rPr>
            </w:pPr>
            <w:r>
              <w:rPr>
                <w:rFonts w:hint="eastAsia"/>
                <w:b/>
                <w:u w:val="single"/>
              </w:rPr>
              <w:t xml:space="preserve">□（十三）房地产开发经营 </w:t>
            </w:r>
          </w:p>
          <w:p>
            <w:pPr>
              <w:rPr>
                <w:b/>
                <w:u w:val="single"/>
              </w:rPr>
            </w:pPr>
            <w:r>
              <w:rPr>
                <w:rFonts w:hint="eastAsia"/>
                <w:b/>
                <w:u w:val="single"/>
              </w:rPr>
              <w:t xml:space="preserve">□（十四）物业管理 </w:t>
            </w:r>
          </w:p>
          <w:p>
            <w:pPr>
              <w:rPr>
                <w:b/>
                <w:u w:val="single"/>
              </w:rPr>
            </w:pPr>
            <w:r>
              <w:rPr>
                <w:rFonts w:hint="eastAsia"/>
                <w:b/>
                <w:u w:val="single"/>
              </w:rPr>
              <w:t xml:space="preserve">□（十五）租赁和商务服务业 </w:t>
            </w:r>
          </w:p>
          <w:p>
            <w:pPr>
              <w:rPr>
                <w:b/>
                <w:u w:val="single"/>
              </w:rPr>
            </w:pPr>
            <w:r>
              <w:rPr>
                <w:rFonts w:hint="eastAsia"/>
                <w:b/>
                <w:u w:val="single"/>
              </w:rPr>
              <w:t>□（十六）其他未列明行业</w:t>
            </w:r>
          </w:p>
        </w:tc>
      </w:tr>
      <w:tr>
        <w:tblPrEx>
          <w:tblCellMar>
            <w:top w:w="0" w:type="dxa"/>
            <w:left w:w="108" w:type="dxa"/>
            <w:bottom w:w="0" w:type="dxa"/>
            <w:right w:w="108" w:type="dxa"/>
          </w:tblCellMar>
        </w:tblPrEx>
        <w:trPr>
          <w:trHeight w:val="647" w:hRule="atLeast"/>
        </w:trPr>
        <w:tc>
          <w:tcPr>
            <w:tcW w:w="3496" w:type="dxa"/>
            <w:tcBorders>
              <w:top w:val="nil"/>
              <w:left w:val="single" w:color="auto" w:sz="12" w:space="0"/>
              <w:bottom w:val="single" w:color="auto" w:sz="4" w:space="0"/>
              <w:right w:val="single" w:color="auto" w:sz="4" w:space="0"/>
            </w:tcBorders>
            <w:noWrap/>
            <w:vAlign w:val="center"/>
          </w:tcPr>
          <w:p>
            <w:pPr>
              <w:rPr>
                <w:b/>
                <w:bCs/>
                <w:u w:val="single"/>
              </w:rPr>
            </w:pPr>
            <w:r>
              <w:rPr>
                <w:rFonts w:hint="eastAsia"/>
                <w:b/>
                <w:bCs/>
                <w:u w:val="single"/>
              </w:rPr>
              <w:t>职工人数</w:t>
            </w:r>
          </w:p>
        </w:tc>
        <w:tc>
          <w:tcPr>
            <w:tcW w:w="4959" w:type="dxa"/>
            <w:tcBorders>
              <w:top w:val="nil"/>
              <w:left w:val="nil"/>
              <w:bottom w:val="single" w:color="auto" w:sz="4" w:space="0"/>
              <w:right w:val="single" w:color="auto" w:sz="12" w:space="0"/>
            </w:tcBorders>
            <w:noWrap/>
            <w:vAlign w:val="center"/>
          </w:tcPr>
          <w:p>
            <w:pPr>
              <w:rPr>
                <w:b/>
                <w:u w:val="single"/>
              </w:rPr>
            </w:pPr>
            <w:r>
              <w:rPr>
                <w:rFonts w:hint="eastAsia"/>
                <w:b/>
                <w:u w:val="single"/>
              </w:rPr>
              <w:t>（人）</w:t>
            </w:r>
          </w:p>
        </w:tc>
      </w:tr>
      <w:tr>
        <w:tblPrEx>
          <w:tblCellMar>
            <w:top w:w="0" w:type="dxa"/>
            <w:left w:w="108" w:type="dxa"/>
            <w:bottom w:w="0" w:type="dxa"/>
            <w:right w:w="108" w:type="dxa"/>
          </w:tblCellMar>
        </w:tblPrEx>
        <w:trPr>
          <w:trHeight w:val="594" w:hRule="atLeast"/>
        </w:trPr>
        <w:tc>
          <w:tcPr>
            <w:tcW w:w="3496" w:type="dxa"/>
            <w:tcBorders>
              <w:top w:val="nil"/>
              <w:left w:val="single" w:color="auto" w:sz="12" w:space="0"/>
              <w:bottom w:val="single" w:color="auto" w:sz="4" w:space="0"/>
              <w:right w:val="single" w:color="auto" w:sz="4" w:space="0"/>
            </w:tcBorders>
            <w:noWrap/>
            <w:vAlign w:val="center"/>
          </w:tcPr>
          <w:p>
            <w:pPr>
              <w:rPr>
                <w:b/>
                <w:bCs/>
                <w:u w:val="single"/>
              </w:rPr>
            </w:pPr>
            <w:r>
              <w:rPr>
                <w:rFonts w:hint="eastAsia"/>
                <w:b/>
                <w:bCs/>
                <w:u w:val="single"/>
              </w:rPr>
              <w:t>专业技术人员人数</w:t>
            </w:r>
          </w:p>
        </w:tc>
        <w:tc>
          <w:tcPr>
            <w:tcW w:w="4959" w:type="dxa"/>
            <w:tcBorders>
              <w:top w:val="nil"/>
              <w:left w:val="nil"/>
              <w:bottom w:val="single" w:color="auto" w:sz="4" w:space="0"/>
              <w:right w:val="single" w:color="auto" w:sz="12" w:space="0"/>
            </w:tcBorders>
            <w:noWrap/>
            <w:vAlign w:val="center"/>
          </w:tcPr>
          <w:p>
            <w:pPr>
              <w:rPr>
                <w:b/>
                <w:u w:val="single"/>
              </w:rPr>
            </w:pPr>
            <w:r>
              <w:rPr>
                <w:rFonts w:hint="eastAsia"/>
                <w:b/>
                <w:u w:val="single"/>
              </w:rPr>
              <w:t>（人）</w:t>
            </w:r>
          </w:p>
        </w:tc>
      </w:tr>
      <w:tr>
        <w:tblPrEx>
          <w:tblCellMar>
            <w:top w:w="0" w:type="dxa"/>
            <w:left w:w="108" w:type="dxa"/>
            <w:bottom w:w="0" w:type="dxa"/>
            <w:right w:w="108" w:type="dxa"/>
          </w:tblCellMar>
        </w:tblPrEx>
        <w:trPr>
          <w:trHeight w:val="647" w:hRule="atLeast"/>
        </w:trPr>
        <w:tc>
          <w:tcPr>
            <w:tcW w:w="3496" w:type="dxa"/>
            <w:tcBorders>
              <w:top w:val="nil"/>
              <w:left w:val="single" w:color="auto" w:sz="12" w:space="0"/>
              <w:bottom w:val="single" w:color="auto" w:sz="4" w:space="0"/>
              <w:right w:val="single" w:color="auto" w:sz="4" w:space="0"/>
            </w:tcBorders>
            <w:noWrap/>
            <w:vAlign w:val="center"/>
          </w:tcPr>
          <w:p>
            <w:pPr>
              <w:rPr>
                <w:b/>
                <w:bCs/>
                <w:u w:val="single"/>
              </w:rPr>
            </w:pPr>
            <w:r>
              <w:rPr>
                <w:rFonts w:hint="eastAsia"/>
                <w:b/>
                <w:bCs/>
                <w:u w:val="single"/>
              </w:rPr>
              <w:t>上年度营业收入</w:t>
            </w:r>
          </w:p>
        </w:tc>
        <w:tc>
          <w:tcPr>
            <w:tcW w:w="4959" w:type="dxa"/>
            <w:tcBorders>
              <w:top w:val="nil"/>
              <w:left w:val="nil"/>
              <w:bottom w:val="single" w:color="auto" w:sz="4" w:space="0"/>
              <w:right w:val="single" w:color="auto" w:sz="12" w:space="0"/>
            </w:tcBorders>
            <w:noWrap/>
            <w:vAlign w:val="center"/>
          </w:tcPr>
          <w:p>
            <w:pPr>
              <w:rPr>
                <w:b/>
                <w:u w:val="single"/>
              </w:rPr>
            </w:pPr>
            <w:r>
              <w:rPr>
                <w:rFonts w:hint="eastAsia"/>
                <w:b/>
                <w:u w:val="single"/>
              </w:rPr>
              <w:t>（万元）</w:t>
            </w:r>
          </w:p>
        </w:tc>
      </w:tr>
      <w:tr>
        <w:tblPrEx>
          <w:tblCellMar>
            <w:top w:w="0" w:type="dxa"/>
            <w:left w:w="108" w:type="dxa"/>
            <w:bottom w:w="0" w:type="dxa"/>
            <w:right w:w="108" w:type="dxa"/>
          </w:tblCellMar>
        </w:tblPrEx>
        <w:trPr>
          <w:trHeight w:val="697" w:hRule="atLeast"/>
        </w:trPr>
        <w:tc>
          <w:tcPr>
            <w:tcW w:w="3496" w:type="dxa"/>
            <w:tcBorders>
              <w:top w:val="nil"/>
              <w:left w:val="single" w:color="auto" w:sz="12" w:space="0"/>
              <w:bottom w:val="nil"/>
              <w:right w:val="single" w:color="auto" w:sz="4" w:space="0"/>
            </w:tcBorders>
            <w:noWrap/>
            <w:vAlign w:val="center"/>
          </w:tcPr>
          <w:p>
            <w:pPr>
              <w:rPr>
                <w:b/>
                <w:bCs/>
                <w:u w:val="single"/>
              </w:rPr>
            </w:pPr>
            <w:r>
              <w:rPr>
                <w:rFonts w:hint="eastAsia"/>
                <w:b/>
                <w:bCs/>
                <w:u w:val="single"/>
              </w:rPr>
              <w:t>社会保障资金情况</w:t>
            </w:r>
          </w:p>
        </w:tc>
        <w:tc>
          <w:tcPr>
            <w:tcW w:w="4959" w:type="dxa"/>
            <w:tcBorders>
              <w:top w:val="nil"/>
              <w:left w:val="nil"/>
              <w:bottom w:val="nil"/>
              <w:right w:val="single" w:color="auto" w:sz="12" w:space="0"/>
            </w:tcBorders>
            <w:noWrap/>
            <w:vAlign w:val="center"/>
          </w:tcPr>
          <w:p>
            <w:pPr>
              <w:rPr>
                <w:b/>
                <w:u w:val="single"/>
              </w:rPr>
            </w:pPr>
            <w:r>
              <w:rPr>
                <w:rFonts w:hint="eastAsia"/>
                <w:b/>
                <w:u w:val="single"/>
              </w:rPr>
              <w:t>附缴费证明复印件</w:t>
            </w:r>
          </w:p>
        </w:tc>
      </w:tr>
      <w:tr>
        <w:tblPrEx>
          <w:tblCellMar>
            <w:top w:w="0" w:type="dxa"/>
            <w:left w:w="108" w:type="dxa"/>
            <w:bottom w:w="0" w:type="dxa"/>
            <w:right w:w="108" w:type="dxa"/>
          </w:tblCellMar>
        </w:tblPrEx>
        <w:trPr>
          <w:trHeight w:val="647" w:hRule="atLeast"/>
        </w:trPr>
        <w:tc>
          <w:tcPr>
            <w:tcW w:w="3496" w:type="dxa"/>
            <w:tcBorders>
              <w:top w:val="single" w:color="auto" w:sz="4" w:space="0"/>
              <w:left w:val="single" w:color="auto" w:sz="12" w:space="0"/>
              <w:bottom w:val="nil"/>
              <w:right w:val="single" w:color="auto" w:sz="4" w:space="0"/>
            </w:tcBorders>
            <w:noWrap/>
            <w:vAlign w:val="center"/>
          </w:tcPr>
          <w:p>
            <w:pPr>
              <w:rPr>
                <w:b/>
                <w:bCs/>
                <w:u w:val="single"/>
              </w:rPr>
            </w:pPr>
            <w:r>
              <w:rPr>
                <w:rFonts w:hint="eastAsia"/>
                <w:b/>
                <w:bCs/>
                <w:u w:val="single"/>
              </w:rPr>
              <w:t>缴税情况</w:t>
            </w:r>
          </w:p>
        </w:tc>
        <w:tc>
          <w:tcPr>
            <w:tcW w:w="4959" w:type="dxa"/>
            <w:tcBorders>
              <w:top w:val="single" w:color="auto" w:sz="4" w:space="0"/>
              <w:left w:val="nil"/>
              <w:bottom w:val="nil"/>
              <w:right w:val="single" w:color="auto" w:sz="12" w:space="0"/>
            </w:tcBorders>
            <w:noWrap/>
            <w:vAlign w:val="center"/>
          </w:tcPr>
          <w:p>
            <w:pPr>
              <w:rPr>
                <w:b/>
                <w:u w:val="single"/>
              </w:rPr>
            </w:pPr>
            <w:r>
              <w:rPr>
                <w:rFonts w:hint="eastAsia"/>
                <w:b/>
                <w:u w:val="single"/>
              </w:rPr>
              <w:t xml:space="preserve"> 有/无（有，附近期的缴费证明复印件）</w:t>
            </w:r>
          </w:p>
        </w:tc>
      </w:tr>
      <w:tr>
        <w:tblPrEx>
          <w:tblCellMar>
            <w:top w:w="0" w:type="dxa"/>
            <w:left w:w="108" w:type="dxa"/>
            <w:bottom w:w="0" w:type="dxa"/>
            <w:right w:w="108" w:type="dxa"/>
          </w:tblCellMar>
        </w:tblPrEx>
        <w:trPr>
          <w:trHeight w:val="670" w:hRule="atLeast"/>
        </w:trPr>
        <w:tc>
          <w:tcPr>
            <w:tcW w:w="3496" w:type="dxa"/>
            <w:tcBorders>
              <w:top w:val="single" w:color="auto" w:sz="4" w:space="0"/>
              <w:left w:val="single" w:color="auto" w:sz="12" w:space="0"/>
              <w:bottom w:val="single" w:color="auto" w:sz="12" w:space="0"/>
              <w:right w:val="single" w:color="auto" w:sz="4" w:space="0"/>
            </w:tcBorders>
            <w:noWrap/>
            <w:vAlign w:val="center"/>
          </w:tcPr>
          <w:p>
            <w:pPr>
              <w:rPr>
                <w:b/>
                <w:bCs/>
                <w:u w:val="single"/>
              </w:rPr>
            </w:pPr>
            <w:r>
              <w:rPr>
                <w:rFonts w:hint="eastAsia"/>
                <w:b/>
                <w:bCs/>
                <w:u w:val="single"/>
              </w:rPr>
              <w:t>上年利润</w:t>
            </w:r>
          </w:p>
        </w:tc>
        <w:tc>
          <w:tcPr>
            <w:tcW w:w="4959" w:type="dxa"/>
            <w:tcBorders>
              <w:top w:val="single" w:color="auto" w:sz="4" w:space="0"/>
              <w:left w:val="nil"/>
              <w:bottom w:val="single" w:color="auto" w:sz="12" w:space="0"/>
              <w:right w:val="single" w:color="auto" w:sz="12" w:space="0"/>
            </w:tcBorders>
            <w:noWrap/>
            <w:vAlign w:val="center"/>
          </w:tcPr>
          <w:p>
            <w:pPr>
              <w:rPr>
                <w:b/>
                <w:u w:val="single"/>
              </w:rPr>
            </w:pPr>
            <w:r>
              <w:rPr>
                <w:rFonts w:hint="eastAsia"/>
                <w:b/>
                <w:u w:val="single"/>
              </w:rPr>
              <w:t>（万元）</w:t>
            </w:r>
          </w:p>
        </w:tc>
      </w:tr>
    </w:tbl>
    <w:p>
      <w:pPr>
        <w:rPr>
          <w:b/>
          <w:u w:val="single"/>
        </w:rPr>
      </w:pPr>
      <w:r>
        <w:rPr>
          <w:rFonts w:hint="eastAsia"/>
          <w:b/>
          <w:u w:val="single"/>
        </w:rPr>
        <w:t>后附：营业执照副本等相关证件。</w:t>
      </w:r>
    </w:p>
    <w:p>
      <w:pPr>
        <w:rPr>
          <w:b/>
          <w:u w:val="single"/>
        </w:rPr>
      </w:pPr>
    </w:p>
    <w:p>
      <w:pPr>
        <w:rPr>
          <w:b/>
          <w:u w:val="single"/>
        </w:rPr>
      </w:pPr>
      <w:r>
        <w:rPr>
          <w:rFonts w:hint="eastAsia"/>
          <w:b/>
          <w:u w:val="single"/>
        </w:rPr>
        <w:t>投  标  人：                                 （盖单位公章）</w:t>
      </w:r>
    </w:p>
    <w:p>
      <w:pPr>
        <w:rPr>
          <w:b/>
          <w:u w:val="single"/>
        </w:rPr>
      </w:pPr>
      <w:r>
        <w:rPr>
          <w:rFonts w:hint="eastAsia"/>
          <w:b/>
          <w:bCs/>
          <w:u w:val="single"/>
        </w:rPr>
        <w:t>法定代表人或委托代理人</w:t>
      </w:r>
      <w:r>
        <w:rPr>
          <w:rFonts w:hint="eastAsia"/>
          <w:b/>
          <w:u w:val="single"/>
        </w:rPr>
        <w:t>：                     （签字或签章）</w:t>
      </w:r>
    </w:p>
    <w:p>
      <w:pPr>
        <w:rPr>
          <w:b/>
          <w:u w:val="single"/>
        </w:rPr>
      </w:pPr>
      <w:r>
        <w:rPr>
          <w:rFonts w:hint="eastAsia"/>
          <w:b/>
          <w:u w:val="single"/>
        </w:rPr>
        <w:t>日      期：        年      月      日</w:t>
      </w:r>
    </w:p>
    <w:p>
      <w:pPr>
        <w:rPr>
          <w:rFonts w:ascii="宋体" w:cs="宋体"/>
          <w:color w:val="000000"/>
          <w:szCs w:val="28"/>
        </w:rPr>
      </w:pPr>
      <w:r>
        <w:rPr>
          <w:rFonts w:hint="eastAsia" w:ascii="宋体" w:cs="宋体"/>
          <w:color w:val="000000"/>
        </w:rPr>
        <w:br w:type="page"/>
      </w:r>
      <w:bookmarkStart w:id="40" w:name="_Toc18960"/>
      <w:bookmarkStart w:id="41" w:name="_Toc393314058"/>
      <w:r>
        <w:rPr>
          <w:rFonts w:hint="eastAsia" w:asciiTheme="majorEastAsia" w:hAnsiTheme="majorEastAsia" w:eastAsiaTheme="majorEastAsia"/>
          <w:b/>
          <w:sz w:val="28"/>
          <w:szCs w:val="28"/>
        </w:rPr>
        <w:t>3</w:t>
      </w:r>
      <w:r>
        <w:rPr>
          <w:rFonts w:hint="eastAsia"/>
          <w:b/>
          <w:sz w:val="24"/>
        </w:rPr>
        <w:t>、法定代表人身份证明</w:t>
      </w:r>
      <w:bookmarkEnd w:id="40"/>
      <w:bookmarkEnd w:id="41"/>
    </w:p>
    <w:p>
      <w:pPr>
        <w:spacing w:line="500" w:lineRule="exact"/>
        <w:rPr>
          <w:rFonts w:ascii="宋体" w:cs="宋体"/>
          <w:color w:val="000000"/>
          <w:szCs w:val="21"/>
        </w:rPr>
      </w:pPr>
    </w:p>
    <w:p>
      <w:pPr>
        <w:spacing w:line="500" w:lineRule="exact"/>
        <w:rPr>
          <w:rFonts w:ascii="宋体" w:cs="宋体"/>
          <w:color w:val="000000"/>
          <w:szCs w:val="21"/>
        </w:rPr>
      </w:pPr>
      <w:r>
        <w:rPr>
          <w:rFonts w:hint="eastAsia" w:ascii="宋体" w:cs="宋体"/>
          <w:color w:val="000000"/>
          <w:szCs w:val="21"/>
        </w:rPr>
        <w:t>投 标 人：</w:t>
      </w:r>
    </w:p>
    <w:p>
      <w:pPr>
        <w:spacing w:line="500" w:lineRule="exact"/>
        <w:rPr>
          <w:rFonts w:ascii="宋体" w:cs="宋体"/>
          <w:color w:val="000000"/>
          <w:szCs w:val="21"/>
        </w:rPr>
      </w:pPr>
      <w:r>
        <w:rPr>
          <w:rFonts w:hint="eastAsia" w:ascii="宋体" w:cs="宋体"/>
          <w:color w:val="000000"/>
          <w:szCs w:val="21"/>
        </w:rPr>
        <w:t>单位性质：</w:t>
      </w:r>
    </w:p>
    <w:p>
      <w:pPr>
        <w:spacing w:line="500" w:lineRule="exact"/>
        <w:rPr>
          <w:rFonts w:ascii="宋体" w:cs="宋体"/>
          <w:color w:val="000000"/>
          <w:szCs w:val="21"/>
        </w:rPr>
      </w:pPr>
      <w:r>
        <w:rPr>
          <w:rFonts w:hint="eastAsia" w:ascii="宋体" w:cs="宋体"/>
          <w:color w:val="000000"/>
          <w:szCs w:val="21"/>
        </w:rPr>
        <w:t>地    址：</w:t>
      </w:r>
    </w:p>
    <w:p>
      <w:pPr>
        <w:spacing w:line="500" w:lineRule="exact"/>
        <w:rPr>
          <w:rFonts w:ascii="宋体" w:cs="宋体"/>
          <w:color w:val="000000"/>
          <w:szCs w:val="21"/>
        </w:rPr>
      </w:pPr>
      <w:r>
        <w:rPr>
          <w:rFonts w:hint="eastAsia" w:ascii="宋体" w:cs="宋体"/>
          <w:color w:val="000000"/>
          <w:szCs w:val="21"/>
        </w:rPr>
        <w:t>成立时间：年月日</w:t>
      </w:r>
    </w:p>
    <w:p>
      <w:pPr>
        <w:spacing w:line="500" w:lineRule="exact"/>
        <w:rPr>
          <w:rFonts w:ascii="宋体" w:cs="宋体"/>
          <w:color w:val="000000"/>
          <w:szCs w:val="21"/>
        </w:rPr>
      </w:pPr>
      <w:r>
        <w:rPr>
          <w:rFonts w:hint="eastAsia" w:ascii="宋体" w:cs="宋体"/>
          <w:color w:val="000000"/>
          <w:szCs w:val="21"/>
        </w:rPr>
        <w:t>经营期限：</w:t>
      </w:r>
    </w:p>
    <w:p>
      <w:pPr>
        <w:spacing w:line="500" w:lineRule="exact"/>
        <w:rPr>
          <w:rFonts w:ascii="宋体" w:cs="宋体"/>
          <w:color w:val="000000"/>
          <w:szCs w:val="21"/>
        </w:rPr>
      </w:pPr>
      <w:r>
        <w:rPr>
          <w:rFonts w:hint="eastAsia" w:ascii="宋体" w:cs="宋体"/>
          <w:color w:val="000000"/>
          <w:szCs w:val="21"/>
        </w:rPr>
        <w:t>姓    名：性        别：</w:t>
      </w:r>
    </w:p>
    <w:p>
      <w:pPr>
        <w:spacing w:line="500" w:lineRule="exact"/>
        <w:rPr>
          <w:rFonts w:ascii="宋体" w:cs="宋体"/>
          <w:color w:val="000000"/>
          <w:szCs w:val="21"/>
        </w:rPr>
      </w:pPr>
      <w:r>
        <w:rPr>
          <w:rFonts w:hint="eastAsia" w:ascii="宋体" w:cs="宋体"/>
          <w:color w:val="000000"/>
          <w:szCs w:val="21"/>
        </w:rPr>
        <w:t>年    龄：职        务：</w:t>
      </w:r>
    </w:p>
    <w:p>
      <w:pPr>
        <w:spacing w:line="500" w:lineRule="exact"/>
        <w:rPr>
          <w:rFonts w:ascii="宋体" w:cs="宋体"/>
          <w:color w:val="000000"/>
          <w:szCs w:val="21"/>
        </w:rPr>
      </w:pPr>
      <w:r>
        <w:rPr>
          <w:rFonts w:hint="eastAsia" w:ascii="宋体" w:cs="宋体"/>
          <w:color w:val="000000"/>
          <w:szCs w:val="21"/>
        </w:rPr>
        <w:t>系（投标人名称）的法定代表人。</w:t>
      </w:r>
    </w:p>
    <w:p>
      <w:pPr>
        <w:spacing w:line="500" w:lineRule="exact"/>
        <w:rPr>
          <w:rFonts w:ascii="宋体" w:cs="宋体"/>
          <w:color w:val="000000"/>
          <w:szCs w:val="21"/>
        </w:rPr>
      </w:pPr>
      <w:r>
        <w:rPr>
          <w:rFonts w:hint="eastAsia" w:ascii="宋体" w:cs="宋体"/>
          <w:color w:val="000000"/>
          <w:szCs w:val="21"/>
        </w:rPr>
        <w:t>特此证明。</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751" w:type="dxa"/>
            <w:tcBorders>
              <w:top w:val="single" w:color="auto" w:sz="4" w:space="0"/>
              <w:left w:val="single" w:color="auto" w:sz="4" w:space="0"/>
              <w:bottom w:val="single" w:color="auto" w:sz="4" w:space="0"/>
              <w:right w:val="single" w:color="auto" w:sz="4" w:space="0"/>
            </w:tcBorders>
            <w:noWrap/>
          </w:tcPr>
          <w:p>
            <w:pPr>
              <w:spacing w:line="480" w:lineRule="auto"/>
              <w:jc w:val="center"/>
              <w:rPr>
                <w:rFonts w:ascii="宋体" w:cs="宋体"/>
                <w:color w:val="000000"/>
              </w:rPr>
            </w:pPr>
          </w:p>
          <w:p>
            <w:pPr>
              <w:spacing w:line="480" w:lineRule="auto"/>
              <w:jc w:val="left"/>
              <w:rPr>
                <w:rFonts w:ascii="宋体" w:cs="宋体"/>
                <w:color w:val="000000"/>
              </w:rPr>
            </w:pPr>
            <w:r>
              <w:rPr>
                <w:rFonts w:hint="eastAsia" w:ascii="宋体" w:cs="宋体"/>
                <w:color w:val="000000"/>
              </w:rPr>
              <w:t>附：法定代表人身份证复印件</w:t>
            </w:r>
          </w:p>
        </w:tc>
      </w:tr>
    </w:tbl>
    <w:p>
      <w:pPr>
        <w:wordWrap w:val="0"/>
        <w:spacing w:line="500" w:lineRule="exact"/>
        <w:ind w:right="840"/>
        <w:jc w:val="center"/>
        <w:rPr>
          <w:rFonts w:ascii="宋体" w:cs="宋体"/>
          <w:color w:val="000000"/>
          <w:szCs w:val="21"/>
        </w:rPr>
      </w:pPr>
      <w:r>
        <w:rPr>
          <w:rFonts w:hint="eastAsia" w:ascii="宋体" w:cs="宋体"/>
          <w:color w:val="000000"/>
          <w:szCs w:val="21"/>
        </w:rPr>
        <w:t xml:space="preserve">                                                      投标人：（盖单位章）</w:t>
      </w:r>
    </w:p>
    <w:p>
      <w:pPr>
        <w:wordWrap w:val="0"/>
        <w:spacing w:line="500" w:lineRule="exact"/>
        <w:jc w:val="right"/>
        <w:rPr>
          <w:rFonts w:ascii="宋体" w:cs="宋体"/>
          <w:color w:val="000000"/>
          <w:szCs w:val="21"/>
        </w:rPr>
      </w:pPr>
      <w:r>
        <w:rPr>
          <w:rFonts w:hint="eastAsia" w:ascii="宋体" w:cs="宋体"/>
          <w:color w:val="000000"/>
          <w:szCs w:val="21"/>
        </w:rPr>
        <w:t>法定代表人：</w:t>
      </w:r>
      <w:r>
        <w:rPr>
          <w:rFonts w:hint="eastAsia" w:ascii="宋体" w:cs="宋体"/>
          <w:color w:val="000000"/>
          <w:szCs w:val="21"/>
          <w:u w:val="single"/>
        </w:rPr>
        <w:t xml:space="preserve">               </w:t>
      </w:r>
      <w:r>
        <w:rPr>
          <w:rFonts w:hint="eastAsia" w:ascii="宋体" w:cs="宋体"/>
          <w:color w:val="000000"/>
          <w:szCs w:val="21"/>
        </w:rPr>
        <w:t>（签字）</w:t>
      </w:r>
    </w:p>
    <w:p>
      <w:pPr>
        <w:wordWrap w:val="0"/>
        <w:spacing w:line="500" w:lineRule="exact"/>
        <w:jc w:val="right"/>
        <w:rPr>
          <w:rFonts w:ascii="宋体" w:cs="宋体"/>
          <w:color w:val="000000"/>
          <w:szCs w:val="21"/>
        </w:rPr>
      </w:pPr>
      <w:r>
        <w:rPr>
          <w:rFonts w:hint="eastAsia" w:ascii="宋体" w:cs="宋体"/>
          <w:color w:val="000000"/>
          <w:szCs w:val="21"/>
        </w:rPr>
        <w:t xml:space="preserve">年   月   日 </w:t>
      </w:r>
    </w:p>
    <w:p>
      <w:pPr>
        <w:rPr>
          <w:rFonts w:ascii="宋体" w:cs="宋体"/>
          <w:color w:val="000000"/>
        </w:rPr>
      </w:pPr>
      <w:r>
        <w:rPr>
          <w:rStyle w:val="38"/>
          <w:rFonts w:hint="eastAsia" w:cs="宋体"/>
          <w:color w:val="000000"/>
        </w:rPr>
        <w:br w:type="page"/>
      </w:r>
      <w:bookmarkStart w:id="42" w:name="_Toc13127"/>
      <w:r>
        <w:rPr>
          <w:rFonts w:hint="eastAsia" w:asciiTheme="majorEastAsia" w:hAnsiTheme="majorEastAsia" w:eastAsiaTheme="majorEastAsia"/>
          <w:b/>
          <w:sz w:val="28"/>
          <w:szCs w:val="28"/>
        </w:rPr>
        <w:t>4</w:t>
      </w:r>
      <w:r>
        <w:rPr>
          <w:rFonts w:hint="eastAsia"/>
          <w:b/>
          <w:sz w:val="24"/>
        </w:rPr>
        <w:t>、授权委托书</w:t>
      </w:r>
      <w:bookmarkEnd w:id="42"/>
    </w:p>
    <w:p>
      <w:pPr>
        <w:spacing w:line="420" w:lineRule="exact"/>
        <w:rPr>
          <w:rFonts w:ascii="宋体" w:cs="宋体"/>
          <w:b/>
          <w:color w:val="000000"/>
          <w:sz w:val="28"/>
          <w:szCs w:val="28"/>
        </w:rPr>
      </w:pPr>
    </w:p>
    <w:p>
      <w:pPr>
        <w:spacing w:line="480" w:lineRule="auto"/>
        <w:ind w:firstLine="411" w:firstLineChars="196"/>
        <w:rPr>
          <w:rFonts w:ascii="宋体" w:cs="宋体"/>
          <w:color w:val="000000"/>
        </w:rPr>
      </w:pPr>
      <w:r>
        <w:rPr>
          <w:rFonts w:hint="eastAsia" w:ascii="宋体" w:cs="宋体"/>
          <w:color w:val="000000"/>
        </w:rPr>
        <w:t xml:space="preserve"> 本人（姓名）系（投标人名称）的法定代表人，现委托（姓名）为我方代理人。代理人根据授权，以我方名义签署、澄清、说明、补正、递交、撤回、修改</w:t>
      </w:r>
    </w:p>
    <w:p>
      <w:pPr>
        <w:spacing w:line="480" w:lineRule="auto"/>
        <w:rPr>
          <w:rFonts w:ascii="宋体" w:cs="宋体"/>
          <w:color w:val="000000"/>
        </w:rPr>
      </w:pPr>
      <w:r>
        <w:rPr>
          <w:rFonts w:hint="eastAsia" w:ascii="宋体" w:cs="宋体"/>
          <w:color w:val="000000"/>
        </w:rPr>
        <w:t>（项目名称）投标文件、签订合同和处理有关事宜，其法律后果由我方承担。</w:t>
      </w:r>
    </w:p>
    <w:p>
      <w:pPr>
        <w:spacing w:line="480" w:lineRule="auto"/>
        <w:rPr>
          <w:rFonts w:ascii="宋体" w:cs="宋体"/>
          <w:color w:val="000000"/>
        </w:rPr>
      </w:pPr>
      <w:r>
        <w:rPr>
          <w:rFonts w:hint="eastAsia" w:ascii="宋体" w:cs="宋体"/>
          <w:color w:val="000000"/>
        </w:rPr>
        <w:t xml:space="preserve">     委托期限：。</w:t>
      </w:r>
    </w:p>
    <w:p>
      <w:pPr>
        <w:spacing w:line="480" w:lineRule="auto"/>
        <w:rPr>
          <w:rFonts w:ascii="宋体" w:cs="宋体"/>
          <w:color w:val="000000"/>
        </w:rPr>
      </w:pPr>
      <w:r>
        <w:rPr>
          <w:rFonts w:hint="eastAsia" w:ascii="宋体" w:cs="宋体"/>
          <w:color w:val="000000"/>
        </w:rPr>
        <w:t xml:space="preserve">     代理人无转委托权。</w:t>
      </w:r>
    </w:p>
    <w:p>
      <w:pPr>
        <w:spacing w:line="480" w:lineRule="auto"/>
        <w:rPr>
          <w:rFonts w:ascii="宋体" w:cs="宋体"/>
          <w:color w:val="000000"/>
        </w:rPr>
      </w:pPr>
      <w:r>
        <w:rPr>
          <w:rFonts w:hint="eastAsia" w:ascii="宋体" w:cs="宋体"/>
          <w:color w:val="000000"/>
        </w:rPr>
        <w:t xml:space="preserve">     附：法定代表人及授权委托人身份证复印件。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2"/>
        <w:gridCol w:w="672"/>
        <w:gridCol w:w="4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042" w:type="dxa"/>
            <w:tcBorders>
              <w:top w:val="single" w:color="auto" w:sz="4" w:space="0"/>
              <w:left w:val="single" w:color="auto" w:sz="4" w:space="0"/>
              <w:bottom w:val="single" w:color="auto" w:sz="4" w:space="0"/>
              <w:right w:val="single" w:color="auto" w:sz="4" w:space="0"/>
            </w:tcBorders>
            <w:noWrap/>
          </w:tcPr>
          <w:p>
            <w:pPr>
              <w:spacing w:line="480" w:lineRule="auto"/>
              <w:jc w:val="center"/>
              <w:rPr>
                <w:rFonts w:ascii="宋体" w:cs="宋体"/>
                <w:color w:val="000000"/>
              </w:rPr>
            </w:pPr>
          </w:p>
          <w:p>
            <w:pPr>
              <w:spacing w:line="480" w:lineRule="auto"/>
              <w:jc w:val="center"/>
              <w:rPr>
                <w:rFonts w:ascii="宋体" w:cs="宋体"/>
                <w:color w:val="000000"/>
              </w:rPr>
            </w:pPr>
            <w:r>
              <w:rPr>
                <w:rFonts w:hint="eastAsia" w:ascii="宋体" w:cs="宋体"/>
                <w:color w:val="000000"/>
              </w:rPr>
              <w:t>法定代表人身份证复印件</w:t>
            </w:r>
          </w:p>
        </w:tc>
        <w:tc>
          <w:tcPr>
            <w:tcW w:w="672" w:type="dxa"/>
            <w:tcBorders>
              <w:top w:val="nil"/>
              <w:left w:val="single" w:color="auto" w:sz="4" w:space="0"/>
              <w:bottom w:val="nil"/>
              <w:right w:val="single" w:color="auto" w:sz="4" w:space="0"/>
            </w:tcBorders>
            <w:noWrap/>
          </w:tcPr>
          <w:p>
            <w:pPr>
              <w:spacing w:line="480" w:lineRule="auto"/>
              <w:jc w:val="center"/>
              <w:rPr>
                <w:rFonts w:ascii="宋体" w:cs="宋体"/>
                <w:color w:val="000000"/>
              </w:rPr>
            </w:pPr>
          </w:p>
        </w:tc>
        <w:tc>
          <w:tcPr>
            <w:tcW w:w="4037" w:type="dxa"/>
            <w:tcBorders>
              <w:top w:val="single" w:color="auto" w:sz="4" w:space="0"/>
              <w:left w:val="single" w:color="auto" w:sz="4" w:space="0"/>
              <w:bottom w:val="single" w:color="auto" w:sz="4" w:space="0"/>
              <w:right w:val="single" w:color="auto" w:sz="4" w:space="0"/>
            </w:tcBorders>
            <w:noWrap/>
          </w:tcPr>
          <w:p>
            <w:pPr>
              <w:spacing w:line="480" w:lineRule="auto"/>
              <w:jc w:val="center"/>
              <w:rPr>
                <w:rFonts w:ascii="宋体" w:cs="宋体"/>
                <w:color w:val="000000"/>
              </w:rPr>
            </w:pPr>
          </w:p>
          <w:p>
            <w:pPr>
              <w:spacing w:line="480" w:lineRule="auto"/>
              <w:jc w:val="center"/>
              <w:rPr>
                <w:rFonts w:ascii="宋体" w:cs="宋体"/>
                <w:color w:val="000000"/>
              </w:rPr>
            </w:pPr>
            <w:r>
              <w:rPr>
                <w:rFonts w:hint="eastAsia" w:ascii="宋体" w:cs="宋体"/>
                <w:color w:val="000000"/>
              </w:rPr>
              <w:t>授权委托人身份证复印件</w:t>
            </w:r>
          </w:p>
        </w:tc>
      </w:tr>
    </w:tbl>
    <w:p>
      <w:pPr>
        <w:spacing w:line="480" w:lineRule="auto"/>
        <w:rPr>
          <w:rFonts w:ascii="宋体" w:cs="宋体"/>
          <w:color w:val="000000"/>
        </w:rPr>
      </w:pPr>
    </w:p>
    <w:p>
      <w:pPr>
        <w:spacing w:line="480" w:lineRule="auto"/>
        <w:rPr>
          <w:rFonts w:ascii="宋体" w:cs="宋体"/>
          <w:color w:val="000000"/>
        </w:rPr>
      </w:pPr>
      <w:r>
        <w:rPr>
          <w:rFonts w:hint="eastAsia" w:ascii="宋体" w:cs="宋体"/>
          <w:color w:val="000000"/>
        </w:rPr>
        <w:t xml:space="preserve">                                投  标  人：（盖单位章）</w:t>
      </w:r>
    </w:p>
    <w:p>
      <w:pPr>
        <w:spacing w:line="480" w:lineRule="auto"/>
        <w:rPr>
          <w:rFonts w:ascii="宋体" w:cs="宋体"/>
          <w:color w:val="000000"/>
        </w:rPr>
      </w:pPr>
      <w:r>
        <w:rPr>
          <w:rFonts w:hint="eastAsia" w:ascii="宋体" w:cs="宋体"/>
          <w:color w:val="000000"/>
        </w:rPr>
        <w:t xml:space="preserve">                                法定代表人：（签字）</w:t>
      </w:r>
    </w:p>
    <w:p>
      <w:pPr>
        <w:spacing w:line="480" w:lineRule="auto"/>
        <w:rPr>
          <w:rFonts w:ascii="宋体" w:cs="宋体"/>
          <w:color w:val="000000"/>
          <w:u w:val="single"/>
        </w:rPr>
      </w:pPr>
      <w:r>
        <w:rPr>
          <w:rFonts w:hint="eastAsia" w:ascii="宋体" w:cs="宋体"/>
          <w:color w:val="000000"/>
        </w:rPr>
        <w:t xml:space="preserve">                                身份证号码：</w:t>
      </w:r>
    </w:p>
    <w:p>
      <w:pPr>
        <w:spacing w:line="480" w:lineRule="auto"/>
        <w:rPr>
          <w:rFonts w:ascii="宋体" w:cs="宋体"/>
          <w:color w:val="000000"/>
        </w:rPr>
      </w:pPr>
      <w:r>
        <w:rPr>
          <w:rFonts w:hint="eastAsia" w:ascii="宋体" w:cs="宋体"/>
          <w:color w:val="000000"/>
        </w:rPr>
        <w:t xml:space="preserve">                                授权委托人：（签字）</w:t>
      </w:r>
    </w:p>
    <w:p>
      <w:pPr>
        <w:spacing w:line="480" w:lineRule="auto"/>
        <w:rPr>
          <w:rFonts w:ascii="宋体" w:cs="宋体"/>
          <w:color w:val="000000"/>
          <w:u w:val="single"/>
        </w:rPr>
      </w:pPr>
      <w:r>
        <w:rPr>
          <w:rFonts w:hint="eastAsia" w:ascii="宋体" w:cs="宋体"/>
          <w:color w:val="000000"/>
        </w:rPr>
        <w:t xml:space="preserve">                                身份证号码：</w:t>
      </w:r>
    </w:p>
    <w:p>
      <w:pPr>
        <w:spacing w:line="480" w:lineRule="auto"/>
        <w:rPr>
          <w:rFonts w:ascii="宋体" w:cs="宋体"/>
          <w:color w:val="000000"/>
          <w:szCs w:val="21"/>
        </w:rPr>
      </w:pPr>
      <w:r>
        <w:rPr>
          <w:rFonts w:hint="eastAsia" w:ascii="宋体" w:cs="宋体"/>
          <w:color w:val="000000"/>
        </w:rPr>
        <w:t xml:space="preserve">                                日      期： </w:t>
      </w:r>
      <w:r>
        <w:rPr>
          <w:rFonts w:ascii="宋体" w:cs="宋体"/>
          <w:color w:val="000000"/>
          <w:szCs w:val="21"/>
        </w:rPr>
        <w:t xml:space="preserve">    </w:t>
      </w:r>
      <w:r>
        <w:rPr>
          <w:rFonts w:hint="eastAsia" w:ascii="宋体" w:hAnsi="宋体" w:cs="宋体"/>
          <w:color w:val="000000"/>
          <w:szCs w:val="21"/>
        </w:rPr>
        <w:t xml:space="preserve">年 </w:t>
      </w:r>
      <w:r>
        <w:rPr>
          <w:rFonts w:ascii="宋体" w:hAnsi="宋体" w:cs="宋体"/>
          <w:color w:val="000000"/>
          <w:szCs w:val="21"/>
        </w:rPr>
        <w:t xml:space="preserve"> </w:t>
      </w:r>
      <w:r>
        <w:rPr>
          <w:rFonts w:hint="eastAsia" w:ascii="宋体" w:hAnsi="宋体" w:cs="宋体"/>
          <w:color w:val="000000"/>
          <w:szCs w:val="21"/>
        </w:rPr>
        <w:t xml:space="preserve"> 月   日</w:t>
      </w:r>
      <w:r>
        <w:rPr>
          <w:rFonts w:hint="eastAsia" w:ascii="宋体" w:cs="宋体"/>
          <w:color w:val="000000"/>
          <w:szCs w:val="21"/>
        </w:rPr>
        <w:br w:type="page"/>
      </w:r>
      <w:bookmarkStart w:id="43" w:name="_Toc27743"/>
      <w:bookmarkStart w:id="44" w:name="_Toc393314059"/>
    </w:p>
    <w:p>
      <w:pPr>
        <w:rPr>
          <w:b/>
          <w:sz w:val="24"/>
        </w:rPr>
      </w:pPr>
      <w:r>
        <w:rPr>
          <w:rFonts w:hint="eastAsia" w:asciiTheme="majorEastAsia" w:hAnsiTheme="majorEastAsia" w:eastAsiaTheme="majorEastAsia"/>
          <w:b/>
          <w:sz w:val="28"/>
          <w:szCs w:val="28"/>
        </w:rPr>
        <w:t>5</w:t>
      </w:r>
      <w:r>
        <w:rPr>
          <w:rFonts w:hint="eastAsia"/>
          <w:b/>
          <w:sz w:val="24"/>
        </w:rPr>
        <w:t>、开标一览表</w:t>
      </w:r>
    </w:p>
    <w:p>
      <w:pPr>
        <w:rPr>
          <w:rFonts w:ascii="宋体" w:cs="宋体"/>
          <w:color w:val="000000"/>
        </w:rPr>
      </w:pPr>
    </w:p>
    <w:p>
      <w:pPr>
        <w:rPr>
          <w:rFonts w:ascii="宋体" w:cs="宋体"/>
          <w:color w:val="000000"/>
        </w:rPr>
      </w:pPr>
      <w:r>
        <w:rPr>
          <w:rFonts w:hint="eastAsia" w:ascii="宋体" w:cs="宋体"/>
          <w:color w:val="000000"/>
        </w:rPr>
        <w:t>项目名称：</w:t>
      </w:r>
    </w:p>
    <w:p>
      <w:pPr>
        <w:rPr>
          <w:rFonts w:ascii="宋体" w:cs="宋体"/>
          <w:color w:val="000000"/>
        </w:rPr>
      </w:pPr>
      <w:r>
        <w:rPr>
          <w:rFonts w:hint="eastAsia" w:ascii="宋体" w:cs="宋体"/>
          <w:color w:val="000000"/>
        </w:rPr>
        <w:t>项目编号：</w:t>
      </w:r>
    </w:p>
    <w:tbl>
      <w:tblPr>
        <w:tblStyle w:val="24"/>
        <w:tblpPr w:leftFromText="180" w:rightFromText="180" w:vertAnchor="text" w:horzAnchor="page" w:tblpXSpec="center" w:tblpY="29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1500"/>
        <w:gridCol w:w="1382"/>
        <w:gridCol w:w="1433"/>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r>
              <w:rPr>
                <w:rFonts w:hint="eastAsia" w:ascii="宋体" w:cs="宋体"/>
                <w:color w:val="000000"/>
              </w:rPr>
              <w:t>投标单位名称</w:t>
            </w:r>
          </w:p>
          <w:p>
            <w:pPr>
              <w:jc w:val="center"/>
              <w:rPr>
                <w:rFonts w:ascii="宋体" w:cs="宋体"/>
                <w:color w:val="000000"/>
              </w:rPr>
            </w:pPr>
            <w:r>
              <w:rPr>
                <w:rFonts w:hint="eastAsia" w:ascii="宋体" w:cs="宋体"/>
                <w:color w:val="000000"/>
              </w:rPr>
              <w:t>（盖单位章）</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r>
              <w:rPr>
                <w:rFonts w:hint="eastAsia" w:ascii="宋体" w:cs="宋体"/>
                <w:color w:val="000000"/>
              </w:rPr>
              <w:t>投标总价</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r>
              <w:rPr>
                <w:rFonts w:hint="eastAsia" w:ascii="宋体" w:cs="宋体"/>
                <w:color w:val="000000"/>
              </w:rPr>
              <w:t>产品质</w:t>
            </w:r>
          </w:p>
          <w:p>
            <w:pPr>
              <w:jc w:val="center"/>
              <w:rPr>
                <w:rFonts w:ascii="宋体" w:cs="宋体"/>
                <w:color w:val="000000"/>
              </w:rPr>
            </w:pPr>
            <w:r>
              <w:rPr>
                <w:rFonts w:hint="eastAsia" w:ascii="宋体" w:cs="宋体"/>
                <w:color w:val="000000"/>
              </w:rPr>
              <w:t>量标准</w:t>
            </w:r>
          </w:p>
        </w:tc>
        <w:tc>
          <w:tcPr>
            <w:tcW w:w="1433"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cs="宋体"/>
                <w:color w:val="000000"/>
              </w:rPr>
            </w:pPr>
            <w:r>
              <w:rPr>
                <w:rFonts w:hint="eastAsia" w:ascii="宋体" w:cs="宋体"/>
                <w:color w:val="000000"/>
              </w:rPr>
              <w:t>供货安装期限</w:t>
            </w:r>
          </w:p>
        </w:tc>
        <w:tc>
          <w:tcPr>
            <w:tcW w:w="1404" w:type="dxa"/>
            <w:tcBorders>
              <w:top w:val="single" w:color="000000" w:sz="4" w:space="0"/>
              <w:left w:val="single" w:color="auto" w:sz="4" w:space="0"/>
              <w:bottom w:val="single" w:color="000000" w:sz="4" w:space="0"/>
              <w:right w:val="single" w:color="000000" w:sz="4" w:space="0"/>
            </w:tcBorders>
            <w:noWrap/>
            <w:vAlign w:val="center"/>
          </w:tcPr>
          <w:p>
            <w:pPr>
              <w:jc w:val="center"/>
              <w:rPr>
                <w:rFonts w:ascii="宋体" w:cs="宋体"/>
                <w:color w:val="000000"/>
              </w:rPr>
            </w:pPr>
            <w:r>
              <w:rPr>
                <w:rFonts w:hint="eastAsia" w:ascii="宋体" w:cs="宋体"/>
                <w:color w:val="000000"/>
              </w:rPr>
              <w:t>法定代表人或被授权人签字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8"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rPr>
            </w:pPr>
          </w:p>
        </w:tc>
        <w:tc>
          <w:tcPr>
            <w:tcW w:w="1382" w:type="dxa"/>
            <w:tcBorders>
              <w:top w:val="single" w:color="000000" w:sz="4" w:space="0"/>
              <w:left w:val="single" w:color="auto" w:sz="4" w:space="0"/>
              <w:bottom w:val="single" w:color="000000" w:sz="4" w:space="0"/>
              <w:right w:val="single" w:color="000000" w:sz="4" w:space="0"/>
            </w:tcBorders>
            <w:noWrap/>
            <w:vAlign w:val="center"/>
          </w:tcPr>
          <w:p>
            <w:pPr>
              <w:jc w:val="center"/>
              <w:rPr>
                <w:rFonts w:ascii="宋体" w:cs="宋体"/>
                <w:color w:val="000000"/>
              </w:rPr>
            </w:pPr>
          </w:p>
        </w:tc>
        <w:tc>
          <w:tcPr>
            <w:tcW w:w="1433" w:type="dxa"/>
            <w:tcBorders>
              <w:top w:val="single" w:color="000000" w:sz="4" w:space="0"/>
              <w:left w:val="single" w:color="000000" w:sz="4" w:space="0"/>
              <w:bottom w:val="single" w:color="000000" w:sz="4" w:space="0"/>
              <w:right w:val="single" w:color="auto" w:sz="4" w:space="0"/>
            </w:tcBorders>
            <w:noWrap/>
            <w:vAlign w:val="center"/>
          </w:tcPr>
          <w:p>
            <w:pPr>
              <w:jc w:val="center"/>
              <w:rPr>
                <w:rFonts w:ascii="宋体" w:cs="宋体"/>
                <w:color w:val="000000"/>
              </w:rPr>
            </w:pPr>
          </w:p>
        </w:tc>
        <w:tc>
          <w:tcPr>
            <w:tcW w:w="1404" w:type="dxa"/>
            <w:tcBorders>
              <w:top w:val="single" w:color="000000" w:sz="4" w:space="0"/>
              <w:left w:val="single" w:color="auto" w:sz="4" w:space="0"/>
              <w:bottom w:val="single" w:color="000000" w:sz="4" w:space="0"/>
              <w:right w:val="single" w:color="000000" w:sz="4" w:space="0"/>
            </w:tcBorders>
            <w:noWrap/>
            <w:vAlign w:val="center"/>
          </w:tcPr>
          <w:p>
            <w:pPr>
              <w:jc w:val="center"/>
              <w:rPr>
                <w:rFonts w:ascii="宋体" w:cs="宋体"/>
                <w:color w:val="000000"/>
              </w:rPr>
            </w:pPr>
          </w:p>
        </w:tc>
      </w:tr>
    </w:tbl>
    <w:p>
      <w:pPr>
        <w:rPr>
          <w:rFonts w:ascii="宋体" w:cs="宋体"/>
          <w:color w:val="000000"/>
        </w:rPr>
      </w:pPr>
    </w:p>
    <w:p>
      <w:pPr>
        <w:rPr>
          <w:rFonts w:ascii="宋体" w:cs="宋体"/>
          <w:color w:val="000000"/>
        </w:rPr>
      </w:pPr>
    </w:p>
    <w:p>
      <w:pPr>
        <w:spacing w:line="360" w:lineRule="auto"/>
        <w:rPr>
          <w:rFonts w:ascii="宋体" w:cs="宋体"/>
          <w:color w:val="000000"/>
        </w:rPr>
      </w:pPr>
      <w:r>
        <w:rPr>
          <w:rFonts w:hint="eastAsia" w:ascii="宋体" w:cs="宋体"/>
          <w:color w:val="000000"/>
        </w:rPr>
        <w:t>1.“开标一览表”是投标文件的组成部分，必须按要求签署和加盖公章，否则为无效投标。</w:t>
      </w:r>
    </w:p>
    <w:p>
      <w:pPr>
        <w:spacing w:line="360" w:lineRule="auto"/>
        <w:rPr>
          <w:rFonts w:ascii="宋体" w:cs="宋体"/>
          <w:color w:val="000000"/>
        </w:rPr>
      </w:pPr>
      <w:r>
        <w:rPr>
          <w:rFonts w:hint="eastAsia" w:ascii="宋体" w:cs="宋体"/>
          <w:color w:val="000000"/>
        </w:rPr>
        <w:t>2. “开标一览表”与投标文件正本投标函内容一致。如果不一致，则以“开标一览表”的内容为准。</w:t>
      </w:r>
    </w:p>
    <w:p>
      <w:pPr>
        <w:spacing w:line="480" w:lineRule="auto"/>
        <w:rPr>
          <w:rFonts w:ascii="宋体" w:cs="宋体"/>
          <w:color w:val="000000"/>
          <w:szCs w:val="21"/>
        </w:rPr>
      </w:pPr>
    </w:p>
    <w:bookmarkEnd w:id="43"/>
    <w:bookmarkEnd w:id="44"/>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rPr>
          <w:b/>
          <w:sz w:val="24"/>
        </w:rPr>
      </w:pPr>
      <w:bookmarkStart w:id="45" w:name="_Toc7883"/>
    </w:p>
    <w:p>
      <w:pPr>
        <w:rPr>
          <w:b/>
          <w:sz w:val="24"/>
        </w:rPr>
      </w:pPr>
    </w:p>
    <w:bookmarkEnd w:id="45"/>
    <w:p>
      <w:pPr>
        <w:rPr>
          <w:rFonts w:ascii="Calibri" w:hAnsi="Calibri" w:cs="Calibri"/>
          <w:b/>
          <w:bCs/>
          <w:color w:val="000000"/>
          <w:sz w:val="28"/>
          <w:szCs w:val="28"/>
        </w:rPr>
      </w:pPr>
      <w:r>
        <w:rPr>
          <w:rFonts w:cs="Calibri" w:asciiTheme="majorEastAsia" w:hAnsiTheme="majorEastAsia" w:eastAsiaTheme="majorEastAsia"/>
          <w:b/>
          <w:bCs/>
          <w:color w:val="000000"/>
          <w:sz w:val="28"/>
          <w:szCs w:val="28"/>
        </w:rPr>
        <w:t>6</w:t>
      </w:r>
      <w:r>
        <w:rPr>
          <w:rFonts w:hint="eastAsia" w:ascii="宋体" w:cs="Calibri"/>
          <w:b/>
          <w:bCs/>
          <w:color w:val="000000"/>
          <w:sz w:val="28"/>
          <w:szCs w:val="28"/>
        </w:rPr>
        <w:t>、</w:t>
      </w:r>
      <w:r>
        <w:rPr>
          <w:rFonts w:hint="eastAsia" w:ascii="宋体" w:cs="Calibri"/>
          <w:b/>
          <w:bCs/>
          <w:color w:val="000000"/>
          <w:sz w:val="24"/>
          <w:szCs w:val="24"/>
        </w:rPr>
        <w:t>报价清单</w:t>
      </w:r>
    </w:p>
    <w:p>
      <w:pPr>
        <w:rPr>
          <w:rFonts w:ascii="Calibri" w:hAnsi="Calibri" w:cs="Calibri"/>
          <w:color w:val="000000"/>
          <w:szCs w:val="21"/>
        </w:rPr>
      </w:pPr>
      <w:r>
        <w:rPr>
          <w:rFonts w:hint="eastAsia" w:ascii="宋体" w:cs="Calibri"/>
          <w:color w:val="000000"/>
          <w:szCs w:val="21"/>
        </w:rPr>
        <w:t>招标项目名称：</w:t>
      </w:r>
      <w:r>
        <w:rPr>
          <w:rFonts w:ascii="Calibri" w:hAnsi="Calibri" w:cs="Calibri"/>
          <w:color w:val="000000"/>
          <w:szCs w:val="21"/>
        </w:rPr>
        <w:t xml:space="preserve">____________ </w:t>
      </w:r>
    </w:p>
    <w:p>
      <w:pPr>
        <w:rPr>
          <w:rFonts w:ascii="Calibri" w:hAnsi="Calibri" w:cs="Calibri"/>
          <w:color w:val="000000"/>
          <w:szCs w:val="21"/>
        </w:rPr>
      </w:pPr>
      <w:r>
        <w:rPr>
          <w:rFonts w:ascii="Calibri" w:hAnsi="Calibri" w:cs="Calibri"/>
          <w:color w:val="000000"/>
          <w:szCs w:val="21"/>
        </w:rPr>
        <w:t xml:space="preserve"> </w:t>
      </w:r>
    </w:p>
    <w:p>
      <w:pPr>
        <w:rPr>
          <w:rFonts w:ascii="Calibri" w:hAnsi="Calibri" w:cs="Calibri"/>
          <w:color w:val="000000"/>
          <w:szCs w:val="21"/>
        </w:rPr>
      </w:pPr>
      <w:r>
        <w:rPr>
          <w:rFonts w:hint="eastAsia" w:ascii="宋体" w:cs="Calibri"/>
          <w:color w:val="000000"/>
          <w:szCs w:val="21"/>
        </w:rPr>
        <w:t>项目编号：</w:t>
      </w:r>
      <w:r>
        <w:rPr>
          <w:rFonts w:ascii="Calibri" w:hAnsi="Calibri" w:cs="Calibri"/>
          <w:color w:val="000000"/>
          <w:szCs w:val="21"/>
          <w:u w:val="single"/>
        </w:rPr>
        <w:t xml:space="preserve">            </w:t>
      </w:r>
      <w:r>
        <w:rPr>
          <w:rFonts w:ascii="Calibri" w:hAnsi="Calibri" w:cs="Calibri"/>
          <w:color w:val="000000"/>
          <w:szCs w:val="21"/>
        </w:rPr>
        <w:t xml:space="preserve">                                    </w:t>
      </w:r>
    </w:p>
    <w:p>
      <w:pPr>
        <w:rPr>
          <w:rFonts w:ascii="Calibri" w:hAnsi="Calibri" w:cs="Calibri"/>
          <w:color w:val="000000"/>
          <w:szCs w:val="21"/>
        </w:rPr>
      </w:pPr>
      <w:r>
        <w:rPr>
          <w:rFonts w:ascii="Calibri" w:hAnsi="Calibri" w:cs="Calibri"/>
          <w:color w:val="000000"/>
          <w:szCs w:val="21"/>
        </w:rPr>
        <w:t xml:space="preserve"> </w:t>
      </w:r>
    </w:p>
    <w:p>
      <w:pPr>
        <w:rPr>
          <w:rFonts w:ascii="Calibri" w:hAnsi="Calibri" w:cs="Calibri"/>
          <w:color w:val="000000"/>
          <w:szCs w:val="21"/>
        </w:rPr>
      </w:pPr>
      <w:r>
        <w:rPr>
          <w:rFonts w:ascii="Calibri" w:hAnsi="Calibri" w:cs="Calibri"/>
          <w:color w:val="000000"/>
          <w:szCs w:val="21"/>
        </w:rPr>
        <w:t xml:space="preserve"> </w:t>
      </w:r>
      <w:r>
        <w:rPr>
          <w:rFonts w:hint="eastAsia" w:ascii="宋体" w:cs="Calibri"/>
          <w:color w:val="000000"/>
          <w:szCs w:val="21"/>
        </w:rPr>
        <w:t>货币单位：人民币</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71"/>
        <w:gridCol w:w="1045"/>
        <w:gridCol w:w="1417"/>
        <w:gridCol w:w="1415"/>
        <w:gridCol w:w="762"/>
        <w:gridCol w:w="875"/>
        <w:gridCol w:w="8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Calibri"/>
                <w:szCs w:val="21"/>
              </w:rPr>
            </w:pPr>
            <w:r>
              <w:rPr>
                <w:rFonts w:hint="eastAsia" w:ascii="Calibri" w:hAnsi="Calibri" w:cs="Calibri"/>
                <w:szCs w:val="21"/>
              </w:rPr>
              <w:t>序号</w:t>
            </w:r>
          </w:p>
        </w:tc>
        <w:tc>
          <w:tcPr>
            <w:tcW w:w="1318" w:type="dxa"/>
            <w:gridSpan w:val="2"/>
            <w:tcBorders>
              <w:top w:val="single" w:color="auto" w:sz="4" w:space="0"/>
              <w:left w:val="nil"/>
              <w:bottom w:val="single" w:color="auto" w:sz="4" w:space="0"/>
              <w:right w:val="single" w:color="auto" w:sz="4" w:space="0"/>
            </w:tcBorders>
            <w:noWrap/>
            <w:vAlign w:val="center"/>
          </w:tcPr>
          <w:p>
            <w:pPr>
              <w:jc w:val="center"/>
              <w:rPr>
                <w:rFonts w:ascii="Calibri" w:hAnsi="Calibri" w:cs="Calibri"/>
                <w:szCs w:val="21"/>
              </w:rPr>
            </w:pPr>
            <w:r>
              <w:rPr>
                <w:rFonts w:hint="eastAsia" w:ascii="Calibri" w:hAnsi="Calibri" w:cs="Calibri"/>
                <w:szCs w:val="21"/>
              </w:rPr>
              <w:t>货物（服务）名称</w:t>
            </w:r>
          </w:p>
        </w:tc>
        <w:tc>
          <w:tcPr>
            <w:tcW w:w="1420" w:type="dxa"/>
            <w:tcBorders>
              <w:top w:val="single" w:color="auto" w:sz="4" w:space="0"/>
              <w:left w:val="nil"/>
              <w:bottom w:val="single" w:color="auto" w:sz="4" w:space="0"/>
              <w:right w:val="single" w:color="auto" w:sz="4" w:space="0"/>
            </w:tcBorders>
            <w:noWrap/>
            <w:vAlign w:val="center"/>
          </w:tcPr>
          <w:p>
            <w:pPr>
              <w:jc w:val="center"/>
              <w:rPr>
                <w:rFonts w:ascii="Calibri" w:hAnsi="Calibri" w:cs="Calibri"/>
                <w:szCs w:val="21"/>
              </w:rPr>
            </w:pPr>
            <w:r>
              <w:rPr>
                <w:rFonts w:hint="eastAsia" w:ascii="Calibri" w:hAnsi="Calibri" w:cs="Calibri"/>
                <w:szCs w:val="21"/>
              </w:rPr>
              <w:t>品牌型号</w:t>
            </w:r>
            <w:r>
              <w:rPr>
                <w:rFonts w:ascii="Calibri" w:hAnsi="Calibri" w:cs="Calibri"/>
                <w:szCs w:val="21"/>
              </w:rPr>
              <w:t>/</w:t>
            </w:r>
            <w:r>
              <w:rPr>
                <w:rFonts w:hint="eastAsia" w:ascii="Calibri" w:hAnsi="Calibri" w:cs="Calibri"/>
                <w:szCs w:val="21"/>
              </w:rPr>
              <w:t>型号</w:t>
            </w:r>
          </w:p>
        </w:tc>
        <w:tc>
          <w:tcPr>
            <w:tcW w:w="1417" w:type="dxa"/>
            <w:tcBorders>
              <w:top w:val="single" w:color="auto" w:sz="4" w:space="0"/>
              <w:left w:val="nil"/>
              <w:bottom w:val="single" w:color="auto" w:sz="4" w:space="0"/>
              <w:right w:val="single" w:color="auto" w:sz="4" w:space="0"/>
            </w:tcBorders>
            <w:noWrap/>
            <w:vAlign w:val="center"/>
          </w:tcPr>
          <w:p>
            <w:pPr>
              <w:jc w:val="center"/>
              <w:rPr>
                <w:rFonts w:ascii="Calibri" w:hAnsi="Calibri" w:cs="Calibri"/>
                <w:szCs w:val="21"/>
              </w:rPr>
            </w:pPr>
            <w:r>
              <w:rPr>
                <w:rFonts w:hint="eastAsia" w:ascii="Calibri" w:hAnsi="Calibri" w:cs="Calibri"/>
                <w:szCs w:val="21"/>
              </w:rPr>
              <w:t>单位</w:t>
            </w:r>
          </w:p>
        </w:tc>
        <w:tc>
          <w:tcPr>
            <w:tcW w:w="759" w:type="dxa"/>
            <w:tcBorders>
              <w:top w:val="single" w:color="auto" w:sz="4" w:space="0"/>
              <w:left w:val="nil"/>
              <w:bottom w:val="single" w:color="auto" w:sz="4" w:space="0"/>
              <w:right w:val="single" w:color="auto" w:sz="4" w:space="0"/>
            </w:tcBorders>
            <w:noWrap/>
            <w:vAlign w:val="center"/>
          </w:tcPr>
          <w:p>
            <w:pPr>
              <w:jc w:val="center"/>
              <w:rPr>
                <w:rFonts w:ascii="Calibri" w:hAnsi="Calibri" w:cs="Calibri"/>
                <w:szCs w:val="21"/>
              </w:rPr>
            </w:pPr>
            <w:r>
              <w:rPr>
                <w:rFonts w:hint="eastAsia" w:ascii="Calibri" w:hAnsi="Calibri" w:cs="Calibri"/>
                <w:szCs w:val="21"/>
              </w:rPr>
              <w:t>数量</w:t>
            </w:r>
          </w:p>
        </w:tc>
        <w:tc>
          <w:tcPr>
            <w:tcW w:w="873" w:type="dxa"/>
            <w:tcBorders>
              <w:top w:val="single" w:color="auto" w:sz="4" w:space="0"/>
              <w:left w:val="nil"/>
              <w:bottom w:val="single" w:color="auto" w:sz="4" w:space="0"/>
              <w:right w:val="single" w:color="auto" w:sz="4" w:space="0"/>
            </w:tcBorders>
            <w:noWrap/>
            <w:vAlign w:val="center"/>
          </w:tcPr>
          <w:p>
            <w:pPr>
              <w:jc w:val="center"/>
              <w:rPr>
                <w:rFonts w:ascii="Calibri" w:hAnsi="Calibri" w:cs="Calibri"/>
                <w:szCs w:val="21"/>
              </w:rPr>
            </w:pPr>
            <w:r>
              <w:rPr>
                <w:rFonts w:hint="eastAsia" w:ascii="Calibri" w:hAnsi="Calibri" w:cs="Calibri"/>
                <w:szCs w:val="21"/>
              </w:rPr>
              <w:t>单价</w:t>
            </w:r>
          </w:p>
        </w:tc>
        <w:tc>
          <w:tcPr>
            <w:tcW w:w="873" w:type="dxa"/>
            <w:tcBorders>
              <w:top w:val="single" w:color="auto" w:sz="4" w:space="0"/>
              <w:left w:val="nil"/>
              <w:bottom w:val="single" w:color="auto" w:sz="4" w:space="0"/>
              <w:right w:val="single" w:color="auto" w:sz="4" w:space="0"/>
            </w:tcBorders>
            <w:noWrap/>
            <w:vAlign w:val="center"/>
          </w:tcPr>
          <w:p>
            <w:pPr>
              <w:jc w:val="center"/>
              <w:rPr>
                <w:rFonts w:ascii="Calibri" w:hAnsi="Calibri" w:cs="Calibri"/>
                <w:color w:val="000000"/>
                <w:szCs w:val="21"/>
              </w:rPr>
            </w:pPr>
            <w:r>
              <w:rPr>
                <w:rFonts w:hint="eastAsia" w:ascii="Calibri" w:hAnsi="Calibri" w:cs="Calibri"/>
                <w:color w:val="000000"/>
                <w:szCs w:val="21"/>
              </w:rPr>
              <w:t>合价</w:t>
            </w:r>
          </w:p>
        </w:tc>
        <w:tc>
          <w:tcPr>
            <w:tcW w:w="1380" w:type="dxa"/>
            <w:tcBorders>
              <w:top w:val="single" w:color="auto" w:sz="4" w:space="0"/>
              <w:left w:val="nil"/>
              <w:bottom w:val="single" w:color="auto" w:sz="4" w:space="0"/>
              <w:right w:val="single" w:color="auto" w:sz="4" w:space="0"/>
            </w:tcBorders>
            <w:noWrap/>
            <w:vAlign w:val="center"/>
          </w:tcPr>
          <w:p>
            <w:pPr>
              <w:jc w:val="center"/>
              <w:rPr>
                <w:rFonts w:ascii="Calibri" w:hAnsi="Calibri" w:cs="Calibri"/>
                <w:color w:val="000000"/>
                <w:szCs w:val="21"/>
              </w:rPr>
            </w:pPr>
            <w:r>
              <w:rPr>
                <w:rFonts w:hint="eastAsia" w:ascii="Calibri" w:hAnsi="Calibri" w:cs="Calibri"/>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Calibri"/>
                <w:szCs w:val="21"/>
              </w:rPr>
            </w:pPr>
            <w:r>
              <w:rPr>
                <w:rFonts w:ascii="Calibri" w:hAnsi="Calibri" w:cs="Calibri"/>
                <w:szCs w:val="21"/>
              </w:rPr>
              <w:t>1</w:t>
            </w:r>
          </w:p>
        </w:tc>
        <w:tc>
          <w:tcPr>
            <w:tcW w:w="1318" w:type="dxa"/>
            <w:gridSpan w:val="2"/>
            <w:tcBorders>
              <w:top w:val="single" w:color="auto" w:sz="4" w:space="0"/>
              <w:left w:val="nil"/>
              <w:bottom w:val="single" w:color="auto" w:sz="4" w:space="0"/>
              <w:right w:val="single" w:color="auto" w:sz="4" w:space="0"/>
            </w:tcBorders>
            <w:noWrap/>
            <w:vAlign w:val="center"/>
          </w:tcPr>
          <w:p>
            <w:pPr>
              <w:rPr>
                <w:rFonts w:ascii="Calibri" w:hAnsi="Calibri"/>
                <w:szCs w:val="21"/>
              </w:rPr>
            </w:pPr>
          </w:p>
        </w:tc>
        <w:tc>
          <w:tcPr>
            <w:tcW w:w="1420" w:type="dxa"/>
            <w:tcBorders>
              <w:top w:val="single" w:color="auto" w:sz="4" w:space="0"/>
              <w:left w:val="nil"/>
              <w:bottom w:val="single" w:color="auto" w:sz="4" w:space="0"/>
              <w:right w:val="single" w:color="auto" w:sz="4" w:space="0"/>
            </w:tcBorders>
            <w:noWrap/>
            <w:vAlign w:val="center"/>
          </w:tcPr>
          <w:p>
            <w:pPr>
              <w:rPr>
                <w:rFonts w:ascii="Calibri" w:hAnsi="Calibri"/>
                <w:szCs w:val="21"/>
              </w:rPr>
            </w:pPr>
          </w:p>
        </w:tc>
        <w:tc>
          <w:tcPr>
            <w:tcW w:w="1417" w:type="dxa"/>
            <w:tcBorders>
              <w:top w:val="single" w:color="auto" w:sz="4" w:space="0"/>
              <w:left w:val="nil"/>
              <w:bottom w:val="single" w:color="auto" w:sz="4" w:space="0"/>
              <w:right w:val="single" w:color="auto" w:sz="4" w:space="0"/>
            </w:tcBorders>
            <w:noWrap/>
          </w:tcPr>
          <w:p>
            <w:pPr>
              <w:jc w:val="center"/>
              <w:rPr>
                <w:rFonts w:ascii="Calibri" w:hAnsi="Calibri" w:cs="Calibri"/>
                <w:szCs w:val="21"/>
              </w:rPr>
            </w:pPr>
          </w:p>
        </w:tc>
        <w:tc>
          <w:tcPr>
            <w:tcW w:w="759" w:type="dxa"/>
            <w:tcBorders>
              <w:top w:val="single" w:color="auto" w:sz="4" w:space="0"/>
              <w:left w:val="nil"/>
              <w:bottom w:val="single" w:color="auto" w:sz="4" w:space="0"/>
              <w:right w:val="single" w:color="auto" w:sz="4" w:space="0"/>
            </w:tcBorders>
            <w:noWrap/>
            <w:vAlign w:val="center"/>
          </w:tcPr>
          <w:p>
            <w:pPr>
              <w:rPr>
                <w:rFonts w:ascii="Calibri" w:hAnsi="Calibri"/>
                <w:szCs w:val="21"/>
              </w:rPr>
            </w:pPr>
          </w:p>
        </w:tc>
        <w:tc>
          <w:tcPr>
            <w:tcW w:w="873" w:type="dxa"/>
            <w:tcBorders>
              <w:top w:val="single" w:color="auto" w:sz="4" w:space="0"/>
              <w:left w:val="nil"/>
              <w:bottom w:val="single" w:color="auto" w:sz="4" w:space="0"/>
              <w:right w:val="single" w:color="auto" w:sz="4" w:space="0"/>
            </w:tcBorders>
            <w:noWrap/>
            <w:vAlign w:val="center"/>
          </w:tcPr>
          <w:p>
            <w:pPr>
              <w:rPr>
                <w:rFonts w:ascii="Calibri" w:hAnsi="Calibri"/>
                <w:szCs w:val="21"/>
              </w:rPr>
            </w:pPr>
          </w:p>
        </w:tc>
        <w:tc>
          <w:tcPr>
            <w:tcW w:w="873" w:type="dxa"/>
            <w:tcBorders>
              <w:top w:val="single" w:color="auto" w:sz="4" w:space="0"/>
              <w:left w:val="nil"/>
              <w:bottom w:val="single" w:color="auto" w:sz="4" w:space="0"/>
              <w:right w:val="single" w:color="auto" w:sz="4" w:space="0"/>
            </w:tcBorders>
            <w:noWrap/>
            <w:vAlign w:val="center"/>
          </w:tcPr>
          <w:p>
            <w:pPr>
              <w:jc w:val="center"/>
              <w:rPr>
                <w:rFonts w:ascii="Calibri" w:hAnsi="Calibri" w:cs="Calibri"/>
                <w:szCs w:val="21"/>
              </w:rPr>
            </w:pPr>
          </w:p>
        </w:tc>
        <w:tc>
          <w:tcPr>
            <w:tcW w:w="1380" w:type="dxa"/>
            <w:tcBorders>
              <w:top w:val="single" w:color="auto" w:sz="4" w:space="0"/>
              <w:left w:val="nil"/>
              <w:bottom w:val="single" w:color="auto" w:sz="4" w:space="0"/>
              <w:right w:val="single" w:color="auto" w:sz="4" w:space="0"/>
            </w:tcBorders>
            <w:noWrap/>
          </w:tcPr>
          <w:p>
            <w:pPr>
              <w:jc w:val="center"/>
              <w:rPr>
                <w:rFonts w:ascii="Calibri" w:hAnsi="Calibri" w:cs="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Calibri"/>
                <w:szCs w:val="21"/>
              </w:rPr>
            </w:pPr>
            <w:r>
              <w:rPr>
                <w:rFonts w:ascii="Calibri" w:hAnsi="Calibri" w:cs="Calibri"/>
                <w:szCs w:val="21"/>
              </w:rPr>
              <w:t>2</w:t>
            </w:r>
          </w:p>
        </w:tc>
        <w:tc>
          <w:tcPr>
            <w:tcW w:w="1318" w:type="dxa"/>
            <w:gridSpan w:val="2"/>
            <w:tcBorders>
              <w:top w:val="single" w:color="auto" w:sz="4" w:space="0"/>
              <w:left w:val="nil"/>
              <w:bottom w:val="single" w:color="auto" w:sz="4" w:space="0"/>
              <w:right w:val="single" w:color="auto" w:sz="4" w:space="0"/>
            </w:tcBorders>
            <w:noWrap/>
            <w:vAlign w:val="center"/>
          </w:tcPr>
          <w:p>
            <w:pPr>
              <w:rPr>
                <w:rFonts w:ascii="Calibri" w:hAnsi="Calibri"/>
                <w:szCs w:val="21"/>
              </w:rPr>
            </w:pPr>
          </w:p>
        </w:tc>
        <w:tc>
          <w:tcPr>
            <w:tcW w:w="1420" w:type="dxa"/>
            <w:tcBorders>
              <w:top w:val="single" w:color="auto" w:sz="4" w:space="0"/>
              <w:left w:val="nil"/>
              <w:bottom w:val="single" w:color="auto" w:sz="4" w:space="0"/>
              <w:right w:val="single" w:color="auto" w:sz="4" w:space="0"/>
            </w:tcBorders>
            <w:noWrap/>
            <w:vAlign w:val="center"/>
          </w:tcPr>
          <w:p>
            <w:pPr>
              <w:rPr>
                <w:rFonts w:ascii="Calibri" w:hAnsi="Calibri"/>
                <w:szCs w:val="21"/>
              </w:rPr>
            </w:pPr>
          </w:p>
        </w:tc>
        <w:tc>
          <w:tcPr>
            <w:tcW w:w="1417" w:type="dxa"/>
            <w:tcBorders>
              <w:top w:val="single" w:color="auto" w:sz="4" w:space="0"/>
              <w:left w:val="nil"/>
              <w:bottom w:val="single" w:color="auto" w:sz="4" w:space="0"/>
              <w:right w:val="single" w:color="auto" w:sz="4" w:space="0"/>
            </w:tcBorders>
            <w:noWrap/>
          </w:tcPr>
          <w:p>
            <w:pPr>
              <w:jc w:val="center"/>
              <w:rPr>
                <w:rFonts w:ascii="Calibri" w:hAnsi="Calibri" w:cs="Calibri"/>
                <w:szCs w:val="21"/>
              </w:rPr>
            </w:pPr>
          </w:p>
        </w:tc>
        <w:tc>
          <w:tcPr>
            <w:tcW w:w="759" w:type="dxa"/>
            <w:tcBorders>
              <w:top w:val="single" w:color="auto" w:sz="4" w:space="0"/>
              <w:left w:val="nil"/>
              <w:bottom w:val="single" w:color="auto" w:sz="4" w:space="0"/>
              <w:right w:val="single" w:color="auto" w:sz="4" w:space="0"/>
            </w:tcBorders>
            <w:noWrap/>
            <w:vAlign w:val="center"/>
          </w:tcPr>
          <w:p>
            <w:pPr>
              <w:rPr>
                <w:rFonts w:ascii="Calibri" w:hAnsi="Calibri"/>
                <w:szCs w:val="21"/>
              </w:rPr>
            </w:pPr>
          </w:p>
        </w:tc>
        <w:tc>
          <w:tcPr>
            <w:tcW w:w="873" w:type="dxa"/>
            <w:tcBorders>
              <w:top w:val="single" w:color="auto" w:sz="4" w:space="0"/>
              <w:left w:val="nil"/>
              <w:bottom w:val="single" w:color="auto" w:sz="4" w:space="0"/>
              <w:right w:val="single" w:color="auto" w:sz="4" w:space="0"/>
            </w:tcBorders>
            <w:noWrap/>
            <w:vAlign w:val="center"/>
          </w:tcPr>
          <w:p>
            <w:pPr>
              <w:rPr>
                <w:rFonts w:ascii="Calibri" w:hAnsi="Calibri"/>
                <w:szCs w:val="21"/>
              </w:rPr>
            </w:pPr>
          </w:p>
        </w:tc>
        <w:tc>
          <w:tcPr>
            <w:tcW w:w="873" w:type="dxa"/>
            <w:tcBorders>
              <w:top w:val="single" w:color="auto" w:sz="4" w:space="0"/>
              <w:left w:val="nil"/>
              <w:bottom w:val="single" w:color="auto" w:sz="4" w:space="0"/>
              <w:right w:val="single" w:color="auto" w:sz="4" w:space="0"/>
            </w:tcBorders>
            <w:noWrap/>
            <w:vAlign w:val="center"/>
          </w:tcPr>
          <w:p>
            <w:pPr>
              <w:jc w:val="center"/>
              <w:rPr>
                <w:rFonts w:ascii="Calibri" w:hAnsi="Calibri" w:cs="Calibri"/>
                <w:szCs w:val="21"/>
              </w:rPr>
            </w:pPr>
          </w:p>
        </w:tc>
        <w:tc>
          <w:tcPr>
            <w:tcW w:w="1380" w:type="dxa"/>
            <w:tcBorders>
              <w:top w:val="single" w:color="auto" w:sz="4" w:space="0"/>
              <w:left w:val="nil"/>
              <w:bottom w:val="single" w:color="auto" w:sz="4" w:space="0"/>
              <w:right w:val="single" w:color="auto" w:sz="4" w:space="0"/>
            </w:tcBorders>
            <w:noWrap/>
          </w:tcPr>
          <w:p>
            <w:pPr>
              <w:jc w:val="center"/>
              <w:rPr>
                <w:rFonts w:ascii="Calibri" w:hAnsi="Calibri" w:cs="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Calibri"/>
                <w:szCs w:val="21"/>
              </w:rPr>
            </w:pPr>
            <w:r>
              <w:rPr>
                <w:rFonts w:ascii="Calibri" w:hAnsi="Calibri" w:cs="Calibri"/>
                <w:szCs w:val="21"/>
              </w:rPr>
              <w:t>3</w:t>
            </w:r>
          </w:p>
        </w:tc>
        <w:tc>
          <w:tcPr>
            <w:tcW w:w="1318" w:type="dxa"/>
            <w:gridSpan w:val="2"/>
            <w:tcBorders>
              <w:top w:val="single" w:color="auto" w:sz="4" w:space="0"/>
              <w:left w:val="nil"/>
              <w:bottom w:val="single" w:color="auto" w:sz="4" w:space="0"/>
              <w:right w:val="single" w:color="auto" w:sz="4" w:space="0"/>
            </w:tcBorders>
            <w:noWrap/>
            <w:vAlign w:val="center"/>
          </w:tcPr>
          <w:p>
            <w:pPr>
              <w:rPr>
                <w:rFonts w:ascii="Calibri" w:hAnsi="Calibri"/>
                <w:szCs w:val="21"/>
              </w:rPr>
            </w:pPr>
          </w:p>
        </w:tc>
        <w:tc>
          <w:tcPr>
            <w:tcW w:w="1420" w:type="dxa"/>
            <w:tcBorders>
              <w:top w:val="single" w:color="auto" w:sz="4" w:space="0"/>
              <w:left w:val="nil"/>
              <w:bottom w:val="single" w:color="auto" w:sz="4" w:space="0"/>
              <w:right w:val="single" w:color="auto" w:sz="4" w:space="0"/>
            </w:tcBorders>
            <w:noWrap/>
            <w:vAlign w:val="center"/>
          </w:tcPr>
          <w:p>
            <w:pPr>
              <w:rPr>
                <w:rFonts w:ascii="Calibri" w:hAnsi="Calibri"/>
                <w:szCs w:val="21"/>
              </w:rPr>
            </w:pPr>
          </w:p>
        </w:tc>
        <w:tc>
          <w:tcPr>
            <w:tcW w:w="1417" w:type="dxa"/>
            <w:tcBorders>
              <w:top w:val="single" w:color="auto" w:sz="4" w:space="0"/>
              <w:left w:val="nil"/>
              <w:bottom w:val="single" w:color="auto" w:sz="4" w:space="0"/>
              <w:right w:val="single" w:color="auto" w:sz="4" w:space="0"/>
            </w:tcBorders>
            <w:noWrap/>
          </w:tcPr>
          <w:p>
            <w:pPr>
              <w:jc w:val="center"/>
              <w:rPr>
                <w:rFonts w:ascii="Calibri" w:hAnsi="Calibri" w:cs="Calibri"/>
                <w:szCs w:val="21"/>
              </w:rPr>
            </w:pPr>
          </w:p>
        </w:tc>
        <w:tc>
          <w:tcPr>
            <w:tcW w:w="759" w:type="dxa"/>
            <w:tcBorders>
              <w:top w:val="single" w:color="auto" w:sz="4" w:space="0"/>
              <w:left w:val="nil"/>
              <w:bottom w:val="single" w:color="auto" w:sz="4" w:space="0"/>
              <w:right w:val="single" w:color="auto" w:sz="4" w:space="0"/>
            </w:tcBorders>
            <w:noWrap/>
            <w:vAlign w:val="center"/>
          </w:tcPr>
          <w:p>
            <w:pPr>
              <w:rPr>
                <w:rFonts w:ascii="Calibri" w:hAnsi="Calibri"/>
                <w:szCs w:val="21"/>
              </w:rPr>
            </w:pPr>
          </w:p>
        </w:tc>
        <w:tc>
          <w:tcPr>
            <w:tcW w:w="873" w:type="dxa"/>
            <w:tcBorders>
              <w:top w:val="single" w:color="auto" w:sz="4" w:space="0"/>
              <w:left w:val="nil"/>
              <w:bottom w:val="single" w:color="auto" w:sz="4" w:space="0"/>
              <w:right w:val="single" w:color="auto" w:sz="4" w:space="0"/>
            </w:tcBorders>
            <w:noWrap/>
            <w:vAlign w:val="center"/>
          </w:tcPr>
          <w:p>
            <w:pPr>
              <w:rPr>
                <w:rFonts w:ascii="Calibri" w:hAnsi="Calibri"/>
                <w:szCs w:val="21"/>
              </w:rPr>
            </w:pPr>
          </w:p>
        </w:tc>
        <w:tc>
          <w:tcPr>
            <w:tcW w:w="873" w:type="dxa"/>
            <w:tcBorders>
              <w:top w:val="single" w:color="auto" w:sz="4" w:space="0"/>
              <w:left w:val="nil"/>
              <w:bottom w:val="single" w:color="auto" w:sz="4" w:space="0"/>
              <w:right w:val="single" w:color="auto" w:sz="4" w:space="0"/>
            </w:tcBorders>
            <w:noWrap/>
            <w:vAlign w:val="center"/>
          </w:tcPr>
          <w:p>
            <w:pPr>
              <w:jc w:val="center"/>
              <w:rPr>
                <w:rFonts w:ascii="Calibri" w:hAnsi="Calibri" w:cs="Calibri"/>
                <w:szCs w:val="21"/>
              </w:rPr>
            </w:pPr>
          </w:p>
        </w:tc>
        <w:tc>
          <w:tcPr>
            <w:tcW w:w="1380" w:type="dxa"/>
            <w:tcBorders>
              <w:top w:val="single" w:color="auto" w:sz="4" w:space="0"/>
              <w:left w:val="nil"/>
              <w:bottom w:val="single" w:color="auto" w:sz="4" w:space="0"/>
              <w:right w:val="single" w:color="auto" w:sz="4" w:space="0"/>
            </w:tcBorders>
            <w:noWrap/>
          </w:tcPr>
          <w:p>
            <w:pPr>
              <w:jc w:val="center"/>
              <w:rPr>
                <w:rFonts w:ascii="Calibri" w:hAnsi="Calibri" w:cs="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Calibri"/>
                <w:szCs w:val="21"/>
              </w:rPr>
            </w:pPr>
            <w:r>
              <w:rPr>
                <w:rFonts w:ascii="Calibri" w:hAnsi="Calibri" w:cs="Calibri"/>
                <w:szCs w:val="21"/>
              </w:rPr>
              <w:t>4</w:t>
            </w:r>
          </w:p>
        </w:tc>
        <w:tc>
          <w:tcPr>
            <w:tcW w:w="1318" w:type="dxa"/>
            <w:gridSpan w:val="2"/>
            <w:tcBorders>
              <w:top w:val="single" w:color="auto" w:sz="4" w:space="0"/>
              <w:left w:val="nil"/>
              <w:bottom w:val="single" w:color="auto" w:sz="4" w:space="0"/>
              <w:right w:val="single" w:color="auto" w:sz="4" w:space="0"/>
            </w:tcBorders>
            <w:noWrap/>
            <w:vAlign w:val="center"/>
          </w:tcPr>
          <w:p>
            <w:pPr>
              <w:rPr>
                <w:rFonts w:ascii="Calibri" w:hAnsi="Calibri"/>
                <w:szCs w:val="21"/>
              </w:rPr>
            </w:pPr>
          </w:p>
        </w:tc>
        <w:tc>
          <w:tcPr>
            <w:tcW w:w="1420" w:type="dxa"/>
            <w:tcBorders>
              <w:top w:val="single" w:color="auto" w:sz="4" w:space="0"/>
              <w:left w:val="nil"/>
              <w:bottom w:val="single" w:color="auto" w:sz="4" w:space="0"/>
              <w:right w:val="single" w:color="auto" w:sz="4" w:space="0"/>
            </w:tcBorders>
            <w:noWrap/>
            <w:vAlign w:val="center"/>
          </w:tcPr>
          <w:p>
            <w:pPr>
              <w:rPr>
                <w:rFonts w:ascii="Calibri" w:hAnsi="Calibri"/>
                <w:szCs w:val="21"/>
              </w:rPr>
            </w:pPr>
          </w:p>
        </w:tc>
        <w:tc>
          <w:tcPr>
            <w:tcW w:w="1417" w:type="dxa"/>
            <w:tcBorders>
              <w:top w:val="single" w:color="auto" w:sz="4" w:space="0"/>
              <w:left w:val="nil"/>
              <w:bottom w:val="single" w:color="auto" w:sz="4" w:space="0"/>
              <w:right w:val="single" w:color="auto" w:sz="4" w:space="0"/>
            </w:tcBorders>
            <w:noWrap/>
          </w:tcPr>
          <w:p>
            <w:pPr>
              <w:jc w:val="center"/>
              <w:rPr>
                <w:rFonts w:ascii="Calibri" w:hAnsi="Calibri" w:cs="Calibri"/>
                <w:szCs w:val="21"/>
              </w:rPr>
            </w:pPr>
          </w:p>
        </w:tc>
        <w:tc>
          <w:tcPr>
            <w:tcW w:w="759" w:type="dxa"/>
            <w:tcBorders>
              <w:top w:val="single" w:color="auto" w:sz="4" w:space="0"/>
              <w:left w:val="nil"/>
              <w:bottom w:val="single" w:color="auto" w:sz="4" w:space="0"/>
              <w:right w:val="single" w:color="auto" w:sz="4" w:space="0"/>
            </w:tcBorders>
            <w:noWrap/>
            <w:vAlign w:val="center"/>
          </w:tcPr>
          <w:p>
            <w:pPr>
              <w:rPr>
                <w:rFonts w:ascii="Calibri" w:hAnsi="Calibri"/>
                <w:szCs w:val="21"/>
              </w:rPr>
            </w:pPr>
          </w:p>
        </w:tc>
        <w:tc>
          <w:tcPr>
            <w:tcW w:w="873" w:type="dxa"/>
            <w:tcBorders>
              <w:top w:val="single" w:color="auto" w:sz="4" w:space="0"/>
              <w:left w:val="nil"/>
              <w:bottom w:val="single" w:color="auto" w:sz="4" w:space="0"/>
              <w:right w:val="single" w:color="auto" w:sz="4" w:space="0"/>
            </w:tcBorders>
            <w:noWrap/>
            <w:vAlign w:val="center"/>
          </w:tcPr>
          <w:p>
            <w:pPr>
              <w:rPr>
                <w:rFonts w:ascii="Calibri" w:hAnsi="Calibri"/>
                <w:szCs w:val="21"/>
              </w:rPr>
            </w:pPr>
          </w:p>
        </w:tc>
        <w:tc>
          <w:tcPr>
            <w:tcW w:w="873" w:type="dxa"/>
            <w:tcBorders>
              <w:top w:val="single" w:color="auto" w:sz="4" w:space="0"/>
              <w:left w:val="nil"/>
              <w:bottom w:val="single" w:color="auto" w:sz="4" w:space="0"/>
              <w:right w:val="single" w:color="auto" w:sz="4" w:space="0"/>
            </w:tcBorders>
            <w:noWrap/>
            <w:vAlign w:val="center"/>
          </w:tcPr>
          <w:p>
            <w:pPr>
              <w:jc w:val="center"/>
              <w:rPr>
                <w:rFonts w:ascii="Calibri" w:hAnsi="Calibri" w:cs="Calibri"/>
                <w:szCs w:val="21"/>
              </w:rPr>
            </w:pPr>
          </w:p>
        </w:tc>
        <w:tc>
          <w:tcPr>
            <w:tcW w:w="1380" w:type="dxa"/>
            <w:tcBorders>
              <w:top w:val="single" w:color="auto" w:sz="4" w:space="0"/>
              <w:left w:val="nil"/>
              <w:bottom w:val="single" w:color="auto" w:sz="4" w:space="0"/>
              <w:right w:val="single" w:color="auto" w:sz="4" w:space="0"/>
            </w:tcBorders>
            <w:noWrap/>
          </w:tcPr>
          <w:p>
            <w:pPr>
              <w:jc w:val="center"/>
              <w:rPr>
                <w:rFonts w:ascii="Calibri" w:hAnsi="Calibri" w:cs="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gridSpan w:val="2"/>
            <w:tcBorders>
              <w:top w:val="single" w:color="auto" w:sz="4" w:space="0"/>
              <w:left w:val="single" w:color="auto" w:sz="4" w:space="0"/>
              <w:bottom w:val="single" w:color="auto" w:sz="4" w:space="0"/>
              <w:right w:val="single" w:color="auto" w:sz="4" w:space="0"/>
            </w:tcBorders>
            <w:noWrap/>
          </w:tcPr>
          <w:p>
            <w:pPr>
              <w:jc w:val="center"/>
              <w:rPr>
                <w:rFonts w:ascii="Calibri" w:hAnsi="Calibri" w:cs="Calibri"/>
                <w:color w:val="000000"/>
                <w:szCs w:val="21"/>
              </w:rPr>
            </w:pPr>
          </w:p>
        </w:tc>
        <w:tc>
          <w:tcPr>
            <w:tcW w:w="6389" w:type="dxa"/>
            <w:gridSpan w:val="6"/>
            <w:tcBorders>
              <w:top w:val="single" w:color="auto" w:sz="4" w:space="0"/>
              <w:left w:val="nil"/>
              <w:bottom w:val="single" w:color="auto" w:sz="4" w:space="0"/>
              <w:right w:val="single" w:color="auto" w:sz="4" w:space="0"/>
            </w:tcBorders>
            <w:noWrap/>
            <w:vAlign w:val="center"/>
          </w:tcPr>
          <w:p>
            <w:pPr>
              <w:jc w:val="center"/>
              <w:rPr>
                <w:rFonts w:ascii="Calibri" w:hAnsi="Calibri" w:cs="Calibri"/>
                <w:szCs w:val="21"/>
              </w:rPr>
            </w:pPr>
            <w:r>
              <w:rPr>
                <w:rFonts w:hint="eastAsia" w:ascii="Calibri" w:hAnsi="Calibri" w:cs="Calibri"/>
                <w:color w:val="000000"/>
                <w:szCs w:val="21"/>
              </w:rPr>
              <w:t>总价</w:t>
            </w:r>
          </w:p>
        </w:tc>
        <w:tc>
          <w:tcPr>
            <w:tcW w:w="1380" w:type="dxa"/>
            <w:tcBorders>
              <w:top w:val="single" w:color="auto" w:sz="4" w:space="0"/>
              <w:left w:val="nil"/>
              <w:bottom w:val="single" w:color="auto" w:sz="4" w:space="0"/>
              <w:right w:val="single" w:color="auto" w:sz="4" w:space="0"/>
            </w:tcBorders>
            <w:noWrap/>
          </w:tcPr>
          <w:p>
            <w:pPr>
              <w:jc w:val="center"/>
              <w:rPr>
                <w:rFonts w:ascii="Calibri" w:hAnsi="Calibri" w:cs="Calibri"/>
                <w:szCs w:val="21"/>
              </w:rPr>
            </w:pPr>
          </w:p>
        </w:tc>
      </w:tr>
    </w:tbl>
    <w:p>
      <w:pPr>
        <w:rPr>
          <w:rFonts w:ascii="Calibri" w:hAnsi="Calibri" w:cs="Calibri"/>
          <w:color w:val="000000"/>
          <w:szCs w:val="21"/>
        </w:rPr>
      </w:pPr>
      <w:r>
        <w:rPr>
          <w:rFonts w:ascii="Calibri" w:hAnsi="Calibri" w:cs="Calibri"/>
          <w:color w:val="000000"/>
          <w:szCs w:val="21"/>
        </w:rPr>
        <w:t xml:space="preserve"> </w:t>
      </w:r>
    </w:p>
    <w:p>
      <w:pPr>
        <w:spacing w:line="360" w:lineRule="auto"/>
        <w:ind w:firstLine="211" w:firstLineChars="100"/>
        <w:rPr>
          <w:rFonts w:ascii="Calibri" w:hAnsi="Calibri" w:cs="Calibri"/>
          <w:b/>
          <w:bCs/>
          <w:color w:val="000000"/>
          <w:szCs w:val="21"/>
        </w:rPr>
      </w:pPr>
      <w:r>
        <w:rPr>
          <w:rFonts w:ascii="Calibri" w:hAnsi="Calibri" w:cs="Calibri"/>
          <w:b/>
          <w:bCs/>
          <w:color w:val="000000"/>
          <w:szCs w:val="21"/>
        </w:rPr>
        <w:t xml:space="preserve"> </w:t>
      </w:r>
    </w:p>
    <w:p>
      <w:pPr>
        <w:spacing w:line="360" w:lineRule="auto"/>
        <w:ind w:firstLine="210" w:firstLineChars="100"/>
        <w:rPr>
          <w:rFonts w:ascii="Calibri" w:hAnsi="Calibri" w:cs="Calibri"/>
          <w:color w:val="000000"/>
          <w:szCs w:val="21"/>
        </w:rPr>
      </w:pPr>
      <w:r>
        <w:rPr>
          <w:rFonts w:ascii="Calibri" w:hAnsi="Calibri" w:cs="Calibri"/>
          <w:color w:val="000000"/>
          <w:szCs w:val="21"/>
        </w:rPr>
        <w:t xml:space="preserve"> </w:t>
      </w:r>
    </w:p>
    <w:p>
      <w:pPr>
        <w:spacing w:line="360" w:lineRule="auto"/>
        <w:rPr>
          <w:rFonts w:ascii="Calibri" w:hAnsi="Calibri" w:cs="Calibri"/>
          <w:color w:val="000000"/>
          <w:szCs w:val="21"/>
        </w:rPr>
      </w:pPr>
      <w:r>
        <w:rPr>
          <w:rFonts w:ascii="Calibri" w:hAnsi="Calibri" w:cs="Calibri"/>
          <w:color w:val="000000"/>
          <w:szCs w:val="21"/>
        </w:rPr>
        <w:t xml:space="preserve"> </w:t>
      </w:r>
    </w:p>
    <w:p>
      <w:pPr>
        <w:spacing w:line="360" w:lineRule="auto"/>
        <w:rPr>
          <w:rFonts w:ascii="Calibri" w:hAnsi="Calibri" w:cs="Calibri"/>
          <w:color w:val="000000"/>
          <w:szCs w:val="21"/>
          <w:u w:val="single"/>
        </w:rPr>
      </w:pPr>
      <w:r>
        <w:rPr>
          <w:rFonts w:hint="eastAsia" w:ascii="宋体" w:cs="Calibri"/>
          <w:color w:val="000000"/>
          <w:szCs w:val="21"/>
        </w:rPr>
        <w:t>供应商：</w:t>
      </w:r>
      <w:r>
        <w:rPr>
          <w:rFonts w:ascii="Calibri" w:hAnsi="Calibri" w:cs="Calibri"/>
          <w:color w:val="000000"/>
          <w:szCs w:val="21"/>
          <w:u w:val="single"/>
        </w:rPr>
        <w:t xml:space="preserve">                            </w:t>
      </w:r>
      <w:r>
        <w:rPr>
          <w:rFonts w:hint="eastAsia" w:ascii="宋体" w:cs="Calibri"/>
          <w:color w:val="000000"/>
          <w:szCs w:val="21"/>
          <w:u w:val="single"/>
        </w:rPr>
        <w:t>（公章）</w:t>
      </w:r>
    </w:p>
    <w:p>
      <w:pPr>
        <w:spacing w:line="360" w:lineRule="auto"/>
        <w:rPr>
          <w:rFonts w:ascii="Calibri" w:hAnsi="Calibri" w:cs="Calibri"/>
          <w:color w:val="000000"/>
          <w:szCs w:val="21"/>
        </w:rPr>
      </w:pPr>
      <w:r>
        <w:rPr>
          <w:rFonts w:ascii="Calibri" w:hAnsi="Calibri" w:cs="Calibri"/>
          <w:color w:val="000000"/>
          <w:szCs w:val="21"/>
        </w:rPr>
        <w:t xml:space="preserve"> </w:t>
      </w:r>
    </w:p>
    <w:p>
      <w:pPr>
        <w:spacing w:line="360" w:lineRule="auto"/>
        <w:rPr>
          <w:rFonts w:ascii="Calibri" w:hAnsi="Calibri" w:cs="Calibri"/>
          <w:color w:val="000000"/>
          <w:szCs w:val="21"/>
        </w:rPr>
      </w:pPr>
      <w:r>
        <w:rPr>
          <w:rFonts w:hint="eastAsia" w:ascii="宋体" w:cs="Calibri"/>
          <w:color w:val="000000"/>
          <w:szCs w:val="21"/>
        </w:rPr>
        <w:t>法定代表人或授权委托人：</w:t>
      </w:r>
      <w:r>
        <w:rPr>
          <w:rFonts w:ascii="Calibri" w:hAnsi="Calibri" w:cs="Calibri"/>
          <w:color w:val="000000"/>
          <w:szCs w:val="21"/>
          <w:u w:val="single"/>
        </w:rPr>
        <w:t xml:space="preserve">             </w:t>
      </w:r>
      <w:r>
        <w:rPr>
          <w:rFonts w:hint="eastAsia" w:ascii="宋体" w:cs="Calibri"/>
          <w:color w:val="000000"/>
          <w:szCs w:val="21"/>
          <w:u w:val="single"/>
        </w:rPr>
        <w:t>（签字）</w:t>
      </w:r>
    </w:p>
    <w:p>
      <w:pPr>
        <w:spacing w:line="360" w:lineRule="auto"/>
        <w:ind w:firstLine="3238" w:firstLineChars="1542"/>
        <w:rPr>
          <w:rFonts w:ascii="Calibri" w:hAnsi="Calibri" w:cs="Calibri"/>
          <w:color w:val="000000"/>
          <w:szCs w:val="21"/>
        </w:rPr>
      </w:pPr>
      <w:r>
        <w:rPr>
          <w:rFonts w:ascii="Calibri" w:hAnsi="Calibri" w:cs="Calibri"/>
          <w:color w:val="000000"/>
          <w:szCs w:val="21"/>
        </w:rPr>
        <w:t xml:space="preserve"> </w:t>
      </w:r>
    </w:p>
    <w:p>
      <w:pPr>
        <w:spacing w:line="360" w:lineRule="auto"/>
        <w:ind w:firstLine="3238" w:firstLineChars="1542"/>
        <w:rPr>
          <w:rFonts w:ascii="Calibri" w:hAnsi="Calibri" w:cs="Calibri"/>
          <w:color w:val="000000"/>
          <w:szCs w:val="21"/>
        </w:rPr>
      </w:pPr>
      <w:r>
        <w:rPr>
          <w:rFonts w:ascii="Calibri" w:hAnsi="Calibri" w:cs="Calibri"/>
          <w:color w:val="000000"/>
          <w:szCs w:val="21"/>
        </w:rPr>
        <w:t xml:space="preserve"> </w:t>
      </w:r>
    </w:p>
    <w:p>
      <w:pPr>
        <w:spacing w:line="360" w:lineRule="auto"/>
        <w:ind w:firstLine="3238" w:firstLineChars="1542"/>
        <w:rPr>
          <w:rFonts w:ascii="Calibri" w:hAnsi="Calibri" w:cs="Calibri"/>
          <w:color w:val="000000"/>
          <w:szCs w:val="21"/>
        </w:rPr>
      </w:pPr>
      <w:r>
        <w:rPr>
          <w:rFonts w:hint="eastAsia" w:ascii="宋体" w:cs="Calibri"/>
          <w:color w:val="000000"/>
          <w:szCs w:val="21"/>
        </w:rPr>
        <w:t>日期：</w:t>
      </w:r>
      <w:r>
        <w:rPr>
          <w:rFonts w:ascii="Calibri" w:hAnsi="Calibri" w:cs="Calibri"/>
          <w:color w:val="000000"/>
          <w:szCs w:val="21"/>
          <w:u w:val="single"/>
        </w:rPr>
        <w:t xml:space="preserve">      </w:t>
      </w:r>
      <w:r>
        <w:rPr>
          <w:rFonts w:hint="eastAsia" w:ascii="宋体" w:cs="Calibri"/>
          <w:color w:val="000000"/>
          <w:szCs w:val="21"/>
        </w:rPr>
        <w:t>年</w:t>
      </w:r>
      <w:r>
        <w:rPr>
          <w:rFonts w:ascii="Calibri" w:hAnsi="Calibri" w:cs="Calibri"/>
          <w:color w:val="000000"/>
          <w:szCs w:val="21"/>
        </w:rPr>
        <w:t xml:space="preserve"> </w:t>
      </w:r>
      <w:r>
        <w:rPr>
          <w:rFonts w:ascii="Calibri" w:hAnsi="Calibri" w:cs="Calibri"/>
          <w:color w:val="000000"/>
          <w:szCs w:val="21"/>
          <w:u w:val="single"/>
        </w:rPr>
        <w:t xml:space="preserve">      </w:t>
      </w:r>
      <w:r>
        <w:rPr>
          <w:rFonts w:hint="eastAsia" w:ascii="宋体" w:cs="Calibri"/>
          <w:color w:val="000000"/>
          <w:szCs w:val="21"/>
        </w:rPr>
        <w:t>月</w:t>
      </w:r>
      <w:r>
        <w:rPr>
          <w:rFonts w:ascii="Calibri" w:hAnsi="Calibri" w:cs="Calibri"/>
          <w:color w:val="000000"/>
          <w:szCs w:val="21"/>
        </w:rPr>
        <w:t xml:space="preserve"> </w:t>
      </w:r>
      <w:r>
        <w:rPr>
          <w:rFonts w:ascii="Calibri" w:hAnsi="Calibri" w:cs="Calibri"/>
          <w:color w:val="000000"/>
          <w:szCs w:val="21"/>
          <w:u w:val="single"/>
        </w:rPr>
        <w:t xml:space="preserve">     </w:t>
      </w:r>
      <w:r>
        <w:rPr>
          <w:rFonts w:hint="eastAsia" w:ascii="宋体" w:cs="Calibri"/>
          <w:color w:val="000000"/>
          <w:szCs w:val="21"/>
        </w:rPr>
        <w:t>日</w:t>
      </w:r>
    </w:p>
    <w:p>
      <w:pPr>
        <w:spacing w:line="360" w:lineRule="auto"/>
        <w:jc w:val="center"/>
        <w:rPr>
          <w:color w:val="000000"/>
          <w:sz w:val="24"/>
          <w:szCs w:val="24"/>
        </w:rPr>
      </w:pPr>
    </w:p>
    <w:p>
      <w:pPr>
        <w:spacing w:line="360" w:lineRule="auto"/>
        <w:jc w:val="center"/>
        <w:rPr>
          <w:color w:val="000000"/>
          <w:sz w:val="24"/>
          <w:szCs w:val="24"/>
        </w:rPr>
      </w:pPr>
    </w:p>
    <w:p>
      <w:pPr>
        <w:spacing w:line="360" w:lineRule="auto"/>
        <w:rPr>
          <w:rFonts w:ascii="宋体" w:cs="宋体"/>
          <w:color w:val="000000"/>
          <w:sz w:val="24"/>
          <w:szCs w:val="24"/>
        </w:rPr>
      </w:pPr>
      <w:r>
        <w:rPr>
          <w:rFonts w:hint="eastAsia"/>
          <w:color w:val="000000"/>
          <w:sz w:val="24"/>
          <w:szCs w:val="24"/>
        </w:rPr>
        <w:t>说明：（1）</w:t>
      </w:r>
      <w:r>
        <w:rPr>
          <w:rFonts w:hint="eastAsia" w:ascii="宋体" w:cs="宋体"/>
          <w:color w:val="000000"/>
          <w:sz w:val="24"/>
          <w:szCs w:val="24"/>
        </w:rPr>
        <w:t>本次招标报价为全费用报价，其中包括但不限制于货款、货物供货、货物安装、调试（如有）期间材料、人员开支、标准附件、备品备件、专用工具、包装、安全文明实施费用、运输、装卸、培训、交通费、有关保险费用、 管理费、措施费等交付使用前的一切费用及质保期内的维保及质保等税金和费用。</w:t>
      </w:r>
    </w:p>
    <w:p>
      <w:pPr>
        <w:spacing w:line="360" w:lineRule="auto"/>
        <w:rPr>
          <w:rFonts w:ascii="宋体" w:cs="宋体"/>
          <w:color w:val="000000"/>
          <w:sz w:val="24"/>
          <w:szCs w:val="24"/>
        </w:rPr>
      </w:pPr>
      <w:r>
        <w:rPr>
          <w:rFonts w:hint="eastAsia" w:ascii="宋体" w:cs="宋体"/>
          <w:color w:val="000000"/>
          <w:sz w:val="24"/>
          <w:szCs w:val="24"/>
        </w:rPr>
        <w:t>（2）如果单价和总价不符时，以单价为准，并修正总价。</w:t>
      </w:r>
    </w:p>
    <w:p>
      <w:pPr>
        <w:spacing w:line="360" w:lineRule="auto"/>
        <w:rPr>
          <w:rFonts w:ascii="宋体" w:cs="宋体"/>
          <w:color w:val="000000"/>
          <w:sz w:val="24"/>
          <w:szCs w:val="24"/>
        </w:rPr>
      </w:pPr>
    </w:p>
    <w:p>
      <w:pPr>
        <w:spacing w:line="360" w:lineRule="auto"/>
        <w:jc w:val="center"/>
        <w:rPr>
          <w:color w:val="000000"/>
          <w:sz w:val="24"/>
          <w:szCs w:val="24"/>
        </w:rPr>
      </w:pPr>
    </w:p>
    <w:p>
      <w:pPr>
        <w:spacing w:line="360" w:lineRule="auto"/>
        <w:jc w:val="center"/>
        <w:rPr>
          <w:color w:val="000000"/>
          <w:sz w:val="24"/>
          <w:szCs w:val="24"/>
        </w:rPr>
      </w:pPr>
    </w:p>
    <w:p>
      <w:pPr>
        <w:spacing w:line="360" w:lineRule="auto"/>
        <w:jc w:val="center"/>
        <w:rPr>
          <w:color w:val="000000"/>
          <w:sz w:val="24"/>
          <w:szCs w:val="24"/>
        </w:rPr>
      </w:pPr>
    </w:p>
    <w:p>
      <w:pPr>
        <w:spacing w:line="360" w:lineRule="auto"/>
        <w:jc w:val="center"/>
        <w:rPr>
          <w:color w:val="000000"/>
          <w:sz w:val="24"/>
          <w:szCs w:val="24"/>
        </w:rPr>
      </w:pPr>
    </w:p>
    <w:p>
      <w:pPr>
        <w:spacing w:line="360" w:lineRule="auto"/>
        <w:jc w:val="center"/>
        <w:rPr>
          <w:color w:val="000000"/>
          <w:sz w:val="24"/>
          <w:szCs w:val="24"/>
        </w:rPr>
      </w:pPr>
    </w:p>
    <w:p>
      <w:pPr>
        <w:spacing w:line="360" w:lineRule="auto"/>
        <w:jc w:val="center"/>
        <w:rPr>
          <w:color w:val="000000"/>
          <w:sz w:val="24"/>
          <w:szCs w:val="24"/>
        </w:rPr>
      </w:pPr>
    </w:p>
    <w:p>
      <w:pPr>
        <w:rPr>
          <w:b/>
          <w:sz w:val="24"/>
        </w:rPr>
      </w:pPr>
      <w:r>
        <w:rPr>
          <w:rFonts w:hint="eastAsia" w:asciiTheme="majorEastAsia" w:hAnsiTheme="majorEastAsia" w:eastAsiaTheme="majorEastAsia"/>
          <w:b/>
          <w:sz w:val="28"/>
          <w:szCs w:val="28"/>
        </w:rPr>
        <w:t>7</w:t>
      </w:r>
      <w:r>
        <w:rPr>
          <w:rFonts w:hint="eastAsia"/>
          <w:b/>
          <w:sz w:val="24"/>
        </w:rPr>
        <w:t>、</w:t>
      </w:r>
      <w:r>
        <w:rPr>
          <w:rFonts w:hint="eastAsia"/>
          <w:b/>
          <w:sz w:val="24"/>
          <w:szCs w:val="24"/>
        </w:rPr>
        <w:t>投标货物技术文件</w:t>
      </w:r>
    </w:p>
    <w:p>
      <w:pPr>
        <w:rPr>
          <w:b/>
          <w:sz w:val="24"/>
        </w:rPr>
      </w:pPr>
      <w:r>
        <w:rPr>
          <w:rFonts w:hint="eastAsia"/>
          <w:b/>
          <w:sz w:val="24"/>
        </w:rPr>
        <w:t>（以文字、图片、检测报告等方式具体描述所投标货物的实际技术性能情况）</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r>
        <w:rPr>
          <w:rFonts w:hint="eastAsia" w:asciiTheme="majorEastAsia" w:hAnsiTheme="majorEastAsia" w:eastAsiaTheme="majorEastAsia"/>
          <w:b/>
          <w:sz w:val="28"/>
          <w:szCs w:val="28"/>
        </w:rPr>
        <w:t>8</w:t>
      </w:r>
      <w:r>
        <w:rPr>
          <w:rFonts w:hint="eastAsia"/>
          <w:b/>
          <w:sz w:val="24"/>
        </w:rPr>
        <w:t>、投标货物技术指标偏离表</w:t>
      </w:r>
    </w:p>
    <w:tbl>
      <w:tblPr>
        <w:tblStyle w:val="24"/>
        <w:tblW w:w="8237" w:type="dxa"/>
        <w:tblInd w:w="93" w:type="dxa"/>
        <w:tblLayout w:type="fixed"/>
        <w:tblCellMar>
          <w:top w:w="0" w:type="dxa"/>
          <w:left w:w="108" w:type="dxa"/>
          <w:bottom w:w="0" w:type="dxa"/>
          <w:right w:w="108" w:type="dxa"/>
        </w:tblCellMar>
      </w:tblPr>
      <w:tblGrid>
        <w:gridCol w:w="724"/>
        <w:gridCol w:w="2126"/>
        <w:gridCol w:w="2410"/>
        <w:gridCol w:w="2126"/>
        <w:gridCol w:w="851"/>
      </w:tblGrid>
      <w:tr>
        <w:tblPrEx>
          <w:tblCellMar>
            <w:top w:w="0" w:type="dxa"/>
            <w:left w:w="108" w:type="dxa"/>
            <w:bottom w:w="0" w:type="dxa"/>
            <w:right w:w="108" w:type="dxa"/>
          </w:tblCellMar>
        </w:tblPrEx>
        <w:trPr>
          <w:trHeight w:val="1236"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color w:val="000000"/>
              </w:rPr>
            </w:pPr>
            <w:r>
              <w:rPr>
                <w:rFonts w:hint="eastAsia" w:ascii="宋体" w:cs="宋体"/>
                <w:color w:val="000000"/>
              </w:rPr>
              <w:t>序号</w:t>
            </w:r>
          </w:p>
        </w:tc>
        <w:tc>
          <w:tcPr>
            <w:tcW w:w="2126" w:type="dxa"/>
            <w:tcBorders>
              <w:top w:val="single" w:color="auto" w:sz="4" w:space="0"/>
              <w:left w:val="nil"/>
              <w:bottom w:val="single" w:color="auto" w:sz="4" w:space="0"/>
              <w:right w:val="single" w:color="auto" w:sz="4" w:space="0"/>
            </w:tcBorders>
            <w:noWrap/>
            <w:vAlign w:val="center"/>
          </w:tcPr>
          <w:p>
            <w:pPr>
              <w:jc w:val="center"/>
              <w:rPr>
                <w:rFonts w:ascii="宋体" w:cs="宋体"/>
                <w:color w:val="000000"/>
              </w:rPr>
            </w:pPr>
            <w:r>
              <w:rPr>
                <w:rFonts w:hint="eastAsia" w:ascii="宋体" w:cs="宋体"/>
                <w:color w:val="000000"/>
              </w:rPr>
              <w:t>采购品类</w:t>
            </w:r>
          </w:p>
        </w:tc>
        <w:tc>
          <w:tcPr>
            <w:tcW w:w="2410" w:type="dxa"/>
            <w:tcBorders>
              <w:top w:val="single" w:color="auto" w:sz="4" w:space="0"/>
              <w:left w:val="nil"/>
              <w:bottom w:val="single" w:color="auto" w:sz="4" w:space="0"/>
              <w:right w:val="single" w:color="auto" w:sz="4" w:space="0"/>
            </w:tcBorders>
            <w:noWrap/>
            <w:vAlign w:val="center"/>
          </w:tcPr>
          <w:p>
            <w:pPr>
              <w:jc w:val="center"/>
              <w:rPr>
                <w:rFonts w:ascii="宋体" w:cs="宋体"/>
                <w:color w:val="000000"/>
              </w:rPr>
            </w:pPr>
            <w:r>
              <w:rPr>
                <w:rFonts w:hint="eastAsia" w:ascii="宋体" w:cs="宋体"/>
                <w:color w:val="000000"/>
              </w:rPr>
              <w:t>招标文件技术要求</w:t>
            </w:r>
          </w:p>
        </w:tc>
        <w:tc>
          <w:tcPr>
            <w:tcW w:w="2126" w:type="dxa"/>
            <w:tcBorders>
              <w:top w:val="single" w:color="auto" w:sz="4" w:space="0"/>
              <w:left w:val="nil"/>
              <w:bottom w:val="single" w:color="auto" w:sz="4" w:space="0"/>
              <w:right w:val="single" w:color="auto" w:sz="4" w:space="0"/>
            </w:tcBorders>
            <w:noWrap/>
            <w:vAlign w:val="center"/>
          </w:tcPr>
          <w:p>
            <w:pPr>
              <w:jc w:val="center"/>
              <w:rPr>
                <w:rFonts w:ascii="宋体" w:cs="宋体"/>
                <w:color w:val="000000"/>
              </w:rPr>
            </w:pPr>
            <w:r>
              <w:rPr>
                <w:rFonts w:hint="eastAsia" w:ascii="宋体" w:cs="宋体"/>
                <w:color w:val="000000"/>
              </w:rPr>
              <w:t>偏离部分</w:t>
            </w:r>
          </w:p>
          <w:p>
            <w:pPr>
              <w:jc w:val="center"/>
              <w:rPr>
                <w:rFonts w:ascii="宋体" w:cs="宋体"/>
                <w:color w:val="000000"/>
              </w:rPr>
            </w:pPr>
            <w:r>
              <w:rPr>
                <w:rFonts w:hint="eastAsia" w:ascii="宋体" w:cs="宋体"/>
                <w:color w:val="000000"/>
              </w:rPr>
              <w:t>（正/无/负）</w:t>
            </w:r>
          </w:p>
          <w:p>
            <w:pPr>
              <w:jc w:val="center"/>
              <w:rPr>
                <w:rFonts w:ascii="宋体" w:cs="宋体"/>
                <w:color w:val="000000"/>
              </w:rPr>
            </w:pPr>
            <w:r>
              <w:rPr>
                <w:rFonts w:hint="eastAsia" w:ascii="宋体" w:cs="宋体"/>
                <w:color w:val="000000"/>
              </w:rPr>
              <w:t>具体指标</w:t>
            </w:r>
          </w:p>
        </w:tc>
        <w:tc>
          <w:tcPr>
            <w:tcW w:w="851" w:type="dxa"/>
            <w:tcBorders>
              <w:top w:val="single" w:color="auto" w:sz="4" w:space="0"/>
              <w:left w:val="nil"/>
              <w:bottom w:val="single" w:color="auto" w:sz="4" w:space="0"/>
              <w:right w:val="single" w:color="auto" w:sz="4" w:space="0"/>
            </w:tcBorders>
            <w:noWrap/>
            <w:vAlign w:val="center"/>
          </w:tcPr>
          <w:p>
            <w:pPr>
              <w:jc w:val="center"/>
              <w:rPr>
                <w:rFonts w:ascii="宋体" w:cs="宋体"/>
                <w:color w:val="000000"/>
              </w:rPr>
            </w:pPr>
            <w:r>
              <w:rPr>
                <w:rFonts w:hint="eastAsia"/>
              </w:rPr>
              <w:t>佐证资料对应的位置</w:t>
            </w:r>
          </w:p>
        </w:tc>
      </w:tr>
      <w:tr>
        <w:tblPrEx>
          <w:tblCellMar>
            <w:top w:w="0" w:type="dxa"/>
            <w:left w:w="108" w:type="dxa"/>
            <w:bottom w:w="0" w:type="dxa"/>
            <w:right w:w="108" w:type="dxa"/>
          </w:tblCellMar>
        </w:tblPrEx>
        <w:trPr>
          <w:trHeight w:val="70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rPr>
                <w:rFonts w:ascii="宋体" w:cs="宋体"/>
                <w:color w:val="000000"/>
              </w:rPr>
            </w:pPr>
          </w:p>
        </w:tc>
        <w:tc>
          <w:tcPr>
            <w:tcW w:w="2126" w:type="dxa"/>
            <w:tcBorders>
              <w:top w:val="single" w:color="auto" w:sz="4" w:space="0"/>
              <w:left w:val="nil"/>
              <w:bottom w:val="single" w:color="auto" w:sz="4" w:space="0"/>
              <w:right w:val="single" w:color="auto" w:sz="4" w:space="0"/>
            </w:tcBorders>
            <w:noWrap/>
            <w:vAlign w:val="center"/>
          </w:tcPr>
          <w:p>
            <w:pPr>
              <w:rPr>
                <w:rFonts w:ascii="宋体" w:cs="宋体"/>
                <w:color w:val="000000"/>
              </w:rPr>
            </w:pPr>
          </w:p>
        </w:tc>
        <w:tc>
          <w:tcPr>
            <w:tcW w:w="2410" w:type="dxa"/>
            <w:tcBorders>
              <w:top w:val="single" w:color="auto" w:sz="4" w:space="0"/>
              <w:left w:val="nil"/>
              <w:bottom w:val="single" w:color="auto" w:sz="4" w:space="0"/>
              <w:right w:val="single" w:color="auto" w:sz="4" w:space="0"/>
            </w:tcBorders>
            <w:noWrap/>
            <w:vAlign w:val="center"/>
          </w:tcPr>
          <w:p>
            <w:pPr>
              <w:rPr>
                <w:rFonts w:ascii="宋体" w:cs="宋体"/>
                <w:color w:val="000000"/>
              </w:rPr>
            </w:pPr>
          </w:p>
        </w:tc>
        <w:tc>
          <w:tcPr>
            <w:tcW w:w="2126" w:type="dxa"/>
            <w:tcBorders>
              <w:top w:val="single" w:color="auto" w:sz="4" w:space="0"/>
              <w:left w:val="nil"/>
              <w:bottom w:val="single" w:color="auto" w:sz="4" w:space="0"/>
              <w:right w:val="single" w:color="auto" w:sz="4" w:space="0"/>
            </w:tcBorders>
            <w:noWrap/>
            <w:vAlign w:val="center"/>
          </w:tcPr>
          <w:p>
            <w:pPr>
              <w:rPr>
                <w:rFonts w:ascii="宋体" w:cs="宋体"/>
                <w:color w:val="000000"/>
              </w:rPr>
            </w:pPr>
          </w:p>
        </w:tc>
        <w:tc>
          <w:tcPr>
            <w:tcW w:w="851" w:type="dxa"/>
            <w:tcBorders>
              <w:top w:val="single" w:color="auto" w:sz="4" w:space="0"/>
              <w:left w:val="nil"/>
              <w:bottom w:val="single" w:color="auto" w:sz="4" w:space="0"/>
              <w:right w:val="single" w:color="auto"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70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rPr>
                <w:rFonts w:ascii="宋体" w:cs="宋体"/>
                <w:color w:val="000000"/>
              </w:rPr>
            </w:pPr>
          </w:p>
        </w:tc>
        <w:tc>
          <w:tcPr>
            <w:tcW w:w="2126" w:type="dxa"/>
            <w:tcBorders>
              <w:top w:val="single" w:color="auto" w:sz="4" w:space="0"/>
              <w:left w:val="nil"/>
              <w:bottom w:val="single" w:color="auto" w:sz="4" w:space="0"/>
              <w:right w:val="single" w:color="auto" w:sz="4" w:space="0"/>
            </w:tcBorders>
            <w:noWrap/>
            <w:vAlign w:val="center"/>
          </w:tcPr>
          <w:p>
            <w:pPr>
              <w:rPr>
                <w:rFonts w:ascii="宋体" w:cs="宋体"/>
                <w:color w:val="000000"/>
              </w:rPr>
            </w:pPr>
          </w:p>
        </w:tc>
        <w:tc>
          <w:tcPr>
            <w:tcW w:w="2410" w:type="dxa"/>
            <w:tcBorders>
              <w:top w:val="single" w:color="auto" w:sz="4" w:space="0"/>
              <w:left w:val="nil"/>
              <w:bottom w:val="single" w:color="auto" w:sz="4" w:space="0"/>
              <w:right w:val="single" w:color="auto" w:sz="4" w:space="0"/>
            </w:tcBorders>
            <w:noWrap/>
            <w:vAlign w:val="center"/>
          </w:tcPr>
          <w:p>
            <w:pPr>
              <w:rPr>
                <w:rFonts w:ascii="宋体" w:cs="宋体"/>
                <w:color w:val="000000"/>
              </w:rPr>
            </w:pPr>
          </w:p>
        </w:tc>
        <w:tc>
          <w:tcPr>
            <w:tcW w:w="2126" w:type="dxa"/>
            <w:tcBorders>
              <w:top w:val="single" w:color="auto" w:sz="4" w:space="0"/>
              <w:left w:val="nil"/>
              <w:bottom w:val="single" w:color="auto" w:sz="4" w:space="0"/>
              <w:right w:val="single" w:color="auto" w:sz="4" w:space="0"/>
            </w:tcBorders>
            <w:noWrap/>
            <w:vAlign w:val="center"/>
          </w:tcPr>
          <w:p>
            <w:pPr>
              <w:rPr>
                <w:rFonts w:ascii="宋体" w:cs="宋体"/>
                <w:color w:val="000000"/>
              </w:rPr>
            </w:pPr>
          </w:p>
        </w:tc>
        <w:tc>
          <w:tcPr>
            <w:tcW w:w="851" w:type="dxa"/>
            <w:tcBorders>
              <w:top w:val="single" w:color="auto" w:sz="4" w:space="0"/>
              <w:left w:val="nil"/>
              <w:bottom w:val="single" w:color="auto" w:sz="4" w:space="0"/>
              <w:right w:val="single" w:color="auto"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70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rPr>
                <w:rFonts w:ascii="宋体" w:cs="宋体"/>
                <w:color w:val="000000"/>
              </w:rPr>
            </w:pPr>
          </w:p>
        </w:tc>
        <w:tc>
          <w:tcPr>
            <w:tcW w:w="2126" w:type="dxa"/>
            <w:tcBorders>
              <w:top w:val="single" w:color="auto" w:sz="4" w:space="0"/>
              <w:left w:val="nil"/>
              <w:bottom w:val="single" w:color="auto" w:sz="4" w:space="0"/>
              <w:right w:val="single" w:color="auto" w:sz="4" w:space="0"/>
            </w:tcBorders>
            <w:noWrap/>
            <w:vAlign w:val="center"/>
          </w:tcPr>
          <w:p>
            <w:pPr>
              <w:rPr>
                <w:rFonts w:ascii="宋体" w:cs="宋体"/>
                <w:color w:val="000000"/>
              </w:rPr>
            </w:pPr>
          </w:p>
        </w:tc>
        <w:tc>
          <w:tcPr>
            <w:tcW w:w="2410" w:type="dxa"/>
            <w:tcBorders>
              <w:top w:val="single" w:color="auto" w:sz="4" w:space="0"/>
              <w:left w:val="nil"/>
              <w:bottom w:val="single" w:color="auto" w:sz="4" w:space="0"/>
              <w:right w:val="single" w:color="auto" w:sz="4" w:space="0"/>
            </w:tcBorders>
            <w:noWrap/>
            <w:vAlign w:val="center"/>
          </w:tcPr>
          <w:p>
            <w:pPr>
              <w:rPr>
                <w:rFonts w:ascii="宋体" w:cs="宋体"/>
                <w:color w:val="000000"/>
              </w:rPr>
            </w:pPr>
          </w:p>
        </w:tc>
        <w:tc>
          <w:tcPr>
            <w:tcW w:w="2126" w:type="dxa"/>
            <w:tcBorders>
              <w:top w:val="single" w:color="auto" w:sz="4" w:space="0"/>
              <w:left w:val="nil"/>
              <w:bottom w:val="single" w:color="auto" w:sz="4" w:space="0"/>
              <w:right w:val="single" w:color="auto" w:sz="4" w:space="0"/>
            </w:tcBorders>
            <w:noWrap/>
            <w:vAlign w:val="center"/>
          </w:tcPr>
          <w:p>
            <w:pPr>
              <w:rPr>
                <w:rFonts w:ascii="宋体" w:cs="宋体"/>
                <w:color w:val="000000"/>
              </w:rPr>
            </w:pPr>
          </w:p>
        </w:tc>
        <w:tc>
          <w:tcPr>
            <w:tcW w:w="851" w:type="dxa"/>
            <w:tcBorders>
              <w:top w:val="single" w:color="auto" w:sz="4" w:space="0"/>
              <w:left w:val="nil"/>
              <w:bottom w:val="single" w:color="auto" w:sz="4" w:space="0"/>
              <w:right w:val="single" w:color="auto" w:sz="4" w:space="0"/>
            </w:tcBorders>
            <w:noWrap/>
            <w:vAlign w:val="center"/>
          </w:tcPr>
          <w:p>
            <w:pPr>
              <w:rPr>
                <w:rFonts w:ascii="宋体" w:cs="宋体"/>
                <w:color w:val="000000"/>
              </w:rPr>
            </w:pPr>
          </w:p>
        </w:tc>
      </w:tr>
    </w:tbl>
    <w:p>
      <w:pPr>
        <w:rPr>
          <w:rFonts w:ascii="宋体" w:cs="宋体"/>
          <w:color w:val="000000"/>
          <w:sz w:val="32"/>
          <w:szCs w:val="32"/>
        </w:rPr>
      </w:pPr>
      <w:r>
        <w:rPr>
          <w:rFonts w:hint="eastAsia" w:ascii="宋体" w:cs="宋体"/>
          <w:color w:val="000000"/>
        </w:rPr>
        <w:t>注：投标产品存在“正”“负”偏离的，必须在本表中详细填写，具体填写标准需以招标文件“技术要求”为基准详细列明具体偏离指标及偏离值。</w:t>
      </w:r>
    </w:p>
    <w:p>
      <w:pPr>
        <w:rPr>
          <w:b/>
          <w:sz w:val="24"/>
        </w:rPr>
      </w:pPr>
      <w:r>
        <w:rPr>
          <w:rFonts w:hint="eastAsia" w:asciiTheme="majorEastAsia" w:hAnsiTheme="majorEastAsia" w:eastAsiaTheme="majorEastAsia"/>
          <w:b/>
          <w:sz w:val="28"/>
          <w:szCs w:val="28"/>
        </w:rPr>
        <w:t>9</w:t>
      </w:r>
      <w:r>
        <w:rPr>
          <w:rFonts w:hint="eastAsia"/>
          <w:b/>
          <w:sz w:val="24"/>
        </w:rPr>
        <w:t>、投标方资格证明文件：</w:t>
      </w:r>
    </w:p>
    <w:p>
      <w:pPr>
        <w:rPr>
          <w:b/>
          <w:sz w:val="24"/>
        </w:rPr>
      </w:pPr>
      <w:r>
        <w:rPr>
          <w:rFonts w:hint="eastAsia"/>
          <w:b/>
          <w:sz w:val="24"/>
        </w:rPr>
        <w:t>格式自拟</w:t>
      </w:r>
      <w:bookmarkStart w:id="46" w:name="_Toc31384"/>
    </w:p>
    <w:p>
      <w:pPr>
        <w:rPr>
          <w:rFonts w:hint="default" w:eastAsia="宋体"/>
          <w:b/>
          <w:sz w:val="24"/>
          <w:lang w:val="en-US" w:eastAsia="zh-CN"/>
        </w:rPr>
      </w:pPr>
      <w:r>
        <w:rPr>
          <w:rFonts w:hint="eastAsia" w:asciiTheme="majorEastAsia" w:hAnsiTheme="majorEastAsia" w:eastAsiaTheme="majorEastAsia"/>
          <w:b/>
          <w:sz w:val="28"/>
          <w:szCs w:val="28"/>
        </w:rPr>
        <w:t>1</w:t>
      </w:r>
      <w:r>
        <w:rPr>
          <w:rFonts w:asciiTheme="majorEastAsia" w:hAnsiTheme="majorEastAsia" w:eastAsiaTheme="majorEastAsia"/>
          <w:b/>
          <w:sz w:val="28"/>
          <w:szCs w:val="28"/>
        </w:rPr>
        <w:t>0</w:t>
      </w:r>
      <w:r>
        <w:rPr>
          <w:rFonts w:hint="eastAsia"/>
          <w:b/>
          <w:sz w:val="24"/>
        </w:rPr>
        <w:t>、售后服务承诺书</w:t>
      </w:r>
      <w:bookmarkEnd w:id="46"/>
      <w:r>
        <w:rPr>
          <w:rFonts w:hint="eastAsia"/>
          <w:b/>
          <w:sz w:val="24"/>
          <w:lang w:eastAsia="zh-CN"/>
        </w:rPr>
        <w:t>（</w:t>
      </w:r>
      <w:r>
        <w:rPr>
          <w:rFonts w:hint="eastAsia"/>
          <w:b/>
          <w:sz w:val="24"/>
          <w:lang w:val="en-US" w:eastAsia="zh-CN"/>
        </w:rPr>
        <w:t>格式自拟）</w:t>
      </w:r>
    </w:p>
    <w:p>
      <w:pPr>
        <w:ind w:firstLine="2891" w:firstLineChars="800"/>
        <w:rPr>
          <w:rFonts w:asciiTheme="majorEastAsia" w:hAnsiTheme="majorEastAsia" w:eastAsiaTheme="majorEastAsia"/>
          <w:b/>
          <w:sz w:val="36"/>
          <w:szCs w:val="36"/>
        </w:rPr>
      </w:pPr>
    </w:p>
    <w:p>
      <w:pPr>
        <w:ind w:firstLine="2891" w:firstLineChars="600"/>
        <w:rPr>
          <w:rFonts w:asciiTheme="majorEastAsia" w:hAnsiTheme="majorEastAsia" w:eastAsiaTheme="majorEastAsia"/>
          <w:b/>
          <w:sz w:val="48"/>
          <w:szCs w:val="48"/>
        </w:rPr>
      </w:pPr>
    </w:p>
    <w:p>
      <w:pPr>
        <w:ind w:firstLine="2891" w:firstLineChars="600"/>
        <w:rPr>
          <w:rFonts w:asciiTheme="majorEastAsia" w:hAnsiTheme="majorEastAsia" w:eastAsiaTheme="majorEastAsia"/>
          <w:b/>
          <w:sz w:val="48"/>
          <w:szCs w:val="48"/>
        </w:rPr>
      </w:pPr>
    </w:p>
    <w:p>
      <w:pPr>
        <w:ind w:firstLine="2891" w:firstLineChars="600"/>
        <w:rPr>
          <w:rFonts w:asciiTheme="majorEastAsia" w:hAnsiTheme="majorEastAsia" w:eastAsiaTheme="majorEastAsia"/>
          <w:b/>
          <w:sz w:val="48"/>
          <w:szCs w:val="48"/>
        </w:rPr>
      </w:pPr>
    </w:p>
    <w:p>
      <w:pPr>
        <w:ind w:firstLine="2891" w:firstLineChars="600"/>
        <w:rPr>
          <w:rFonts w:asciiTheme="majorEastAsia" w:hAnsiTheme="majorEastAsia" w:eastAsiaTheme="majorEastAsia"/>
          <w:b/>
          <w:sz w:val="48"/>
          <w:szCs w:val="48"/>
        </w:rPr>
      </w:pPr>
    </w:p>
    <w:p>
      <w:pPr>
        <w:ind w:firstLine="2891" w:firstLineChars="600"/>
        <w:rPr>
          <w:rFonts w:asciiTheme="majorEastAsia" w:hAnsiTheme="majorEastAsia" w:eastAsiaTheme="majorEastAsia"/>
          <w:b/>
          <w:sz w:val="48"/>
          <w:szCs w:val="48"/>
        </w:rPr>
      </w:pPr>
    </w:p>
    <w:p>
      <w:pPr>
        <w:ind w:firstLine="2891" w:firstLineChars="600"/>
        <w:rPr>
          <w:rFonts w:asciiTheme="majorEastAsia" w:hAnsiTheme="majorEastAsia" w:eastAsiaTheme="majorEastAsia"/>
          <w:b/>
          <w:sz w:val="48"/>
          <w:szCs w:val="48"/>
        </w:rPr>
      </w:pPr>
    </w:p>
    <w:p>
      <w:pPr>
        <w:ind w:firstLine="2891" w:firstLineChars="600"/>
        <w:rPr>
          <w:rFonts w:asciiTheme="majorEastAsia" w:hAnsiTheme="majorEastAsia" w:eastAsiaTheme="majorEastAsia"/>
          <w:b/>
          <w:sz w:val="48"/>
          <w:szCs w:val="48"/>
        </w:rPr>
      </w:pPr>
    </w:p>
    <w:p>
      <w:pPr>
        <w:ind w:firstLine="2891" w:firstLineChars="600"/>
        <w:rPr>
          <w:rFonts w:asciiTheme="majorEastAsia" w:hAnsiTheme="majorEastAsia" w:eastAsiaTheme="majorEastAsia"/>
          <w:b/>
          <w:sz w:val="48"/>
          <w:szCs w:val="48"/>
        </w:rPr>
      </w:pPr>
    </w:p>
    <w:p>
      <w:pPr>
        <w:ind w:firstLine="2891" w:firstLineChars="600"/>
        <w:rPr>
          <w:rFonts w:asciiTheme="majorEastAsia" w:hAnsiTheme="majorEastAsia" w:eastAsiaTheme="majorEastAsia"/>
          <w:b/>
          <w:sz w:val="48"/>
          <w:szCs w:val="48"/>
        </w:rPr>
      </w:pPr>
      <w:r>
        <w:rPr>
          <w:rFonts w:hint="eastAsia" w:asciiTheme="majorEastAsia" w:hAnsiTheme="majorEastAsia" w:eastAsiaTheme="majorEastAsia"/>
          <w:b/>
          <w:sz w:val="48"/>
          <w:szCs w:val="48"/>
        </w:rPr>
        <w:t>第七章</w:t>
      </w:r>
      <w:r>
        <w:rPr>
          <w:rFonts w:asciiTheme="majorEastAsia" w:hAnsiTheme="majorEastAsia" w:eastAsiaTheme="majorEastAsia"/>
          <w:b/>
          <w:sz w:val="48"/>
          <w:szCs w:val="48"/>
        </w:rPr>
        <w:t xml:space="preserve">  </w:t>
      </w:r>
      <w:r>
        <w:rPr>
          <w:rFonts w:hint="eastAsia" w:asciiTheme="majorEastAsia" w:hAnsiTheme="majorEastAsia" w:eastAsiaTheme="majorEastAsia"/>
          <w:b/>
          <w:sz w:val="48"/>
          <w:szCs w:val="48"/>
        </w:rPr>
        <w:t>附件</w:t>
      </w:r>
    </w:p>
    <w:p>
      <w:pPr>
        <w:rPr>
          <w:b/>
        </w:rPr>
      </w:pPr>
      <w:r>
        <w:rPr>
          <w:rFonts w:hint="eastAsia"/>
          <w:b/>
        </w:rPr>
        <w:t>附件一：</w:t>
      </w:r>
    </w:p>
    <w:p>
      <w:pPr>
        <w:autoSpaceDE w:val="0"/>
        <w:autoSpaceDN w:val="0"/>
        <w:adjustRightInd w:val="0"/>
        <w:spacing w:line="360" w:lineRule="auto"/>
        <w:rPr>
          <w:rFonts w:ascii="宋体"/>
          <w:sz w:val="24"/>
          <w:szCs w:val="24"/>
        </w:rPr>
      </w:pPr>
      <w:r>
        <w:rPr>
          <w:rFonts w:hint="eastAsia" w:ascii="宋体"/>
          <w:sz w:val="24"/>
          <w:szCs w:val="24"/>
        </w:rPr>
        <w:t>（一）投标人应提交的作为评分依据的其它文件材料清单：</w:t>
      </w:r>
    </w:p>
    <w:tbl>
      <w:tblPr>
        <w:tblStyle w:val="24"/>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647"/>
        <w:gridCol w:w="6124"/>
        <w:gridCol w:w="1134"/>
        <w:gridCol w:w="1134"/>
      </w:tblGrid>
      <w:tr>
        <w:tblPrEx>
          <w:tblCellMar>
            <w:top w:w="0" w:type="dxa"/>
            <w:left w:w="108" w:type="dxa"/>
            <w:bottom w:w="0" w:type="dxa"/>
            <w:right w:w="108" w:type="dxa"/>
          </w:tblCellMar>
        </w:tblPrEx>
        <w:trPr>
          <w:trHeight w:val="540" w:hRule="atLeast"/>
        </w:trPr>
        <w:tc>
          <w:tcPr>
            <w:tcW w:w="64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sz w:val="24"/>
                <w:szCs w:val="24"/>
              </w:rPr>
            </w:pPr>
            <w:r>
              <w:rPr>
                <w:rFonts w:hint="eastAsia" w:ascii="宋体"/>
                <w:sz w:val="24"/>
                <w:szCs w:val="24"/>
              </w:rPr>
              <w:t>序号</w:t>
            </w:r>
          </w:p>
        </w:tc>
        <w:tc>
          <w:tcPr>
            <w:tcW w:w="612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ind w:firstLine="1265"/>
              <w:jc w:val="center"/>
              <w:rPr>
                <w:rFonts w:ascii="宋体"/>
                <w:sz w:val="24"/>
                <w:szCs w:val="24"/>
              </w:rPr>
            </w:pPr>
            <w:r>
              <w:rPr>
                <w:rFonts w:hint="eastAsia" w:ascii="宋体"/>
                <w:sz w:val="24"/>
                <w:szCs w:val="24"/>
              </w:rPr>
              <w:t>文件资料名称</w:t>
            </w:r>
          </w:p>
        </w:tc>
        <w:tc>
          <w:tcPr>
            <w:tcW w:w="11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sz w:val="24"/>
                <w:szCs w:val="24"/>
              </w:rPr>
            </w:pPr>
            <w:r>
              <w:rPr>
                <w:rFonts w:hint="eastAsia" w:ascii="宋体"/>
                <w:sz w:val="24"/>
                <w:szCs w:val="24"/>
              </w:rPr>
              <w:t>是否提交</w:t>
            </w:r>
          </w:p>
        </w:tc>
        <w:tc>
          <w:tcPr>
            <w:tcW w:w="11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sz w:val="24"/>
                <w:szCs w:val="24"/>
              </w:rPr>
            </w:pPr>
            <w:r>
              <w:rPr>
                <w:rFonts w:hint="eastAsia" w:ascii="宋体"/>
                <w:sz w:val="24"/>
                <w:szCs w:val="24"/>
              </w:rPr>
              <w:t>文件页码</w:t>
            </w:r>
          </w:p>
        </w:tc>
      </w:tr>
      <w:tr>
        <w:tblPrEx>
          <w:tblCellMar>
            <w:top w:w="0" w:type="dxa"/>
            <w:left w:w="108" w:type="dxa"/>
            <w:bottom w:w="0" w:type="dxa"/>
            <w:right w:w="108" w:type="dxa"/>
          </w:tblCellMar>
        </w:tblPrEx>
        <w:trPr>
          <w:trHeight w:val="540" w:hRule="atLeast"/>
        </w:trPr>
        <w:tc>
          <w:tcPr>
            <w:tcW w:w="64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sz w:val="24"/>
                <w:szCs w:val="24"/>
              </w:rPr>
            </w:pPr>
            <w:r>
              <w:rPr>
                <w:rFonts w:ascii="宋体"/>
                <w:sz w:val="24"/>
                <w:szCs w:val="24"/>
              </w:rPr>
              <w:t>1</w:t>
            </w:r>
          </w:p>
        </w:tc>
        <w:tc>
          <w:tcPr>
            <w:tcW w:w="612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rPr>
                <w:rFonts w:ascii="宋体"/>
                <w:sz w:val="24"/>
                <w:szCs w:val="24"/>
              </w:rPr>
            </w:pPr>
            <w:r>
              <w:rPr>
                <w:rFonts w:hint="eastAsia" w:ascii="宋体"/>
                <w:sz w:val="24"/>
                <w:szCs w:val="24"/>
              </w:rPr>
              <w:t>投标产品列入《节能产品政府采购品目清单》（不属于国家强制采购节能产品）的认证证书</w:t>
            </w:r>
          </w:p>
        </w:tc>
        <w:tc>
          <w:tcPr>
            <w:tcW w:w="11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sz w:val="24"/>
                <w:szCs w:val="24"/>
              </w:rPr>
            </w:pPr>
          </w:p>
        </w:tc>
        <w:tc>
          <w:tcPr>
            <w:tcW w:w="11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sz w:val="24"/>
                <w:szCs w:val="24"/>
              </w:rPr>
            </w:pPr>
          </w:p>
        </w:tc>
      </w:tr>
      <w:tr>
        <w:tblPrEx>
          <w:tblCellMar>
            <w:top w:w="0" w:type="dxa"/>
            <w:left w:w="108" w:type="dxa"/>
            <w:bottom w:w="0" w:type="dxa"/>
            <w:right w:w="108" w:type="dxa"/>
          </w:tblCellMar>
        </w:tblPrEx>
        <w:trPr>
          <w:trHeight w:val="540" w:hRule="atLeast"/>
        </w:trPr>
        <w:tc>
          <w:tcPr>
            <w:tcW w:w="64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sz w:val="24"/>
                <w:szCs w:val="24"/>
              </w:rPr>
            </w:pPr>
            <w:r>
              <w:rPr>
                <w:rFonts w:ascii="宋体"/>
                <w:sz w:val="24"/>
                <w:szCs w:val="24"/>
              </w:rPr>
              <w:t>2</w:t>
            </w:r>
          </w:p>
        </w:tc>
        <w:tc>
          <w:tcPr>
            <w:tcW w:w="612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rPr>
                <w:rFonts w:ascii="宋体"/>
                <w:sz w:val="24"/>
                <w:szCs w:val="24"/>
              </w:rPr>
            </w:pPr>
            <w:r>
              <w:rPr>
                <w:rFonts w:hint="eastAsia" w:ascii="宋体"/>
                <w:sz w:val="24"/>
                <w:szCs w:val="24"/>
              </w:rPr>
              <w:t>投标产品列入《环境标志产品政府采购品目清单》的认证证书</w:t>
            </w:r>
          </w:p>
        </w:tc>
        <w:tc>
          <w:tcPr>
            <w:tcW w:w="11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sz w:val="24"/>
                <w:szCs w:val="24"/>
              </w:rPr>
            </w:pPr>
          </w:p>
        </w:tc>
        <w:tc>
          <w:tcPr>
            <w:tcW w:w="11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sz w:val="24"/>
                <w:szCs w:val="24"/>
              </w:rPr>
            </w:pPr>
          </w:p>
        </w:tc>
      </w:tr>
      <w:tr>
        <w:tblPrEx>
          <w:tblCellMar>
            <w:top w:w="0" w:type="dxa"/>
            <w:left w:w="108" w:type="dxa"/>
            <w:bottom w:w="0" w:type="dxa"/>
            <w:right w:w="108" w:type="dxa"/>
          </w:tblCellMar>
        </w:tblPrEx>
        <w:trPr>
          <w:trHeight w:val="540" w:hRule="atLeast"/>
        </w:trPr>
        <w:tc>
          <w:tcPr>
            <w:tcW w:w="64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sz w:val="24"/>
                <w:szCs w:val="24"/>
              </w:rPr>
            </w:pPr>
            <w:r>
              <w:rPr>
                <w:rFonts w:ascii="宋体"/>
                <w:sz w:val="24"/>
                <w:szCs w:val="24"/>
              </w:rPr>
              <w:t>3</w:t>
            </w:r>
          </w:p>
        </w:tc>
        <w:tc>
          <w:tcPr>
            <w:tcW w:w="612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rPr>
                <w:rFonts w:ascii="宋体"/>
                <w:sz w:val="24"/>
                <w:szCs w:val="24"/>
              </w:rPr>
            </w:pPr>
            <w:r>
              <w:rPr>
                <w:rFonts w:hint="eastAsia" w:ascii="宋体"/>
                <w:sz w:val="24"/>
                <w:szCs w:val="24"/>
              </w:rPr>
              <w:t>其他作为评标依据的文件材料</w:t>
            </w:r>
          </w:p>
        </w:tc>
        <w:tc>
          <w:tcPr>
            <w:tcW w:w="11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sz w:val="24"/>
                <w:szCs w:val="24"/>
              </w:rPr>
            </w:pPr>
          </w:p>
        </w:tc>
        <w:tc>
          <w:tcPr>
            <w:tcW w:w="11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sz w:val="24"/>
                <w:szCs w:val="24"/>
              </w:rPr>
            </w:pPr>
          </w:p>
        </w:tc>
      </w:tr>
      <w:tr>
        <w:tblPrEx>
          <w:tblCellMar>
            <w:top w:w="0" w:type="dxa"/>
            <w:left w:w="108" w:type="dxa"/>
            <w:bottom w:w="0" w:type="dxa"/>
            <w:right w:w="108" w:type="dxa"/>
          </w:tblCellMar>
        </w:tblPrEx>
        <w:trPr>
          <w:trHeight w:val="540" w:hRule="atLeast"/>
        </w:trPr>
        <w:tc>
          <w:tcPr>
            <w:tcW w:w="64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sz w:val="24"/>
                <w:szCs w:val="24"/>
              </w:rPr>
            </w:pPr>
            <w:r>
              <w:rPr>
                <w:rFonts w:ascii="宋体"/>
                <w:sz w:val="24"/>
                <w:szCs w:val="24"/>
              </w:rPr>
              <w:t>4</w:t>
            </w:r>
          </w:p>
        </w:tc>
        <w:tc>
          <w:tcPr>
            <w:tcW w:w="612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rPr>
                <w:rFonts w:ascii="宋体"/>
                <w:sz w:val="24"/>
                <w:szCs w:val="24"/>
              </w:rPr>
            </w:pPr>
            <w:r>
              <w:rPr>
                <w:rFonts w:ascii="宋体"/>
                <w:sz w:val="24"/>
                <w:szCs w:val="24"/>
              </w:rPr>
              <w:t>……</w:t>
            </w:r>
          </w:p>
        </w:tc>
        <w:tc>
          <w:tcPr>
            <w:tcW w:w="11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sz w:val="24"/>
                <w:szCs w:val="24"/>
              </w:rPr>
            </w:pPr>
          </w:p>
        </w:tc>
        <w:tc>
          <w:tcPr>
            <w:tcW w:w="11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sz w:val="24"/>
                <w:szCs w:val="24"/>
              </w:rPr>
            </w:pPr>
          </w:p>
        </w:tc>
      </w:tr>
    </w:tbl>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r>
        <w:rPr>
          <w:rFonts w:hint="eastAsia" w:ascii="宋体"/>
          <w:sz w:val="24"/>
          <w:szCs w:val="24"/>
        </w:rPr>
        <w:t>注意事项：</w:t>
      </w:r>
    </w:p>
    <w:p>
      <w:pPr>
        <w:autoSpaceDE w:val="0"/>
        <w:autoSpaceDN w:val="0"/>
        <w:adjustRightInd w:val="0"/>
        <w:spacing w:line="360" w:lineRule="auto"/>
        <w:ind w:firstLine="482"/>
        <w:rPr>
          <w:rFonts w:ascii="宋体"/>
          <w:sz w:val="24"/>
          <w:szCs w:val="24"/>
        </w:rPr>
      </w:pPr>
      <w:r>
        <w:rPr>
          <w:rFonts w:ascii="宋体"/>
          <w:sz w:val="24"/>
          <w:szCs w:val="24"/>
        </w:rPr>
        <w:t>1</w:t>
      </w:r>
      <w:r>
        <w:rPr>
          <w:rFonts w:hint="eastAsia" w:ascii="宋体"/>
          <w:sz w:val="24"/>
          <w:szCs w:val="24"/>
        </w:rPr>
        <w:t>、投标人在投标前应自行检查作为评标依据的文件资料是否已完整提交，清单中虽未列出但属于评标依据的文件材料，投标人应自行提交，否则，将是投标人的风险。</w:t>
      </w:r>
    </w:p>
    <w:p>
      <w:pPr>
        <w:autoSpaceDE w:val="0"/>
        <w:autoSpaceDN w:val="0"/>
        <w:adjustRightInd w:val="0"/>
        <w:spacing w:line="360" w:lineRule="auto"/>
        <w:ind w:firstLine="482"/>
        <w:rPr>
          <w:rFonts w:ascii="宋体"/>
          <w:sz w:val="24"/>
          <w:szCs w:val="24"/>
        </w:rPr>
      </w:pPr>
      <w:r>
        <w:rPr>
          <w:rFonts w:ascii="宋体"/>
          <w:sz w:val="24"/>
          <w:szCs w:val="24"/>
        </w:rPr>
        <w:t>2</w:t>
      </w:r>
      <w:r>
        <w:rPr>
          <w:rFonts w:hint="eastAsia" w:ascii="宋体"/>
          <w:sz w:val="24"/>
          <w:szCs w:val="24"/>
        </w:rPr>
        <w:t>、以上文件资料是评标的依据，不作为废标条件。</w:t>
      </w:r>
    </w:p>
    <w:p>
      <w:pPr>
        <w:autoSpaceDE w:val="0"/>
        <w:autoSpaceDN w:val="0"/>
        <w:adjustRightInd w:val="0"/>
        <w:spacing w:line="360" w:lineRule="auto"/>
        <w:ind w:firstLine="482"/>
        <w:rPr>
          <w:rFonts w:ascii="宋体"/>
          <w:sz w:val="24"/>
          <w:szCs w:val="24"/>
        </w:rPr>
      </w:pPr>
      <w:r>
        <w:rPr>
          <w:rFonts w:ascii="宋体"/>
          <w:sz w:val="24"/>
          <w:szCs w:val="24"/>
        </w:rPr>
        <w:t>3</w:t>
      </w:r>
      <w:r>
        <w:rPr>
          <w:rFonts w:hint="eastAsia" w:ascii="宋体"/>
          <w:sz w:val="24"/>
          <w:szCs w:val="24"/>
        </w:rPr>
        <w:t>、以上文件资料应提交复印件并加盖投标人公章和有效签署。</w:t>
      </w:r>
    </w:p>
    <w:p>
      <w:pPr>
        <w:autoSpaceDE w:val="0"/>
        <w:autoSpaceDN w:val="0"/>
        <w:adjustRightInd w:val="0"/>
        <w:spacing w:line="360" w:lineRule="auto"/>
        <w:rPr>
          <w:rFonts w:ascii="宋体"/>
          <w:sz w:val="24"/>
          <w:szCs w:val="24"/>
        </w:rPr>
      </w:pPr>
      <w:r>
        <w:rPr>
          <w:rFonts w:hint="eastAsia" w:ascii="宋体"/>
          <w:sz w:val="24"/>
          <w:szCs w:val="24"/>
        </w:rPr>
        <w:t>（二）投标货物列入《节能产品政府采购品目清单》（属于国家强制采购节能产品）的证明文件。即该货物在【中国政府采购网（http：//www.ccgp.gov.cn/）、国家环境保护部网（http：//www.sepa.gov.cn/）、中国绿色采购网（http：//www.cgpn.cn/）】中所公布的最新《节能产品政府采购品目清单》所在网页当前页截图（加盖供应商公章）。</w:t>
      </w:r>
    </w:p>
    <w:p>
      <w:pPr>
        <w:autoSpaceDE w:val="0"/>
        <w:autoSpaceDN w:val="0"/>
        <w:adjustRightInd w:val="0"/>
        <w:jc w:val="left"/>
        <w:rPr>
          <w:rFonts w:ascii="宋体"/>
          <w:kern w:val="0"/>
          <w:sz w:val="24"/>
        </w:rPr>
      </w:pPr>
    </w:p>
    <w:p>
      <w:pPr>
        <w:tabs>
          <w:tab w:val="center" w:pos="4153"/>
          <w:tab w:val="right" w:pos="8306"/>
        </w:tabs>
        <w:snapToGrid w:val="0"/>
        <w:jc w:val="left"/>
        <w:rPr>
          <w:rFonts w:ascii="宋体"/>
          <w:sz w:val="18"/>
          <w:szCs w:val="18"/>
        </w:rPr>
      </w:pPr>
    </w:p>
    <w:p>
      <w:pPr>
        <w:tabs>
          <w:tab w:val="center" w:pos="4153"/>
          <w:tab w:val="right" w:pos="8306"/>
        </w:tabs>
        <w:snapToGrid w:val="0"/>
        <w:jc w:val="left"/>
        <w:rPr>
          <w:rFonts w:ascii="宋体"/>
          <w:sz w:val="18"/>
          <w:szCs w:val="18"/>
        </w:rPr>
      </w:pPr>
    </w:p>
    <w:p>
      <w:pPr>
        <w:tabs>
          <w:tab w:val="center" w:pos="4153"/>
          <w:tab w:val="right" w:pos="8306"/>
        </w:tabs>
        <w:snapToGrid w:val="0"/>
        <w:jc w:val="left"/>
        <w:rPr>
          <w:rFonts w:ascii="宋体"/>
          <w:sz w:val="18"/>
          <w:szCs w:val="18"/>
        </w:rPr>
      </w:pPr>
    </w:p>
    <w:p>
      <w:pPr>
        <w:rPr>
          <w:rFonts w:ascii="宋体"/>
          <w:b/>
          <w:szCs w:val="24"/>
        </w:rPr>
      </w:pPr>
      <w:r>
        <w:rPr>
          <w:rFonts w:ascii="宋体"/>
          <w:sz w:val="24"/>
          <w:szCs w:val="24"/>
        </w:rPr>
        <w:br w:type="page"/>
      </w:r>
      <w:r>
        <w:rPr>
          <w:rFonts w:hint="eastAsia"/>
          <w:b/>
        </w:rPr>
        <w:t>附件二：</w:t>
      </w:r>
    </w:p>
    <w:p>
      <w:pPr>
        <w:tabs>
          <w:tab w:val="left" w:pos="0"/>
        </w:tabs>
        <w:spacing w:line="360" w:lineRule="auto"/>
        <w:jc w:val="center"/>
        <w:rPr>
          <w:rFonts w:ascii="宋体"/>
          <w:b/>
          <w:color w:val="000000"/>
          <w:sz w:val="28"/>
          <w:szCs w:val="36"/>
        </w:rPr>
      </w:pPr>
      <w:bookmarkStart w:id="47" w:name="_Toc326757144"/>
      <w:bookmarkStart w:id="48" w:name="_Toc496192670"/>
      <w:bookmarkStart w:id="49" w:name="_Toc495395836"/>
      <w:r>
        <w:rPr>
          <w:rFonts w:hint="eastAsia" w:ascii="宋体"/>
          <w:b/>
          <w:color w:val="000000"/>
          <w:sz w:val="28"/>
          <w:szCs w:val="36"/>
        </w:rPr>
        <w:t>中小企业声明函（货物）</w:t>
      </w:r>
    </w:p>
    <w:p>
      <w:pPr>
        <w:tabs>
          <w:tab w:val="left" w:pos="0"/>
        </w:tabs>
        <w:spacing w:line="360" w:lineRule="auto"/>
        <w:ind w:firstLine="480"/>
        <w:rPr>
          <w:rFonts w:ascii="宋体"/>
          <w:color w:val="000000"/>
          <w:sz w:val="24"/>
          <w:szCs w:val="30"/>
        </w:rPr>
      </w:pPr>
      <w:r>
        <w:rPr>
          <w:rFonts w:hint="eastAsia" w:ascii="宋体"/>
          <w:color w:val="000000"/>
          <w:sz w:val="24"/>
          <w:szCs w:val="30"/>
        </w:rPr>
        <w:t>本公司（联合体）郑重声明，根据《政府采购促进中小企业发展管理办法》（财库﹝2020﹞46 号）的规定，本公司（联合体）参加</w:t>
      </w:r>
      <w:r>
        <w:rPr>
          <w:rFonts w:hint="eastAsia" w:ascii="宋体"/>
          <w:color w:val="000000"/>
          <w:sz w:val="24"/>
          <w:szCs w:val="30"/>
          <w:u w:val="single"/>
        </w:rPr>
        <w:t>（单位名称）</w:t>
      </w:r>
      <w:r>
        <w:rPr>
          <w:rFonts w:hint="eastAsia" w:ascii="宋体"/>
          <w:color w:val="000000"/>
          <w:sz w:val="24"/>
          <w:szCs w:val="30"/>
        </w:rPr>
        <w:t>的</w:t>
      </w:r>
      <w:r>
        <w:rPr>
          <w:rFonts w:hint="eastAsia" w:ascii="宋体"/>
          <w:color w:val="000000"/>
          <w:sz w:val="24"/>
          <w:szCs w:val="30"/>
          <w:u w:val="single"/>
        </w:rPr>
        <w:t>（项目名称）</w:t>
      </w:r>
      <w:r>
        <w:rPr>
          <w:rFonts w:hint="eastAsia" w:ascii="宋体"/>
          <w:color w:val="000000"/>
          <w:sz w:val="24"/>
          <w:szCs w:val="30"/>
        </w:rPr>
        <w:t>采购活动，提供的货物全部由符合政策要求的中小企业制造。相关企业（含联合体中的中小企业、签订分包意向协议的中小企业）的具体情况如下：</w:t>
      </w:r>
    </w:p>
    <w:p>
      <w:pPr>
        <w:tabs>
          <w:tab w:val="left" w:pos="0"/>
        </w:tabs>
        <w:spacing w:line="360" w:lineRule="auto"/>
        <w:ind w:firstLine="480"/>
        <w:rPr>
          <w:rFonts w:ascii="宋体"/>
          <w:color w:val="000000"/>
          <w:sz w:val="24"/>
          <w:szCs w:val="30"/>
        </w:rPr>
      </w:pPr>
      <w:r>
        <w:rPr>
          <w:rFonts w:hint="eastAsia" w:ascii="宋体"/>
          <w:color w:val="000000"/>
          <w:sz w:val="24"/>
          <w:szCs w:val="30"/>
        </w:rPr>
        <w:t xml:space="preserve">1. </w:t>
      </w:r>
      <w:r>
        <w:rPr>
          <w:rFonts w:hint="eastAsia" w:ascii="宋体"/>
          <w:color w:val="000000"/>
          <w:sz w:val="24"/>
          <w:szCs w:val="30"/>
          <w:u w:val="single"/>
        </w:rPr>
        <w:t xml:space="preserve">（标的名称） </w:t>
      </w:r>
      <w:r>
        <w:rPr>
          <w:rFonts w:hint="eastAsia" w:ascii="宋体"/>
          <w:color w:val="000000"/>
          <w:sz w:val="24"/>
          <w:szCs w:val="30"/>
        </w:rPr>
        <w:t>，属于</w:t>
      </w:r>
      <w:r>
        <w:rPr>
          <w:rFonts w:hint="eastAsia" w:ascii="宋体"/>
          <w:color w:val="000000"/>
          <w:sz w:val="24"/>
          <w:szCs w:val="30"/>
          <w:u w:val="single"/>
        </w:rPr>
        <w:t>（采购文件中明确的所属行业）</w:t>
      </w:r>
      <w:r>
        <w:rPr>
          <w:rFonts w:hint="eastAsia" w:ascii="宋体"/>
          <w:color w:val="000000"/>
          <w:sz w:val="24"/>
          <w:szCs w:val="30"/>
        </w:rPr>
        <w:t>行业；制造商为</w:t>
      </w:r>
      <w:r>
        <w:rPr>
          <w:rFonts w:hint="eastAsia" w:ascii="宋体"/>
          <w:color w:val="000000"/>
          <w:sz w:val="24"/>
          <w:szCs w:val="30"/>
          <w:u w:val="single"/>
        </w:rPr>
        <w:t xml:space="preserve">（企业名称） </w:t>
      </w:r>
      <w:r>
        <w:rPr>
          <w:rFonts w:hint="eastAsia" w:ascii="宋体"/>
          <w:color w:val="000000"/>
          <w:sz w:val="24"/>
          <w:szCs w:val="30"/>
        </w:rPr>
        <w:t>，从业人员</w:t>
      </w:r>
      <w:r>
        <w:rPr>
          <w:rFonts w:hint="eastAsia" w:ascii="宋体"/>
          <w:color w:val="000000"/>
          <w:sz w:val="24"/>
          <w:szCs w:val="30"/>
          <w:u w:val="single"/>
        </w:rPr>
        <w:t xml:space="preserve">    </w:t>
      </w:r>
      <w:r>
        <w:rPr>
          <w:rFonts w:hint="eastAsia" w:ascii="宋体"/>
          <w:color w:val="000000"/>
          <w:sz w:val="24"/>
          <w:szCs w:val="30"/>
        </w:rPr>
        <w:t>人，营业收入为</w:t>
      </w:r>
      <w:r>
        <w:rPr>
          <w:rFonts w:hint="eastAsia" w:ascii="宋体"/>
          <w:color w:val="000000"/>
          <w:sz w:val="24"/>
          <w:szCs w:val="30"/>
          <w:u w:val="single"/>
        </w:rPr>
        <w:t xml:space="preserve"> </w:t>
      </w:r>
      <w:r>
        <w:rPr>
          <w:rFonts w:ascii="宋体"/>
          <w:color w:val="000000"/>
          <w:sz w:val="24"/>
          <w:szCs w:val="30"/>
          <w:u w:val="single"/>
        </w:rPr>
        <w:t xml:space="preserve">    </w:t>
      </w:r>
      <w:r>
        <w:rPr>
          <w:rFonts w:hint="eastAsia" w:ascii="宋体"/>
          <w:color w:val="000000"/>
          <w:sz w:val="24"/>
          <w:szCs w:val="30"/>
        </w:rPr>
        <w:t>万元，资产总额为</w:t>
      </w:r>
      <w:r>
        <w:rPr>
          <w:rFonts w:hint="eastAsia" w:ascii="宋体"/>
          <w:color w:val="000000"/>
          <w:sz w:val="24"/>
          <w:szCs w:val="30"/>
          <w:u w:val="single"/>
        </w:rPr>
        <w:t xml:space="preserve"> </w:t>
      </w:r>
      <w:r>
        <w:rPr>
          <w:rFonts w:ascii="宋体"/>
          <w:color w:val="000000"/>
          <w:sz w:val="24"/>
          <w:szCs w:val="30"/>
          <w:u w:val="single"/>
        </w:rPr>
        <w:t xml:space="preserve">    </w:t>
      </w:r>
      <w:r>
        <w:rPr>
          <w:rFonts w:hint="eastAsia" w:ascii="宋体"/>
          <w:color w:val="000000"/>
          <w:sz w:val="24"/>
          <w:szCs w:val="30"/>
        </w:rPr>
        <w:t>万元（</w:t>
      </w:r>
      <w:r>
        <w:rPr>
          <w:rFonts w:hint="eastAsia" w:ascii="宋体"/>
          <w:color w:val="000000"/>
          <w:sz w:val="18"/>
          <w:szCs w:val="18"/>
        </w:rPr>
        <w:t>从业人员、营业收入、资产总额填报上一年度数据，无上一年度数据的新成立企业可不填报</w:t>
      </w:r>
      <w:r>
        <w:rPr>
          <w:rFonts w:hint="eastAsia" w:ascii="宋体"/>
          <w:color w:val="000000"/>
          <w:sz w:val="24"/>
          <w:szCs w:val="30"/>
        </w:rPr>
        <w:t>），属于</w:t>
      </w:r>
      <w:r>
        <w:rPr>
          <w:rFonts w:hint="eastAsia" w:ascii="宋体"/>
          <w:color w:val="000000"/>
          <w:sz w:val="24"/>
          <w:szCs w:val="30"/>
          <w:u w:val="single"/>
        </w:rPr>
        <w:t xml:space="preserve">（中型企业、小型企业、微型企业） </w:t>
      </w:r>
      <w:r>
        <w:rPr>
          <w:rFonts w:hint="eastAsia" w:ascii="宋体"/>
          <w:color w:val="000000"/>
          <w:sz w:val="24"/>
          <w:szCs w:val="30"/>
        </w:rPr>
        <w:t>；</w:t>
      </w:r>
    </w:p>
    <w:p>
      <w:pPr>
        <w:tabs>
          <w:tab w:val="left" w:pos="0"/>
        </w:tabs>
        <w:spacing w:line="360" w:lineRule="auto"/>
        <w:ind w:firstLine="480"/>
        <w:rPr>
          <w:rFonts w:ascii="宋体"/>
          <w:color w:val="000000"/>
          <w:sz w:val="24"/>
          <w:szCs w:val="30"/>
        </w:rPr>
      </w:pPr>
      <w:r>
        <w:rPr>
          <w:rFonts w:ascii="宋体"/>
          <w:color w:val="000000"/>
          <w:sz w:val="24"/>
          <w:szCs w:val="30"/>
        </w:rPr>
        <w:t>2</w:t>
      </w:r>
      <w:r>
        <w:rPr>
          <w:rFonts w:hint="eastAsia" w:ascii="宋体"/>
          <w:color w:val="000000"/>
          <w:sz w:val="24"/>
          <w:szCs w:val="30"/>
        </w:rPr>
        <w:t xml:space="preserve">. </w:t>
      </w:r>
      <w:r>
        <w:rPr>
          <w:rFonts w:hint="eastAsia" w:ascii="宋体"/>
          <w:color w:val="000000"/>
          <w:sz w:val="24"/>
          <w:szCs w:val="30"/>
          <w:u w:val="single"/>
        </w:rPr>
        <w:t xml:space="preserve">（标的名称） </w:t>
      </w:r>
      <w:r>
        <w:rPr>
          <w:rFonts w:hint="eastAsia" w:ascii="宋体"/>
          <w:color w:val="000000"/>
          <w:sz w:val="24"/>
          <w:szCs w:val="30"/>
        </w:rPr>
        <w:t>，属于</w:t>
      </w:r>
      <w:r>
        <w:rPr>
          <w:rFonts w:hint="eastAsia" w:ascii="宋体"/>
          <w:color w:val="000000"/>
          <w:sz w:val="24"/>
          <w:szCs w:val="30"/>
          <w:u w:val="single"/>
        </w:rPr>
        <w:t>（采购文件中明确的所属行业）</w:t>
      </w:r>
      <w:r>
        <w:rPr>
          <w:rFonts w:hint="eastAsia" w:ascii="宋体"/>
          <w:color w:val="000000"/>
          <w:sz w:val="24"/>
          <w:szCs w:val="30"/>
        </w:rPr>
        <w:t>行业；制造商为</w:t>
      </w:r>
      <w:r>
        <w:rPr>
          <w:rFonts w:hint="eastAsia" w:ascii="宋体"/>
          <w:color w:val="000000"/>
          <w:sz w:val="24"/>
          <w:szCs w:val="30"/>
          <w:u w:val="single"/>
        </w:rPr>
        <w:t xml:space="preserve">（企业名称） </w:t>
      </w:r>
      <w:r>
        <w:rPr>
          <w:rFonts w:hint="eastAsia" w:ascii="宋体"/>
          <w:color w:val="000000"/>
          <w:sz w:val="24"/>
          <w:szCs w:val="30"/>
        </w:rPr>
        <w:t>，从业人员人，营业收入为</w:t>
      </w:r>
      <w:r>
        <w:rPr>
          <w:rFonts w:hint="eastAsia" w:ascii="宋体"/>
          <w:color w:val="000000"/>
          <w:sz w:val="24"/>
          <w:szCs w:val="30"/>
          <w:u w:val="single"/>
        </w:rPr>
        <w:t xml:space="preserve"> </w:t>
      </w:r>
      <w:r>
        <w:rPr>
          <w:rFonts w:ascii="宋体"/>
          <w:color w:val="000000"/>
          <w:sz w:val="24"/>
          <w:szCs w:val="30"/>
          <w:u w:val="single"/>
        </w:rPr>
        <w:t xml:space="preserve">    </w:t>
      </w:r>
      <w:r>
        <w:rPr>
          <w:rFonts w:hint="eastAsia" w:ascii="宋体"/>
          <w:color w:val="000000"/>
          <w:sz w:val="24"/>
          <w:szCs w:val="30"/>
        </w:rPr>
        <w:t>万元，资产总额为</w:t>
      </w:r>
      <w:r>
        <w:rPr>
          <w:rFonts w:hint="eastAsia" w:ascii="宋体"/>
          <w:color w:val="000000"/>
          <w:sz w:val="24"/>
          <w:szCs w:val="30"/>
          <w:u w:val="single"/>
        </w:rPr>
        <w:t xml:space="preserve"> </w:t>
      </w:r>
      <w:r>
        <w:rPr>
          <w:rFonts w:ascii="宋体"/>
          <w:color w:val="000000"/>
          <w:sz w:val="24"/>
          <w:szCs w:val="30"/>
          <w:u w:val="single"/>
        </w:rPr>
        <w:t xml:space="preserve">    </w:t>
      </w:r>
      <w:r>
        <w:rPr>
          <w:rFonts w:hint="eastAsia" w:ascii="宋体"/>
          <w:color w:val="000000"/>
          <w:sz w:val="24"/>
          <w:szCs w:val="30"/>
        </w:rPr>
        <w:t>万元（</w:t>
      </w:r>
      <w:r>
        <w:rPr>
          <w:rFonts w:hint="eastAsia" w:ascii="宋体"/>
          <w:color w:val="000000"/>
          <w:sz w:val="18"/>
          <w:szCs w:val="18"/>
        </w:rPr>
        <w:t>从业人员、营业收入、资产总额填报上一年度数据，无上一年度数据的新成立企业可不填报</w:t>
      </w:r>
      <w:r>
        <w:rPr>
          <w:rFonts w:hint="eastAsia" w:ascii="宋体"/>
          <w:color w:val="000000"/>
          <w:sz w:val="24"/>
          <w:szCs w:val="30"/>
        </w:rPr>
        <w:t>），属于</w:t>
      </w:r>
      <w:r>
        <w:rPr>
          <w:rFonts w:hint="eastAsia" w:ascii="宋体"/>
          <w:color w:val="000000"/>
          <w:sz w:val="24"/>
          <w:szCs w:val="30"/>
          <w:u w:val="single"/>
        </w:rPr>
        <w:t xml:space="preserve">（中型企业、小型企业、微型企业） </w:t>
      </w:r>
      <w:r>
        <w:rPr>
          <w:rFonts w:hint="eastAsia" w:ascii="宋体"/>
          <w:color w:val="000000"/>
          <w:sz w:val="24"/>
          <w:szCs w:val="30"/>
        </w:rPr>
        <w:t>；</w:t>
      </w:r>
    </w:p>
    <w:p>
      <w:pPr>
        <w:tabs>
          <w:tab w:val="left" w:pos="0"/>
        </w:tabs>
        <w:spacing w:line="360" w:lineRule="auto"/>
        <w:ind w:firstLine="420" w:firstLineChars="200"/>
        <w:rPr>
          <w:rFonts w:ascii="宋体"/>
          <w:color w:val="000000"/>
          <w:szCs w:val="24"/>
        </w:rPr>
      </w:pPr>
      <w:r>
        <w:rPr>
          <w:rFonts w:hint="eastAsia" w:ascii="宋体"/>
          <w:color w:val="000000"/>
          <w:szCs w:val="24"/>
        </w:rPr>
        <w:t>……</w:t>
      </w:r>
    </w:p>
    <w:p>
      <w:pPr>
        <w:tabs>
          <w:tab w:val="left" w:pos="0"/>
        </w:tabs>
        <w:spacing w:line="360" w:lineRule="auto"/>
        <w:ind w:firstLine="480"/>
        <w:rPr>
          <w:rFonts w:ascii="宋体"/>
          <w:color w:val="000000"/>
          <w:szCs w:val="24"/>
        </w:rPr>
      </w:pPr>
      <w:r>
        <w:rPr>
          <w:rFonts w:hint="eastAsia" w:ascii="宋体"/>
          <w:color w:val="000000"/>
          <w:sz w:val="24"/>
          <w:szCs w:val="30"/>
        </w:rPr>
        <w:t>以上企业，不属于大企业的分支机构，不存在控股股东为大企业的情形，也不存在与大企业的负责人为同一人的情形。</w:t>
      </w:r>
    </w:p>
    <w:p>
      <w:pPr>
        <w:tabs>
          <w:tab w:val="left" w:pos="0"/>
        </w:tabs>
        <w:spacing w:line="360" w:lineRule="auto"/>
        <w:ind w:firstLine="480"/>
        <w:rPr>
          <w:rFonts w:ascii="宋体"/>
          <w:color w:val="000000"/>
          <w:sz w:val="24"/>
          <w:szCs w:val="30"/>
        </w:rPr>
      </w:pPr>
      <w:r>
        <w:rPr>
          <w:rFonts w:hint="eastAsia" w:ascii="宋体"/>
          <w:color w:val="000000"/>
          <w:sz w:val="24"/>
          <w:szCs w:val="30"/>
        </w:rPr>
        <w:t>本企业对上述声明内容的真实性负责。如有虚假，将依法承担相应责任。</w:t>
      </w:r>
    </w:p>
    <w:p>
      <w:pPr>
        <w:tabs>
          <w:tab w:val="left" w:pos="0"/>
        </w:tabs>
        <w:spacing w:line="360" w:lineRule="auto"/>
        <w:ind w:firstLine="3600" w:firstLineChars="1500"/>
        <w:rPr>
          <w:rFonts w:ascii="宋体"/>
          <w:color w:val="000000"/>
          <w:sz w:val="24"/>
          <w:szCs w:val="30"/>
        </w:rPr>
      </w:pPr>
    </w:p>
    <w:p>
      <w:pPr>
        <w:tabs>
          <w:tab w:val="left" w:pos="0"/>
        </w:tabs>
        <w:spacing w:line="360" w:lineRule="auto"/>
        <w:jc w:val="left"/>
        <w:rPr>
          <w:rFonts w:ascii="宋体"/>
          <w:color w:val="000000"/>
          <w:sz w:val="24"/>
          <w:szCs w:val="30"/>
        </w:rPr>
      </w:pPr>
      <w:r>
        <w:rPr>
          <w:rFonts w:hint="eastAsia" w:ascii="宋体"/>
          <w:color w:val="000000"/>
          <w:sz w:val="24"/>
          <w:szCs w:val="30"/>
        </w:rPr>
        <w:t>企业名称（盖章）：</w:t>
      </w:r>
    </w:p>
    <w:p>
      <w:pPr>
        <w:tabs>
          <w:tab w:val="left" w:pos="0"/>
        </w:tabs>
        <w:spacing w:line="360" w:lineRule="auto"/>
        <w:ind w:firstLine="3600" w:firstLineChars="1500"/>
        <w:rPr>
          <w:rFonts w:ascii="宋体"/>
          <w:color w:val="000000"/>
          <w:sz w:val="24"/>
          <w:szCs w:val="30"/>
        </w:rPr>
      </w:pPr>
    </w:p>
    <w:p>
      <w:pPr>
        <w:tabs>
          <w:tab w:val="left" w:pos="0"/>
        </w:tabs>
        <w:spacing w:line="360" w:lineRule="auto"/>
        <w:ind w:firstLine="360" w:firstLineChars="150"/>
        <w:rPr>
          <w:rFonts w:ascii="宋体"/>
          <w:color w:val="000000"/>
          <w:sz w:val="24"/>
          <w:szCs w:val="30"/>
        </w:rPr>
      </w:pPr>
      <w:r>
        <w:rPr>
          <w:rFonts w:hint="eastAsia" w:ascii="宋体"/>
          <w:color w:val="000000"/>
          <w:sz w:val="24"/>
          <w:szCs w:val="30"/>
        </w:rPr>
        <w:t>日 期：</w:t>
      </w:r>
    </w:p>
    <w:p>
      <w:pPr>
        <w:tabs>
          <w:tab w:val="left" w:pos="0"/>
        </w:tabs>
        <w:spacing w:line="360" w:lineRule="auto"/>
        <w:ind w:firstLine="3600" w:firstLineChars="1500"/>
        <w:rPr>
          <w:rFonts w:ascii="宋体"/>
          <w:color w:val="000000"/>
          <w:sz w:val="24"/>
          <w:szCs w:val="30"/>
        </w:rPr>
      </w:pPr>
    </w:p>
    <w:p>
      <w:pPr>
        <w:tabs>
          <w:tab w:val="left" w:pos="0"/>
        </w:tabs>
        <w:spacing w:line="360" w:lineRule="auto"/>
        <w:ind w:firstLine="3600" w:firstLineChars="1500"/>
        <w:rPr>
          <w:rFonts w:ascii="宋体"/>
          <w:color w:val="000000"/>
          <w:sz w:val="24"/>
          <w:szCs w:val="30"/>
        </w:rPr>
      </w:pPr>
    </w:p>
    <w:p>
      <w:pPr>
        <w:tabs>
          <w:tab w:val="left" w:pos="0"/>
        </w:tabs>
        <w:spacing w:line="360" w:lineRule="auto"/>
        <w:ind w:firstLine="211" w:firstLineChars="100"/>
        <w:rPr>
          <w:rFonts w:ascii="宋体"/>
          <w:color w:val="000000"/>
          <w:sz w:val="24"/>
          <w:szCs w:val="30"/>
        </w:rPr>
      </w:pPr>
      <w:r>
        <w:rPr>
          <w:rFonts w:hint="eastAsia" w:ascii="宋体" w:hAnsi="宋体" w:eastAsia="宋体" w:cs="宋体"/>
          <w:b/>
          <w:bCs/>
          <w:color w:val="000000"/>
          <w:sz w:val="21"/>
          <w:szCs w:val="21"/>
          <w:lang w:val="en-US" w:eastAsia="zh-CN"/>
        </w:rPr>
        <w:t>注：</w:t>
      </w:r>
      <w:r>
        <w:rPr>
          <w:rFonts w:ascii="宋体" w:hAnsi="宋体" w:eastAsia="宋体" w:cs="宋体"/>
          <w:b/>
          <w:bCs/>
          <w:color w:val="000000"/>
          <w:sz w:val="21"/>
          <w:szCs w:val="21"/>
        </w:rPr>
        <w:t xml:space="preserve">中标人为中小企业的，本声明函将随中标结果同时公告。 </w:t>
      </w:r>
    </w:p>
    <w:p>
      <w:pPr>
        <w:tabs>
          <w:tab w:val="left" w:pos="0"/>
        </w:tabs>
        <w:spacing w:line="360" w:lineRule="auto"/>
        <w:ind w:firstLine="3600" w:firstLineChars="1500"/>
        <w:rPr>
          <w:rFonts w:ascii="宋体"/>
          <w:color w:val="000000"/>
          <w:sz w:val="24"/>
          <w:szCs w:val="30"/>
        </w:rPr>
      </w:pPr>
    </w:p>
    <w:p>
      <w:pPr>
        <w:tabs>
          <w:tab w:val="left" w:pos="0"/>
        </w:tabs>
        <w:spacing w:line="360" w:lineRule="auto"/>
        <w:ind w:firstLine="3600" w:firstLineChars="1500"/>
        <w:rPr>
          <w:rFonts w:ascii="宋体"/>
          <w:color w:val="000000"/>
          <w:sz w:val="24"/>
          <w:szCs w:val="30"/>
        </w:rPr>
      </w:pPr>
    </w:p>
    <w:p>
      <w:pPr>
        <w:jc w:val="center"/>
      </w:pPr>
      <w:r>
        <w:rPr>
          <w:sz w:val="24"/>
          <w:szCs w:val="24"/>
        </w:rPr>
        <w:br w:type="page"/>
      </w:r>
      <w:bookmarkEnd w:id="47"/>
      <w:bookmarkEnd w:id="48"/>
      <w:bookmarkEnd w:id="49"/>
    </w:p>
    <w:p>
      <w:pPr>
        <w:rPr>
          <w:rFonts w:ascii="宋体"/>
          <w:b/>
          <w:szCs w:val="24"/>
        </w:rPr>
      </w:pPr>
      <w:r>
        <w:rPr>
          <w:rFonts w:hint="eastAsia"/>
          <w:b/>
        </w:rPr>
        <w:t>附件三：</w:t>
      </w:r>
    </w:p>
    <w:p>
      <w:pPr>
        <w:jc w:val="center"/>
        <w:rPr>
          <w:b/>
          <w:sz w:val="28"/>
        </w:rPr>
      </w:pPr>
      <w:bookmarkStart w:id="50" w:name="_Toc26887382"/>
      <w:r>
        <w:rPr>
          <w:rFonts w:hint="eastAsia"/>
          <w:b/>
          <w:sz w:val="28"/>
        </w:rPr>
        <w:t>一、残疾人福利性单位声明函（格式）</w:t>
      </w:r>
      <w:bookmarkEnd w:id="50"/>
    </w:p>
    <w:p>
      <w:pPr>
        <w:spacing w:line="360" w:lineRule="auto"/>
        <w:ind w:firstLine="504" w:firstLineChars="200"/>
        <w:rPr>
          <w:rFonts w:ascii="宋体"/>
          <w:spacing w:val="6"/>
          <w:sz w:val="24"/>
          <w:szCs w:val="24"/>
        </w:rPr>
      </w:pPr>
      <w:r>
        <w:rPr>
          <w:rFonts w:hint="eastAsia" w:asci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spacing w:val="6"/>
          <w:sz w:val="24"/>
          <w:szCs w:val="24"/>
        </w:rPr>
      </w:pPr>
      <w:r>
        <w:rPr>
          <w:rFonts w:hint="eastAsia" w:ascii="宋体"/>
          <w:spacing w:val="6"/>
          <w:sz w:val="24"/>
          <w:szCs w:val="24"/>
        </w:rPr>
        <w:t>本单位对上述声明的真实性负责。如有虚假，将依法承担相应责任。</w:t>
      </w:r>
    </w:p>
    <w:p>
      <w:pPr>
        <w:spacing w:line="360" w:lineRule="auto"/>
        <w:ind w:firstLine="504" w:firstLineChars="200"/>
        <w:rPr>
          <w:rFonts w:ascii="宋体"/>
          <w:spacing w:val="6"/>
          <w:sz w:val="24"/>
          <w:szCs w:val="24"/>
        </w:rPr>
      </w:pPr>
    </w:p>
    <w:p>
      <w:pPr>
        <w:spacing w:line="360" w:lineRule="auto"/>
        <w:ind w:firstLine="504" w:firstLineChars="200"/>
        <w:rPr>
          <w:rFonts w:ascii="宋体"/>
          <w:spacing w:val="6"/>
          <w:sz w:val="24"/>
          <w:szCs w:val="24"/>
        </w:rPr>
      </w:pPr>
    </w:p>
    <w:p>
      <w:pPr>
        <w:spacing w:line="360" w:lineRule="auto"/>
        <w:ind w:firstLine="504" w:firstLineChars="200"/>
        <w:rPr>
          <w:rFonts w:ascii="宋体"/>
          <w:spacing w:val="6"/>
          <w:sz w:val="24"/>
          <w:szCs w:val="24"/>
        </w:rPr>
      </w:pPr>
      <w:r>
        <w:rPr>
          <w:rFonts w:hint="eastAsia" w:ascii="宋体"/>
          <w:spacing w:val="6"/>
          <w:sz w:val="24"/>
          <w:szCs w:val="24"/>
        </w:rPr>
        <w:t>单位名称（盖章）：</w:t>
      </w:r>
    </w:p>
    <w:p>
      <w:pPr>
        <w:spacing w:line="360" w:lineRule="auto"/>
        <w:ind w:firstLine="504" w:firstLineChars="200"/>
        <w:rPr>
          <w:rFonts w:ascii="宋体"/>
          <w:spacing w:val="6"/>
          <w:sz w:val="24"/>
          <w:szCs w:val="24"/>
        </w:rPr>
      </w:pPr>
      <w:r>
        <w:rPr>
          <w:rFonts w:hint="eastAsia" w:ascii="宋体"/>
          <w:spacing w:val="6"/>
          <w:sz w:val="24"/>
          <w:szCs w:val="24"/>
        </w:rPr>
        <w:t>日  期：</w:t>
      </w:r>
      <w:bookmarkStart w:id="51" w:name="_Toc26887383"/>
      <w:bookmarkStart w:id="52" w:name="_Toc496192671"/>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r>
        <w:rPr>
          <w:rFonts w:hint="eastAsia" w:ascii="宋体" w:hAnsi="宋体" w:eastAsia="宋体" w:cs="宋体"/>
          <w:b/>
          <w:bCs/>
          <w:color w:val="000000"/>
          <w:sz w:val="21"/>
          <w:szCs w:val="21"/>
          <w:lang w:val="en-US" w:eastAsia="zh-CN"/>
        </w:rPr>
        <w:t>注：</w:t>
      </w:r>
      <w:r>
        <w:rPr>
          <w:rFonts w:ascii="宋体" w:hAnsi="宋体" w:eastAsia="宋体" w:cs="宋体"/>
          <w:b/>
          <w:bCs/>
          <w:color w:val="000000"/>
          <w:sz w:val="21"/>
          <w:szCs w:val="21"/>
        </w:rPr>
        <w:t>中标人为残疾人福利性单位的，本声明函将随中标结果同时公告。 如投标人不符合残疾人福利性单位条件，无需填写本声明。</w:t>
      </w: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r>
        <w:rPr>
          <w:rFonts w:hint="eastAsia" w:ascii="宋体"/>
          <w:kern w:val="0"/>
          <w:sz w:val="24"/>
          <w:szCs w:val="24"/>
        </w:rPr>
        <w:t>附件</w:t>
      </w:r>
      <w:r>
        <w:rPr>
          <w:rFonts w:ascii="宋体"/>
          <w:kern w:val="0"/>
          <w:sz w:val="24"/>
          <w:szCs w:val="24"/>
        </w:rPr>
        <w:t>四：</w:t>
      </w:r>
    </w:p>
    <w:bookmarkEnd w:id="51"/>
    <w:bookmarkEnd w:id="52"/>
    <w:p>
      <w:pPr>
        <w:tabs>
          <w:tab w:val="left" w:pos="0"/>
        </w:tabs>
        <w:spacing w:line="360" w:lineRule="auto"/>
        <w:ind w:firstLine="480"/>
        <w:rPr>
          <w:rFonts w:ascii="宋体"/>
          <w:color w:val="000000"/>
          <w:sz w:val="24"/>
          <w:szCs w:val="24"/>
        </w:rPr>
      </w:pPr>
    </w:p>
    <w:p>
      <w:pPr>
        <w:tabs>
          <w:tab w:val="left" w:pos="0"/>
        </w:tabs>
        <w:spacing w:line="360" w:lineRule="auto"/>
        <w:ind w:firstLine="3019" w:firstLineChars="1074"/>
        <w:rPr>
          <w:rFonts w:ascii="宋体"/>
          <w:b/>
          <w:color w:val="000000"/>
          <w:sz w:val="28"/>
          <w:szCs w:val="28"/>
        </w:rPr>
      </w:pPr>
      <w:r>
        <w:rPr>
          <w:rFonts w:hint="eastAsia" w:ascii="宋体"/>
          <w:b/>
          <w:color w:val="000000"/>
          <w:sz w:val="28"/>
          <w:szCs w:val="28"/>
        </w:rPr>
        <w:t>监狱企业声明函</w:t>
      </w:r>
    </w:p>
    <w:p>
      <w:pPr>
        <w:tabs>
          <w:tab w:val="left" w:pos="0"/>
        </w:tabs>
        <w:spacing w:line="360" w:lineRule="auto"/>
        <w:ind w:firstLine="480"/>
        <w:rPr>
          <w:rFonts w:ascii="宋体"/>
          <w:color w:val="000000"/>
          <w:sz w:val="24"/>
          <w:szCs w:val="24"/>
          <w:u w:val="single"/>
        </w:rPr>
      </w:pPr>
      <w:r>
        <w:rPr>
          <w:rFonts w:hint="eastAsia" w:ascii="宋体"/>
          <w:color w:val="000000"/>
          <w:sz w:val="24"/>
          <w:szCs w:val="24"/>
        </w:rPr>
        <w:t xml:space="preserve">本单位郑重声明，根据《财政部 司法部关于政府采购支持监狱企业发展有关问题的通知》（财库﹝2014﹞68号）的规定，本单位为符合条件的监狱企业，且本单位参加           单位的 </w:t>
      </w:r>
      <w:r>
        <w:rPr>
          <w:rFonts w:hint="eastAsia" w:ascii="宋体"/>
          <w:color w:val="000000"/>
          <w:sz w:val="24"/>
          <w:szCs w:val="24"/>
          <w:u w:val="single"/>
        </w:rPr>
        <w:t xml:space="preserve">                 </w:t>
      </w:r>
      <w:r>
        <w:rPr>
          <w:rFonts w:hint="eastAsia" w:ascii="宋体"/>
          <w:color w:val="000000"/>
          <w:sz w:val="24"/>
          <w:szCs w:val="24"/>
        </w:rPr>
        <w:t xml:space="preserve"> 项目采购活动提供本单位制造的货物（由本单位承担工程／提供服务）。</w:t>
      </w:r>
    </w:p>
    <w:p>
      <w:pPr>
        <w:tabs>
          <w:tab w:val="left" w:pos="0"/>
        </w:tabs>
        <w:spacing w:line="360" w:lineRule="auto"/>
        <w:ind w:firstLine="480"/>
        <w:rPr>
          <w:rFonts w:ascii="宋体"/>
          <w:color w:val="000000"/>
          <w:sz w:val="24"/>
          <w:szCs w:val="24"/>
        </w:rPr>
      </w:pPr>
    </w:p>
    <w:p>
      <w:pPr>
        <w:tabs>
          <w:tab w:val="left" w:pos="0"/>
        </w:tabs>
        <w:spacing w:line="360" w:lineRule="auto"/>
        <w:ind w:firstLine="480"/>
        <w:rPr>
          <w:rFonts w:ascii="宋体"/>
          <w:color w:val="000000"/>
          <w:sz w:val="24"/>
          <w:szCs w:val="24"/>
        </w:rPr>
      </w:pPr>
      <w:r>
        <w:rPr>
          <w:rFonts w:hint="eastAsia" w:ascii="宋体"/>
          <w:color w:val="000000"/>
          <w:sz w:val="24"/>
          <w:szCs w:val="24"/>
        </w:rPr>
        <w:t xml:space="preserve">   本单位对上述声明的真实性负责。如有虚假，将依法承担相应责任。</w:t>
      </w:r>
    </w:p>
    <w:p>
      <w:pPr>
        <w:tabs>
          <w:tab w:val="left" w:pos="0"/>
        </w:tabs>
        <w:spacing w:line="360" w:lineRule="auto"/>
        <w:ind w:firstLine="480"/>
        <w:rPr>
          <w:rFonts w:ascii="宋体"/>
          <w:color w:val="000000"/>
          <w:sz w:val="24"/>
          <w:szCs w:val="24"/>
        </w:rPr>
      </w:pPr>
    </w:p>
    <w:p>
      <w:pPr>
        <w:tabs>
          <w:tab w:val="left" w:pos="0"/>
        </w:tabs>
        <w:spacing w:line="360" w:lineRule="auto"/>
        <w:ind w:firstLine="480"/>
        <w:rPr>
          <w:rFonts w:ascii="宋体"/>
          <w:color w:val="000000"/>
          <w:sz w:val="24"/>
          <w:szCs w:val="24"/>
        </w:rPr>
      </w:pPr>
    </w:p>
    <w:p>
      <w:pPr>
        <w:tabs>
          <w:tab w:val="left" w:pos="0"/>
        </w:tabs>
        <w:spacing w:line="360" w:lineRule="auto"/>
        <w:rPr>
          <w:rFonts w:ascii="宋体"/>
          <w:color w:val="000000"/>
          <w:sz w:val="24"/>
          <w:szCs w:val="24"/>
        </w:rPr>
      </w:pPr>
    </w:p>
    <w:p>
      <w:pPr>
        <w:tabs>
          <w:tab w:val="left" w:pos="0"/>
        </w:tabs>
        <w:spacing w:line="360" w:lineRule="auto"/>
        <w:ind w:firstLine="480"/>
        <w:rPr>
          <w:rFonts w:ascii="宋体"/>
          <w:color w:val="000000"/>
          <w:sz w:val="24"/>
          <w:szCs w:val="24"/>
        </w:rPr>
      </w:pPr>
      <w:r>
        <w:rPr>
          <w:rFonts w:hint="eastAsia" w:ascii="宋体"/>
          <w:color w:val="000000"/>
          <w:sz w:val="24"/>
          <w:szCs w:val="24"/>
        </w:rPr>
        <w:t xml:space="preserve">  单位名称：               （盖章）</w:t>
      </w:r>
    </w:p>
    <w:p>
      <w:pPr>
        <w:tabs>
          <w:tab w:val="left" w:pos="0"/>
        </w:tabs>
        <w:spacing w:line="360" w:lineRule="auto"/>
        <w:ind w:firstLine="480"/>
        <w:rPr>
          <w:rFonts w:ascii="宋体"/>
          <w:color w:val="000000"/>
          <w:sz w:val="24"/>
          <w:szCs w:val="24"/>
        </w:rPr>
      </w:pPr>
      <w:r>
        <w:rPr>
          <w:rFonts w:hint="eastAsia" w:ascii="宋体"/>
          <w:color w:val="000000"/>
          <w:sz w:val="24"/>
          <w:szCs w:val="24"/>
        </w:rPr>
        <w:t xml:space="preserve">  日    期：                 </w:t>
      </w:r>
    </w:p>
    <w:p>
      <w:pPr>
        <w:tabs>
          <w:tab w:val="left" w:pos="0"/>
        </w:tabs>
        <w:spacing w:line="360" w:lineRule="auto"/>
        <w:ind w:firstLine="480"/>
        <w:rPr>
          <w:rFonts w:ascii="宋体"/>
          <w:color w:val="000000"/>
          <w:sz w:val="24"/>
          <w:szCs w:val="24"/>
        </w:rPr>
      </w:pPr>
    </w:p>
    <w:p>
      <w:pPr>
        <w:tabs>
          <w:tab w:val="left" w:pos="0"/>
        </w:tabs>
        <w:spacing w:line="360" w:lineRule="auto"/>
        <w:rPr>
          <w:rFonts w:ascii="宋体"/>
          <w:color w:val="000000"/>
          <w:sz w:val="24"/>
          <w:szCs w:val="24"/>
        </w:rPr>
      </w:pPr>
    </w:p>
    <w:p>
      <w:pPr>
        <w:tabs>
          <w:tab w:val="left" w:pos="0"/>
        </w:tabs>
        <w:spacing w:line="360" w:lineRule="auto"/>
        <w:ind w:firstLine="480"/>
        <w:rPr>
          <w:rFonts w:ascii="宋体"/>
          <w:color w:val="000000"/>
          <w:sz w:val="24"/>
          <w:szCs w:val="24"/>
        </w:rPr>
      </w:pPr>
    </w:p>
    <w:p>
      <w:pPr>
        <w:tabs>
          <w:tab w:val="left" w:pos="0"/>
        </w:tabs>
        <w:spacing w:line="360" w:lineRule="auto"/>
        <w:ind w:firstLine="480"/>
        <w:rPr>
          <w:rFonts w:ascii="宋体"/>
          <w:color w:val="000000"/>
          <w:sz w:val="24"/>
          <w:szCs w:val="24"/>
        </w:rPr>
      </w:pPr>
    </w:p>
    <w:p>
      <w:pPr>
        <w:autoSpaceDE w:val="0"/>
        <w:autoSpaceDN w:val="0"/>
        <w:adjustRightInd w:val="0"/>
        <w:spacing w:line="360" w:lineRule="auto"/>
        <w:jc w:val="left"/>
        <w:rPr>
          <w:rFonts w:ascii="宋体"/>
          <w:kern w:val="0"/>
          <w:sz w:val="24"/>
          <w:szCs w:val="24"/>
        </w:rPr>
      </w:pPr>
      <w:r>
        <w:rPr>
          <w:rFonts w:hint="eastAsia" w:ascii="宋体" w:hAnsi="宋体" w:eastAsia="宋体" w:cs="宋体"/>
          <w:b/>
          <w:bCs/>
          <w:color w:val="000000"/>
          <w:sz w:val="21"/>
          <w:szCs w:val="21"/>
          <w:lang w:val="en-US" w:eastAsia="zh-CN"/>
        </w:rPr>
        <w:t>注：</w:t>
      </w:r>
      <w:r>
        <w:rPr>
          <w:rFonts w:ascii="宋体" w:hAnsi="宋体" w:eastAsia="宋体" w:cs="宋体"/>
          <w:b/>
          <w:bCs/>
          <w:color w:val="000000"/>
          <w:sz w:val="21"/>
          <w:szCs w:val="21"/>
        </w:rPr>
        <w:t>中标人为</w:t>
      </w:r>
      <w:r>
        <w:rPr>
          <w:rFonts w:hint="eastAsia" w:ascii="宋体" w:hAnsi="宋体" w:eastAsia="宋体" w:cs="宋体"/>
          <w:b/>
          <w:bCs/>
          <w:color w:val="000000"/>
          <w:sz w:val="21"/>
          <w:szCs w:val="21"/>
        </w:rPr>
        <w:t>监狱企业</w:t>
      </w:r>
      <w:r>
        <w:rPr>
          <w:rFonts w:ascii="宋体" w:hAnsi="宋体" w:eastAsia="宋体" w:cs="宋体"/>
          <w:b/>
          <w:bCs/>
          <w:color w:val="000000"/>
          <w:sz w:val="21"/>
          <w:szCs w:val="21"/>
        </w:rPr>
        <w:t>的，本声明函将随中标结果同时公告。 如投标人不符合残疾人福利性单位条件，无需填写本声明。</w:t>
      </w:r>
    </w:p>
    <w:p>
      <w:pPr>
        <w:tabs>
          <w:tab w:val="left" w:pos="0"/>
        </w:tabs>
        <w:spacing w:line="360" w:lineRule="auto"/>
        <w:ind w:firstLine="480"/>
        <w:rPr>
          <w:rFonts w:ascii="宋体"/>
          <w:color w:val="000000"/>
          <w:sz w:val="24"/>
          <w:szCs w:val="24"/>
        </w:rPr>
      </w:pPr>
    </w:p>
    <w:p>
      <w:pPr>
        <w:rPr>
          <w:rFonts w:ascii="宋体" w:cs="黑体"/>
          <w:b/>
          <w:bCs/>
          <w:sz w:val="24"/>
          <w:szCs w:val="24"/>
        </w:rPr>
      </w:pPr>
    </w:p>
    <w:sectPr>
      <w:footerReference r:id="rId8" w:type="first"/>
      <w:footerReference r:id="rId7" w:type="default"/>
      <w:pgSz w:w="11906" w:h="16838"/>
      <w:pgMar w:top="1440" w:right="1800" w:bottom="1440" w:left="1800" w:header="851" w:footer="992" w:gutter="0"/>
      <w:pgNumType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361315"/>
              <wp:effectExtent l="0" t="0" r="0" b="0"/>
              <wp:wrapNone/>
              <wp:docPr id="1" name="文本框 1"/>
              <wp:cNvGraphicFramePr/>
              <a:graphic xmlns:a="http://schemas.openxmlformats.org/drawingml/2006/main">
                <a:graphicData uri="http://schemas.microsoft.com/office/word/2010/wordprocessingShape">
                  <wps:wsp>
                    <wps:cNvSpPr/>
                    <wps:spPr>
                      <a:xfrm>
                        <a:off x="0" y="0"/>
                        <a:ext cx="57150" cy="361315"/>
                      </a:xfrm>
                      <a:prstGeom prst="rect">
                        <a:avLst/>
                      </a:prstGeom>
                      <a:noFill/>
                      <a:ln w="6350" cap="flat" cmpd="sng">
                        <a:noFill/>
                        <a:prstDash val="solid"/>
                        <a:round/>
                      </a:ln>
                    </wps:spPr>
                    <wps:txbx>
                      <w:txbxContent>
                        <w:sdt>
                          <w:sdtPr>
                            <w:id w:val="2113140002"/>
                            <w:docPartList>
                              <w:docPartGallery w:val="Quick Parts"/>
                            </w:docPartList>
                          </w:sdtPr>
                          <w:sdtContent>
                            <w:p>
                              <w:pPr>
                                <w:pStyle w:val="15"/>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28.45pt;width:4.5pt;mso-position-horizontal:center;mso-position-horizontal-relative:margin;mso-wrap-style:none;z-index:251659264;mso-width-relative:page;mso-height-relative:page;" filled="f" stroked="f" coordsize="21600,21600" o:gfxdata="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ekMorVAAAAAgEAAA8AAAAAAAAAAQAgAAAAIgAAAGRycy9kb3ducmV2LnhtbFBL&#10;AQIUABQAAAAIAIdO4kAYeBrc+QEAAOcDAAAOAAAAAAAAAAEAIAAAACQBAABkcnMvZTJvRG9jLnht&#10;bFBLBQYAAAAABgAGAFkBAACPBQAAAAA=&#10;">
              <v:fill on="f" focussize="0,0"/>
              <v:stroke on="f" weight="0.5pt" joinstyle="round"/>
              <v:imagedata o:title=""/>
              <o:lock v:ext="edit" aspectratio="f"/>
              <v:textbox inset="0mm,0mm,0mm,0mm" style="mso-fit-shape-to-text:t;">
                <w:txbxContent>
                  <w:sdt>
                    <w:sdtPr>
                      <w:id w:val="2113140002"/>
                      <w:docPartList>
                        <w:docPartGallery w:val="Quick Parts"/>
                      </w:docPartList>
                    </w:sdtPr>
                    <w:sdtContent>
                      <w:p>
                        <w:pPr>
                          <w:pStyle w:val="15"/>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txbxContent>
              </v:textbox>
            </v:rect>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14300" cy="361315"/>
              <wp:effectExtent l="0" t="0" r="0" b="0"/>
              <wp:wrapNone/>
              <wp:docPr id="4" name="文本框 2"/>
              <wp:cNvGraphicFramePr/>
              <a:graphic xmlns:a="http://schemas.openxmlformats.org/drawingml/2006/main">
                <a:graphicData uri="http://schemas.microsoft.com/office/word/2010/wordprocessingShape">
                  <wps:wsp>
                    <wps:cNvSpPr/>
                    <wps:spPr>
                      <a:xfrm>
                        <a:off x="0" y="0"/>
                        <a:ext cx="114300" cy="361245"/>
                      </a:xfrm>
                      <a:prstGeom prst="rect">
                        <a:avLst/>
                      </a:prstGeom>
                      <a:noFill/>
                      <a:ln w="6350" cap="flat" cmpd="sng">
                        <a:noFill/>
                        <a:prstDash val="solid"/>
                        <a:round/>
                      </a:ln>
                    </wps:spPr>
                    <wps:txbx>
                      <w:txbxContent>
                        <w:sdt>
                          <w:sdtPr>
                            <w:id w:val="-617512464"/>
                            <w:docPartList>
                              <w:docPartGallery w:val="Quick Parts"/>
                            </w:docPartList>
                          </w:sdtPr>
                          <w:sdtContent>
                            <w:p>
                              <w:pPr>
                                <w:pStyle w:val="15"/>
                                <w:jc w:val="center"/>
                              </w:pPr>
                              <w:r>
                                <w:fldChar w:fldCharType="begin"/>
                              </w:r>
                              <w:r>
                                <w:instrText xml:space="preserve">PAGE   \* MERGEFORMAT</w:instrText>
                              </w:r>
                              <w:r>
                                <w:fldChar w:fldCharType="separate"/>
                              </w:r>
                              <w:r>
                                <w:rPr>
                                  <w:lang w:val="zh-CN"/>
                                </w:rPr>
                                <w:t>31</w:t>
                              </w:r>
                              <w:r>
                                <w:rPr>
                                  <w:lang w:val="zh-CN"/>
                                </w:rPr>
                                <w:fldChar w:fldCharType="end"/>
                              </w:r>
                            </w:p>
                          </w:sdtContent>
                        </w:sdt>
                        <w:p>
                          <w:pPr>
                            <w:pStyle w:val="8"/>
                          </w:pPr>
                        </w:p>
                      </w:txbxContent>
                    </wps:txbx>
                    <wps:bodyPr vert="horz" wrap="none" lIns="0" tIns="0" rIns="0" bIns="0" anchor="t" anchorCtr="0">
                      <a:spAutoFit/>
                    </wps:bodyPr>
                  </wps:wsp>
                </a:graphicData>
              </a:graphic>
            </wp:anchor>
          </w:drawing>
        </mc:Choice>
        <mc:Fallback>
          <w:pict>
            <v:rect id="文本框 2" o:spid="_x0000_s1026" o:spt="1" style="position:absolute;left:0pt;margin-top:0pt;height:28.45pt;width:9pt;mso-position-horizontal:center;mso-position-horizontal-relative:margin;mso-wrap-style:none;z-index:251660288;mso-width-relative:page;mso-height-relative:page;" filled="f" stroked="f" coordsize="21600,21600" o:gfxdata="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SJyw1gAAAAMBAAAPAAAAAAAAAAEAIAAAACIAAABkcnMvZG93bnJldi54&#10;bWxQSwECFAAUAAAACACHTuJAVoTuUPwBAADoAwAADgAAAAAAAAABACAAAAAlAQAAZHJzL2Uyb0Rv&#10;Yy54bWxQSwUGAAAAAAYABgBZAQAAkwUAAAAA&#10;">
              <v:fill on="f" focussize="0,0"/>
              <v:stroke on="f" weight="0.5pt" joinstyle="round"/>
              <v:imagedata o:title=""/>
              <o:lock v:ext="edit" aspectratio="f"/>
              <v:textbox inset="0mm,0mm,0mm,0mm" style="mso-fit-shape-to-text:t;">
                <w:txbxContent>
                  <w:sdt>
                    <w:sdtPr>
                      <w:id w:val="-617512464"/>
                      <w:docPartList>
                        <w:docPartGallery w:val="Quick Parts"/>
                      </w:docPartList>
                    </w:sdtPr>
                    <w:sdtContent>
                      <w:p>
                        <w:pPr>
                          <w:pStyle w:val="15"/>
                          <w:jc w:val="center"/>
                        </w:pPr>
                        <w:r>
                          <w:fldChar w:fldCharType="begin"/>
                        </w:r>
                        <w:r>
                          <w:instrText xml:space="preserve">PAGE   \* MERGEFORMAT</w:instrText>
                        </w:r>
                        <w:r>
                          <w:fldChar w:fldCharType="separate"/>
                        </w:r>
                        <w:r>
                          <w:rPr>
                            <w:lang w:val="zh-CN"/>
                          </w:rPr>
                          <w:t>31</w:t>
                        </w:r>
                        <w:r>
                          <w:rPr>
                            <w:lang w:val="zh-CN"/>
                          </w:rPr>
                          <w:fldChar w:fldCharType="end"/>
                        </w:r>
                      </w:p>
                    </w:sdtContent>
                  </w:sdt>
                  <w:p>
                    <w:pPr>
                      <w:pStyle w:val="8"/>
                    </w:pPr>
                  </w:p>
                </w:txbxContent>
              </v:textbox>
            </v:rect>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华文隶书" w:eastAsia="华文隶书"/>
      </w:rPr>
    </w:pPr>
    <w:r>
      <w:rPr>
        <w:rFonts w:hint="eastAsia" w:ascii="华文隶书" w:eastAsia="华文隶书"/>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A5C7C"/>
    <w:multiLevelType w:val="singleLevel"/>
    <w:tmpl w:val="EC7A5C7C"/>
    <w:lvl w:ilvl="0" w:tentative="0">
      <w:start w:val="9"/>
      <w:numFmt w:val="decimal"/>
      <w:suff w:val="nothing"/>
      <w:lvlText w:val="%1、"/>
      <w:lvlJc w:val="left"/>
    </w:lvl>
  </w:abstractNum>
  <w:abstractNum w:abstractNumId="1">
    <w:nsid w:val="12BA8BF8"/>
    <w:multiLevelType w:val="singleLevel"/>
    <w:tmpl w:val="12BA8BF8"/>
    <w:lvl w:ilvl="0" w:tentative="0">
      <w:start w:val="2"/>
      <w:numFmt w:val="chineseCounting"/>
      <w:suff w:val="nothing"/>
      <w:lvlText w:val="%1、"/>
      <w:lvlJc w:val="left"/>
      <w:rPr>
        <w:rFonts w:hint="eastAsia"/>
      </w:rPr>
    </w:lvl>
  </w:abstractNum>
  <w:abstractNum w:abstractNumId="2">
    <w:nsid w:val="32406DB3"/>
    <w:multiLevelType w:val="multilevel"/>
    <w:tmpl w:val="32406DB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F4E98A1"/>
    <w:multiLevelType w:val="singleLevel"/>
    <w:tmpl w:val="4F4E98A1"/>
    <w:lvl w:ilvl="0" w:tentative="0">
      <w:start w:val="9"/>
      <w:numFmt w:val="decimal"/>
      <w:suff w:val="nothing"/>
      <w:lvlText w:val="%1．"/>
      <w:lvlJc w:val="left"/>
    </w:lvl>
  </w:abstractNum>
  <w:abstractNum w:abstractNumId="4">
    <w:nsid w:val="686407CD"/>
    <w:multiLevelType w:val="singleLevel"/>
    <w:tmpl w:val="686407CD"/>
    <w:lvl w:ilvl="0" w:tentative="0">
      <w:start w:val="3"/>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wNjhiNWRkNDExMjY5NjM4MjA0Nzk1M2JiNWU5N2YifQ=="/>
  </w:docVars>
  <w:rsids>
    <w:rsidRoot w:val="00610654"/>
    <w:rsid w:val="00005846"/>
    <w:rsid w:val="00082772"/>
    <w:rsid w:val="000879A8"/>
    <w:rsid w:val="000F0007"/>
    <w:rsid w:val="00142B72"/>
    <w:rsid w:val="00161688"/>
    <w:rsid w:val="001719A3"/>
    <w:rsid w:val="00194728"/>
    <w:rsid w:val="001951C0"/>
    <w:rsid w:val="001969F6"/>
    <w:rsid w:val="001B6E60"/>
    <w:rsid w:val="001F4662"/>
    <w:rsid w:val="00215606"/>
    <w:rsid w:val="00221B82"/>
    <w:rsid w:val="00243E58"/>
    <w:rsid w:val="00332943"/>
    <w:rsid w:val="00357438"/>
    <w:rsid w:val="00362F87"/>
    <w:rsid w:val="00380948"/>
    <w:rsid w:val="003B425C"/>
    <w:rsid w:val="003C67D7"/>
    <w:rsid w:val="004033B6"/>
    <w:rsid w:val="00407F03"/>
    <w:rsid w:val="004625A8"/>
    <w:rsid w:val="004663AA"/>
    <w:rsid w:val="00470041"/>
    <w:rsid w:val="00477411"/>
    <w:rsid w:val="0048123D"/>
    <w:rsid w:val="004A4E66"/>
    <w:rsid w:val="005208EB"/>
    <w:rsid w:val="005305A4"/>
    <w:rsid w:val="00563274"/>
    <w:rsid w:val="005960B4"/>
    <w:rsid w:val="005A3B50"/>
    <w:rsid w:val="005E6474"/>
    <w:rsid w:val="00603C40"/>
    <w:rsid w:val="00610654"/>
    <w:rsid w:val="00637DB4"/>
    <w:rsid w:val="006723A5"/>
    <w:rsid w:val="006D6F92"/>
    <w:rsid w:val="006E7E32"/>
    <w:rsid w:val="007027B4"/>
    <w:rsid w:val="00742BD2"/>
    <w:rsid w:val="00750410"/>
    <w:rsid w:val="007747CD"/>
    <w:rsid w:val="007A625C"/>
    <w:rsid w:val="007D2356"/>
    <w:rsid w:val="007F629B"/>
    <w:rsid w:val="00805533"/>
    <w:rsid w:val="008167C1"/>
    <w:rsid w:val="00851542"/>
    <w:rsid w:val="00855E46"/>
    <w:rsid w:val="00895CE7"/>
    <w:rsid w:val="008B1627"/>
    <w:rsid w:val="008B21A4"/>
    <w:rsid w:val="008C78B0"/>
    <w:rsid w:val="008D0937"/>
    <w:rsid w:val="00941DD6"/>
    <w:rsid w:val="009422B5"/>
    <w:rsid w:val="009554ED"/>
    <w:rsid w:val="0096689D"/>
    <w:rsid w:val="00990A34"/>
    <w:rsid w:val="009C4FBA"/>
    <w:rsid w:val="00A01F98"/>
    <w:rsid w:val="00A104FE"/>
    <w:rsid w:val="00A41843"/>
    <w:rsid w:val="00A61FC1"/>
    <w:rsid w:val="00AA2EA7"/>
    <w:rsid w:val="00B06AA3"/>
    <w:rsid w:val="00B07CC6"/>
    <w:rsid w:val="00B35481"/>
    <w:rsid w:val="00B433BE"/>
    <w:rsid w:val="00B64A75"/>
    <w:rsid w:val="00B7694E"/>
    <w:rsid w:val="00B838ED"/>
    <w:rsid w:val="00BB48D7"/>
    <w:rsid w:val="00BD01EA"/>
    <w:rsid w:val="00C263D4"/>
    <w:rsid w:val="00C7651F"/>
    <w:rsid w:val="00C82414"/>
    <w:rsid w:val="00C942C6"/>
    <w:rsid w:val="00D5192F"/>
    <w:rsid w:val="00D669C2"/>
    <w:rsid w:val="00D816E6"/>
    <w:rsid w:val="00D87A06"/>
    <w:rsid w:val="00D975B0"/>
    <w:rsid w:val="00E0141E"/>
    <w:rsid w:val="00ED5BE6"/>
    <w:rsid w:val="00F117E7"/>
    <w:rsid w:val="00F1485D"/>
    <w:rsid w:val="00F50BD8"/>
    <w:rsid w:val="00FA1169"/>
    <w:rsid w:val="00FC022A"/>
    <w:rsid w:val="00FD402B"/>
    <w:rsid w:val="00FE43BA"/>
    <w:rsid w:val="010A12EB"/>
    <w:rsid w:val="010E3F17"/>
    <w:rsid w:val="015D06DA"/>
    <w:rsid w:val="01B7578A"/>
    <w:rsid w:val="027B15CC"/>
    <w:rsid w:val="0314369E"/>
    <w:rsid w:val="03832FD1"/>
    <w:rsid w:val="042635EF"/>
    <w:rsid w:val="04874344"/>
    <w:rsid w:val="0488188E"/>
    <w:rsid w:val="04B803D4"/>
    <w:rsid w:val="054B41ED"/>
    <w:rsid w:val="055B2F9F"/>
    <w:rsid w:val="069A4FD1"/>
    <w:rsid w:val="073836D3"/>
    <w:rsid w:val="07D275EB"/>
    <w:rsid w:val="07D433FC"/>
    <w:rsid w:val="07E97525"/>
    <w:rsid w:val="08460CA3"/>
    <w:rsid w:val="08850FBF"/>
    <w:rsid w:val="08CB10B1"/>
    <w:rsid w:val="0951422F"/>
    <w:rsid w:val="09DB123D"/>
    <w:rsid w:val="09E85734"/>
    <w:rsid w:val="0A6221CC"/>
    <w:rsid w:val="0A79731C"/>
    <w:rsid w:val="0AA6399E"/>
    <w:rsid w:val="0AD35BED"/>
    <w:rsid w:val="0AF24B15"/>
    <w:rsid w:val="0AF51578"/>
    <w:rsid w:val="0B275F2D"/>
    <w:rsid w:val="0BE5207C"/>
    <w:rsid w:val="0D613984"/>
    <w:rsid w:val="0D6436F7"/>
    <w:rsid w:val="0DA577C1"/>
    <w:rsid w:val="0DA6583B"/>
    <w:rsid w:val="0DBD0E39"/>
    <w:rsid w:val="0DCD2DC7"/>
    <w:rsid w:val="0E1C42D0"/>
    <w:rsid w:val="0F1467D4"/>
    <w:rsid w:val="0F847DFE"/>
    <w:rsid w:val="0FC03B56"/>
    <w:rsid w:val="0FC94C1C"/>
    <w:rsid w:val="0FCB674F"/>
    <w:rsid w:val="0FE10DAC"/>
    <w:rsid w:val="104F55CF"/>
    <w:rsid w:val="106C2D6C"/>
    <w:rsid w:val="10BF177A"/>
    <w:rsid w:val="10C35F41"/>
    <w:rsid w:val="10C605D6"/>
    <w:rsid w:val="113C66D5"/>
    <w:rsid w:val="11B16DE0"/>
    <w:rsid w:val="11DB212B"/>
    <w:rsid w:val="11E06779"/>
    <w:rsid w:val="12327829"/>
    <w:rsid w:val="1289272F"/>
    <w:rsid w:val="128E6857"/>
    <w:rsid w:val="12B75DF4"/>
    <w:rsid w:val="13157D17"/>
    <w:rsid w:val="13474D83"/>
    <w:rsid w:val="13A9034A"/>
    <w:rsid w:val="13C73F1E"/>
    <w:rsid w:val="144813FA"/>
    <w:rsid w:val="150E763B"/>
    <w:rsid w:val="15480C0B"/>
    <w:rsid w:val="155A0085"/>
    <w:rsid w:val="15634011"/>
    <w:rsid w:val="15794922"/>
    <w:rsid w:val="15A1622A"/>
    <w:rsid w:val="15D60C87"/>
    <w:rsid w:val="15DD0268"/>
    <w:rsid w:val="15E35A23"/>
    <w:rsid w:val="15E50EB8"/>
    <w:rsid w:val="162D53FE"/>
    <w:rsid w:val="168B7CC4"/>
    <w:rsid w:val="16BA2357"/>
    <w:rsid w:val="16D76A65"/>
    <w:rsid w:val="17A87F2C"/>
    <w:rsid w:val="17D90767"/>
    <w:rsid w:val="17F10B85"/>
    <w:rsid w:val="17F7562F"/>
    <w:rsid w:val="181D494B"/>
    <w:rsid w:val="1823246E"/>
    <w:rsid w:val="18B22D38"/>
    <w:rsid w:val="18B352B0"/>
    <w:rsid w:val="196C2DA6"/>
    <w:rsid w:val="1A32051C"/>
    <w:rsid w:val="1A395550"/>
    <w:rsid w:val="1A4B5826"/>
    <w:rsid w:val="1AB141B6"/>
    <w:rsid w:val="1B886DFC"/>
    <w:rsid w:val="1C1D316C"/>
    <w:rsid w:val="1C4974F6"/>
    <w:rsid w:val="1CA278C3"/>
    <w:rsid w:val="1CF53419"/>
    <w:rsid w:val="1D495E33"/>
    <w:rsid w:val="1EB560FD"/>
    <w:rsid w:val="1EE6018D"/>
    <w:rsid w:val="1EEA3E98"/>
    <w:rsid w:val="1F892441"/>
    <w:rsid w:val="1FF15D3F"/>
    <w:rsid w:val="1FF71F26"/>
    <w:rsid w:val="206F41B2"/>
    <w:rsid w:val="217D14B6"/>
    <w:rsid w:val="21A60522"/>
    <w:rsid w:val="224156DA"/>
    <w:rsid w:val="24086206"/>
    <w:rsid w:val="241912D4"/>
    <w:rsid w:val="242E2942"/>
    <w:rsid w:val="24483DF1"/>
    <w:rsid w:val="247E501E"/>
    <w:rsid w:val="24B30B11"/>
    <w:rsid w:val="24C34F66"/>
    <w:rsid w:val="24E75426"/>
    <w:rsid w:val="2593624D"/>
    <w:rsid w:val="25F5538B"/>
    <w:rsid w:val="26AB0E96"/>
    <w:rsid w:val="27010DB1"/>
    <w:rsid w:val="276A0465"/>
    <w:rsid w:val="276C144B"/>
    <w:rsid w:val="282A1EF0"/>
    <w:rsid w:val="28DE6CDC"/>
    <w:rsid w:val="29245297"/>
    <w:rsid w:val="296B0C35"/>
    <w:rsid w:val="2A297E40"/>
    <w:rsid w:val="2A2D4EC2"/>
    <w:rsid w:val="2B171B1A"/>
    <w:rsid w:val="2B980A61"/>
    <w:rsid w:val="2BCE0689"/>
    <w:rsid w:val="2C263E87"/>
    <w:rsid w:val="2D5424BD"/>
    <w:rsid w:val="2DB0393B"/>
    <w:rsid w:val="2DCC054E"/>
    <w:rsid w:val="2DEC6E42"/>
    <w:rsid w:val="2EF85A0C"/>
    <w:rsid w:val="3081536B"/>
    <w:rsid w:val="30AB49E0"/>
    <w:rsid w:val="31BA6C78"/>
    <w:rsid w:val="321752F0"/>
    <w:rsid w:val="325356E2"/>
    <w:rsid w:val="327A64E2"/>
    <w:rsid w:val="32DC7D7B"/>
    <w:rsid w:val="32E91989"/>
    <w:rsid w:val="330850D6"/>
    <w:rsid w:val="33883169"/>
    <w:rsid w:val="33AF2176"/>
    <w:rsid w:val="33F737B0"/>
    <w:rsid w:val="33FE167D"/>
    <w:rsid w:val="341D3752"/>
    <w:rsid w:val="343525C7"/>
    <w:rsid w:val="346241F2"/>
    <w:rsid w:val="347863B7"/>
    <w:rsid w:val="35632CFB"/>
    <w:rsid w:val="3568094D"/>
    <w:rsid w:val="357E2A76"/>
    <w:rsid w:val="358F1DB2"/>
    <w:rsid w:val="35A1047B"/>
    <w:rsid w:val="35BB1A88"/>
    <w:rsid w:val="366A124C"/>
    <w:rsid w:val="37153DC3"/>
    <w:rsid w:val="375F6F0B"/>
    <w:rsid w:val="376637BA"/>
    <w:rsid w:val="376C2AE3"/>
    <w:rsid w:val="377132DB"/>
    <w:rsid w:val="378D1068"/>
    <w:rsid w:val="378E47D0"/>
    <w:rsid w:val="37CB09F5"/>
    <w:rsid w:val="37E241F6"/>
    <w:rsid w:val="38077025"/>
    <w:rsid w:val="382877F5"/>
    <w:rsid w:val="3872263A"/>
    <w:rsid w:val="39146328"/>
    <w:rsid w:val="39FC665F"/>
    <w:rsid w:val="3A5C70FE"/>
    <w:rsid w:val="3A926B64"/>
    <w:rsid w:val="3B2C5FF4"/>
    <w:rsid w:val="3B5129DA"/>
    <w:rsid w:val="3B6C7D4B"/>
    <w:rsid w:val="3BE41159"/>
    <w:rsid w:val="3C29164B"/>
    <w:rsid w:val="3C5868E1"/>
    <w:rsid w:val="3C9D06F9"/>
    <w:rsid w:val="3D606F05"/>
    <w:rsid w:val="3D655CF2"/>
    <w:rsid w:val="3D7F0CC5"/>
    <w:rsid w:val="3E7E4099"/>
    <w:rsid w:val="3EA80C85"/>
    <w:rsid w:val="3EBE4C76"/>
    <w:rsid w:val="3FA0022A"/>
    <w:rsid w:val="3FB157F6"/>
    <w:rsid w:val="400B05FD"/>
    <w:rsid w:val="401C1860"/>
    <w:rsid w:val="407C5E04"/>
    <w:rsid w:val="40B36766"/>
    <w:rsid w:val="40E65973"/>
    <w:rsid w:val="416418A2"/>
    <w:rsid w:val="41A41085"/>
    <w:rsid w:val="424E1A22"/>
    <w:rsid w:val="428D3EBB"/>
    <w:rsid w:val="429001AD"/>
    <w:rsid w:val="42E83C24"/>
    <w:rsid w:val="431073F8"/>
    <w:rsid w:val="43111B99"/>
    <w:rsid w:val="43A23DD3"/>
    <w:rsid w:val="43C55D14"/>
    <w:rsid w:val="43D917BF"/>
    <w:rsid w:val="45863281"/>
    <w:rsid w:val="45994743"/>
    <w:rsid w:val="45E33E46"/>
    <w:rsid w:val="462E7E38"/>
    <w:rsid w:val="46311FD7"/>
    <w:rsid w:val="46FD7E3D"/>
    <w:rsid w:val="47090700"/>
    <w:rsid w:val="47527C17"/>
    <w:rsid w:val="476F0470"/>
    <w:rsid w:val="47941618"/>
    <w:rsid w:val="47FD6128"/>
    <w:rsid w:val="4847319B"/>
    <w:rsid w:val="48670F9E"/>
    <w:rsid w:val="48A562CB"/>
    <w:rsid w:val="48E72EB3"/>
    <w:rsid w:val="499569C4"/>
    <w:rsid w:val="4AE20F59"/>
    <w:rsid w:val="4AF33166"/>
    <w:rsid w:val="4B1A19FB"/>
    <w:rsid w:val="4B772E11"/>
    <w:rsid w:val="4B7C13AE"/>
    <w:rsid w:val="4BFE0015"/>
    <w:rsid w:val="4C387457"/>
    <w:rsid w:val="4C9D15DC"/>
    <w:rsid w:val="4D043409"/>
    <w:rsid w:val="4DB7271A"/>
    <w:rsid w:val="4F3E5F1E"/>
    <w:rsid w:val="4FC60E49"/>
    <w:rsid w:val="501E5A2B"/>
    <w:rsid w:val="501F46C7"/>
    <w:rsid w:val="50436854"/>
    <w:rsid w:val="50DB6B76"/>
    <w:rsid w:val="517C40D7"/>
    <w:rsid w:val="51C615D4"/>
    <w:rsid w:val="51D20045"/>
    <w:rsid w:val="523A4032"/>
    <w:rsid w:val="523F4A48"/>
    <w:rsid w:val="52D06FAB"/>
    <w:rsid w:val="53326F06"/>
    <w:rsid w:val="537F294A"/>
    <w:rsid w:val="53F3391D"/>
    <w:rsid w:val="541A7FB6"/>
    <w:rsid w:val="544F3B03"/>
    <w:rsid w:val="54880212"/>
    <w:rsid w:val="54FC5A0C"/>
    <w:rsid w:val="55AF23A3"/>
    <w:rsid w:val="55D83684"/>
    <w:rsid w:val="56016118"/>
    <w:rsid w:val="56772E9D"/>
    <w:rsid w:val="56994CB5"/>
    <w:rsid w:val="57271587"/>
    <w:rsid w:val="57A7215B"/>
    <w:rsid w:val="57C2639A"/>
    <w:rsid w:val="57F234CB"/>
    <w:rsid w:val="585A2729"/>
    <w:rsid w:val="588D5E91"/>
    <w:rsid w:val="58DB24F3"/>
    <w:rsid w:val="59573725"/>
    <w:rsid w:val="59635D92"/>
    <w:rsid w:val="59D60FA9"/>
    <w:rsid w:val="59DC410A"/>
    <w:rsid w:val="5A077B22"/>
    <w:rsid w:val="5A32001F"/>
    <w:rsid w:val="5A7F7AFB"/>
    <w:rsid w:val="5A9A1850"/>
    <w:rsid w:val="5B631DFD"/>
    <w:rsid w:val="5BCA59A6"/>
    <w:rsid w:val="5BF925A6"/>
    <w:rsid w:val="5C4B5BC6"/>
    <w:rsid w:val="5C8005D2"/>
    <w:rsid w:val="5CD1707F"/>
    <w:rsid w:val="5D2637E5"/>
    <w:rsid w:val="5D3642A1"/>
    <w:rsid w:val="5D564995"/>
    <w:rsid w:val="5D72765A"/>
    <w:rsid w:val="5D8A795A"/>
    <w:rsid w:val="5E166B15"/>
    <w:rsid w:val="5E6546E8"/>
    <w:rsid w:val="5F3F2297"/>
    <w:rsid w:val="5F4955F3"/>
    <w:rsid w:val="6003760A"/>
    <w:rsid w:val="60376493"/>
    <w:rsid w:val="613A44C4"/>
    <w:rsid w:val="613C78F0"/>
    <w:rsid w:val="61F44ACE"/>
    <w:rsid w:val="62001D2A"/>
    <w:rsid w:val="623B19FD"/>
    <w:rsid w:val="62620EA5"/>
    <w:rsid w:val="62C8649D"/>
    <w:rsid w:val="63534C92"/>
    <w:rsid w:val="63B209AD"/>
    <w:rsid w:val="64EF2635"/>
    <w:rsid w:val="650C5EA0"/>
    <w:rsid w:val="65631133"/>
    <w:rsid w:val="65ED1FC2"/>
    <w:rsid w:val="6615622F"/>
    <w:rsid w:val="6622746E"/>
    <w:rsid w:val="66652D12"/>
    <w:rsid w:val="66A05988"/>
    <w:rsid w:val="671A0934"/>
    <w:rsid w:val="675D1C3B"/>
    <w:rsid w:val="68AC490C"/>
    <w:rsid w:val="68CB5B98"/>
    <w:rsid w:val="696323FD"/>
    <w:rsid w:val="69794D27"/>
    <w:rsid w:val="699658D9"/>
    <w:rsid w:val="69B10378"/>
    <w:rsid w:val="69DC2FD8"/>
    <w:rsid w:val="69FB573C"/>
    <w:rsid w:val="6A992D85"/>
    <w:rsid w:val="6B110DFC"/>
    <w:rsid w:val="6BA26F0C"/>
    <w:rsid w:val="6BCE47B8"/>
    <w:rsid w:val="6CB415F6"/>
    <w:rsid w:val="6CCD355E"/>
    <w:rsid w:val="6CE32477"/>
    <w:rsid w:val="6D0D463C"/>
    <w:rsid w:val="6D0F6CBA"/>
    <w:rsid w:val="6D79292F"/>
    <w:rsid w:val="6DC01176"/>
    <w:rsid w:val="6DF33768"/>
    <w:rsid w:val="6E251C0F"/>
    <w:rsid w:val="6E5621BE"/>
    <w:rsid w:val="6EB74FD4"/>
    <w:rsid w:val="6EBE01D4"/>
    <w:rsid w:val="6ECE341F"/>
    <w:rsid w:val="6F355C1A"/>
    <w:rsid w:val="6F6165D8"/>
    <w:rsid w:val="6FC94265"/>
    <w:rsid w:val="703466C7"/>
    <w:rsid w:val="705007A8"/>
    <w:rsid w:val="70A24498"/>
    <w:rsid w:val="70FA6D60"/>
    <w:rsid w:val="71384449"/>
    <w:rsid w:val="71634893"/>
    <w:rsid w:val="71A70BA9"/>
    <w:rsid w:val="71DA5A9A"/>
    <w:rsid w:val="71F06E22"/>
    <w:rsid w:val="72620456"/>
    <w:rsid w:val="726C5D1C"/>
    <w:rsid w:val="727B16AB"/>
    <w:rsid w:val="7462249D"/>
    <w:rsid w:val="74AC5FB0"/>
    <w:rsid w:val="7544521C"/>
    <w:rsid w:val="75BD325C"/>
    <w:rsid w:val="75E10FA4"/>
    <w:rsid w:val="76465F91"/>
    <w:rsid w:val="7680708A"/>
    <w:rsid w:val="76FD2AF3"/>
    <w:rsid w:val="77014A47"/>
    <w:rsid w:val="77403391"/>
    <w:rsid w:val="775D14C7"/>
    <w:rsid w:val="77F6493C"/>
    <w:rsid w:val="78186231"/>
    <w:rsid w:val="78A2429F"/>
    <w:rsid w:val="78B30E07"/>
    <w:rsid w:val="78EF0B61"/>
    <w:rsid w:val="79444A09"/>
    <w:rsid w:val="799B502A"/>
    <w:rsid w:val="7A32799C"/>
    <w:rsid w:val="7A856D6E"/>
    <w:rsid w:val="7AEC7106"/>
    <w:rsid w:val="7AEE58BC"/>
    <w:rsid w:val="7B0A1C83"/>
    <w:rsid w:val="7B2C7E4B"/>
    <w:rsid w:val="7B81105C"/>
    <w:rsid w:val="7BA774D1"/>
    <w:rsid w:val="7BE21D83"/>
    <w:rsid w:val="7C042152"/>
    <w:rsid w:val="7C231B27"/>
    <w:rsid w:val="7CB24380"/>
    <w:rsid w:val="7D7C30CE"/>
    <w:rsid w:val="7DC06A95"/>
    <w:rsid w:val="7DEB7B49"/>
    <w:rsid w:val="7EB90BD7"/>
    <w:rsid w:val="7ED743B8"/>
    <w:rsid w:val="7EE0398A"/>
    <w:rsid w:val="7EE04654"/>
    <w:rsid w:val="7F303653"/>
    <w:rsid w:val="7FCD3C48"/>
    <w:rsid w:val="7FD76DB4"/>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widowControl/>
      <w:spacing w:before="340" w:after="330" w:line="578" w:lineRule="auto"/>
      <w:jc w:val="left"/>
      <w:outlineLvl w:val="0"/>
    </w:pPr>
    <w:rPr>
      <w:rFonts w:ascii="Calibri" w:hAnsi="Calibri" w:cs="Arial"/>
      <w:b/>
      <w:bCs/>
      <w:kern w:val="44"/>
      <w:sz w:val="44"/>
      <w:szCs w:val="44"/>
    </w:rPr>
  </w:style>
  <w:style w:type="paragraph" w:styleId="3">
    <w:name w:val="heading 2"/>
    <w:basedOn w:val="1"/>
    <w:next w:val="1"/>
    <w:link w:val="31"/>
    <w:autoRedefine/>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32"/>
    <w:autoRedefine/>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keepLines/>
      <w:spacing w:before="280" w:after="290" w:line="377" w:lineRule="auto"/>
      <w:outlineLvl w:val="3"/>
    </w:pPr>
    <w:rPr>
      <w:rFonts w:ascii="Cambria" w:hAnsi="Cambria"/>
      <w:b/>
      <w:bCs/>
      <w:sz w:val="28"/>
      <w:szCs w:val="28"/>
    </w:rPr>
  </w:style>
  <w:style w:type="paragraph" w:styleId="6">
    <w:name w:val="heading 5"/>
    <w:basedOn w:val="1"/>
    <w:next w:val="1"/>
    <w:autoRedefine/>
    <w:qFormat/>
    <w:uiPriority w:val="0"/>
    <w:pPr>
      <w:keepNext/>
      <w:keepLines/>
      <w:spacing w:before="280" w:after="290" w:line="377"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7">
    <w:name w:val="annotation text"/>
    <w:basedOn w:val="1"/>
    <w:autoRedefine/>
    <w:semiHidden/>
    <w:qFormat/>
    <w:uiPriority w:val="0"/>
    <w:pPr>
      <w:adjustRightInd w:val="0"/>
      <w:spacing w:line="360" w:lineRule="atLeast"/>
      <w:textAlignment w:val="baseline"/>
    </w:pPr>
    <w:rPr>
      <w:kern w:val="0"/>
    </w:rPr>
  </w:style>
  <w:style w:type="paragraph" w:styleId="8">
    <w:name w:val="Body Text"/>
    <w:basedOn w:val="1"/>
    <w:next w:val="9"/>
    <w:autoRedefine/>
    <w:qFormat/>
    <w:uiPriority w:val="0"/>
    <w:pPr>
      <w:spacing w:after="120"/>
    </w:pPr>
  </w:style>
  <w:style w:type="paragraph" w:styleId="9">
    <w:name w:val="toc 4"/>
    <w:basedOn w:val="1"/>
    <w:next w:val="1"/>
    <w:autoRedefine/>
    <w:qFormat/>
    <w:uiPriority w:val="0"/>
    <w:pPr>
      <w:ind w:left="600" w:leftChars="600"/>
    </w:pPr>
  </w:style>
  <w:style w:type="paragraph" w:styleId="10">
    <w:name w:val="Body Text Indent"/>
    <w:basedOn w:val="1"/>
    <w:autoRedefine/>
    <w:unhideWhenUsed/>
    <w:qFormat/>
    <w:uiPriority w:val="99"/>
    <w:pPr>
      <w:spacing w:after="120"/>
      <w:ind w:left="420" w:leftChars="200"/>
    </w:pPr>
  </w:style>
  <w:style w:type="paragraph" w:styleId="11">
    <w:name w:val="toc 3"/>
    <w:basedOn w:val="1"/>
    <w:next w:val="1"/>
    <w:autoRedefine/>
    <w:qFormat/>
    <w:uiPriority w:val="0"/>
    <w:pPr>
      <w:ind w:left="400" w:leftChars="400"/>
    </w:pPr>
  </w:style>
  <w:style w:type="paragraph" w:styleId="12">
    <w:name w:val="Date"/>
    <w:basedOn w:val="1"/>
    <w:next w:val="1"/>
    <w:autoRedefine/>
    <w:qFormat/>
    <w:uiPriority w:val="0"/>
    <w:pPr>
      <w:ind w:left="2500" w:leftChars="2500"/>
    </w:pPr>
  </w:style>
  <w:style w:type="paragraph" w:styleId="13">
    <w:name w:val="Body Text Indent 2"/>
    <w:basedOn w:val="1"/>
    <w:autoRedefine/>
    <w:qFormat/>
    <w:uiPriority w:val="0"/>
    <w:pPr>
      <w:spacing w:after="120" w:line="480" w:lineRule="auto"/>
      <w:ind w:left="200" w:leftChars="200"/>
    </w:pPr>
  </w:style>
  <w:style w:type="paragraph" w:styleId="14">
    <w:name w:val="Balloon Text"/>
    <w:basedOn w:val="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Body Text Indent 3"/>
    <w:basedOn w:val="1"/>
    <w:autoRedefine/>
    <w:qFormat/>
    <w:uiPriority w:val="0"/>
    <w:pPr>
      <w:spacing w:after="120"/>
      <w:ind w:left="200" w:leftChars="200"/>
    </w:pPr>
    <w:rPr>
      <w:sz w:val="16"/>
      <w:szCs w:val="16"/>
    </w:rPr>
  </w:style>
  <w:style w:type="paragraph" w:styleId="19">
    <w:name w:val="toc 2"/>
    <w:basedOn w:val="1"/>
    <w:next w:val="1"/>
    <w:autoRedefine/>
    <w:qFormat/>
    <w:uiPriority w:val="39"/>
    <w:pPr>
      <w:ind w:left="200" w:leftChars="200"/>
    </w:p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1">
    <w:name w:val="Normal (Web)"/>
    <w:basedOn w:val="1"/>
    <w:autoRedefine/>
    <w:qFormat/>
    <w:uiPriority w:val="99"/>
    <w:pPr>
      <w:widowControl/>
      <w:spacing w:before="100" w:beforeAutospacing="1" w:after="100" w:afterAutospacing="1"/>
      <w:jc w:val="left"/>
    </w:pPr>
    <w:rPr>
      <w:rFonts w:ascii="宋体" w:cs="宋体"/>
      <w:kern w:val="0"/>
      <w:sz w:val="24"/>
      <w:szCs w:val="24"/>
    </w:rPr>
  </w:style>
  <w:style w:type="paragraph" w:styleId="22">
    <w:name w:val="Body Text First Indent"/>
    <w:basedOn w:val="8"/>
    <w:autoRedefine/>
    <w:qFormat/>
    <w:uiPriority w:val="0"/>
    <w:pPr>
      <w:adjustRightInd w:val="0"/>
      <w:spacing w:line="360" w:lineRule="auto"/>
      <w:ind w:left="1" w:leftChars="1" w:firstLine="100" w:firstLineChars="100"/>
      <w:textAlignment w:val="baseline"/>
    </w:pPr>
    <w:rPr>
      <w:rFonts w:ascii="宋体" w:cs="宋体"/>
      <w:b/>
      <w:bCs/>
      <w:kern w:val="0"/>
      <w:sz w:val="20"/>
    </w:rPr>
  </w:style>
  <w:style w:type="paragraph" w:styleId="23">
    <w:name w:val="Body Text First Indent 2"/>
    <w:basedOn w:val="10"/>
    <w:autoRedefine/>
    <w:unhideWhenUsed/>
    <w:qFormat/>
    <w:uiPriority w:val="99"/>
    <w:pPr>
      <w:ind w:firstLine="420" w:firstLineChars="200"/>
    </w:p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22"/>
    <w:rPr>
      <w:b/>
      <w:bCs/>
    </w:rPr>
  </w:style>
  <w:style w:type="character" w:styleId="28">
    <w:name w:val="FollowedHyperlink"/>
    <w:basedOn w:val="26"/>
    <w:autoRedefine/>
    <w:qFormat/>
    <w:uiPriority w:val="0"/>
    <w:rPr>
      <w:color w:val="333333"/>
      <w:u w:val="none"/>
    </w:rPr>
  </w:style>
  <w:style w:type="character" w:styleId="29">
    <w:name w:val="Hyperlink"/>
    <w:autoRedefine/>
    <w:qFormat/>
    <w:uiPriority w:val="99"/>
    <w:rPr>
      <w:color w:val="0000FF"/>
      <w:u w:val="single"/>
    </w:rPr>
  </w:style>
  <w:style w:type="character" w:styleId="30">
    <w:name w:val="HTML Sample"/>
    <w:basedOn w:val="26"/>
    <w:autoRedefine/>
    <w:unhideWhenUsed/>
    <w:qFormat/>
    <w:uiPriority w:val="99"/>
    <w:rPr>
      <w:rFonts w:ascii="宋体" w:hAnsi="宋体" w:eastAsia="宋体" w:cs="宋体"/>
    </w:rPr>
  </w:style>
  <w:style w:type="character" w:customStyle="1" w:styleId="31">
    <w:name w:val="标题 2 字符"/>
    <w:basedOn w:val="26"/>
    <w:link w:val="3"/>
    <w:autoRedefine/>
    <w:qFormat/>
    <w:uiPriority w:val="0"/>
    <w:rPr>
      <w:rFonts w:ascii="Cambria" w:hAnsi="Cambria" w:eastAsia="宋体" w:cs="Times New Roman"/>
      <w:b/>
      <w:bCs/>
      <w:kern w:val="2"/>
      <w:sz w:val="32"/>
      <w:szCs w:val="32"/>
      <w:lang w:val="en-US" w:eastAsia="zh-CN" w:bidi="ar-SA"/>
    </w:rPr>
  </w:style>
  <w:style w:type="character" w:customStyle="1" w:styleId="32">
    <w:name w:val="标题 3 字符"/>
    <w:basedOn w:val="26"/>
    <w:link w:val="4"/>
    <w:autoRedefine/>
    <w:qFormat/>
    <w:uiPriority w:val="0"/>
    <w:rPr>
      <w:rFonts w:ascii="Times New Roman" w:hAnsi="Times New Roman" w:eastAsia="宋体" w:cs="Times New Roman"/>
      <w:b/>
      <w:bCs/>
      <w:kern w:val="2"/>
      <w:sz w:val="32"/>
      <w:szCs w:val="32"/>
      <w:lang w:val="en-US" w:eastAsia="zh-CN" w:bidi="ar-SA"/>
    </w:rPr>
  </w:style>
  <w:style w:type="paragraph" w:styleId="33">
    <w:name w:val="List Paragraph"/>
    <w:basedOn w:val="1"/>
    <w:autoRedefine/>
    <w:qFormat/>
    <w:uiPriority w:val="0"/>
    <w:pPr>
      <w:ind w:firstLine="200" w:firstLineChars="200"/>
    </w:pPr>
  </w:style>
  <w:style w:type="paragraph" w:customStyle="1" w:styleId="34">
    <w:name w:val="TOC 标题1"/>
    <w:basedOn w:val="2"/>
    <w:next w:val="1"/>
    <w:autoRedefine/>
    <w:qFormat/>
    <w:uiPriority w:val="0"/>
    <w:pPr>
      <w:spacing w:before="480" w:after="0" w:line="276" w:lineRule="auto"/>
      <w:outlineLvl w:val="9"/>
    </w:pPr>
    <w:rPr>
      <w:rFonts w:ascii="Cambria" w:hAnsi="Cambria" w:cs="Times New Roman"/>
      <w:color w:val="376092"/>
      <w:kern w:val="0"/>
      <w:sz w:val="28"/>
      <w:szCs w:val="28"/>
    </w:rPr>
  </w:style>
  <w:style w:type="paragraph" w:styleId="35">
    <w:name w:val="No Spacing"/>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列出段落1"/>
    <w:basedOn w:val="1"/>
    <w:autoRedefine/>
    <w:qFormat/>
    <w:uiPriority w:val="0"/>
    <w:pPr>
      <w:ind w:firstLine="200" w:firstLineChars="200"/>
    </w:pPr>
  </w:style>
  <w:style w:type="paragraph" w:customStyle="1" w:styleId="37">
    <w:name w:val="样式 标题 3 + 宋体"/>
    <w:basedOn w:val="4"/>
    <w:link w:val="38"/>
    <w:autoRedefine/>
    <w:qFormat/>
    <w:uiPriority w:val="0"/>
    <w:pPr>
      <w:spacing w:before="120" w:after="120" w:line="240" w:lineRule="auto"/>
    </w:pPr>
    <w:rPr>
      <w:rFonts w:ascii="宋体" w:cs="Arial"/>
    </w:rPr>
  </w:style>
  <w:style w:type="character" w:customStyle="1" w:styleId="38">
    <w:name w:val="样式 标题 3 + 宋体 Char"/>
    <w:basedOn w:val="32"/>
    <w:link w:val="37"/>
    <w:autoRedefine/>
    <w:qFormat/>
    <w:uiPriority w:val="0"/>
    <w:rPr>
      <w:rFonts w:ascii="宋体" w:hAnsi="Times New Roman" w:eastAsia="宋体" w:cs="Arial"/>
      <w:kern w:val="2"/>
      <w:sz w:val="32"/>
      <w:szCs w:val="32"/>
      <w:lang w:val="en-US" w:eastAsia="zh-CN" w:bidi="ar-SA"/>
    </w:rPr>
  </w:style>
  <w:style w:type="paragraph" w:customStyle="1" w:styleId="39">
    <w:name w:val="首行缩进"/>
    <w:basedOn w:val="1"/>
    <w:autoRedefine/>
    <w:qFormat/>
    <w:uiPriority w:val="0"/>
    <w:pPr>
      <w:spacing w:line="360" w:lineRule="auto"/>
      <w:ind w:firstLine="200" w:firstLineChars="200"/>
    </w:pPr>
    <w:rPr>
      <w:rFonts w:ascii="Calibri" w:hAnsi="Calibri"/>
      <w:sz w:val="24"/>
      <w:szCs w:val="24"/>
      <w:lang w:val="zh-CN"/>
    </w:rPr>
  </w:style>
  <w:style w:type="paragraph" w:customStyle="1" w:styleId="4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font41"/>
    <w:basedOn w:val="26"/>
    <w:autoRedefine/>
    <w:qFormat/>
    <w:uiPriority w:val="0"/>
    <w:rPr>
      <w:rFonts w:ascii="宋体" w:eastAsia="宋体" w:cs="宋体"/>
      <w:b/>
      <w:bCs/>
      <w:color w:val="FF0000"/>
      <w:sz w:val="28"/>
      <w:szCs w:val="28"/>
      <w:u w:val="none"/>
    </w:rPr>
  </w:style>
  <w:style w:type="character" w:customStyle="1" w:styleId="42">
    <w:name w:val="font11"/>
    <w:autoRedefine/>
    <w:qFormat/>
    <w:uiPriority w:val="0"/>
    <w:rPr>
      <w:rFonts w:ascii="宋体" w:eastAsia="宋体" w:cs="宋体"/>
      <w:color w:val="000000"/>
      <w:sz w:val="22"/>
      <w:szCs w:val="22"/>
      <w:u w:val="none"/>
    </w:rPr>
  </w:style>
  <w:style w:type="character" w:customStyle="1" w:styleId="43">
    <w:name w:val="font21"/>
    <w:basedOn w:val="26"/>
    <w:autoRedefine/>
    <w:qFormat/>
    <w:uiPriority w:val="0"/>
    <w:rPr>
      <w:rFonts w:ascii="宋体" w:eastAsia="宋体" w:cs="宋体"/>
      <w:color w:val="000000"/>
      <w:sz w:val="20"/>
      <w:szCs w:val="20"/>
      <w:u w:val="none"/>
    </w:rPr>
  </w:style>
  <w:style w:type="character" w:customStyle="1" w:styleId="44">
    <w:name w:val="font01"/>
    <w:autoRedefine/>
    <w:qFormat/>
    <w:uiPriority w:val="0"/>
    <w:rPr>
      <w:rFonts w:ascii="宋体" w:eastAsia="宋体" w:cs="宋体"/>
      <w:color w:val="000000"/>
      <w:sz w:val="22"/>
      <w:szCs w:val="22"/>
      <w:u w:val="none"/>
    </w:rPr>
  </w:style>
  <w:style w:type="character" w:customStyle="1" w:styleId="45">
    <w:name w:val="font31"/>
    <w:basedOn w:val="26"/>
    <w:autoRedefine/>
    <w:qFormat/>
    <w:uiPriority w:val="0"/>
    <w:rPr>
      <w:rFonts w:hint="eastAsia" w:ascii="宋体" w:hAnsi="宋体" w:eastAsia="宋体" w:cs="宋体"/>
      <w:color w:val="000000"/>
      <w:sz w:val="22"/>
      <w:szCs w:val="22"/>
      <w:u w:val="none"/>
    </w:rPr>
  </w:style>
  <w:style w:type="character" w:customStyle="1" w:styleId="46">
    <w:name w:val="font51"/>
    <w:basedOn w:val="26"/>
    <w:autoRedefine/>
    <w:qFormat/>
    <w:uiPriority w:val="0"/>
    <w:rPr>
      <w:rFonts w:ascii="Arial" w:hAnsi="Arial" w:cs="Arial"/>
      <w:color w:val="000000"/>
      <w:sz w:val="22"/>
      <w:szCs w:val="22"/>
      <w:u w:val="none"/>
    </w:rPr>
  </w:style>
  <w:style w:type="character" w:customStyle="1" w:styleId="47">
    <w:name w:val="font61"/>
    <w:basedOn w:val="26"/>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7388E-033B-4E3B-AAC7-13A992C87A86}">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57</Pages>
  <Words>30659</Words>
  <Characters>32902</Characters>
  <Lines>281</Lines>
  <Paragraphs>79</Paragraphs>
  <TotalTime>40</TotalTime>
  <ScaleCrop>false</ScaleCrop>
  <LinksUpToDate>false</LinksUpToDate>
  <CharactersWithSpaces>34965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2024-01-05T02:33:00Z</dcterms:created>
  <dc:creator>JIA</dc:creator>
  <cp:lastModifiedBy>阿汤208</cp:lastModifiedBy>
  <cp:lastPrinted>2024-06-18T02:09:00Z</cp:lastPrinted>
  <dcterms:modified xsi:type="dcterms:W3CDTF">2024-06-25T06:52:53Z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870686B343F74DCCB03DD3ECA882306B_13</vt:lpwstr>
  </property>
</Properties>
</file>